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F096" w14:textId="099974EF" w:rsidR="00214AE3" w:rsidRPr="00394C24" w:rsidRDefault="00214AE3" w:rsidP="00214AE3">
      <w:pPr>
        <w:pStyle w:val="Default"/>
        <w:jc w:val="both"/>
        <w:rPr>
          <w:rFonts w:ascii="Calibri" w:hAnsi="Calibri" w:cs="Calibri"/>
          <w:b/>
          <w:bCs/>
          <w:color w:val="auto"/>
          <w:sz w:val="22"/>
          <w:szCs w:val="22"/>
        </w:rPr>
      </w:pPr>
      <w:r w:rsidRPr="00394C24">
        <w:rPr>
          <w:rFonts w:ascii="Calibri" w:hAnsi="Calibri" w:cs="Calibri"/>
          <w:b/>
          <w:bCs/>
          <w:color w:val="auto"/>
          <w:sz w:val="22"/>
          <w:szCs w:val="22"/>
        </w:rPr>
        <w:t xml:space="preserve">IGWG </w:t>
      </w:r>
      <w:r>
        <w:rPr>
          <w:rFonts w:ascii="Calibri" w:hAnsi="Calibri" w:cs="Calibri"/>
          <w:b/>
          <w:bCs/>
          <w:color w:val="auto"/>
          <w:sz w:val="22"/>
          <w:szCs w:val="22"/>
        </w:rPr>
        <w:t>8</w:t>
      </w:r>
      <w:r w:rsidRPr="00394C24">
        <w:rPr>
          <w:rFonts w:ascii="Calibri" w:hAnsi="Calibri" w:cs="Calibri"/>
          <w:b/>
          <w:bCs/>
          <w:color w:val="auto"/>
          <w:sz w:val="22"/>
          <w:szCs w:val="22"/>
          <w:vertAlign w:val="superscript"/>
        </w:rPr>
        <w:t>th</w:t>
      </w:r>
      <w:r w:rsidRPr="00394C24">
        <w:rPr>
          <w:rFonts w:ascii="Calibri" w:hAnsi="Calibri" w:cs="Calibri"/>
          <w:b/>
          <w:bCs/>
          <w:color w:val="auto"/>
          <w:sz w:val="22"/>
          <w:szCs w:val="22"/>
        </w:rPr>
        <w:t xml:space="preserve"> Session - Global Union Comments:</w:t>
      </w:r>
    </w:p>
    <w:p w14:paraId="2E316324" w14:textId="77777777" w:rsidR="00214AE3" w:rsidRPr="00394C24" w:rsidRDefault="00214AE3" w:rsidP="00214AE3">
      <w:pPr>
        <w:pStyle w:val="Default"/>
        <w:jc w:val="both"/>
        <w:rPr>
          <w:rFonts w:ascii="Calibri" w:hAnsi="Calibri" w:cs="Calibri"/>
          <w:b/>
          <w:bCs/>
          <w:color w:val="auto"/>
          <w:sz w:val="22"/>
          <w:szCs w:val="22"/>
        </w:rPr>
      </w:pPr>
    </w:p>
    <w:p w14:paraId="37B51BD8" w14:textId="77777777" w:rsidR="00214AE3" w:rsidRPr="00394C24" w:rsidRDefault="00214AE3" w:rsidP="00214AE3">
      <w:pPr>
        <w:pStyle w:val="Default"/>
        <w:jc w:val="both"/>
        <w:rPr>
          <w:rFonts w:ascii="Calibri" w:hAnsi="Calibri" w:cs="Calibri"/>
          <w:b/>
          <w:bCs/>
          <w:color w:val="auto"/>
          <w:sz w:val="22"/>
          <w:szCs w:val="22"/>
        </w:rPr>
      </w:pPr>
      <w:r w:rsidRPr="00394C24">
        <w:rPr>
          <w:rFonts w:ascii="Calibri" w:hAnsi="Calibri" w:cs="Calibri"/>
          <w:b/>
          <w:bCs/>
          <w:color w:val="auto"/>
          <w:sz w:val="22"/>
          <w:szCs w:val="22"/>
        </w:rPr>
        <w:t xml:space="preserve">Article </w:t>
      </w:r>
      <w:r>
        <w:rPr>
          <w:rFonts w:ascii="Calibri" w:hAnsi="Calibri" w:cs="Calibri"/>
          <w:b/>
          <w:bCs/>
          <w:color w:val="auto"/>
          <w:sz w:val="22"/>
          <w:szCs w:val="22"/>
        </w:rPr>
        <w:t>11</w:t>
      </w:r>
    </w:p>
    <w:p w14:paraId="39F9F70D" w14:textId="77777777" w:rsidR="00214AE3" w:rsidRPr="00EB75AA" w:rsidRDefault="00214AE3" w:rsidP="00214AE3">
      <w:pPr>
        <w:pStyle w:val="Default"/>
        <w:jc w:val="both"/>
        <w:rPr>
          <w:rFonts w:asciiTheme="minorHAnsi" w:hAnsiTheme="minorHAnsi" w:cstheme="minorHAnsi"/>
          <w:bCs/>
          <w:color w:val="auto"/>
        </w:rPr>
      </w:pPr>
    </w:p>
    <w:p w14:paraId="54E0E732" w14:textId="68CA0B60" w:rsidR="000E43D3" w:rsidRPr="00EB75AA" w:rsidRDefault="000E43D3" w:rsidP="000E43D3">
      <w:pPr>
        <w:rPr>
          <w:rFonts w:cstheme="minorHAnsi"/>
          <w:sz w:val="24"/>
          <w:szCs w:val="24"/>
        </w:rPr>
      </w:pPr>
      <w:r w:rsidRPr="00EB75AA">
        <w:rPr>
          <w:rFonts w:cstheme="minorHAnsi"/>
          <w:sz w:val="24"/>
          <w:szCs w:val="24"/>
        </w:rPr>
        <w:t>Chair,</w:t>
      </w:r>
    </w:p>
    <w:p w14:paraId="14FF0584" w14:textId="20CFC345" w:rsidR="000E43D3" w:rsidRPr="00EB75AA" w:rsidRDefault="000E43D3" w:rsidP="000E43D3">
      <w:pPr>
        <w:rPr>
          <w:rFonts w:cstheme="minorHAnsi"/>
          <w:color w:val="0B0D0D"/>
          <w:sz w:val="24"/>
          <w:szCs w:val="24"/>
          <w:shd w:val="clear" w:color="auto" w:fill="FFFFFF"/>
        </w:rPr>
      </w:pPr>
      <w:r w:rsidRPr="00EB75AA">
        <w:rPr>
          <w:rFonts w:cstheme="minorHAnsi"/>
          <w:sz w:val="24"/>
          <w:szCs w:val="24"/>
        </w:rPr>
        <w:t xml:space="preserve">We did not comment on Article 9 this morning because we believe that the third revised draft essentially offers </w:t>
      </w:r>
      <w:r w:rsidRPr="00EB75AA">
        <w:rPr>
          <w:rFonts w:cstheme="minorHAnsi"/>
          <w:sz w:val="24"/>
          <w:szCs w:val="24"/>
        </w:rPr>
        <w:t>a broad choice of competent jurisdiction to ensure that remediation is provided either through the forum where the harm was caused, or the forum where the parent company is incorporated or where it has a substantial presence</w:t>
      </w:r>
      <w:r w:rsidRPr="00EB75AA">
        <w:rPr>
          <w:rFonts w:cstheme="minorHAnsi"/>
          <w:sz w:val="24"/>
          <w:szCs w:val="24"/>
        </w:rPr>
        <w:t xml:space="preserve">. We welcome </w:t>
      </w:r>
      <w:r w:rsidR="00EB75AA">
        <w:rPr>
          <w:rFonts w:cstheme="minorHAnsi"/>
          <w:sz w:val="24"/>
          <w:szCs w:val="24"/>
        </w:rPr>
        <w:t>the efforts</w:t>
      </w:r>
      <w:r w:rsidRPr="00EB75AA">
        <w:rPr>
          <w:rFonts w:cstheme="minorHAnsi"/>
          <w:sz w:val="24"/>
          <w:szCs w:val="24"/>
        </w:rPr>
        <w:t xml:space="preserve"> by </w:t>
      </w:r>
      <w:r w:rsidR="00EB75AA">
        <w:rPr>
          <w:rFonts w:cstheme="minorHAnsi"/>
          <w:sz w:val="24"/>
          <w:szCs w:val="24"/>
        </w:rPr>
        <w:t xml:space="preserve">some </w:t>
      </w:r>
      <w:r w:rsidRPr="00EB75AA">
        <w:rPr>
          <w:rFonts w:cstheme="minorHAnsi"/>
          <w:sz w:val="24"/>
          <w:szCs w:val="24"/>
        </w:rPr>
        <w:t>States to strengthen the Article. However, Chair, we are also deeply dis</w:t>
      </w:r>
      <w:r w:rsidR="00EB75AA">
        <w:rPr>
          <w:rFonts w:cstheme="minorHAnsi"/>
          <w:sz w:val="24"/>
          <w:szCs w:val="24"/>
        </w:rPr>
        <w:t>turb</w:t>
      </w:r>
      <w:r w:rsidRPr="00EB75AA">
        <w:rPr>
          <w:rFonts w:cstheme="minorHAnsi"/>
          <w:sz w:val="24"/>
          <w:szCs w:val="24"/>
        </w:rPr>
        <w:t xml:space="preserve">ed by what appears to a lack of ambition by some States on the need </w:t>
      </w:r>
      <w:r w:rsidRPr="00EB75AA">
        <w:rPr>
          <w:rFonts w:cstheme="minorHAnsi"/>
          <w:sz w:val="24"/>
          <w:szCs w:val="24"/>
        </w:rPr>
        <w:t xml:space="preserve">to overcome jurisdictional barriers by limiting the use of the doctrine of forum non </w:t>
      </w:r>
      <w:proofErr w:type="spellStart"/>
      <w:r w:rsidRPr="00EB75AA">
        <w:rPr>
          <w:rFonts w:cstheme="minorHAnsi"/>
          <w:sz w:val="24"/>
          <w:szCs w:val="24"/>
        </w:rPr>
        <w:t>conveniens</w:t>
      </w:r>
      <w:proofErr w:type="spellEnd"/>
      <w:r w:rsidRPr="00EB75AA">
        <w:rPr>
          <w:rFonts w:cstheme="minorHAnsi"/>
          <w:sz w:val="24"/>
          <w:szCs w:val="24"/>
        </w:rPr>
        <w:t xml:space="preserve"> or the need to apply </w:t>
      </w:r>
      <w:r w:rsidRPr="00EB75AA">
        <w:rPr>
          <w:rFonts w:cstheme="minorHAnsi"/>
          <w:color w:val="0B0D0D"/>
          <w:sz w:val="24"/>
          <w:szCs w:val="24"/>
          <w:shd w:val="clear" w:color="auto" w:fill="FFFFFF"/>
        </w:rPr>
        <w:t xml:space="preserve">forum </w:t>
      </w:r>
      <w:proofErr w:type="spellStart"/>
      <w:r w:rsidRPr="00EB75AA">
        <w:rPr>
          <w:rFonts w:cstheme="minorHAnsi"/>
          <w:color w:val="0B0D0D"/>
          <w:sz w:val="24"/>
          <w:szCs w:val="24"/>
          <w:shd w:val="clear" w:color="auto" w:fill="FFFFFF"/>
        </w:rPr>
        <w:t>necessitatis</w:t>
      </w:r>
      <w:proofErr w:type="spellEnd"/>
      <w:r w:rsidRPr="00EB75AA">
        <w:rPr>
          <w:rFonts w:cstheme="minorHAnsi"/>
          <w:color w:val="0B0D0D"/>
          <w:sz w:val="24"/>
          <w:szCs w:val="24"/>
          <w:shd w:val="clear" w:color="auto" w:fill="FFFFFF"/>
        </w:rPr>
        <w:t xml:space="preserve"> allow</w:t>
      </w:r>
      <w:r w:rsidRPr="00EB75AA">
        <w:rPr>
          <w:rFonts w:cstheme="minorHAnsi"/>
          <w:color w:val="0B0D0D"/>
          <w:sz w:val="24"/>
          <w:szCs w:val="24"/>
          <w:shd w:val="clear" w:color="auto" w:fill="FFFFFF"/>
        </w:rPr>
        <w:t>ing</w:t>
      </w:r>
      <w:r w:rsidRPr="00EB75AA">
        <w:rPr>
          <w:rFonts w:cstheme="minorHAnsi"/>
          <w:color w:val="0B0D0D"/>
          <w:sz w:val="24"/>
          <w:szCs w:val="24"/>
          <w:shd w:val="clear" w:color="auto" w:fill="FFFFFF"/>
        </w:rPr>
        <w:t xml:space="preserve"> a court to be used as a </w:t>
      </w:r>
      <w:r w:rsidRPr="00EB75AA">
        <w:rPr>
          <w:rFonts w:cstheme="minorHAnsi"/>
          <w:i/>
          <w:iCs/>
          <w:color w:val="0B0D0D"/>
          <w:sz w:val="24"/>
          <w:szCs w:val="24"/>
          <w:shd w:val="clear" w:color="auto" w:fill="FFFFFF"/>
        </w:rPr>
        <w:t>last resort</w:t>
      </w:r>
      <w:r w:rsidRPr="00EB75AA">
        <w:rPr>
          <w:rFonts w:cstheme="minorHAnsi"/>
          <w:color w:val="0B0D0D"/>
          <w:sz w:val="24"/>
          <w:szCs w:val="24"/>
          <w:shd w:val="clear" w:color="auto" w:fill="FFFFFF"/>
        </w:rPr>
        <w:t>, should no other effective forum guarantee a fair judicial process</w:t>
      </w:r>
      <w:r w:rsidRPr="00EB75AA">
        <w:rPr>
          <w:rFonts w:cstheme="minorHAnsi"/>
          <w:color w:val="0B0D0D"/>
          <w:sz w:val="24"/>
          <w:szCs w:val="24"/>
          <w:shd w:val="clear" w:color="auto" w:fill="FFFFFF"/>
        </w:rPr>
        <w:t>.</w:t>
      </w:r>
    </w:p>
    <w:p w14:paraId="65E5C3F2" w14:textId="604D808A" w:rsidR="000E43D3" w:rsidRPr="00EB75AA" w:rsidRDefault="000E43D3" w:rsidP="000E43D3">
      <w:pPr>
        <w:rPr>
          <w:rFonts w:cstheme="minorHAnsi"/>
          <w:sz w:val="24"/>
          <w:szCs w:val="24"/>
        </w:rPr>
      </w:pPr>
      <w:r w:rsidRPr="00EB75AA">
        <w:rPr>
          <w:rFonts w:cstheme="minorHAnsi"/>
          <w:color w:val="0B0D0D"/>
          <w:sz w:val="24"/>
          <w:szCs w:val="24"/>
          <w:shd w:val="clear" w:color="auto" w:fill="FFFFFF"/>
        </w:rPr>
        <w:t>Chair,</w:t>
      </w:r>
    </w:p>
    <w:p w14:paraId="693304A3" w14:textId="5D82E330" w:rsidR="000E43D3" w:rsidRPr="00EB75AA" w:rsidRDefault="000E43D3" w:rsidP="000E43D3">
      <w:pPr>
        <w:rPr>
          <w:rFonts w:cstheme="minorHAnsi"/>
          <w:sz w:val="24"/>
          <w:szCs w:val="24"/>
        </w:rPr>
      </w:pPr>
      <w:r w:rsidRPr="00EB75AA">
        <w:rPr>
          <w:rFonts w:cstheme="minorHAnsi"/>
          <w:sz w:val="24"/>
          <w:szCs w:val="24"/>
        </w:rPr>
        <w:t xml:space="preserve">One of the major problems </w:t>
      </w:r>
      <w:r w:rsidRPr="00EB75AA">
        <w:rPr>
          <w:rFonts w:cstheme="minorHAnsi"/>
          <w:sz w:val="24"/>
          <w:szCs w:val="24"/>
        </w:rPr>
        <w:t xml:space="preserve">in global supply chains </w:t>
      </w:r>
      <w:r w:rsidRPr="00EB75AA">
        <w:rPr>
          <w:rFonts w:cstheme="minorHAnsi"/>
          <w:sz w:val="24"/>
          <w:szCs w:val="24"/>
        </w:rPr>
        <w:t xml:space="preserve">is that the local suppliers are unlikely to face justice because the administrative or judicial processes </w:t>
      </w:r>
      <w:r w:rsidR="00EB75AA" w:rsidRPr="00EB75AA">
        <w:rPr>
          <w:rFonts w:cstheme="minorHAnsi"/>
          <w:sz w:val="24"/>
          <w:szCs w:val="24"/>
        </w:rPr>
        <w:t>may not be able to deal with claims for various reasons</w:t>
      </w:r>
      <w:r w:rsidRPr="00EB75AA">
        <w:rPr>
          <w:rFonts w:cstheme="minorHAnsi"/>
          <w:sz w:val="24"/>
          <w:szCs w:val="24"/>
        </w:rPr>
        <w:t xml:space="preserve">. Further, many companies may be significantly undercapitalized, making them essentially judgement-proof even if workers were to obtain a judicial order and efforts were made to enforce those orders. At the same time, lead firms are usually immune from lawsuits, as there is no legal cause of action or jurisdiction over them in the host country or in their home country when the violation is caused by a supplier in a contractual relationship. </w:t>
      </w:r>
    </w:p>
    <w:p w14:paraId="7E40A6BD" w14:textId="60559655" w:rsidR="00EB75AA" w:rsidRPr="00EB75AA" w:rsidRDefault="00EB75AA" w:rsidP="000E43D3">
      <w:pPr>
        <w:rPr>
          <w:rFonts w:cstheme="minorHAnsi"/>
          <w:sz w:val="24"/>
          <w:szCs w:val="24"/>
        </w:rPr>
      </w:pPr>
      <w:r w:rsidRPr="00EB75AA">
        <w:rPr>
          <w:rFonts w:cstheme="minorHAnsi"/>
          <w:sz w:val="24"/>
          <w:szCs w:val="24"/>
        </w:rPr>
        <w:t xml:space="preserve">This is the reality. An LBI needs to push the agenda </w:t>
      </w:r>
      <w:r w:rsidRPr="00EB75AA">
        <w:rPr>
          <w:rFonts w:cstheme="minorHAnsi"/>
          <w:i/>
          <w:iCs/>
          <w:sz w:val="24"/>
          <w:szCs w:val="24"/>
        </w:rPr>
        <w:t>forward</w:t>
      </w:r>
      <w:r w:rsidRPr="00EB75AA">
        <w:rPr>
          <w:rFonts w:cstheme="minorHAnsi"/>
          <w:sz w:val="24"/>
          <w:szCs w:val="24"/>
        </w:rPr>
        <w:t xml:space="preserve">. It needs to be rights-holder centred. It is the needs of rights-holders that </w:t>
      </w:r>
      <w:r w:rsidR="00AF0EDD">
        <w:rPr>
          <w:rFonts w:cstheme="minorHAnsi"/>
          <w:sz w:val="24"/>
          <w:szCs w:val="24"/>
        </w:rPr>
        <w:t>should</w:t>
      </w:r>
      <w:r w:rsidRPr="00EB75AA">
        <w:rPr>
          <w:rFonts w:cstheme="minorHAnsi"/>
          <w:sz w:val="24"/>
          <w:szCs w:val="24"/>
        </w:rPr>
        <w:t xml:space="preserve"> drive this entire process</w:t>
      </w:r>
      <w:r w:rsidRPr="00EB75AA">
        <w:rPr>
          <w:rFonts w:cstheme="minorHAnsi"/>
          <w:color w:val="152234"/>
          <w:sz w:val="24"/>
          <w:szCs w:val="24"/>
        </w:rPr>
        <w:t>.</w:t>
      </w:r>
      <w:r w:rsidRPr="00EB75AA">
        <w:rPr>
          <w:rFonts w:cstheme="minorHAnsi"/>
          <w:color w:val="152234"/>
          <w:sz w:val="24"/>
          <w:szCs w:val="24"/>
        </w:rPr>
        <w:t xml:space="preserve"> We strongly encourage States to continue to engage with Art.9 in the 3</w:t>
      </w:r>
      <w:r w:rsidRPr="00EB75AA">
        <w:rPr>
          <w:rFonts w:cstheme="minorHAnsi"/>
          <w:color w:val="152234"/>
          <w:sz w:val="24"/>
          <w:szCs w:val="24"/>
          <w:vertAlign w:val="superscript"/>
        </w:rPr>
        <w:t>rd</w:t>
      </w:r>
      <w:r w:rsidRPr="00EB75AA">
        <w:rPr>
          <w:rFonts w:cstheme="minorHAnsi"/>
          <w:color w:val="152234"/>
          <w:sz w:val="24"/>
          <w:szCs w:val="24"/>
        </w:rPr>
        <w:t xml:space="preserve"> revised draft and look to strengthen it further. </w:t>
      </w:r>
    </w:p>
    <w:p w14:paraId="105CEB6F" w14:textId="255605D7" w:rsidR="00214AE3" w:rsidRPr="00EB75AA" w:rsidRDefault="00EB75AA" w:rsidP="00214AE3">
      <w:pPr>
        <w:rPr>
          <w:rFonts w:cstheme="minorHAnsi"/>
          <w:sz w:val="24"/>
          <w:szCs w:val="24"/>
        </w:rPr>
      </w:pPr>
      <w:r>
        <w:rPr>
          <w:rFonts w:cstheme="minorHAnsi"/>
          <w:sz w:val="24"/>
          <w:szCs w:val="24"/>
        </w:rPr>
        <w:t xml:space="preserve">In relation to Article 11, </w:t>
      </w:r>
      <w:r w:rsidR="00AF0EDD">
        <w:rPr>
          <w:rFonts w:cstheme="minorHAnsi"/>
          <w:sz w:val="24"/>
          <w:szCs w:val="24"/>
        </w:rPr>
        <w:t>Chair, i</w:t>
      </w:r>
      <w:r w:rsidR="00214AE3" w:rsidRPr="00EB75AA">
        <w:rPr>
          <w:rFonts w:cstheme="minorHAnsi"/>
          <w:sz w:val="24"/>
          <w:szCs w:val="24"/>
        </w:rPr>
        <w:t>t goes without saying that this Article is critical if we are to have a rights-holder</w:t>
      </w:r>
      <w:r w:rsidR="00904AE3">
        <w:rPr>
          <w:rFonts w:cstheme="minorHAnsi"/>
          <w:sz w:val="24"/>
          <w:szCs w:val="24"/>
        </w:rPr>
        <w:t>-</w:t>
      </w:r>
      <w:r w:rsidR="00214AE3" w:rsidRPr="00EB75AA">
        <w:rPr>
          <w:rFonts w:cstheme="minorHAnsi"/>
          <w:sz w:val="24"/>
          <w:szCs w:val="24"/>
        </w:rPr>
        <w:t xml:space="preserve">centred LBI that is truly effective. Article 11 provides a strong choice to victims to request the applicability of the law of another State Party. This provision is important, particularly because </w:t>
      </w:r>
      <w:r w:rsidR="00904AE3">
        <w:rPr>
          <w:rFonts w:cstheme="minorHAnsi"/>
          <w:sz w:val="24"/>
          <w:szCs w:val="24"/>
        </w:rPr>
        <w:t>lead firms</w:t>
      </w:r>
      <w:r w:rsidR="00214AE3" w:rsidRPr="00EB75AA">
        <w:rPr>
          <w:rFonts w:cstheme="minorHAnsi"/>
          <w:sz w:val="24"/>
          <w:szCs w:val="24"/>
        </w:rPr>
        <w:t xml:space="preserve"> frequently engage in jurisdiction shopping and choose to engage in host countries with legal frameworks that may not be able to address complex cross-border cases.  </w:t>
      </w:r>
    </w:p>
    <w:p w14:paraId="7536E3C6" w14:textId="6EC1ABA3" w:rsidR="00214AE3" w:rsidRPr="00EB75AA" w:rsidRDefault="00AF0EDD" w:rsidP="00EB75AA">
      <w:pPr>
        <w:rPr>
          <w:rFonts w:cstheme="minorHAnsi"/>
          <w:color w:val="000000"/>
          <w:sz w:val="24"/>
          <w:szCs w:val="24"/>
        </w:rPr>
      </w:pPr>
      <w:r>
        <w:rPr>
          <w:rFonts w:cstheme="minorHAnsi"/>
          <w:sz w:val="24"/>
          <w:szCs w:val="24"/>
        </w:rPr>
        <w:t>Our only</w:t>
      </w:r>
      <w:r w:rsidR="00214AE3" w:rsidRPr="00EB75AA">
        <w:rPr>
          <w:rFonts w:cstheme="minorHAnsi"/>
          <w:sz w:val="24"/>
          <w:szCs w:val="24"/>
        </w:rPr>
        <w:t xml:space="preserve"> proposal </w:t>
      </w:r>
      <w:r>
        <w:rPr>
          <w:rFonts w:cstheme="minorHAnsi"/>
          <w:sz w:val="24"/>
          <w:szCs w:val="24"/>
        </w:rPr>
        <w:t xml:space="preserve">here is </w:t>
      </w:r>
      <w:r w:rsidR="00904AE3">
        <w:rPr>
          <w:rFonts w:cstheme="minorHAnsi"/>
          <w:sz w:val="24"/>
          <w:szCs w:val="24"/>
        </w:rPr>
        <w:t xml:space="preserve">an insertion of a </w:t>
      </w:r>
      <w:r w:rsidR="00904AE3" w:rsidRPr="00904AE3">
        <w:rPr>
          <w:rFonts w:cstheme="minorHAnsi"/>
          <w:i/>
          <w:iCs/>
          <w:sz w:val="24"/>
          <w:szCs w:val="24"/>
        </w:rPr>
        <w:t xml:space="preserve">little </w:t>
      </w:r>
      <w:proofErr w:type="spellStart"/>
      <w:r w:rsidR="00904AE3" w:rsidRPr="00904AE3">
        <w:rPr>
          <w:rFonts w:cstheme="minorHAnsi"/>
          <w:i/>
          <w:iCs/>
          <w:sz w:val="24"/>
          <w:szCs w:val="24"/>
        </w:rPr>
        <w:t>c</w:t>
      </w:r>
      <w:r w:rsidR="00904AE3">
        <w:rPr>
          <w:rFonts w:cstheme="minorHAnsi"/>
          <w:sz w:val="24"/>
          <w:szCs w:val="24"/>
        </w:rPr>
        <w:t xml:space="preserve"> at</w:t>
      </w:r>
      <w:proofErr w:type="spellEnd"/>
      <w:r w:rsidR="00904AE3">
        <w:rPr>
          <w:rFonts w:cstheme="minorHAnsi"/>
          <w:sz w:val="24"/>
          <w:szCs w:val="24"/>
        </w:rPr>
        <w:t xml:space="preserve"> </w:t>
      </w:r>
      <w:r w:rsidR="00214AE3" w:rsidRPr="00EB75AA">
        <w:rPr>
          <w:rFonts w:cstheme="minorHAnsi"/>
          <w:sz w:val="24"/>
          <w:szCs w:val="24"/>
        </w:rPr>
        <w:t>Article 11.2</w:t>
      </w:r>
      <w:r>
        <w:rPr>
          <w:rFonts w:cstheme="minorHAnsi"/>
          <w:sz w:val="24"/>
          <w:szCs w:val="24"/>
        </w:rPr>
        <w:t xml:space="preserve"> </w:t>
      </w:r>
      <w:r w:rsidR="00904AE3">
        <w:rPr>
          <w:rFonts w:cstheme="minorHAnsi"/>
          <w:sz w:val="24"/>
          <w:szCs w:val="24"/>
        </w:rPr>
        <w:t>–</w:t>
      </w:r>
      <w:r>
        <w:rPr>
          <w:rFonts w:cstheme="minorHAnsi"/>
          <w:sz w:val="24"/>
          <w:szCs w:val="24"/>
        </w:rPr>
        <w:t xml:space="preserve"> </w:t>
      </w:r>
      <w:r w:rsidR="00904AE3">
        <w:rPr>
          <w:rFonts w:cstheme="minorHAnsi"/>
          <w:sz w:val="24"/>
          <w:szCs w:val="24"/>
        </w:rPr>
        <w:t xml:space="preserve">to </w:t>
      </w:r>
      <w:r w:rsidR="00214AE3" w:rsidRPr="00EB75AA">
        <w:rPr>
          <w:rFonts w:cstheme="minorHAnsi"/>
          <w:sz w:val="24"/>
          <w:szCs w:val="24"/>
        </w:rPr>
        <w:t xml:space="preserve">include the </w:t>
      </w:r>
      <w:r w:rsidR="00214AE3" w:rsidRPr="00EB75AA">
        <w:rPr>
          <w:rFonts w:cstheme="minorHAnsi"/>
          <w:i/>
          <w:iCs/>
          <w:sz w:val="24"/>
          <w:szCs w:val="24"/>
        </w:rPr>
        <w:t>law of the domicile of the victim</w:t>
      </w:r>
      <w:r w:rsidR="00214AE3" w:rsidRPr="00EB75AA">
        <w:rPr>
          <w:rFonts w:cstheme="minorHAnsi"/>
          <w:sz w:val="24"/>
          <w:szCs w:val="24"/>
        </w:rPr>
        <w:t xml:space="preserve">. </w:t>
      </w:r>
    </w:p>
    <w:p w14:paraId="55CD1259" w14:textId="77777777" w:rsidR="00214AE3" w:rsidRPr="00EB75AA" w:rsidRDefault="00214AE3" w:rsidP="00214AE3">
      <w:pPr>
        <w:autoSpaceDE w:val="0"/>
        <w:autoSpaceDN w:val="0"/>
        <w:adjustRightInd w:val="0"/>
        <w:spacing w:after="440" w:line="221" w:lineRule="atLeast"/>
        <w:ind w:right="220"/>
        <w:jc w:val="both"/>
        <w:rPr>
          <w:rFonts w:cstheme="minorHAnsi"/>
          <w:color w:val="000000"/>
          <w:sz w:val="24"/>
          <w:szCs w:val="24"/>
        </w:rPr>
      </w:pPr>
      <w:r w:rsidRPr="00EB75AA">
        <w:rPr>
          <w:rFonts w:cstheme="minorHAnsi"/>
          <w:color w:val="000000"/>
          <w:sz w:val="24"/>
          <w:szCs w:val="24"/>
        </w:rPr>
        <w:t>Thank you, Chairperson</w:t>
      </w:r>
      <w:r w:rsidRPr="00EB75AA">
        <w:rPr>
          <w:rFonts w:cstheme="minorHAnsi"/>
          <w:sz w:val="24"/>
          <w:szCs w:val="24"/>
        </w:rPr>
        <w:t xml:space="preserve">. </w:t>
      </w:r>
    </w:p>
    <w:p w14:paraId="27F1C3B9" w14:textId="0ABDB449" w:rsidR="00797631" w:rsidRDefault="00797631"/>
    <w:sectPr w:rsidR="0079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E3"/>
    <w:rsid w:val="000E43D3"/>
    <w:rsid w:val="00214AE3"/>
    <w:rsid w:val="00797631"/>
    <w:rsid w:val="00904AE3"/>
    <w:rsid w:val="009D66EA"/>
    <w:rsid w:val="00AF0EDD"/>
    <w:rsid w:val="00EB75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116F"/>
  <w15:chartTrackingRefBased/>
  <w15:docId w15:val="{C419B48F-41F6-4640-8047-8AB69E41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214AE3"/>
    <w:pPr>
      <w:autoSpaceDE w:val="0"/>
      <w:autoSpaceDN w:val="0"/>
      <w:adjustRightInd w:val="0"/>
      <w:spacing w:after="0" w:line="221" w:lineRule="atLeast"/>
    </w:pPr>
    <w:rPr>
      <w:rFonts w:ascii="Proxima Nova" w:hAnsi="Proxima Nova"/>
      <w:sz w:val="24"/>
      <w:szCs w:val="24"/>
    </w:rPr>
  </w:style>
  <w:style w:type="paragraph" w:customStyle="1" w:styleId="Default">
    <w:name w:val="Default"/>
    <w:rsid w:val="00214A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BF684-E660-418A-BFDE-CC2F6B9E9268}"/>
</file>

<file path=customXml/itemProps2.xml><?xml version="1.0" encoding="utf-8"?>
<ds:datastoreItem xmlns:ds="http://schemas.openxmlformats.org/officeDocument/2006/customXml" ds:itemID="{B73CBDDF-E198-4834-9DFE-6DE0814BB33E}"/>
</file>

<file path=customXml/itemProps3.xml><?xml version="1.0" encoding="utf-8"?>
<ds:datastoreItem xmlns:ds="http://schemas.openxmlformats.org/officeDocument/2006/customXml" ds:itemID="{FE4F5D22-69B6-4FC4-B3C1-410F7F69C35B}"/>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5</cp:revision>
  <dcterms:created xsi:type="dcterms:W3CDTF">2022-10-25T18:33:00Z</dcterms:created>
  <dcterms:modified xsi:type="dcterms:W3CDTF">2022-10-26T10:04:00Z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