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E7E3" w14:textId="0C300DE4" w:rsidR="00646D22" w:rsidRPr="00FE15E8" w:rsidRDefault="00646D22">
      <w:pPr>
        <w:rPr>
          <w:rFonts w:cstheme="minorHAnsi"/>
          <w:sz w:val="22"/>
          <w:szCs w:val="22"/>
        </w:rPr>
      </w:pPr>
    </w:p>
    <w:p w14:paraId="2A91A7F1" w14:textId="487BC86A" w:rsidR="00FE15E8" w:rsidRPr="00FE15E8" w:rsidRDefault="00FE15E8">
      <w:pPr>
        <w:rPr>
          <w:rFonts w:cstheme="minorHAnsi"/>
          <w:sz w:val="22"/>
          <w:szCs w:val="22"/>
        </w:rPr>
      </w:pPr>
    </w:p>
    <w:p w14:paraId="30924648" w14:textId="77777777" w:rsidR="00FE15E8" w:rsidRPr="00FE15E8" w:rsidRDefault="00FE15E8" w:rsidP="00FE15E8">
      <w:pPr>
        <w:pStyle w:val="paragraph"/>
        <w:spacing w:before="0" w:beforeAutospacing="0" w:after="0" w:afterAutospacing="0"/>
        <w:jc w:val="center"/>
        <w:textAlignment w:val="baseline"/>
        <w:rPr>
          <w:rFonts w:asciiTheme="minorHAnsi" w:hAnsiTheme="minorHAnsi" w:cstheme="minorHAnsi"/>
          <w:sz w:val="22"/>
          <w:szCs w:val="22"/>
        </w:rPr>
      </w:pPr>
      <w:r w:rsidRPr="00FE15E8">
        <w:rPr>
          <w:rStyle w:val="normaltextrun"/>
          <w:rFonts w:asciiTheme="minorHAnsi" w:hAnsiTheme="minorHAnsi" w:cstheme="minorHAnsi"/>
          <w:b/>
          <w:bCs/>
          <w:color w:val="000000"/>
          <w:sz w:val="22"/>
          <w:szCs w:val="22"/>
        </w:rPr>
        <w:t>8</w:t>
      </w:r>
      <w:r w:rsidRPr="00FE15E8">
        <w:rPr>
          <w:rStyle w:val="normaltextrun"/>
          <w:rFonts w:asciiTheme="minorHAnsi" w:hAnsiTheme="minorHAnsi" w:cstheme="minorHAnsi"/>
          <w:b/>
          <w:bCs/>
          <w:color w:val="000000"/>
          <w:sz w:val="22"/>
          <w:szCs w:val="22"/>
          <w:vertAlign w:val="superscript"/>
        </w:rPr>
        <w:t>th</w:t>
      </w:r>
      <w:r w:rsidRPr="00FE15E8">
        <w:rPr>
          <w:rStyle w:val="normaltextrun"/>
          <w:rFonts w:asciiTheme="minorHAnsi" w:hAnsiTheme="minorHAnsi" w:cstheme="minorHAnsi"/>
          <w:b/>
          <w:bCs/>
          <w:color w:val="000000"/>
          <w:sz w:val="22"/>
          <w:szCs w:val="22"/>
        </w:rPr>
        <w:t xml:space="preserve"> Session of the open-ended intergovernmental working group on transnational corporations and other business enterprises with respect to human rights</w:t>
      </w:r>
      <w:r w:rsidRPr="00FE15E8">
        <w:rPr>
          <w:rStyle w:val="eop"/>
          <w:rFonts w:asciiTheme="minorHAnsi" w:hAnsiTheme="minorHAnsi" w:cstheme="minorHAnsi"/>
          <w:color w:val="000000"/>
          <w:sz w:val="22"/>
          <w:szCs w:val="22"/>
        </w:rPr>
        <w:t> </w:t>
      </w:r>
    </w:p>
    <w:p w14:paraId="769F1597" w14:textId="77777777" w:rsidR="00FE15E8" w:rsidRPr="00FE15E8" w:rsidRDefault="00FE15E8" w:rsidP="00FE15E8">
      <w:pPr>
        <w:pStyle w:val="paragraph"/>
        <w:spacing w:before="0" w:beforeAutospacing="0" w:after="0" w:afterAutospacing="0"/>
        <w:textAlignment w:val="baseline"/>
        <w:rPr>
          <w:rFonts w:asciiTheme="minorHAnsi" w:hAnsiTheme="minorHAnsi" w:cstheme="minorHAnsi"/>
          <w:sz w:val="22"/>
          <w:szCs w:val="22"/>
        </w:rPr>
      </w:pPr>
      <w:r w:rsidRPr="00FE15E8">
        <w:rPr>
          <w:rStyle w:val="eop"/>
          <w:rFonts w:asciiTheme="minorHAnsi" w:hAnsiTheme="minorHAnsi" w:cstheme="minorHAnsi"/>
          <w:sz w:val="22"/>
          <w:szCs w:val="22"/>
        </w:rPr>
        <w:t> </w:t>
      </w:r>
    </w:p>
    <w:p w14:paraId="500C2F1A" w14:textId="54D9970E" w:rsidR="00FE15E8" w:rsidRPr="00FE15E8" w:rsidRDefault="00FE15E8" w:rsidP="00FE15E8">
      <w:pPr>
        <w:pStyle w:val="paragraph"/>
        <w:spacing w:before="0" w:beforeAutospacing="0" w:after="0" w:afterAutospacing="0"/>
        <w:textAlignment w:val="baseline"/>
        <w:rPr>
          <w:rFonts w:asciiTheme="minorHAnsi" w:hAnsiTheme="minorHAnsi" w:cstheme="minorHAnsi"/>
          <w:sz w:val="22"/>
          <w:szCs w:val="22"/>
        </w:rPr>
      </w:pPr>
    </w:p>
    <w:p w14:paraId="7E77CBFD" w14:textId="77777777" w:rsidR="00FE15E8" w:rsidRPr="00FE15E8" w:rsidRDefault="00FE15E8" w:rsidP="00FE15E8">
      <w:pPr>
        <w:pStyle w:val="paragraph"/>
        <w:spacing w:before="0" w:beforeAutospacing="0" w:after="0" w:afterAutospacing="0"/>
        <w:jc w:val="center"/>
        <w:textAlignment w:val="baseline"/>
        <w:rPr>
          <w:rFonts w:asciiTheme="minorHAnsi" w:hAnsiTheme="minorHAnsi" w:cstheme="minorHAnsi"/>
          <w:sz w:val="22"/>
          <w:szCs w:val="22"/>
        </w:rPr>
      </w:pPr>
      <w:r w:rsidRPr="00FE15E8">
        <w:rPr>
          <w:rStyle w:val="normaltextrun"/>
          <w:rFonts w:asciiTheme="minorHAnsi" w:hAnsiTheme="minorHAnsi" w:cstheme="minorHAnsi"/>
          <w:sz w:val="22"/>
          <w:szCs w:val="22"/>
        </w:rPr>
        <w:t>Art. 10 Statute of Limitations</w:t>
      </w:r>
      <w:r w:rsidRPr="00FE15E8">
        <w:rPr>
          <w:rStyle w:val="eop"/>
          <w:rFonts w:asciiTheme="minorHAnsi" w:hAnsiTheme="minorHAnsi" w:cstheme="minorHAnsi"/>
          <w:sz w:val="22"/>
          <w:szCs w:val="22"/>
        </w:rPr>
        <w:t> </w:t>
      </w:r>
    </w:p>
    <w:p w14:paraId="4FC46758" w14:textId="5772099E" w:rsidR="00FE15E8" w:rsidRPr="00FE15E8" w:rsidRDefault="009F59B4" w:rsidP="009F59B4">
      <w:pPr>
        <w:jc w:val="center"/>
        <w:rPr>
          <w:rFonts w:cstheme="minorHAnsi"/>
          <w:sz w:val="22"/>
          <w:szCs w:val="22"/>
        </w:rPr>
      </w:pPr>
      <w:r>
        <w:rPr>
          <w:rFonts w:cstheme="minorHAnsi"/>
          <w:sz w:val="22"/>
          <w:szCs w:val="22"/>
        </w:rPr>
        <w:t>26 October 2022</w:t>
      </w:r>
    </w:p>
    <w:p w14:paraId="1E7ED128" w14:textId="022A9DBD" w:rsidR="00FE15E8" w:rsidRPr="00FE15E8" w:rsidRDefault="00FE15E8">
      <w:pPr>
        <w:rPr>
          <w:rFonts w:cstheme="minorHAnsi"/>
          <w:sz w:val="22"/>
          <w:szCs w:val="22"/>
        </w:rPr>
      </w:pPr>
    </w:p>
    <w:p w14:paraId="5A80D74E" w14:textId="636F8630" w:rsidR="00FE15E8" w:rsidRPr="00FE15E8" w:rsidRDefault="00FE15E8" w:rsidP="00FE15E8">
      <w:pPr>
        <w:jc w:val="right"/>
        <w:rPr>
          <w:rFonts w:eastAsia="Calibri" w:cstheme="minorHAnsi"/>
          <w:i/>
          <w:iCs/>
          <w:sz w:val="22"/>
          <w:szCs w:val="22"/>
        </w:rPr>
      </w:pPr>
      <w:r w:rsidRPr="00FE15E8">
        <w:rPr>
          <w:rFonts w:eastAsia="Calibri" w:cstheme="minorHAnsi"/>
          <w:i/>
          <w:iCs/>
          <w:sz w:val="22"/>
          <w:szCs w:val="22"/>
        </w:rPr>
        <w:t xml:space="preserve">Delivered by: Ulises </w:t>
      </w:r>
      <w:proofErr w:type="spellStart"/>
      <w:r w:rsidRPr="00FE15E8">
        <w:rPr>
          <w:rFonts w:eastAsia="Calibri" w:cstheme="minorHAnsi"/>
          <w:i/>
          <w:iCs/>
          <w:sz w:val="22"/>
          <w:szCs w:val="22"/>
        </w:rPr>
        <w:t>Quero</w:t>
      </w:r>
      <w:proofErr w:type="spellEnd"/>
    </w:p>
    <w:p w14:paraId="1BD0AA33" w14:textId="77777777" w:rsidR="00FE15E8" w:rsidRPr="00FE15E8" w:rsidRDefault="00FE15E8" w:rsidP="00FE15E8">
      <w:pPr>
        <w:jc w:val="right"/>
        <w:rPr>
          <w:rFonts w:eastAsia="Calibri" w:cstheme="minorHAnsi"/>
          <w:i/>
          <w:iCs/>
          <w:sz w:val="22"/>
          <w:szCs w:val="22"/>
        </w:rPr>
      </w:pPr>
      <w:r w:rsidRPr="00FE15E8">
        <w:rPr>
          <w:rFonts w:eastAsia="Calibri" w:cstheme="minorHAnsi"/>
          <w:i/>
          <w:iCs/>
          <w:sz w:val="22"/>
          <w:szCs w:val="22"/>
        </w:rPr>
        <w:t>Check against delivery</w:t>
      </w:r>
    </w:p>
    <w:p w14:paraId="37F20399" w14:textId="3A84CE86" w:rsidR="00FE15E8" w:rsidRPr="00FE15E8" w:rsidRDefault="00FE15E8">
      <w:pPr>
        <w:rPr>
          <w:rFonts w:cstheme="minorHAnsi"/>
          <w:sz w:val="22"/>
          <w:szCs w:val="22"/>
        </w:rPr>
      </w:pPr>
    </w:p>
    <w:p w14:paraId="4C11051F" w14:textId="77777777" w:rsidR="00FE15E8" w:rsidRPr="00FE15E8" w:rsidRDefault="00FE15E8" w:rsidP="00FE15E8">
      <w:pPr>
        <w:pStyle w:val="paragraph"/>
        <w:spacing w:before="0" w:beforeAutospacing="0" w:after="0" w:afterAutospacing="0"/>
        <w:textAlignment w:val="baseline"/>
        <w:rPr>
          <w:rFonts w:asciiTheme="minorHAnsi" w:hAnsiTheme="minorHAnsi" w:cstheme="minorHAnsi"/>
          <w:sz w:val="22"/>
          <w:szCs w:val="22"/>
        </w:rPr>
      </w:pPr>
      <w:r w:rsidRPr="00FE15E8">
        <w:rPr>
          <w:rStyle w:val="eop"/>
          <w:rFonts w:asciiTheme="minorHAnsi" w:hAnsiTheme="minorHAnsi" w:cstheme="minorHAnsi"/>
          <w:sz w:val="22"/>
          <w:szCs w:val="22"/>
        </w:rPr>
        <w:t> </w:t>
      </w:r>
    </w:p>
    <w:p w14:paraId="43FE6335" w14:textId="77777777" w:rsidR="00FE15E8" w:rsidRPr="00FE15E8" w:rsidRDefault="00FE15E8" w:rsidP="00FE15E8">
      <w:pPr>
        <w:pStyle w:val="paragraph"/>
        <w:spacing w:before="0" w:beforeAutospacing="0" w:after="0" w:afterAutospacing="0"/>
        <w:jc w:val="both"/>
        <w:textAlignment w:val="baseline"/>
        <w:rPr>
          <w:rFonts w:asciiTheme="minorHAnsi" w:hAnsiTheme="minorHAnsi" w:cstheme="minorHAnsi"/>
          <w:sz w:val="22"/>
          <w:szCs w:val="22"/>
        </w:rPr>
      </w:pPr>
      <w:r w:rsidRPr="00FE15E8">
        <w:rPr>
          <w:rStyle w:val="normaltextrun"/>
          <w:rFonts w:asciiTheme="minorHAnsi" w:hAnsiTheme="minorHAnsi" w:cstheme="minorHAnsi"/>
          <w:sz w:val="22"/>
          <w:szCs w:val="22"/>
        </w:rPr>
        <w:t>This is a joint statement by Franciscans International, FIDH and FIAN International. In general, we highlight the importance of article 10 of the 3</w:t>
      </w:r>
      <w:r w:rsidRPr="00FE15E8">
        <w:rPr>
          <w:rStyle w:val="normaltextrun"/>
          <w:rFonts w:asciiTheme="minorHAnsi" w:hAnsiTheme="minorHAnsi" w:cstheme="minorHAnsi"/>
          <w:sz w:val="22"/>
          <w:szCs w:val="22"/>
          <w:vertAlign w:val="superscript"/>
        </w:rPr>
        <w:t>rd</w:t>
      </w:r>
      <w:r w:rsidRPr="00FE15E8">
        <w:rPr>
          <w:rStyle w:val="normaltextrun"/>
          <w:rFonts w:asciiTheme="minorHAnsi" w:hAnsiTheme="minorHAnsi" w:cstheme="minorHAnsi"/>
          <w:sz w:val="22"/>
          <w:szCs w:val="22"/>
        </w:rPr>
        <w:t xml:space="preserve"> revised Draft. This article is key to guaranteeing effective access to justice for victims, and </w:t>
      </w:r>
      <w:proofErr w:type="gramStart"/>
      <w:r w:rsidRPr="00FE15E8">
        <w:rPr>
          <w:rStyle w:val="normaltextrun"/>
          <w:rFonts w:asciiTheme="minorHAnsi" w:hAnsiTheme="minorHAnsi" w:cstheme="minorHAnsi"/>
          <w:sz w:val="22"/>
          <w:szCs w:val="22"/>
        </w:rPr>
        <w:t>in particular inter-</w:t>
      </w:r>
      <w:proofErr w:type="gramEnd"/>
      <w:r w:rsidRPr="00FE15E8">
        <w:rPr>
          <w:rStyle w:val="normaltextrun"/>
          <w:rFonts w:asciiTheme="minorHAnsi" w:hAnsiTheme="minorHAnsi" w:cstheme="minorHAnsi"/>
          <w:sz w:val="22"/>
          <w:szCs w:val="22"/>
        </w:rPr>
        <w:t>generational victims, and in cases where harm and effects continue or manifest over long periods of time as a consequence of business activities. As the Special Rapporteur on hazardous substances pointed out, in cases like the dumping of waste in Arica, Chile, strict implementation of statute of limitations prevented victims access to justice because the effects of the business activities took years to manifest.</w:t>
      </w:r>
      <w:r w:rsidRPr="00FE15E8">
        <w:rPr>
          <w:rStyle w:val="eop"/>
          <w:rFonts w:asciiTheme="minorHAnsi" w:hAnsiTheme="minorHAnsi" w:cstheme="minorHAnsi"/>
          <w:sz w:val="22"/>
          <w:szCs w:val="22"/>
        </w:rPr>
        <w:t> </w:t>
      </w:r>
    </w:p>
    <w:p w14:paraId="1130C624" w14:textId="77777777" w:rsidR="00FE15E8" w:rsidRPr="00FE15E8" w:rsidRDefault="00FE15E8" w:rsidP="00FE15E8">
      <w:pPr>
        <w:pStyle w:val="paragraph"/>
        <w:spacing w:before="0" w:beforeAutospacing="0" w:after="0" w:afterAutospacing="0"/>
        <w:jc w:val="both"/>
        <w:textAlignment w:val="baseline"/>
        <w:rPr>
          <w:rFonts w:asciiTheme="minorHAnsi" w:hAnsiTheme="minorHAnsi" w:cstheme="minorHAnsi"/>
          <w:sz w:val="22"/>
          <w:szCs w:val="22"/>
        </w:rPr>
      </w:pPr>
      <w:r w:rsidRPr="00FE15E8">
        <w:rPr>
          <w:rStyle w:val="eop"/>
          <w:rFonts w:asciiTheme="minorHAnsi" w:hAnsiTheme="minorHAnsi" w:cstheme="minorHAnsi"/>
          <w:sz w:val="22"/>
          <w:szCs w:val="22"/>
        </w:rPr>
        <w:t> </w:t>
      </w:r>
    </w:p>
    <w:p w14:paraId="172E1D69" w14:textId="77777777" w:rsidR="00FE15E8" w:rsidRPr="00FE15E8" w:rsidRDefault="00FE15E8" w:rsidP="00FE15E8">
      <w:pPr>
        <w:pStyle w:val="paragraph"/>
        <w:spacing w:before="0" w:beforeAutospacing="0" w:after="0" w:afterAutospacing="0"/>
        <w:jc w:val="both"/>
        <w:textAlignment w:val="baseline"/>
        <w:rPr>
          <w:rFonts w:asciiTheme="minorHAnsi" w:hAnsiTheme="minorHAnsi" w:cstheme="minorHAnsi"/>
          <w:sz w:val="22"/>
          <w:szCs w:val="22"/>
        </w:rPr>
      </w:pPr>
      <w:r w:rsidRPr="00FE15E8">
        <w:rPr>
          <w:rStyle w:val="normaltextrun"/>
          <w:rFonts w:asciiTheme="minorHAnsi" w:hAnsiTheme="minorHAnsi" w:cstheme="minorHAnsi"/>
          <w:sz w:val="22"/>
          <w:szCs w:val="22"/>
        </w:rPr>
        <w:t>In paragraph 1, on the non-applicability of statutory or other limitations, we are of the view that this provision shall not be limited to violations that constitute the most serious crimes and this paragraph should include violations whose effects and impact would continue over long periods of time or when harm have long lasting effects. This would be the case of environmental harms. This should be added also in article 10.2 to make it consistent. </w:t>
      </w:r>
      <w:r w:rsidRPr="00FE15E8">
        <w:rPr>
          <w:rStyle w:val="eop"/>
          <w:rFonts w:asciiTheme="minorHAnsi" w:hAnsiTheme="minorHAnsi" w:cstheme="minorHAnsi"/>
          <w:sz w:val="22"/>
          <w:szCs w:val="22"/>
        </w:rPr>
        <w:t> </w:t>
      </w:r>
    </w:p>
    <w:p w14:paraId="5F2AFFD0" w14:textId="77777777" w:rsidR="00FE15E8" w:rsidRPr="00FE15E8" w:rsidRDefault="00FE15E8" w:rsidP="00FE15E8">
      <w:pPr>
        <w:pStyle w:val="paragraph"/>
        <w:spacing w:before="0" w:beforeAutospacing="0" w:after="0" w:afterAutospacing="0"/>
        <w:jc w:val="both"/>
        <w:textAlignment w:val="baseline"/>
        <w:rPr>
          <w:rFonts w:asciiTheme="minorHAnsi" w:hAnsiTheme="minorHAnsi" w:cstheme="minorHAnsi"/>
          <w:sz w:val="22"/>
          <w:szCs w:val="22"/>
        </w:rPr>
      </w:pPr>
      <w:r w:rsidRPr="00FE15E8">
        <w:rPr>
          <w:rStyle w:val="eop"/>
          <w:rFonts w:asciiTheme="minorHAnsi" w:hAnsiTheme="minorHAnsi" w:cstheme="minorHAnsi"/>
          <w:sz w:val="22"/>
          <w:szCs w:val="22"/>
        </w:rPr>
        <w:t> </w:t>
      </w:r>
    </w:p>
    <w:p w14:paraId="0FA4B106" w14:textId="77777777" w:rsidR="00FE15E8" w:rsidRPr="00FE15E8" w:rsidRDefault="00FE15E8" w:rsidP="00FE15E8">
      <w:pPr>
        <w:pStyle w:val="paragraph"/>
        <w:spacing w:before="0" w:beforeAutospacing="0" w:after="0" w:afterAutospacing="0"/>
        <w:jc w:val="both"/>
        <w:textAlignment w:val="baseline"/>
        <w:rPr>
          <w:rFonts w:asciiTheme="minorHAnsi" w:hAnsiTheme="minorHAnsi" w:cstheme="minorHAnsi"/>
          <w:sz w:val="22"/>
          <w:szCs w:val="22"/>
        </w:rPr>
      </w:pPr>
      <w:r w:rsidRPr="00FE15E8">
        <w:rPr>
          <w:rStyle w:val="normaltextrun"/>
          <w:rFonts w:asciiTheme="minorHAnsi" w:hAnsiTheme="minorHAnsi" w:cstheme="minorHAnsi"/>
          <w:sz w:val="22"/>
          <w:szCs w:val="22"/>
        </w:rPr>
        <w:t>In regard to paragraph 2, we support Palestine’s proposal for Art. 10.2, but we suggest adding “and” after “reasonable</w:t>
      </w:r>
      <w:proofErr w:type="gramStart"/>
      <w:r w:rsidRPr="00FE15E8">
        <w:rPr>
          <w:rStyle w:val="normaltextrun"/>
          <w:rFonts w:asciiTheme="minorHAnsi" w:hAnsiTheme="minorHAnsi" w:cstheme="minorHAnsi"/>
          <w:sz w:val="22"/>
          <w:szCs w:val="22"/>
        </w:rPr>
        <w:t>”</w:t>
      </w:r>
      <w:proofErr w:type="gramEnd"/>
      <w:r w:rsidRPr="00FE15E8">
        <w:rPr>
          <w:rStyle w:val="normaltextrun"/>
          <w:rFonts w:asciiTheme="minorHAnsi" w:hAnsiTheme="minorHAnsi" w:cstheme="minorHAnsi"/>
          <w:sz w:val="22"/>
          <w:szCs w:val="22"/>
        </w:rPr>
        <w:t xml:space="preserve"> so it reads as follows: “allow a reasonable and gender-responsive period of time”.</w:t>
      </w:r>
      <w:r w:rsidRPr="00FE15E8">
        <w:rPr>
          <w:rStyle w:val="eop"/>
          <w:rFonts w:asciiTheme="minorHAnsi" w:hAnsiTheme="minorHAnsi" w:cstheme="minorHAnsi"/>
          <w:sz w:val="22"/>
          <w:szCs w:val="22"/>
        </w:rPr>
        <w:t> </w:t>
      </w:r>
    </w:p>
    <w:p w14:paraId="3C27DA38" w14:textId="77777777" w:rsidR="00FE15E8" w:rsidRPr="00FE15E8" w:rsidRDefault="00FE15E8" w:rsidP="00FE15E8">
      <w:pPr>
        <w:pStyle w:val="paragraph"/>
        <w:spacing w:before="0" w:beforeAutospacing="0" w:after="0" w:afterAutospacing="0"/>
        <w:jc w:val="both"/>
        <w:textAlignment w:val="baseline"/>
        <w:rPr>
          <w:rFonts w:asciiTheme="minorHAnsi" w:hAnsiTheme="minorHAnsi" w:cstheme="minorHAnsi"/>
          <w:sz w:val="22"/>
          <w:szCs w:val="22"/>
        </w:rPr>
      </w:pPr>
      <w:r w:rsidRPr="00FE15E8">
        <w:rPr>
          <w:rStyle w:val="eop"/>
          <w:rFonts w:asciiTheme="minorHAnsi" w:hAnsiTheme="minorHAnsi" w:cstheme="minorHAnsi"/>
          <w:sz w:val="22"/>
          <w:szCs w:val="22"/>
        </w:rPr>
        <w:t> </w:t>
      </w:r>
    </w:p>
    <w:p w14:paraId="5FEB622B" w14:textId="77777777" w:rsidR="00FE15E8" w:rsidRPr="00FE15E8" w:rsidRDefault="00FE15E8" w:rsidP="00FE15E8">
      <w:pPr>
        <w:pStyle w:val="paragraph"/>
        <w:spacing w:before="0" w:beforeAutospacing="0" w:after="0" w:afterAutospacing="0"/>
        <w:jc w:val="both"/>
        <w:textAlignment w:val="baseline"/>
        <w:rPr>
          <w:rFonts w:asciiTheme="minorHAnsi" w:hAnsiTheme="minorHAnsi" w:cstheme="minorHAnsi"/>
          <w:sz w:val="22"/>
          <w:szCs w:val="22"/>
        </w:rPr>
      </w:pPr>
      <w:r w:rsidRPr="00FE15E8">
        <w:rPr>
          <w:rStyle w:val="normaltextrun"/>
          <w:rFonts w:asciiTheme="minorHAnsi" w:hAnsiTheme="minorHAnsi" w:cstheme="minorHAnsi"/>
          <w:sz w:val="22"/>
          <w:szCs w:val="22"/>
        </w:rPr>
        <w:t>Moreover, any proposal that would refer to domestic legal and administrative systems for the applicability of this article should be rejected. </w:t>
      </w:r>
      <w:r w:rsidRPr="00FE15E8">
        <w:rPr>
          <w:rStyle w:val="eop"/>
          <w:rFonts w:asciiTheme="minorHAnsi" w:hAnsiTheme="minorHAnsi" w:cstheme="minorHAnsi"/>
          <w:sz w:val="22"/>
          <w:szCs w:val="22"/>
        </w:rPr>
        <w:t> </w:t>
      </w:r>
    </w:p>
    <w:p w14:paraId="13F3CDBD" w14:textId="77777777" w:rsidR="00FE15E8" w:rsidRDefault="00FE15E8"/>
    <w:sectPr w:rsidR="00FE15E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13C8" w14:textId="77777777" w:rsidR="00706D35" w:rsidRDefault="00706D35" w:rsidP="00FE15E8">
      <w:r>
        <w:separator/>
      </w:r>
    </w:p>
  </w:endnote>
  <w:endnote w:type="continuationSeparator" w:id="0">
    <w:p w14:paraId="509A4A02" w14:textId="77777777" w:rsidR="00706D35" w:rsidRDefault="00706D35" w:rsidP="00FE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E7FE7" w14:textId="77777777" w:rsidR="00706D35" w:rsidRDefault="00706D35" w:rsidP="00FE15E8">
      <w:r>
        <w:separator/>
      </w:r>
    </w:p>
  </w:footnote>
  <w:footnote w:type="continuationSeparator" w:id="0">
    <w:p w14:paraId="19C32908" w14:textId="77777777" w:rsidR="00706D35" w:rsidRDefault="00706D35" w:rsidP="00FE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58D3" w14:textId="1F61D4B5" w:rsidR="00FE15E8" w:rsidRDefault="00FE15E8">
    <w:pPr>
      <w:pStyle w:val="Header"/>
    </w:pPr>
    <w:r>
      <w:rPr>
        <w:noProof/>
      </w:rPr>
      <w:drawing>
        <wp:inline distT="0" distB="0" distL="0" distR="0" wp14:anchorId="0729D49C" wp14:editId="69A4D04D">
          <wp:extent cx="5943600" cy="944245"/>
          <wp:effectExtent l="0" t="0" r="0"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9442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5E8"/>
    <w:rsid w:val="002E4583"/>
    <w:rsid w:val="00646D22"/>
    <w:rsid w:val="00706D35"/>
    <w:rsid w:val="0094751E"/>
    <w:rsid w:val="009F59B4"/>
    <w:rsid w:val="00EB4D3E"/>
    <w:rsid w:val="00F501EF"/>
    <w:rsid w:val="00FE1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37B83"/>
  <w15:chartTrackingRefBased/>
  <w15:docId w15:val="{EFD1B939-5371-8C45-9654-1B75F106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5E8"/>
    <w:pPr>
      <w:tabs>
        <w:tab w:val="center" w:pos="4680"/>
        <w:tab w:val="right" w:pos="9360"/>
      </w:tabs>
    </w:pPr>
  </w:style>
  <w:style w:type="character" w:customStyle="1" w:styleId="HeaderChar">
    <w:name w:val="Header Char"/>
    <w:basedOn w:val="DefaultParagraphFont"/>
    <w:link w:val="Header"/>
    <w:uiPriority w:val="99"/>
    <w:rsid w:val="00FE15E8"/>
  </w:style>
  <w:style w:type="paragraph" w:styleId="Footer">
    <w:name w:val="footer"/>
    <w:basedOn w:val="Normal"/>
    <w:link w:val="FooterChar"/>
    <w:uiPriority w:val="99"/>
    <w:unhideWhenUsed/>
    <w:rsid w:val="00FE15E8"/>
    <w:pPr>
      <w:tabs>
        <w:tab w:val="center" w:pos="4680"/>
        <w:tab w:val="right" w:pos="9360"/>
      </w:tabs>
    </w:pPr>
  </w:style>
  <w:style w:type="character" w:customStyle="1" w:styleId="FooterChar">
    <w:name w:val="Footer Char"/>
    <w:basedOn w:val="DefaultParagraphFont"/>
    <w:link w:val="Footer"/>
    <w:uiPriority w:val="99"/>
    <w:rsid w:val="00FE15E8"/>
  </w:style>
  <w:style w:type="paragraph" w:customStyle="1" w:styleId="paragraph">
    <w:name w:val="paragraph"/>
    <w:basedOn w:val="Normal"/>
    <w:rsid w:val="00FE15E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E15E8"/>
  </w:style>
  <w:style w:type="character" w:customStyle="1" w:styleId="eop">
    <w:name w:val="eop"/>
    <w:basedOn w:val="DefaultParagraphFont"/>
    <w:rsid w:val="00FE1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855667">
      <w:bodyDiv w:val="1"/>
      <w:marLeft w:val="0"/>
      <w:marRight w:val="0"/>
      <w:marTop w:val="0"/>
      <w:marBottom w:val="0"/>
      <w:divBdr>
        <w:top w:val="none" w:sz="0" w:space="0" w:color="auto"/>
        <w:left w:val="none" w:sz="0" w:space="0" w:color="auto"/>
        <w:bottom w:val="none" w:sz="0" w:space="0" w:color="auto"/>
        <w:right w:val="none" w:sz="0" w:space="0" w:color="auto"/>
      </w:divBdr>
      <w:divsChild>
        <w:div w:id="1992325328">
          <w:marLeft w:val="0"/>
          <w:marRight w:val="0"/>
          <w:marTop w:val="0"/>
          <w:marBottom w:val="0"/>
          <w:divBdr>
            <w:top w:val="none" w:sz="0" w:space="0" w:color="auto"/>
            <w:left w:val="none" w:sz="0" w:space="0" w:color="auto"/>
            <w:bottom w:val="none" w:sz="0" w:space="0" w:color="auto"/>
            <w:right w:val="none" w:sz="0" w:space="0" w:color="auto"/>
          </w:divBdr>
        </w:div>
        <w:div w:id="2061592164">
          <w:marLeft w:val="0"/>
          <w:marRight w:val="0"/>
          <w:marTop w:val="0"/>
          <w:marBottom w:val="0"/>
          <w:divBdr>
            <w:top w:val="none" w:sz="0" w:space="0" w:color="auto"/>
            <w:left w:val="none" w:sz="0" w:space="0" w:color="auto"/>
            <w:bottom w:val="none" w:sz="0" w:space="0" w:color="auto"/>
            <w:right w:val="none" w:sz="0" w:space="0" w:color="auto"/>
          </w:divBdr>
        </w:div>
        <w:div w:id="858472171">
          <w:marLeft w:val="0"/>
          <w:marRight w:val="0"/>
          <w:marTop w:val="0"/>
          <w:marBottom w:val="0"/>
          <w:divBdr>
            <w:top w:val="none" w:sz="0" w:space="0" w:color="auto"/>
            <w:left w:val="none" w:sz="0" w:space="0" w:color="auto"/>
            <w:bottom w:val="none" w:sz="0" w:space="0" w:color="auto"/>
            <w:right w:val="none" w:sz="0" w:space="0" w:color="auto"/>
          </w:divBdr>
        </w:div>
        <w:div w:id="1421484423">
          <w:marLeft w:val="0"/>
          <w:marRight w:val="0"/>
          <w:marTop w:val="0"/>
          <w:marBottom w:val="0"/>
          <w:divBdr>
            <w:top w:val="none" w:sz="0" w:space="0" w:color="auto"/>
            <w:left w:val="none" w:sz="0" w:space="0" w:color="auto"/>
            <w:bottom w:val="none" w:sz="0" w:space="0" w:color="auto"/>
            <w:right w:val="none" w:sz="0" w:space="0" w:color="auto"/>
          </w:divBdr>
        </w:div>
        <w:div w:id="1126316258">
          <w:marLeft w:val="0"/>
          <w:marRight w:val="0"/>
          <w:marTop w:val="0"/>
          <w:marBottom w:val="0"/>
          <w:divBdr>
            <w:top w:val="none" w:sz="0" w:space="0" w:color="auto"/>
            <w:left w:val="none" w:sz="0" w:space="0" w:color="auto"/>
            <w:bottom w:val="none" w:sz="0" w:space="0" w:color="auto"/>
            <w:right w:val="none" w:sz="0" w:space="0" w:color="auto"/>
          </w:divBdr>
        </w:div>
        <w:div w:id="1643656813">
          <w:marLeft w:val="0"/>
          <w:marRight w:val="0"/>
          <w:marTop w:val="0"/>
          <w:marBottom w:val="0"/>
          <w:divBdr>
            <w:top w:val="none" w:sz="0" w:space="0" w:color="auto"/>
            <w:left w:val="none" w:sz="0" w:space="0" w:color="auto"/>
            <w:bottom w:val="none" w:sz="0" w:space="0" w:color="auto"/>
            <w:right w:val="none" w:sz="0" w:space="0" w:color="auto"/>
          </w:divBdr>
        </w:div>
        <w:div w:id="310641596">
          <w:marLeft w:val="0"/>
          <w:marRight w:val="0"/>
          <w:marTop w:val="0"/>
          <w:marBottom w:val="0"/>
          <w:divBdr>
            <w:top w:val="none" w:sz="0" w:space="0" w:color="auto"/>
            <w:left w:val="none" w:sz="0" w:space="0" w:color="auto"/>
            <w:bottom w:val="none" w:sz="0" w:space="0" w:color="auto"/>
            <w:right w:val="none" w:sz="0" w:space="0" w:color="auto"/>
          </w:divBdr>
        </w:div>
        <w:div w:id="1489438899">
          <w:marLeft w:val="0"/>
          <w:marRight w:val="0"/>
          <w:marTop w:val="0"/>
          <w:marBottom w:val="0"/>
          <w:divBdr>
            <w:top w:val="none" w:sz="0" w:space="0" w:color="auto"/>
            <w:left w:val="none" w:sz="0" w:space="0" w:color="auto"/>
            <w:bottom w:val="none" w:sz="0" w:space="0" w:color="auto"/>
            <w:right w:val="none" w:sz="0" w:space="0" w:color="auto"/>
          </w:divBdr>
        </w:div>
      </w:divsChild>
    </w:div>
    <w:div w:id="1941911177">
      <w:bodyDiv w:val="1"/>
      <w:marLeft w:val="0"/>
      <w:marRight w:val="0"/>
      <w:marTop w:val="0"/>
      <w:marBottom w:val="0"/>
      <w:divBdr>
        <w:top w:val="none" w:sz="0" w:space="0" w:color="auto"/>
        <w:left w:val="none" w:sz="0" w:space="0" w:color="auto"/>
        <w:bottom w:val="none" w:sz="0" w:space="0" w:color="auto"/>
        <w:right w:val="none" w:sz="0" w:space="0" w:color="auto"/>
      </w:divBdr>
      <w:divsChild>
        <w:div w:id="223760644">
          <w:marLeft w:val="0"/>
          <w:marRight w:val="0"/>
          <w:marTop w:val="0"/>
          <w:marBottom w:val="0"/>
          <w:divBdr>
            <w:top w:val="none" w:sz="0" w:space="0" w:color="auto"/>
            <w:left w:val="none" w:sz="0" w:space="0" w:color="auto"/>
            <w:bottom w:val="none" w:sz="0" w:space="0" w:color="auto"/>
            <w:right w:val="none" w:sz="0" w:space="0" w:color="auto"/>
          </w:divBdr>
        </w:div>
        <w:div w:id="670451118">
          <w:marLeft w:val="0"/>
          <w:marRight w:val="0"/>
          <w:marTop w:val="0"/>
          <w:marBottom w:val="0"/>
          <w:divBdr>
            <w:top w:val="none" w:sz="0" w:space="0" w:color="auto"/>
            <w:left w:val="none" w:sz="0" w:space="0" w:color="auto"/>
            <w:bottom w:val="none" w:sz="0" w:space="0" w:color="auto"/>
            <w:right w:val="none" w:sz="0" w:space="0" w:color="auto"/>
          </w:divBdr>
        </w:div>
        <w:div w:id="981619535">
          <w:marLeft w:val="0"/>
          <w:marRight w:val="0"/>
          <w:marTop w:val="0"/>
          <w:marBottom w:val="0"/>
          <w:divBdr>
            <w:top w:val="none" w:sz="0" w:space="0" w:color="auto"/>
            <w:left w:val="none" w:sz="0" w:space="0" w:color="auto"/>
            <w:bottom w:val="none" w:sz="0" w:space="0" w:color="auto"/>
            <w:right w:val="none" w:sz="0" w:space="0" w:color="auto"/>
          </w:divBdr>
        </w:div>
        <w:div w:id="311065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64C27-CBC7-42AB-9C0F-B5150E70965C}"/>
</file>

<file path=customXml/itemProps2.xml><?xml version="1.0" encoding="utf-8"?>
<ds:datastoreItem xmlns:ds="http://schemas.openxmlformats.org/officeDocument/2006/customXml" ds:itemID="{D261FE3E-9C27-4C02-AC9C-7DE3EEF75CE7}"/>
</file>

<file path=customXml/itemProps3.xml><?xml version="1.0" encoding="utf-8"?>
<ds:datastoreItem xmlns:ds="http://schemas.openxmlformats.org/officeDocument/2006/customXml" ds:itemID="{88E479DF-B917-4DC8-9FC7-08A5E198A62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 Farah</dc:creator>
  <cp:keywords/>
  <dc:description/>
  <cp:lastModifiedBy>Marya Farah</cp:lastModifiedBy>
  <cp:revision>2</cp:revision>
  <dcterms:created xsi:type="dcterms:W3CDTF">2022-10-26T10:04:00Z</dcterms:created>
  <dcterms:modified xsi:type="dcterms:W3CDTF">2022-10-26T10:07:00Z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