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811" w:rsidRDefault="003A32B3">
      <w:pPr>
        <w:pStyle w:val="TextA"/>
        <w:spacing w:after="240"/>
        <w:rPr>
          <w:rFonts w:ascii="Times New Roman" w:hAnsi="Times New Roman"/>
          <w:sz w:val="24"/>
          <w:szCs w:val="24"/>
          <w:shd w:val="clear" w:color="auto" w:fill="FFFFFF"/>
          <w:lang w:val="fr-FR"/>
        </w:rPr>
      </w:pPr>
      <w:bookmarkStart w:id="0" w:name="_GoBack"/>
      <w:bookmarkEnd w:id="0"/>
      <w:r>
        <w:rPr>
          <w:rFonts w:ascii="Times New Roman" w:hAnsi="Times New Roman"/>
          <w:b/>
          <w:bCs/>
          <w:sz w:val="24"/>
          <w:szCs w:val="24"/>
          <w:shd w:val="clear" w:color="auto" w:fill="FFFFFF"/>
        </w:rPr>
        <w:t xml:space="preserve">Oral contribution on the </w:t>
      </w:r>
      <w:r>
        <w:rPr>
          <w:rFonts w:ascii="Times New Roman" w:hAnsi="Times New Roman"/>
          <w:b/>
          <w:bCs/>
          <w:sz w:val="24"/>
          <w:szCs w:val="24"/>
          <w:shd w:val="clear" w:color="auto" w:fill="FFFFFF"/>
          <w:lang w:val="de-DE"/>
        </w:rPr>
        <w:t>third</w:t>
      </w:r>
      <w:r>
        <w:rPr>
          <w:rFonts w:ascii="Times New Roman" w:hAnsi="Times New Roman"/>
          <w:b/>
          <w:bCs/>
          <w:sz w:val="24"/>
          <w:szCs w:val="24"/>
          <w:shd w:val="clear" w:color="auto" w:fill="FFFFFF"/>
        </w:rPr>
        <w:t xml:space="preserve"> revised draft of the legally binding instrument:</w:t>
      </w:r>
      <w:r>
        <w:rPr>
          <w:rFonts w:ascii="Times New Roman" w:eastAsia="Times New Roman" w:hAnsi="Times New Roman" w:cs="Times New Roman"/>
          <w:b/>
          <w:bCs/>
          <w:sz w:val="24"/>
          <w:szCs w:val="24"/>
          <w:shd w:val="clear" w:color="auto" w:fill="FFFFFF"/>
        </w:rPr>
        <w:br/>
      </w:r>
      <w:r>
        <w:rPr>
          <w:rFonts w:ascii="Times New Roman" w:hAnsi="Times New Roman"/>
          <w:sz w:val="24"/>
          <w:szCs w:val="24"/>
          <w:shd w:val="clear" w:color="auto" w:fill="FFFFFF"/>
        </w:rPr>
        <w:t xml:space="preserve">to the </w:t>
      </w:r>
      <w:r>
        <w:rPr>
          <w:rFonts w:ascii="Times New Roman" w:hAnsi="Times New Roman"/>
          <w:sz w:val="24"/>
          <w:szCs w:val="24"/>
          <w:shd w:val="clear" w:color="auto" w:fill="FFFFFF"/>
          <w:lang w:val="de-DE"/>
        </w:rPr>
        <w:t>eighth</w:t>
      </w:r>
      <w:r>
        <w:rPr>
          <w:rFonts w:ascii="Times New Roman" w:hAnsi="Times New Roman"/>
          <w:sz w:val="24"/>
          <w:szCs w:val="24"/>
          <w:shd w:val="clear" w:color="auto" w:fill="FFFFFF"/>
        </w:rPr>
        <w:t xml:space="preserve"> session of the </w:t>
      </w:r>
      <w:r>
        <w:rPr>
          <w:rFonts w:ascii="Arial Unicode MS" w:hAnsi="Arial Unicode MS"/>
          <w:sz w:val="24"/>
          <w:szCs w:val="24"/>
          <w:shd w:val="clear" w:color="auto" w:fill="FFFFFF"/>
          <w:rtl/>
          <w:lang w:val="ar-SA"/>
        </w:rPr>
        <w:t>“</w:t>
      </w:r>
      <w:r>
        <w:rPr>
          <w:rFonts w:ascii="Times New Roman" w:hAnsi="Times New Roman"/>
          <w:sz w:val="24"/>
          <w:szCs w:val="24"/>
          <w:shd w:val="clear" w:color="auto" w:fill="FFFFFF"/>
        </w:rPr>
        <w:t>open-ended intergovernmental working group on transnational corporations and other business enterprises with respect to human rights”, 2</w:t>
      </w:r>
      <w:r>
        <w:rPr>
          <w:rFonts w:ascii="Times New Roman" w:hAnsi="Times New Roman"/>
          <w:sz w:val="24"/>
          <w:szCs w:val="24"/>
          <w:shd w:val="clear" w:color="auto" w:fill="FFFFFF"/>
          <w:lang w:val="de-DE"/>
        </w:rPr>
        <w:t>4</w:t>
      </w:r>
      <w:r>
        <w:rPr>
          <w:rFonts w:ascii="Times New Roman" w:hAnsi="Times New Roman"/>
          <w:sz w:val="24"/>
          <w:szCs w:val="24"/>
          <w:shd w:val="clear" w:color="auto" w:fill="FFFFFF"/>
        </w:rPr>
        <w:t>-</w:t>
      </w:r>
      <w:r>
        <w:rPr>
          <w:rFonts w:ascii="Times New Roman" w:hAnsi="Times New Roman"/>
          <w:sz w:val="24"/>
          <w:szCs w:val="24"/>
          <w:shd w:val="clear" w:color="auto" w:fill="FFFFFF"/>
          <w:lang w:val="de-DE"/>
        </w:rPr>
        <w:t>28</w:t>
      </w:r>
      <w:r>
        <w:rPr>
          <w:rFonts w:ascii="Times New Roman" w:hAnsi="Times New Roman"/>
          <w:sz w:val="24"/>
          <w:szCs w:val="24"/>
          <w:shd w:val="clear" w:color="auto" w:fill="FFFFFF"/>
        </w:rPr>
        <w:t>. October 202</w:t>
      </w:r>
      <w:r>
        <w:rPr>
          <w:rFonts w:ascii="Times New Roman" w:hAnsi="Times New Roman"/>
          <w:sz w:val="24"/>
          <w:szCs w:val="24"/>
          <w:shd w:val="clear" w:color="auto" w:fill="FFFFFF"/>
          <w:lang w:val="de-DE"/>
        </w:rPr>
        <w:t>2</w:t>
      </w:r>
      <w:r>
        <w:rPr>
          <w:rFonts w:ascii="Times New Roman" w:hAnsi="Times New Roman"/>
          <w:sz w:val="24"/>
          <w:szCs w:val="24"/>
          <w:shd w:val="clear" w:color="auto" w:fill="FFFFFF"/>
          <w:lang w:val="fr-FR"/>
        </w:rPr>
        <w:t xml:space="preserve">, Room XX, Palais des Nations </w:t>
      </w:r>
    </w:p>
    <w:p w:rsidR="00826127" w:rsidRPr="007E0D33" w:rsidRDefault="00826127" w:rsidP="00826127">
      <w:pPr>
        <w:jc w:val="both"/>
        <w:rPr>
          <w:rFonts w:ascii="Times New Roman" w:eastAsia="Times New Roman" w:hAnsi="Times New Roman" w:cs="Times New Roman"/>
        </w:rPr>
      </w:pPr>
      <w:r w:rsidRPr="007E0D33">
        <w:rPr>
          <w:rFonts w:ascii="Times New Roman" w:eastAsia="Times New Roman" w:hAnsi="Times New Roman" w:cs="Times New Roman"/>
          <w:color w:val="152234"/>
          <w:shd w:val="clear" w:color="auto" w:fill="FFFFFF"/>
        </w:rPr>
        <w:t>The session during which the oral intervention is to take place: Tuesday Morning</w:t>
      </w:r>
      <w:r w:rsidRPr="007E0D33">
        <w:rPr>
          <w:rFonts w:ascii="Times New Roman" w:eastAsia="Times New Roman" w:hAnsi="Times New Roman" w:cs="Times New Roman"/>
          <w:color w:val="152234"/>
        </w:rPr>
        <w:t>, Agenda Item 4</w:t>
      </w:r>
      <w:r w:rsidRPr="007E0D33">
        <w:rPr>
          <w:rFonts w:ascii="Times New Roman" w:eastAsia="Times New Roman" w:hAnsi="Times New Roman" w:cs="Times New Roman"/>
          <w:color w:val="152234"/>
          <w:shd w:val="clear" w:color="auto" w:fill="FFFFFF"/>
        </w:rPr>
        <w:t>, Article 6 Prevention.</w:t>
      </w:r>
    </w:p>
    <w:p w:rsidR="00826127" w:rsidRPr="007E0D33" w:rsidRDefault="00826127" w:rsidP="00826127">
      <w:pPr>
        <w:jc w:val="both"/>
        <w:rPr>
          <w:rFonts w:ascii="Times New Roman" w:eastAsia="Times New Roman" w:hAnsi="Times New Roman" w:cs="Times New Roman"/>
        </w:rPr>
      </w:pPr>
      <w:r w:rsidRPr="007E0D33">
        <w:rPr>
          <w:rFonts w:ascii="Times New Roman" w:eastAsia="Times New Roman" w:hAnsi="Times New Roman" w:cs="Times New Roman"/>
          <w:color w:val="152234"/>
          <w:shd w:val="clear" w:color="auto" w:fill="FFFFFF"/>
        </w:rPr>
        <w:t>How the intervention will take place: In person delivery.</w:t>
      </w:r>
    </w:p>
    <w:p w:rsidR="00826127" w:rsidRPr="007E0D33" w:rsidRDefault="00826127" w:rsidP="00826127">
      <w:pPr>
        <w:jc w:val="both"/>
        <w:rPr>
          <w:rFonts w:ascii="Times New Roman" w:eastAsia="Times New Roman" w:hAnsi="Times New Roman" w:cs="Times New Roman"/>
        </w:rPr>
      </w:pPr>
      <w:r w:rsidRPr="007E0D33">
        <w:rPr>
          <w:rFonts w:ascii="Times New Roman" w:eastAsia="Times New Roman" w:hAnsi="Times New Roman" w:cs="Times New Roman"/>
          <w:color w:val="152234"/>
          <w:shd w:val="clear" w:color="auto" w:fill="FFFFFF"/>
        </w:rPr>
        <w:t>The type of stakeholder speaking: NGO with ECOSOC status</w:t>
      </w:r>
    </w:p>
    <w:p w:rsidR="00826127" w:rsidRPr="007E0D33" w:rsidRDefault="00826127" w:rsidP="00826127">
      <w:pPr>
        <w:jc w:val="both"/>
        <w:rPr>
          <w:rFonts w:ascii="Times New Roman" w:eastAsia="Times New Roman" w:hAnsi="Times New Roman" w:cs="Times New Roman"/>
        </w:rPr>
      </w:pPr>
      <w:r w:rsidRPr="007E0D33">
        <w:rPr>
          <w:rFonts w:ascii="Times New Roman" w:eastAsia="Times New Roman" w:hAnsi="Times New Roman" w:cs="Times New Roman"/>
          <w:color w:val="152234"/>
          <w:shd w:val="clear" w:color="auto" w:fill="FFFFFF"/>
        </w:rPr>
        <w:t>Name of the Sta</w:t>
      </w:r>
      <w:r>
        <w:rPr>
          <w:rFonts w:ascii="Times New Roman" w:eastAsia="Times New Roman" w:hAnsi="Times New Roman" w:cs="Times New Roman"/>
          <w:color w:val="152234"/>
          <w:shd w:val="clear" w:color="auto" w:fill="FFFFFF"/>
        </w:rPr>
        <w:t>te or organisation(s): Verein Sudwind Entwicklungspolitik</w:t>
      </w:r>
    </w:p>
    <w:p w:rsidR="00826127" w:rsidRPr="007E0D33" w:rsidRDefault="00826127" w:rsidP="00826127">
      <w:pPr>
        <w:jc w:val="both"/>
        <w:rPr>
          <w:rFonts w:ascii="Times New Roman" w:eastAsia="Times New Roman" w:hAnsi="Times New Roman" w:cs="Times New Roman"/>
        </w:rPr>
      </w:pPr>
      <w:r w:rsidRPr="007E0D33">
        <w:rPr>
          <w:rFonts w:ascii="Times New Roman" w:eastAsia="Times New Roman" w:hAnsi="Times New Roman" w:cs="Times New Roman"/>
          <w:color w:val="152234"/>
          <w:shd w:val="clear" w:color="auto" w:fill="FFFFFF"/>
        </w:rPr>
        <w:t xml:space="preserve">Name of the speaker: </w:t>
      </w:r>
      <w:r>
        <w:rPr>
          <w:rFonts w:ascii="Times New Roman" w:eastAsia="Times New Roman" w:hAnsi="Times New Roman" w:cs="Times New Roman"/>
          <w:color w:val="152234"/>
          <w:shd w:val="clear" w:color="auto" w:fill="FFFFFF"/>
        </w:rPr>
        <w:t>Bettina Rosenberger</w:t>
      </w:r>
    </w:p>
    <w:p w:rsidR="00613811" w:rsidRDefault="00613811">
      <w:pPr>
        <w:pStyle w:val="TextA"/>
        <w:spacing w:after="240"/>
        <w:rPr>
          <w:rFonts w:ascii="Times New Roman" w:eastAsia="Times New Roman" w:hAnsi="Times New Roman" w:cs="Times New Roman"/>
          <w:sz w:val="24"/>
          <w:szCs w:val="24"/>
          <w:shd w:val="clear" w:color="auto" w:fill="FFFFFF"/>
        </w:rPr>
      </w:pPr>
    </w:p>
    <w:p w:rsidR="00613811" w:rsidRDefault="003A32B3">
      <w:pPr>
        <w:pStyle w:val="TextA"/>
        <w:spacing w:after="240"/>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 xml:space="preserve">By e-mail to </w:t>
      </w:r>
      <w:r w:rsidR="00826127" w:rsidRPr="00826127">
        <w:rPr>
          <w:rFonts w:ascii="Times New Roman" w:hAnsi="Times New Roman" w:hint="eastAsia"/>
          <w:color w:val="00009A"/>
          <w:sz w:val="24"/>
          <w:szCs w:val="24"/>
          <w:u w:color="00009A"/>
          <w:shd w:val="clear" w:color="auto" w:fill="FFFFFF"/>
        </w:rPr>
        <w:t>ohchr-igwg-intervention@un.org</w:t>
      </w:r>
    </w:p>
    <w:p w:rsidR="00613811" w:rsidRDefault="003A32B3">
      <w:pPr>
        <w:pStyle w:val="TextA"/>
        <w:spacing w:line="420" w:lineRule="atLeast"/>
        <w:rPr>
          <w:rFonts w:ascii="Times New Roman" w:eastAsia="Times New Roman" w:hAnsi="Times New Roman" w:cs="Times New Roman"/>
          <w:sz w:val="24"/>
          <w:szCs w:val="24"/>
          <w:shd w:val="clear" w:color="auto" w:fill="FFF056"/>
        </w:rPr>
      </w:pPr>
      <w:r>
        <w:rPr>
          <w:rFonts w:ascii="Times New Roman" w:hAnsi="Times New Roman"/>
          <w:sz w:val="24"/>
          <w:szCs w:val="24"/>
          <w:shd w:val="clear" w:color="auto" w:fill="FFFFFF"/>
        </w:rPr>
        <w:t>Südwind supported by Austrian Treaty Alliance a coalition of 15 NGOs and trade unions specifically wants to contribute with this statement to Article</w:t>
      </w:r>
      <w:r>
        <w:rPr>
          <w:rFonts w:ascii="Times New Roman" w:hAnsi="Times New Roman"/>
          <w:sz w:val="24"/>
          <w:szCs w:val="24"/>
          <w:shd w:val="clear" w:color="auto" w:fill="FFFFFF"/>
          <w:lang w:val="de-DE"/>
        </w:rPr>
        <w:t xml:space="preserve"> 6</w:t>
      </w:r>
    </w:p>
    <w:p w:rsidR="00613811" w:rsidRDefault="00613811">
      <w:pPr>
        <w:pStyle w:val="TextA"/>
        <w:spacing w:line="420" w:lineRule="atLeast"/>
        <w:rPr>
          <w:rFonts w:ascii="Times New Roman" w:eastAsia="Times New Roman" w:hAnsi="Times New Roman" w:cs="Times New Roman"/>
          <w:sz w:val="24"/>
          <w:szCs w:val="24"/>
          <w:shd w:val="clear" w:color="auto" w:fill="FFF056"/>
        </w:rPr>
      </w:pPr>
    </w:p>
    <w:p w:rsidR="00613811" w:rsidRDefault="003A32B3">
      <w:pPr>
        <w:numPr>
          <w:ilvl w:val="0"/>
          <w:numId w:val="2"/>
        </w:numPr>
        <w:shd w:val="clear" w:color="auto" w:fill="FFFFFF"/>
        <w:spacing w:before="0" w:line="408" w:lineRule="auto"/>
        <w:rPr>
          <w:rFonts w:ascii="Times New Roman" w:hAnsi="Times New Roman"/>
        </w:rPr>
      </w:pPr>
      <w:r>
        <w:rPr>
          <w:rFonts w:ascii="Times New Roman" w:hAnsi="Times New Roman"/>
          <w:shd w:val="clear" w:color="auto" w:fill="FFFFFF"/>
        </w:rPr>
        <w:t xml:space="preserve">Article 6 should explicitly mention that corporations are liable if they fail to comply with their due diligence obligations, in particular with  their environmental due diligence obligations. </w:t>
      </w:r>
    </w:p>
    <w:p w:rsidR="00613811" w:rsidRDefault="003A32B3">
      <w:pPr>
        <w:numPr>
          <w:ilvl w:val="0"/>
          <w:numId w:val="2"/>
        </w:numPr>
        <w:shd w:val="clear" w:color="auto" w:fill="FFFFFF"/>
        <w:spacing w:before="0" w:line="408" w:lineRule="auto"/>
        <w:rPr>
          <w:rFonts w:ascii="Times New Roman" w:hAnsi="Times New Roman"/>
        </w:rPr>
      </w:pPr>
      <w:r>
        <w:rPr>
          <w:rFonts w:ascii="Times New Roman" w:hAnsi="Times New Roman"/>
          <w:shd w:val="clear" w:color="auto" w:fill="FFFFFF"/>
        </w:rPr>
        <w:t>Prevention should be highlighted instead of mitigation, so that harm doesn’t occur</w:t>
      </w:r>
    </w:p>
    <w:p w:rsidR="00613811" w:rsidRDefault="003A32B3">
      <w:pPr>
        <w:numPr>
          <w:ilvl w:val="0"/>
          <w:numId w:val="2"/>
        </w:numPr>
        <w:shd w:val="clear" w:color="auto" w:fill="FFFFFF"/>
        <w:spacing w:before="0" w:line="408" w:lineRule="auto"/>
        <w:rPr>
          <w:rFonts w:ascii="Times New Roman" w:hAnsi="Times New Roman"/>
        </w:rPr>
      </w:pPr>
      <w:r>
        <w:rPr>
          <w:rFonts w:ascii="Times New Roman" w:hAnsi="Times New Roman"/>
          <w:shd w:val="clear" w:color="auto" w:fill="FFFFFF"/>
        </w:rPr>
        <w:t xml:space="preserve">Article 6 should clearly define standards for consultations,  which should ensure that these consultations are effective. Furthermore these consultations should be designed as an ongoing process, so they should take place prior as well as during the business activities. </w:t>
      </w:r>
    </w:p>
    <w:sectPr w:rsidR="00613811">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2B3" w:rsidRDefault="003A32B3">
      <w:pPr>
        <w:spacing w:before="0"/>
        <w:rPr>
          <w:rFonts w:hint="eastAsia"/>
        </w:rPr>
      </w:pPr>
      <w:r>
        <w:separator/>
      </w:r>
    </w:p>
  </w:endnote>
  <w:endnote w:type="continuationSeparator" w:id="0">
    <w:p w:rsidR="003A32B3" w:rsidRDefault="003A32B3">
      <w:pPr>
        <w:spacing w:before="0"/>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2B3" w:rsidRDefault="003A32B3">
      <w:pPr>
        <w:spacing w:before="0"/>
        <w:rPr>
          <w:rFonts w:hint="eastAsia"/>
        </w:rPr>
      </w:pPr>
      <w:r>
        <w:separator/>
      </w:r>
    </w:p>
  </w:footnote>
  <w:footnote w:type="continuationSeparator" w:id="0">
    <w:p w:rsidR="003A32B3" w:rsidRDefault="003A32B3">
      <w:pPr>
        <w:spacing w:before="0"/>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97849"/>
    <w:multiLevelType w:val="hybridMultilevel"/>
    <w:tmpl w:val="BB74C142"/>
    <w:styleLink w:val="ImportierterStil3"/>
    <w:lvl w:ilvl="0" w:tplc="759A1516">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4386A10">
      <w:start w:val="1"/>
      <w:numFmt w:val="bullet"/>
      <w:lvlText w:val="○"/>
      <w:lvlJc w:val="left"/>
      <w:pPr>
        <w:ind w:left="1389" w:hanging="3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5DCE7DE">
      <w:start w:val="1"/>
      <w:numFmt w:val="bullet"/>
      <w:lvlText w:val="■"/>
      <w:lvlJc w:val="left"/>
      <w:pPr>
        <w:ind w:left="2109" w:hanging="3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D1454AA">
      <w:start w:val="1"/>
      <w:numFmt w:val="bullet"/>
      <w:lvlText w:val="●"/>
      <w:lvlJc w:val="left"/>
      <w:pPr>
        <w:ind w:left="2829" w:hanging="3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F862410">
      <w:start w:val="1"/>
      <w:numFmt w:val="bullet"/>
      <w:lvlText w:val="○"/>
      <w:lvlJc w:val="left"/>
      <w:pPr>
        <w:ind w:left="3549" w:hanging="3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64ED418">
      <w:start w:val="1"/>
      <w:numFmt w:val="bullet"/>
      <w:lvlText w:val="■"/>
      <w:lvlJc w:val="left"/>
      <w:pPr>
        <w:ind w:left="4269" w:hanging="3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290EBBE">
      <w:start w:val="1"/>
      <w:numFmt w:val="bullet"/>
      <w:lvlText w:val="●"/>
      <w:lvlJc w:val="left"/>
      <w:pPr>
        <w:ind w:left="4989" w:hanging="3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98401A8">
      <w:start w:val="1"/>
      <w:numFmt w:val="bullet"/>
      <w:lvlText w:val="○"/>
      <w:lvlJc w:val="left"/>
      <w:pPr>
        <w:ind w:left="5709" w:hanging="3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34437A6">
      <w:start w:val="1"/>
      <w:numFmt w:val="bullet"/>
      <w:lvlText w:val="■"/>
      <w:lvlJc w:val="left"/>
      <w:pPr>
        <w:ind w:left="6429" w:hanging="3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CD00F36"/>
    <w:multiLevelType w:val="hybridMultilevel"/>
    <w:tmpl w:val="BB74C142"/>
    <w:numStyleLink w:val="ImportierterStil3"/>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811"/>
    <w:rsid w:val="003A32B3"/>
    <w:rsid w:val="00613811"/>
    <w:rsid w:val="00826127"/>
    <w:rsid w:val="00BC0AE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636200-E2E3-4A57-956C-B41B10F10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AT" w:eastAsia="de-A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before="160"/>
    </w:pPr>
    <w:rPr>
      <w:rFonts w:ascii="Helvetica Neue" w:hAnsi="Helvetica Neue" w:cs="Arial Unicode MS"/>
      <w:color w:val="000000"/>
      <w:sz w:val="24"/>
      <w:szCs w:val="24"/>
      <w:u w:color="000000"/>
      <w:lang w:val="de-DE"/>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extA">
    <w:name w:val="Text A"/>
    <w:pPr>
      <w:spacing w:before="160"/>
    </w:pPr>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numbering" w:customStyle="1" w:styleId="ImportierterStil3">
    <w:name w:val="Importierter Stil: 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9C92DE8293814081447B4AC393B750" ma:contentTypeVersion="6" ma:contentTypeDescription="Create a new document." ma:contentTypeScope="" ma:versionID="e595772cf351fb1e08e20e96ce83bc64">
  <xsd:schema xmlns:xsd="http://www.w3.org/2001/XMLSchema" xmlns:xs="http://www.w3.org/2001/XMLSchema" xmlns:p="http://schemas.microsoft.com/office/2006/metadata/properties" xmlns:ns2="dfad7948-a695-4c4a-b4a5-ac73d3b870ce" xmlns:ns3="8b93c774-b2d3-4b1e-b439-f79446ab662b" targetNamespace="http://schemas.microsoft.com/office/2006/metadata/properties" ma:root="true" ma:fieldsID="b3f06ca2c82346b179df1ffe1b73de11" ns2:_="" ns3:_="">
    <xsd:import namespace="dfad7948-a695-4c4a-b4a5-ac73d3b870ce"/>
    <xsd:import namespace="8b93c774-b2d3-4b1e-b439-f79446ab662b"/>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d7948-a695-4c4a-b4a5-ac73d3b870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93c774-b2d3-4b1e-b439-f79446ab66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4775B8-75EF-490D-80E3-D2757B1D9365}">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dfad7948-a695-4c4a-b4a5-ac73d3b870ce"/>
    <ds:schemaRef ds:uri="8b93c774-b2d3-4b1e-b439-f79446ab662b"/>
    <ds:schemaRef ds:uri="http://purl.org/dc/terms/"/>
    <ds:schemaRef ds:uri="http://www.w3.org/XML/1998/namespace"/>
  </ds:schemaRefs>
</ds:datastoreItem>
</file>

<file path=customXml/itemProps2.xml><?xml version="1.0" encoding="utf-8"?>
<ds:datastoreItem xmlns:ds="http://schemas.openxmlformats.org/officeDocument/2006/customXml" ds:itemID="{A6E7CA7F-E92F-4321-B2AF-16E4536D9F05}">
  <ds:schemaRefs>
    <ds:schemaRef ds:uri="http://schemas.microsoft.com/sharepoint/v3/contenttype/forms"/>
  </ds:schemaRefs>
</ds:datastoreItem>
</file>

<file path=customXml/itemProps3.xml><?xml version="1.0" encoding="utf-8"?>
<ds:datastoreItem xmlns:ds="http://schemas.openxmlformats.org/officeDocument/2006/customXml" ds:itemID="{F5D23371-35D2-4B13-9DFD-5F5373530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ad7948-a695-4c4a-b4a5-ac73d3b870ce"/>
    <ds:schemaRef ds:uri="8b93c774-b2d3-4b1e-b439-f79446ab6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1183</Characters>
  <Application>Microsoft Office Word</Application>
  <DocSecurity>0</DocSecurity>
  <Lines>9</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Paula Subia</cp:lastModifiedBy>
  <cp:revision>2</cp:revision>
  <dcterms:created xsi:type="dcterms:W3CDTF">2022-11-04T08:35:00Z</dcterms:created>
  <dcterms:modified xsi:type="dcterms:W3CDTF">2022-11-04T08:35:00Z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0x0101003C9C92DE8293814081447B4AC393B750</vt:lpwstr>
  </property>
</Properties>
</file>