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4125" w:rsidRDefault="00034A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Artículo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ALBERTO FOEI</w:t>
      </w:r>
    </w:p>
    <w:p w14:paraId="00000002" w14:textId="77777777" w:rsidR="00314125" w:rsidRDefault="00034A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3" w14:textId="77777777" w:rsidR="00314125" w:rsidRDefault="003141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314125" w:rsidRDefault="00034A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</w:p>
    <w:p w14:paraId="00000005" w14:textId="77777777" w:rsidR="00314125" w:rsidRDefault="00034A8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Dada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artículo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Campaña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dividirse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encabezadas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rechazo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contundente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impulsado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Mantenemos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negociación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borrador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retirada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informal de Chair,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South Africa, Namibia,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PAlestine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Kenya. 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redactado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base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negociaciones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</w:t>
      </w:r>
      <w:r>
        <w:rPr>
          <w:rFonts w:ascii="Times New Roman" w:eastAsia="Times New Roman" w:hAnsi="Times New Roman" w:cs="Times New Roman"/>
          <w:sz w:val="24"/>
          <w:szCs w:val="24"/>
        </w:rPr>
        <w:t>iores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314125" w:rsidRDefault="00034A8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Comenzamos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señalar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artículo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adecúa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rúbrica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conjunto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preceptos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personas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</w:t>
      </w:r>
      <w:r>
        <w:rPr>
          <w:rFonts w:ascii="Times New Roman" w:eastAsia="Times New Roman" w:hAnsi="Times New Roman" w:cs="Times New Roman"/>
          <w:sz w:val="24"/>
          <w:szCs w:val="24"/>
        </w:rPr>
        <w:t>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afectadas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 especial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diligencia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anterior,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dividirse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disposiciones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distintas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sz w:val="24"/>
          <w:szCs w:val="24"/>
        </w:rPr>
        <w:t>resas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transnacionales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314125" w:rsidRDefault="00034A8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artículo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mínimo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remarcado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Cuba. </w:t>
      </w:r>
    </w:p>
    <w:p w14:paraId="00000008" w14:textId="77777777" w:rsidR="00314125" w:rsidRDefault="00034A8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fundamental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propusieron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Camerún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9" w14:textId="77777777" w:rsidR="00314125" w:rsidRDefault="00034A8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incumplan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condenadas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erechos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77777777" w:rsidR="00314125" w:rsidRDefault="00034A8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cautelares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314125" w:rsidRDefault="00034A8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transparente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políticas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indebida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314125" w:rsidRDefault="00034A8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garantizar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con las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acuerdos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transnacionales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314125" w:rsidRDefault="00034A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apoyamos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Palestin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jurisdicción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art. 6.7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fundamental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defensoras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(Uruguay, Panama, Palestine, Mex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ico, Brazil)</w:t>
      </w:r>
    </w:p>
    <w:p w14:paraId="0000000E" w14:textId="77777777" w:rsidR="00314125" w:rsidRDefault="00034A81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314125" w:rsidRDefault="00034A8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fundamental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principio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precaución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adquiere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elevancia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conocido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reconocimiento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sostenible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Asamblea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77777777" w:rsidR="00314125" w:rsidRDefault="00034A8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cuestión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apoyamos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redac</w:t>
      </w:r>
      <w:r>
        <w:rPr>
          <w:rFonts w:ascii="Times New Roman" w:eastAsia="Times New Roman" w:hAnsi="Times New Roman" w:cs="Times New Roman"/>
          <w:sz w:val="24"/>
          <w:szCs w:val="24"/>
        </w:rPr>
        <w:t>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sugerida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Camerún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distintos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principio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precaución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abstendrán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políticas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reglamentos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proyectos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relacionados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</w:t>
      </w:r>
      <w:r>
        <w:rPr>
          <w:rFonts w:ascii="Times New Roman" w:eastAsia="Times New Roman" w:hAnsi="Times New Roman" w:cs="Times New Roman"/>
          <w:sz w:val="24"/>
          <w:szCs w:val="24"/>
        </w:rPr>
        <w:t>esariales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principio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degradación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ambiental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climático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314125" w:rsidRDefault="0031412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314125" w:rsidRDefault="0031412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41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87126"/>
    <w:multiLevelType w:val="multilevel"/>
    <w:tmpl w:val="135E49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25"/>
    <w:rsid w:val="00034A81"/>
    <w:rsid w:val="003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08ECB-EA4C-41AC-B8D9-FA0CF26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SUBIA Maria Paula</dc:creator>
  <cp:lastModifiedBy>Paula Subia</cp:lastModifiedBy>
  <cp:revision>2</cp:revision>
  <dcterms:created xsi:type="dcterms:W3CDTF">2022-11-24T14:56:00Z</dcterms:created>
  <dcterms:modified xsi:type="dcterms:W3CDTF">2022-11-24T14:56:00Z</dcterms:modified>
</cp:coreProperties>
</file>