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326" w:rsidRDefault="000716EA">
      <w:pPr>
        <w:pStyle w:val="Textbody"/>
        <w:rPr>
          <w:rFonts w:ascii="Times New Roman" w:hAnsi="Times New Roman"/>
          <w:b/>
          <w:color w:val="000000"/>
          <w:lang w:val="en-US"/>
        </w:rPr>
      </w:pPr>
      <w:bookmarkStart w:id="0" w:name="_GoBack"/>
      <w:bookmarkEnd w:id="0"/>
      <w:r>
        <w:rPr>
          <w:rFonts w:ascii="Times New Roman" w:hAnsi="Times New Roman"/>
          <w:b/>
          <w:color w:val="000000"/>
          <w:lang w:val="en-US"/>
        </w:rPr>
        <w:t>Oral statement – Article 6</w:t>
      </w:r>
    </w:p>
    <w:p w:rsidR="00771326" w:rsidRDefault="000716EA">
      <w:pPr>
        <w:pStyle w:val="Textbody"/>
        <w:rPr>
          <w:rFonts w:ascii="Times New Roman" w:hAnsi="Times New Roman"/>
          <w:b/>
          <w:color w:val="000000"/>
          <w:lang w:val="en-US"/>
        </w:rPr>
      </w:pPr>
      <w:r>
        <w:rPr>
          <w:rFonts w:ascii="Times New Roman" w:hAnsi="Times New Roman"/>
          <w:b/>
          <w:color w:val="000000"/>
          <w:lang w:val="en-US"/>
        </w:rPr>
        <w:t>Speaker: Boaventura Manjane</w:t>
      </w:r>
    </w:p>
    <w:p w:rsidR="00771326" w:rsidRDefault="000716EA">
      <w:pPr>
        <w:pStyle w:val="Textbody"/>
        <w:rPr>
          <w:rFonts w:ascii="Times New Roman" w:hAnsi="Times New Roman"/>
          <w:b/>
          <w:color w:val="000000"/>
          <w:lang w:val="en-US"/>
        </w:rPr>
      </w:pPr>
      <w:r>
        <w:rPr>
          <w:rFonts w:ascii="Times New Roman" w:hAnsi="Times New Roman"/>
          <w:b/>
          <w:color w:val="000000"/>
          <w:lang w:val="en-US"/>
        </w:rPr>
        <w:t>JOINT-STATEMENT</w:t>
      </w:r>
    </w:p>
    <w:p w:rsidR="00771326" w:rsidRDefault="00771326">
      <w:pPr>
        <w:pStyle w:val="Textbody"/>
        <w:rPr>
          <w:rFonts w:hint="eastAsia"/>
        </w:rPr>
      </w:pPr>
    </w:p>
    <w:p w:rsidR="00771326" w:rsidRDefault="000716EA">
      <w:pPr>
        <w:pStyle w:val="Textbody"/>
        <w:spacing w:after="0" w:line="331" w:lineRule="auto"/>
        <w:jc w:val="both"/>
        <w:rPr>
          <w:rFonts w:ascii="Times New Roman" w:hAnsi="Times New Roman"/>
          <w:color w:val="000000"/>
        </w:rPr>
      </w:pPr>
      <w:r>
        <w:rPr>
          <w:rFonts w:ascii="Times New Roman" w:hAnsi="Times New Roman"/>
          <w:color w:val="000000"/>
        </w:rPr>
        <w:t>Gracias Sr. Presidente. </w:t>
      </w:r>
    </w:p>
    <w:p w:rsidR="00771326" w:rsidRDefault="000716EA">
      <w:pPr>
        <w:pStyle w:val="Textbody"/>
        <w:spacing w:after="0" w:line="331" w:lineRule="auto"/>
        <w:ind w:firstLine="720"/>
        <w:jc w:val="both"/>
        <w:rPr>
          <w:rFonts w:ascii="Times New Roman" w:hAnsi="Times New Roman"/>
          <w:color w:val="000000"/>
        </w:rPr>
      </w:pPr>
      <w:r>
        <w:rPr>
          <w:rFonts w:ascii="Times New Roman" w:hAnsi="Times New Roman"/>
          <w:color w:val="000000"/>
        </w:rPr>
        <w:t xml:space="preserve">Como se ha señalado en la intervención anterior, dada la extensión de este artículo, </w:t>
      </w:r>
      <w:r>
        <w:rPr>
          <w:rFonts w:ascii="Times New Roman" w:hAnsi="Times New Roman"/>
          <w:color w:val="000000"/>
        </w:rPr>
        <w:t>los comentarios de la Campaña van a dividirse en tres intervenciones, encabezadas todas ellas por el rechazo contundente al cambio de metodología impulsado por la presidencia. Mantenemos que el único documento que puede basar la negociación es el tercer bo</w:t>
      </w:r>
      <w:r>
        <w:rPr>
          <w:rFonts w:ascii="Times New Roman" w:hAnsi="Times New Roman"/>
          <w:color w:val="000000"/>
        </w:rPr>
        <w:t>rrador revisado.</w:t>
      </w:r>
    </w:p>
    <w:p w:rsidR="00771326" w:rsidRDefault="000716EA">
      <w:pPr>
        <w:pStyle w:val="Textbody"/>
        <w:spacing w:after="0" w:line="331" w:lineRule="auto"/>
        <w:ind w:firstLine="720"/>
        <w:jc w:val="both"/>
        <w:rPr>
          <w:rFonts w:hint="eastAsia"/>
        </w:rPr>
      </w:pPr>
      <w:r>
        <w:rPr>
          <w:rFonts w:ascii="Times New Roman" w:hAnsi="Times New Roman"/>
          <w:color w:val="000000"/>
        </w:rPr>
        <w:t>En esta segunda intervención, dedicada a las obligaciones de las empresas, queremos subrayar que en este artículo y en el conjunto del texto, debe utilizarse la expresión “empresas transnacionales y otras empresas con carácter transnaciona</w:t>
      </w:r>
      <w:r>
        <w:rPr>
          <w:rFonts w:ascii="Times New Roman" w:hAnsi="Times New Roman"/>
          <w:color w:val="000000"/>
        </w:rPr>
        <w:t>l” propuesto por una mayoría de Estados, entre ellos Cuba, Egipto, Pakistán, Camerún o Irán. Además, debe eliminarse del conjunto del texto la referencia a la obligación de “mitigar”, como ha señalado Egipto. Recordamos que desde la óptica de derechos huma</w:t>
      </w:r>
      <w:r>
        <w:rPr>
          <w:rFonts w:ascii="Times New Roman" w:hAnsi="Times New Roman"/>
          <w:color w:val="000000"/>
        </w:rPr>
        <w:t>nos no es posible considerar la “mitigación” de una violación como una política aceptable, ni para Estados ni para empresas. Igualmente, toda obligación debe entenderse aplicable al conjunto de la cadena global de producción, según ha remarcado Palestina y</w:t>
      </w:r>
      <w:r>
        <w:rPr>
          <w:rFonts w:ascii="Times New Roman" w:hAnsi="Times New Roman"/>
          <w:color w:val="000000"/>
        </w:rPr>
        <w:t xml:space="preserve"> debe evitarse la referencia a </w:t>
      </w:r>
      <w:r>
        <w:rPr>
          <w:color w:val="000000"/>
        </w:rPr>
        <w:t>“</w:t>
      </w:r>
      <w:r>
        <w:rPr>
          <w:rFonts w:ascii="Times New Roman" w:hAnsi="Times New Roman"/>
          <w:i/>
          <w:color w:val="000000"/>
        </w:rPr>
        <w:t xml:space="preserve">severe” human rights violations </w:t>
      </w:r>
      <w:r>
        <w:rPr>
          <w:rFonts w:ascii="Times New Roman" w:hAnsi="Times New Roman"/>
          <w:color w:val="000000"/>
        </w:rPr>
        <w:t>ya que el término “severe” es sujeto a interpretación y en todo caso demasiado restrictivo.</w:t>
      </w:r>
    </w:p>
    <w:p w:rsidR="00771326" w:rsidRDefault="000716EA">
      <w:pPr>
        <w:pStyle w:val="Textbody"/>
        <w:spacing w:after="0" w:line="331" w:lineRule="auto"/>
        <w:ind w:firstLine="720"/>
        <w:jc w:val="both"/>
        <w:rPr>
          <w:rFonts w:ascii="Times New Roman" w:hAnsi="Times New Roman"/>
          <w:color w:val="000000"/>
        </w:rPr>
      </w:pPr>
      <w:r>
        <w:rPr>
          <w:rFonts w:ascii="Times New Roman" w:hAnsi="Times New Roman"/>
          <w:color w:val="000000"/>
        </w:rPr>
        <w:t xml:space="preserve">En relación a las obligaciones de las empresas transnacionales, queremos reafirmar que la inclusión </w:t>
      </w:r>
      <w:r>
        <w:rPr>
          <w:rFonts w:ascii="Times New Roman" w:hAnsi="Times New Roman"/>
          <w:color w:val="000000"/>
        </w:rPr>
        <w:t>de  obligaciones directas para las transnacionales son el corazón del tratado y deberían recogerse en un artículo dedicado en exclusiva a esta cuestión. Esto es algo que se ha repetido insistentemente en esta sala., y que sigue sin reconocerse plenamente e</w:t>
      </w:r>
      <w:r>
        <w:rPr>
          <w:rFonts w:ascii="Times New Roman" w:hAnsi="Times New Roman"/>
          <w:color w:val="000000"/>
        </w:rPr>
        <w:t>n el 3er borrador revisado.. Recordamos que solo recogiendo estas obligaciones es posible cumplir con el mandato de la Resolución 26/9 que prescribe la regulación, en el derecho internacional de los derechos humanos, de las actividades de estas empresas. </w:t>
      </w:r>
    </w:p>
    <w:p w:rsidR="00771326" w:rsidRDefault="000716EA">
      <w:pPr>
        <w:pStyle w:val="Textbody"/>
        <w:spacing w:after="0" w:line="331" w:lineRule="auto"/>
        <w:ind w:firstLine="700"/>
        <w:jc w:val="both"/>
        <w:rPr>
          <w:rFonts w:hint="eastAsia"/>
        </w:rPr>
      </w:pPr>
      <w:r>
        <w:rPr>
          <w:rFonts w:ascii="Times New Roman" w:hAnsi="Times New Roman"/>
          <w:color w:val="000000"/>
        </w:rPr>
        <w:t>Al afirmar esto no estamos pidiendo algo imposible, al contrario las empresas transnacionales tienen obligaciones derivadas del derecho internacional de los derechos humanos y estas obligaciones son diferentes, existen independientemente y se suman al marc</w:t>
      </w:r>
      <w:r>
        <w:rPr>
          <w:rFonts w:ascii="Times New Roman" w:hAnsi="Times New Roman"/>
          <w:color w:val="000000"/>
        </w:rPr>
        <w:t>o jurídico vigente en los Estados de acogida y de origen</w:t>
      </w:r>
      <w:r>
        <w:rPr>
          <w:rFonts w:ascii="Times New Roman" w:hAnsi="Times New Roman"/>
          <w:i/>
          <w:color w:val="000000"/>
        </w:rPr>
        <w:t>.</w:t>
      </w:r>
      <w:r>
        <w:rPr>
          <w:color w:val="000000"/>
        </w:rPr>
        <w:t xml:space="preserve"> </w:t>
      </w:r>
      <w:r>
        <w:rPr>
          <w:rFonts w:ascii="Times New Roman" w:hAnsi="Times New Roman"/>
          <w:color w:val="000000"/>
        </w:rPr>
        <w:t>Tampoco esto es nuevo, en el ámbito del derecho internacional de los derechos humanos existe ya un cuerpo consolidado de instrumentos internacionales que establecen responsabilidades para las empres</w:t>
      </w:r>
      <w:r>
        <w:rPr>
          <w:rFonts w:ascii="Times New Roman" w:hAnsi="Times New Roman"/>
          <w:color w:val="000000"/>
        </w:rPr>
        <w:t>as de manera directa. La mayoría de estos textos han sido subrayados a lo largo de los debates que sobre este tema se han desarrollado en las sesiones de este grupo.</w:t>
      </w:r>
    </w:p>
    <w:p w:rsidR="00771326" w:rsidRDefault="000716EA">
      <w:pPr>
        <w:pStyle w:val="Textbody"/>
        <w:spacing w:after="0" w:line="331" w:lineRule="auto"/>
        <w:ind w:firstLine="700"/>
        <w:jc w:val="both"/>
        <w:rPr>
          <w:rFonts w:ascii="Times New Roman" w:hAnsi="Times New Roman"/>
          <w:color w:val="000000"/>
        </w:rPr>
      </w:pPr>
      <w:r>
        <w:rPr>
          <w:rFonts w:ascii="Times New Roman" w:hAnsi="Times New Roman"/>
          <w:color w:val="000000"/>
        </w:rPr>
        <w:t>Así, el Tratado debe y puede establecer una lista clara y abierta de obligaciones normativ</w:t>
      </w:r>
      <w:r>
        <w:rPr>
          <w:rFonts w:ascii="Times New Roman" w:hAnsi="Times New Roman"/>
          <w:color w:val="000000"/>
        </w:rPr>
        <w:t xml:space="preserve">as para que las ETNs respeten los derechos humanos en el marco de sus actividades, que deberán </w:t>
      </w:r>
      <w:r>
        <w:rPr>
          <w:rFonts w:ascii="Times New Roman" w:hAnsi="Times New Roman"/>
          <w:color w:val="000000"/>
        </w:rPr>
        <w:lastRenderedPageBreak/>
        <w:t>aplicarse de forma directa e independiente cuando los marcos legales nacionales no existan, sean ineficaces o no se ajusten al instrumento jurídicamente vinculan</w:t>
      </w:r>
      <w:r>
        <w:rPr>
          <w:rFonts w:ascii="Times New Roman" w:hAnsi="Times New Roman"/>
          <w:color w:val="000000"/>
        </w:rPr>
        <w:t>te. </w:t>
      </w:r>
    </w:p>
    <w:p w:rsidR="00771326" w:rsidRDefault="000716EA">
      <w:pPr>
        <w:pStyle w:val="Textbody"/>
        <w:spacing w:after="0" w:line="331" w:lineRule="auto"/>
        <w:ind w:firstLine="700"/>
        <w:jc w:val="both"/>
        <w:rPr>
          <w:rFonts w:ascii="Times New Roman" w:hAnsi="Times New Roman"/>
          <w:color w:val="000000"/>
        </w:rPr>
      </w:pPr>
      <w:r>
        <w:rPr>
          <w:rFonts w:ascii="Times New Roman" w:hAnsi="Times New Roman"/>
          <w:color w:val="000000"/>
        </w:rPr>
        <w:t>Algunas de las obligaciones fueron propuestas por los Estados y deben mantenerse y ordenarse de manera conjunta en este nuevo artículo, que se titularía “Obligaciones de las Empresas Transnacionales”. Entre otras, además del cumplimiento efectivo de l</w:t>
      </w:r>
      <w:r>
        <w:rPr>
          <w:rFonts w:ascii="Times New Roman" w:hAnsi="Times New Roman"/>
          <w:color w:val="000000"/>
        </w:rPr>
        <w:t>os derechos reconocidos en este Tratado destacamos las siguientes propuestas de Camerún.</w:t>
      </w:r>
    </w:p>
    <w:p w:rsidR="00771326" w:rsidRDefault="000716EA">
      <w:pPr>
        <w:pStyle w:val="Textbody"/>
        <w:numPr>
          <w:ilvl w:val="0"/>
          <w:numId w:val="1"/>
        </w:numPr>
        <w:spacing w:after="0" w:line="331" w:lineRule="auto"/>
        <w:jc w:val="both"/>
        <w:rPr>
          <w:rFonts w:ascii="Times New Roman" w:hAnsi="Times New Roman"/>
          <w:color w:val="000000"/>
        </w:rPr>
      </w:pPr>
      <w:r>
        <w:rPr>
          <w:rFonts w:ascii="Times New Roman" w:hAnsi="Times New Roman"/>
          <w:color w:val="000000"/>
        </w:rPr>
        <w:t>Como obligación general no adoptar ninguna medida que suponga un riesgo real de socavar y violar los derechos humanos.  </w:t>
      </w:r>
    </w:p>
    <w:p w:rsidR="00771326" w:rsidRDefault="000716EA">
      <w:pPr>
        <w:pStyle w:val="Textbody"/>
        <w:numPr>
          <w:ilvl w:val="0"/>
          <w:numId w:val="1"/>
        </w:numPr>
        <w:spacing w:after="0" w:line="331" w:lineRule="auto"/>
        <w:jc w:val="both"/>
        <w:rPr>
          <w:rFonts w:ascii="Times New Roman" w:hAnsi="Times New Roman"/>
          <w:color w:val="000000"/>
        </w:rPr>
      </w:pPr>
      <w:r>
        <w:rPr>
          <w:rFonts w:ascii="Times New Roman" w:hAnsi="Times New Roman"/>
          <w:color w:val="000000"/>
        </w:rPr>
        <w:t xml:space="preserve">No obstaculizar la aplicación del Tratado por </w:t>
      </w:r>
      <w:r>
        <w:rPr>
          <w:rFonts w:ascii="Times New Roman" w:hAnsi="Times New Roman"/>
          <w:color w:val="000000"/>
        </w:rPr>
        <w:t>los Estados Parte en este instrumento, ya sean Estados de origen, Estados receptores o Estados afectados por las actividades de las ETN. </w:t>
      </w:r>
    </w:p>
    <w:p w:rsidR="00771326" w:rsidRDefault="000716EA">
      <w:pPr>
        <w:pStyle w:val="Textbody"/>
        <w:numPr>
          <w:ilvl w:val="0"/>
          <w:numId w:val="1"/>
        </w:numPr>
        <w:spacing w:after="0" w:line="331" w:lineRule="auto"/>
        <w:jc w:val="both"/>
        <w:rPr>
          <w:rFonts w:ascii="Times New Roman" w:hAnsi="Times New Roman"/>
          <w:color w:val="1F2023"/>
        </w:rPr>
      </w:pPr>
      <w:r>
        <w:rPr>
          <w:rFonts w:ascii="Times New Roman" w:hAnsi="Times New Roman"/>
          <w:color w:val="1F2023"/>
        </w:rPr>
        <w:t xml:space="preserve">Incluir expresa y detalladamente, en línea con las propuestas de Palestina o Sudáfrica, las consultas obligatorias, </w:t>
      </w:r>
      <w:r>
        <w:rPr>
          <w:rFonts w:ascii="Times New Roman" w:hAnsi="Times New Roman"/>
          <w:color w:val="1F2023"/>
        </w:rPr>
        <w:t>adecuando la redacción al derecho internacional vigente.</w:t>
      </w:r>
    </w:p>
    <w:p w:rsidR="00771326" w:rsidRDefault="00771326">
      <w:pPr>
        <w:pStyle w:val="Textbody"/>
        <w:rPr>
          <w:rFonts w:hint="eastAsia"/>
        </w:rPr>
      </w:pPr>
    </w:p>
    <w:p w:rsidR="00771326" w:rsidRDefault="000716EA">
      <w:pPr>
        <w:pStyle w:val="Textbody"/>
        <w:spacing w:after="0" w:line="331" w:lineRule="auto"/>
        <w:jc w:val="both"/>
        <w:rPr>
          <w:rFonts w:ascii="Times New Roman" w:hAnsi="Times New Roman"/>
          <w:color w:val="000000"/>
        </w:rPr>
      </w:pPr>
      <w:r>
        <w:rPr>
          <w:rFonts w:ascii="Times New Roman" w:hAnsi="Times New Roman"/>
          <w:color w:val="000000"/>
        </w:rPr>
        <w:t>La obligación más desarrollada en el texto que estamos negociando es la “diligencia debida” cuyo tratamiento se abordará en la próxima intervención de la Campaña Global</w:t>
      </w:r>
    </w:p>
    <w:p w:rsidR="00771326" w:rsidRDefault="00771326">
      <w:pPr>
        <w:pStyle w:val="Standard"/>
        <w:rPr>
          <w:rFonts w:hint="eastAsia"/>
          <w:lang w:val="en-US"/>
        </w:rPr>
      </w:pPr>
    </w:p>
    <w:sectPr w:rsidR="00771326">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716EA">
      <w:pPr>
        <w:rPr>
          <w:rFonts w:hint="eastAsia"/>
        </w:rPr>
      </w:pPr>
      <w:r>
        <w:separator/>
      </w:r>
    </w:p>
  </w:endnote>
  <w:endnote w:type="continuationSeparator" w:id="0">
    <w:p w:rsidR="00000000" w:rsidRDefault="000716EA">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charset w:val="02"/>
    <w:family w:val="auto"/>
    <w:pitch w:val="default"/>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716EA">
      <w:pPr>
        <w:rPr>
          <w:rFonts w:hint="eastAsia"/>
        </w:rPr>
      </w:pPr>
      <w:r>
        <w:rPr>
          <w:color w:val="000000"/>
        </w:rPr>
        <w:separator/>
      </w:r>
    </w:p>
  </w:footnote>
  <w:footnote w:type="continuationSeparator" w:id="0">
    <w:p w:rsidR="00000000" w:rsidRDefault="000716EA">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AD23DF"/>
    <w:multiLevelType w:val="multilevel"/>
    <w:tmpl w:val="AD3AFED0"/>
    <w:lvl w:ilvl="0">
      <w:numFmt w:val="bullet"/>
      <w:lvlText w:val="•"/>
      <w:lvlJc w:val="left"/>
      <w:pPr>
        <w:ind w:left="709" w:hanging="283"/>
      </w:pPr>
      <w:rPr>
        <w:rFonts w:ascii="OpenSymbol" w:eastAsia="OpenSymbol" w:hAnsi="OpenSymbol" w:cs="OpenSymbol"/>
      </w:rPr>
    </w:lvl>
    <w:lvl w:ilvl="1">
      <w:numFmt w:val="bullet"/>
      <w:lvlText w:val="•"/>
      <w:lvlJc w:val="left"/>
      <w:pPr>
        <w:ind w:left="1418" w:hanging="283"/>
      </w:pPr>
      <w:rPr>
        <w:rFonts w:ascii="OpenSymbol" w:eastAsia="OpenSymbol" w:hAnsi="OpenSymbol" w:cs="OpenSymbol"/>
      </w:rPr>
    </w:lvl>
    <w:lvl w:ilvl="2">
      <w:numFmt w:val="bullet"/>
      <w:lvlText w:val="•"/>
      <w:lvlJc w:val="left"/>
      <w:pPr>
        <w:ind w:left="2127" w:hanging="283"/>
      </w:pPr>
      <w:rPr>
        <w:rFonts w:ascii="OpenSymbol" w:eastAsia="OpenSymbol" w:hAnsi="OpenSymbol" w:cs="OpenSymbol"/>
      </w:rPr>
    </w:lvl>
    <w:lvl w:ilvl="3">
      <w:numFmt w:val="bullet"/>
      <w:lvlText w:val="•"/>
      <w:lvlJc w:val="left"/>
      <w:pPr>
        <w:ind w:left="2836" w:hanging="283"/>
      </w:pPr>
      <w:rPr>
        <w:rFonts w:ascii="OpenSymbol" w:eastAsia="OpenSymbol" w:hAnsi="OpenSymbol" w:cs="OpenSymbol"/>
      </w:rPr>
    </w:lvl>
    <w:lvl w:ilvl="4">
      <w:numFmt w:val="bullet"/>
      <w:lvlText w:val="•"/>
      <w:lvlJc w:val="left"/>
      <w:pPr>
        <w:ind w:left="3545" w:hanging="283"/>
      </w:pPr>
      <w:rPr>
        <w:rFonts w:ascii="OpenSymbol" w:eastAsia="OpenSymbol" w:hAnsi="OpenSymbol" w:cs="OpenSymbol"/>
      </w:rPr>
    </w:lvl>
    <w:lvl w:ilvl="5">
      <w:numFmt w:val="bullet"/>
      <w:lvlText w:val="•"/>
      <w:lvlJc w:val="left"/>
      <w:pPr>
        <w:ind w:left="4254" w:hanging="283"/>
      </w:pPr>
      <w:rPr>
        <w:rFonts w:ascii="OpenSymbol" w:eastAsia="OpenSymbol" w:hAnsi="OpenSymbol" w:cs="OpenSymbol"/>
      </w:rPr>
    </w:lvl>
    <w:lvl w:ilvl="6">
      <w:numFmt w:val="bullet"/>
      <w:lvlText w:val="•"/>
      <w:lvlJc w:val="left"/>
      <w:pPr>
        <w:ind w:left="4963" w:hanging="283"/>
      </w:pPr>
      <w:rPr>
        <w:rFonts w:ascii="OpenSymbol" w:eastAsia="OpenSymbol" w:hAnsi="OpenSymbol" w:cs="OpenSymbol"/>
      </w:rPr>
    </w:lvl>
    <w:lvl w:ilvl="7">
      <w:numFmt w:val="bullet"/>
      <w:lvlText w:val="•"/>
      <w:lvlJc w:val="left"/>
      <w:pPr>
        <w:ind w:left="5672" w:hanging="283"/>
      </w:pPr>
      <w:rPr>
        <w:rFonts w:ascii="OpenSymbol" w:eastAsia="OpenSymbol" w:hAnsi="OpenSymbol" w:cs="OpenSymbol"/>
      </w:rPr>
    </w:lvl>
    <w:lvl w:ilvl="8">
      <w:numFmt w:val="bullet"/>
      <w:lvlText w:val="•"/>
      <w:lvlJc w:val="left"/>
      <w:pPr>
        <w:ind w:left="6381" w:hanging="283"/>
      </w:pPr>
      <w:rPr>
        <w:rFonts w:ascii="OpenSymbol" w:eastAsia="OpenSymbol" w:hAnsi="Open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771326"/>
    <w:rsid w:val="000716EA"/>
    <w:rsid w:val="007713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7A53AB-E53F-4781-87A4-E25E86DF7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Arial"/>
        <w:kern w:val="3"/>
        <w:sz w:val="24"/>
        <w:szCs w:val="24"/>
        <w:lang w:val="fr-CH" w:eastAsia="zh-CN" w:bidi="hi-IN"/>
      </w:rPr>
    </w:rPrDefault>
    <w:pPrDefault>
      <w:pPr>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595</Words>
  <Characters>3397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SUBIA Maria Paula</dc:creator>
  <cp:lastModifiedBy>Paula Subia</cp:lastModifiedBy>
  <cp:revision>2</cp:revision>
  <dcterms:created xsi:type="dcterms:W3CDTF">2022-10-25T09:53:00Z</dcterms:created>
  <dcterms:modified xsi:type="dcterms:W3CDTF">2022-10-25T09:53:00Z</dcterms:modified>
</cp:coreProperties>
</file>