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8DCF1" w14:textId="77777777" w:rsidR="0078616D" w:rsidRDefault="0078616D" w:rsidP="005C36A9">
      <w:pPr>
        <w:pStyle w:val="Heading2"/>
        <w:spacing w:before="0" w:line="240" w:lineRule="auto"/>
        <w:jc w:val="center"/>
        <w:rPr>
          <w:rFonts w:ascii="Century Gothic" w:hAnsi="Century Gothic" w:cstheme="minorHAnsi"/>
          <w:b/>
          <w:bCs/>
        </w:rPr>
      </w:pPr>
    </w:p>
    <w:p w14:paraId="2E1EA821" w14:textId="5A4F3C4B" w:rsidR="00C305A6" w:rsidRPr="00C74B0F" w:rsidRDefault="00C305A6" w:rsidP="005C36A9">
      <w:pPr>
        <w:pStyle w:val="Heading2"/>
        <w:spacing w:before="0" w:line="240" w:lineRule="auto"/>
        <w:jc w:val="center"/>
        <w:rPr>
          <w:rFonts w:ascii="Century Gothic" w:hAnsi="Century Gothic" w:cstheme="minorHAnsi"/>
          <w:b/>
          <w:bCs/>
        </w:rPr>
      </w:pPr>
      <w:r w:rsidRPr="00C74B0F">
        <w:rPr>
          <w:rFonts w:ascii="Century Gothic" w:hAnsi="Century Gothic" w:cstheme="minorHAnsi"/>
          <w:b/>
          <w:bCs/>
        </w:rPr>
        <w:t>Réponse à l’appel à contribution de la Rapporteu</w:t>
      </w:r>
      <w:r w:rsidR="007A0973" w:rsidRPr="00C74B0F">
        <w:rPr>
          <w:rFonts w:ascii="Century Gothic" w:hAnsi="Century Gothic" w:cstheme="minorHAnsi"/>
          <w:b/>
          <w:bCs/>
        </w:rPr>
        <w:t>SE</w:t>
      </w:r>
      <w:r w:rsidRPr="00C74B0F">
        <w:rPr>
          <w:rFonts w:ascii="Century Gothic" w:hAnsi="Century Gothic" w:cstheme="minorHAnsi"/>
          <w:b/>
          <w:bCs/>
        </w:rPr>
        <w:t xml:space="preserve"> spécial</w:t>
      </w:r>
      <w:r w:rsidR="007A0973" w:rsidRPr="00C74B0F">
        <w:rPr>
          <w:rFonts w:ascii="Century Gothic" w:hAnsi="Century Gothic" w:cstheme="minorHAnsi"/>
          <w:b/>
          <w:bCs/>
        </w:rPr>
        <w:t>E</w:t>
      </w:r>
      <w:r w:rsidRPr="00C74B0F">
        <w:rPr>
          <w:rFonts w:ascii="Century Gothic" w:hAnsi="Century Gothic" w:cstheme="minorHAnsi"/>
          <w:b/>
          <w:bCs/>
        </w:rPr>
        <w:t xml:space="preserve"> sur la traite des êtres humains, en particulier des femmes et des enfants</w:t>
      </w:r>
    </w:p>
    <w:p w14:paraId="40DFEBBA" w14:textId="77777777" w:rsidR="00C305A6" w:rsidRPr="00C74B0F" w:rsidRDefault="00C305A6" w:rsidP="005C36A9">
      <w:pPr>
        <w:pStyle w:val="Heading2"/>
        <w:spacing w:before="0" w:line="240" w:lineRule="auto"/>
        <w:jc w:val="center"/>
        <w:rPr>
          <w:rFonts w:ascii="Century Gothic" w:hAnsi="Century Gothic" w:cstheme="minorHAnsi"/>
          <w:b/>
          <w:bCs/>
        </w:rPr>
      </w:pPr>
    </w:p>
    <w:p w14:paraId="77F05123" w14:textId="06A9CDF3" w:rsidR="00C305A6" w:rsidRPr="00C74B0F" w:rsidRDefault="00C305A6" w:rsidP="005C36A9">
      <w:pPr>
        <w:pStyle w:val="Heading2"/>
        <w:spacing w:before="0" w:line="240" w:lineRule="auto"/>
        <w:jc w:val="center"/>
        <w:rPr>
          <w:rFonts w:ascii="Century Gothic" w:hAnsi="Century Gothic" w:cstheme="minorHAnsi"/>
          <w:b/>
          <w:bCs/>
        </w:rPr>
      </w:pPr>
      <w:r w:rsidRPr="00C74B0F">
        <w:rPr>
          <w:rFonts w:ascii="Century Gothic" w:hAnsi="Century Gothic" w:cstheme="minorHAnsi"/>
          <w:b/>
          <w:bCs/>
        </w:rPr>
        <w:t>par le député européen François</w:t>
      </w:r>
      <w:r w:rsidR="0078616D">
        <w:rPr>
          <w:rFonts w:ascii="Century Gothic" w:hAnsi="Century Gothic" w:cstheme="minorHAnsi"/>
          <w:b/>
          <w:bCs/>
        </w:rPr>
        <w:t>-</w:t>
      </w:r>
      <w:r w:rsidRPr="00C74B0F">
        <w:rPr>
          <w:rFonts w:ascii="Century Gothic" w:hAnsi="Century Gothic" w:cstheme="minorHAnsi"/>
          <w:b/>
          <w:bCs/>
        </w:rPr>
        <w:t>Xavier Bellamy</w:t>
      </w:r>
    </w:p>
    <w:p w14:paraId="59659A29" w14:textId="77777777" w:rsidR="00C305A6" w:rsidRDefault="00C305A6" w:rsidP="005C36A9">
      <w:pPr>
        <w:pStyle w:val="Heading2"/>
        <w:spacing w:before="0" w:line="240" w:lineRule="auto"/>
        <w:jc w:val="center"/>
        <w:rPr>
          <w:rFonts w:ascii="Century Gothic" w:hAnsi="Century Gothic" w:cstheme="minorHAnsi"/>
          <w:b/>
          <w:bCs/>
        </w:rPr>
      </w:pPr>
      <w:r w:rsidRPr="00C74B0F">
        <w:rPr>
          <w:rFonts w:ascii="Century Gothic" w:hAnsi="Century Gothic" w:cstheme="minorHAnsi"/>
          <w:b/>
          <w:bCs/>
        </w:rPr>
        <w:t>Juin 2024</w:t>
      </w:r>
    </w:p>
    <w:p w14:paraId="50B3EC47" w14:textId="77777777" w:rsidR="0078616D" w:rsidRDefault="0078616D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55CB2D19" w14:textId="77777777" w:rsidR="0078616D" w:rsidRDefault="0078616D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Madame la Rapporteuse spéciale,</w:t>
      </w:r>
    </w:p>
    <w:p w14:paraId="551F6C92" w14:textId="77777777" w:rsidR="0078616D" w:rsidRDefault="0078616D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6EED6F3C" w14:textId="1BA1C5B0" w:rsidR="0078616D" w:rsidRDefault="007A0973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 xml:space="preserve">Le </w:t>
      </w:r>
      <w:r w:rsidR="0078616D">
        <w:rPr>
          <w:rFonts w:ascii="Century Gothic" w:hAnsi="Century Gothic" w:cstheme="minorHAnsi"/>
        </w:rPr>
        <w:t>sujet</w:t>
      </w:r>
      <w:r w:rsidRPr="00C74B0F">
        <w:rPr>
          <w:rFonts w:ascii="Century Gothic" w:hAnsi="Century Gothic" w:cstheme="minorHAnsi"/>
        </w:rPr>
        <w:t xml:space="preserve"> de la gestation pour autrui a toute sa place </w:t>
      </w:r>
      <w:r w:rsidR="005F2EAE">
        <w:rPr>
          <w:rFonts w:ascii="Century Gothic" w:hAnsi="Century Gothic" w:cstheme="minorHAnsi"/>
        </w:rPr>
        <w:t xml:space="preserve">dans </w:t>
      </w:r>
      <w:r w:rsidR="0078616D">
        <w:rPr>
          <w:rFonts w:ascii="Century Gothic" w:hAnsi="Century Gothic" w:cstheme="minorHAnsi"/>
        </w:rPr>
        <w:t xml:space="preserve">votre mandat et dans votre rapport en préparation sur </w:t>
      </w:r>
      <w:r w:rsidR="0078616D" w:rsidRPr="0078616D">
        <w:rPr>
          <w:rFonts w:ascii="Century Gothic" w:hAnsi="Century Gothic" w:cstheme="minorHAnsi"/>
        </w:rPr>
        <w:t>le genre, la paix et la sécurité</w:t>
      </w:r>
      <w:r w:rsidR="0078616D">
        <w:rPr>
          <w:rFonts w:ascii="Century Gothic" w:hAnsi="Century Gothic" w:cstheme="minorHAnsi"/>
        </w:rPr>
        <w:t xml:space="preserve">. </w:t>
      </w:r>
    </w:p>
    <w:p w14:paraId="6662E9AE" w14:textId="77777777" w:rsidR="0078616D" w:rsidRDefault="0078616D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6A8C9C22" w14:textId="7C43EEC5" w:rsidR="007A0973" w:rsidRPr="00C74B0F" w:rsidRDefault="0078616D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Cette pratique </w:t>
      </w:r>
      <w:r w:rsidR="005F2EAE">
        <w:rPr>
          <w:rFonts w:ascii="Century Gothic" w:hAnsi="Century Gothic" w:cstheme="minorHAnsi"/>
        </w:rPr>
        <w:t>doit</w:t>
      </w:r>
      <w:r>
        <w:rPr>
          <w:rFonts w:ascii="Century Gothic" w:hAnsi="Century Gothic" w:cstheme="minorHAnsi"/>
        </w:rPr>
        <w:t xml:space="preserve"> </w:t>
      </w:r>
      <w:r w:rsidR="007A0973" w:rsidRPr="00C74B0F">
        <w:rPr>
          <w:rFonts w:ascii="Century Gothic" w:hAnsi="Century Gothic" w:cstheme="minorHAnsi"/>
        </w:rPr>
        <w:t xml:space="preserve">plus généralement </w:t>
      </w:r>
      <w:r w:rsidR="005F2EAE">
        <w:rPr>
          <w:rFonts w:ascii="Century Gothic" w:hAnsi="Century Gothic" w:cstheme="minorHAnsi"/>
        </w:rPr>
        <w:t>être abordée dans toute initiative</w:t>
      </w:r>
      <w:r w:rsidR="007A0973" w:rsidRPr="00C74B0F">
        <w:rPr>
          <w:rFonts w:ascii="Century Gothic" w:hAnsi="Century Gothic" w:cstheme="minorHAnsi"/>
        </w:rPr>
        <w:t xml:space="preserve"> de prévention de la traite des êtres humains et de protection des victimes.</w:t>
      </w:r>
    </w:p>
    <w:p w14:paraId="7C3628FD" w14:textId="77777777" w:rsidR="007A0973" w:rsidRPr="00C74B0F" w:rsidRDefault="007A0973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624B0824" w14:textId="0E231285" w:rsidR="00C305A6" w:rsidRDefault="00BB2851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>L’Union européenne</w:t>
      </w:r>
      <w:r w:rsidR="00297F61" w:rsidRPr="00C74B0F">
        <w:rPr>
          <w:rFonts w:ascii="Century Gothic" w:hAnsi="Century Gothic" w:cstheme="minorHAnsi"/>
        </w:rPr>
        <w:t xml:space="preserve"> s’est </w:t>
      </w:r>
      <w:r w:rsidR="0078616D">
        <w:rPr>
          <w:rFonts w:ascii="Century Gothic" w:hAnsi="Century Gothic" w:cstheme="minorHAnsi"/>
        </w:rPr>
        <w:t xml:space="preserve">récemment </w:t>
      </w:r>
      <w:r w:rsidR="00297F61" w:rsidRPr="00C74B0F">
        <w:rPr>
          <w:rFonts w:ascii="Century Gothic" w:hAnsi="Century Gothic" w:cstheme="minorHAnsi"/>
        </w:rPr>
        <w:t>positionnée sur le sujet</w:t>
      </w:r>
      <w:r w:rsidR="0078616D">
        <w:rPr>
          <w:rFonts w:ascii="Century Gothic" w:hAnsi="Century Gothic" w:cstheme="minorHAnsi"/>
        </w:rPr>
        <w:t xml:space="preserve"> puisque le Parlement européen, dans un vote du 23 avril 2024, a </w:t>
      </w:r>
      <w:r w:rsidR="0078616D" w:rsidRPr="0078616D">
        <w:rPr>
          <w:rFonts w:ascii="Century Gothic" w:hAnsi="Century Gothic" w:cstheme="minorHAnsi"/>
          <w:b/>
          <w:bCs/>
        </w:rPr>
        <w:t>inclus</w:t>
      </w:r>
      <w:r w:rsidR="00297F61" w:rsidRPr="0078616D">
        <w:rPr>
          <w:rFonts w:ascii="Century Gothic" w:hAnsi="Century Gothic" w:cstheme="minorHAnsi"/>
          <w:b/>
          <w:bCs/>
        </w:rPr>
        <w:t xml:space="preserve"> </w:t>
      </w:r>
      <w:r w:rsidR="00C74B0F" w:rsidRPr="0078616D">
        <w:rPr>
          <w:rFonts w:ascii="Century Gothic" w:hAnsi="Century Gothic" w:cstheme="minorHAnsi"/>
          <w:b/>
          <w:bCs/>
        </w:rPr>
        <w:t xml:space="preserve">la gestation pour autrui au nombre des </w:t>
      </w:r>
      <w:r w:rsidR="0078616D" w:rsidRPr="0078616D">
        <w:rPr>
          <w:rFonts w:ascii="Century Gothic" w:hAnsi="Century Gothic" w:cstheme="minorHAnsi"/>
          <w:b/>
          <w:bCs/>
        </w:rPr>
        <w:t xml:space="preserve">cas de </w:t>
      </w:r>
      <w:r w:rsidR="00C74B0F" w:rsidRPr="0078616D">
        <w:rPr>
          <w:rFonts w:ascii="Century Gothic" w:hAnsi="Century Gothic" w:cstheme="minorHAnsi"/>
          <w:b/>
          <w:bCs/>
        </w:rPr>
        <w:t>traites des être</w:t>
      </w:r>
      <w:r w:rsidR="0078616D" w:rsidRPr="0078616D">
        <w:rPr>
          <w:rFonts w:ascii="Century Gothic" w:hAnsi="Century Gothic" w:cstheme="minorHAnsi"/>
          <w:b/>
          <w:bCs/>
        </w:rPr>
        <w:t>s</w:t>
      </w:r>
      <w:r w:rsidR="00C74B0F" w:rsidRPr="0078616D">
        <w:rPr>
          <w:rFonts w:ascii="Century Gothic" w:hAnsi="Century Gothic" w:cstheme="minorHAnsi"/>
          <w:b/>
          <w:bCs/>
        </w:rPr>
        <w:t xml:space="preserve"> humains</w:t>
      </w:r>
      <w:r w:rsidR="0078616D">
        <w:rPr>
          <w:rFonts w:ascii="Century Gothic" w:hAnsi="Century Gothic" w:cstheme="minorHAnsi"/>
        </w:rPr>
        <w:t xml:space="preserve"> à l’occasion de la révision de la D</w:t>
      </w:r>
      <w:r w:rsidR="0078616D" w:rsidRPr="0078616D">
        <w:rPr>
          <w:rFonts w:ascii="Century Gothic" w:hAnsi="Century Gothic" w:cstheme="minorHAnsi"/>
        </w:rPr>
        <w:t xml:space="preserve">irective </w:t>
      </w:r>
      <w:bookmarkStart w:id="0" w:name="_Hlk169646332"/>
      <w:r w:rsidR="0078616D" w:rsidRPr="0078616D">
        <w:rPr>
          <w:rFonts w:ascii="Century Gothic" w:hAnsi="Century Gothic" w:cstheme="minorHAnsi"/>
        </w:rPr>
        <w:t>2011/36/UE concernant la prévention de la traite des êtres humains et la lutte contre ce phénomène ainsi que la protection des victimes</w:t>
      </w:r>
      <w:bookmarkEnd w:id="0"/>
      <w:r w:rsidR="0078616D">
        <w:rPr>
          <w:rFonts w:ascii="Century Gothic" w:hAnsi="Century Gothic" w:cstheme="minorHAnsi"/>
        </w:rPr>
        <w:t>.</w:t>
      </w:r>
    </w:p>
    <w:p w14:paraId="6F5EE4BC" w14:textId="77777777" w:rsidR="0078616D" w:rsidRDefault="0078616D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4EC1BCCF" w14:textId="7337EB23" w:rsidR="0078616D" w:rsidRPr="00C74B0F" w:rsidRDefault="0078616D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En tant </w:t>
      </w:r>
      <w:r w:rsidR="00DE531C">
        <w:rPr>
          <w:rFonts w:ascii="Century Gothic" w:hAnsi="Century Gothic" w:cstheme="minorHAnsi"/>
        </w:rPr>
        <w:t>que député européen</w:t>
      </w:r>
      <w:r>
        <w:rPr>
          <w:rFonts w:ascii="Century Gothic" w:hAnsi="Century Gothic" w:cstheme="minorHAnsi"/>
        </w:rPr>
        <w:t xml:space="preserve"> </w:t>
      </w:r>
      <w:r w:rsidR="00DE531C">
        <w:rPr>
          <w:rFonts w:ascii="Century Gothic" w:hAnsi="Century Gothic" w:cstheme="minorHAnsi"/>
        </w:rPr>
        <w:t>engagé sur</w:t>
      </w:r>
      <w:r>
        <w:rPr>
          <w:rFonts w:ascii="Century Gothic" w:hAnsi="Century Gothic" w:cstheme="minorHAnsi"/>
        </w:rPr>
        <w:t xml:space="preserve"> ce texte, c’est sur cette initiative que je souhaite attirer </w:t>
      </w:r>
      <w:r w:rsidR="005F2EAE">
        <w:rPr>
          <w:rFonts w:ascii="Century Gothic" w:hAnsi="Century Gothic" w:cstheme="minorHAnsi"/>
        </w:rPr>
        <w:t>votre a</w:t>
      </w:r>
      <w:r>
        <w:rPr>
          <w:rFonts w:ascii="Century Gothic" w:hAnsi="Century Gothic" w:cstheme="minorHAnsi"/>
        </w:rPr>
        <w:t>ttention.</w:t>
      </w:r>
    </w:p>
    <w:p w14:paraId="661F5EF6" w14:textId="77777777" w:rsidR="005F2EAE" w:rsidRPr="00C74B0F" w:rsidRDefault="005F2EAE" w:rsidP="005C36A9">
      <w:pPr>
        <w:spacing w:before="0" w:after="0" w:line="240" w:lineRule="auto"/>
        <w:jc w:val="both"/>
        <w:rPr>
          <w:rFonts w:ascii="Century Gothic" w:hAnsi="Century Gothic" w:cstheme="minorHAnsi"/>
          <w:i/>
          <w:iCs/>
        </w:rPr>
      </w:pPr>
    </w:p>
    <w:p w14:paraId="4A0B510C" w14:textId="054097D0" w:rsidR="00B27802" w:rsidRPr="00C74B0F" w:rsidRDefault="007A0973" w:rsidP="005C36A9">
      <w:pPr>
        <w:pStyle w:val="Heading2"/>
        <w:spacing w:before="0" w:line="240" w:lineRule="auto"/>
        <w:jc w:val="both"/>
        <w:rPr>
          <w:rFonts w:ascii="Century Gothic" w:hAnsi="Century Gothic" w:cstheme="minorHAnsi"/>
          <w:b/>
          <w:bCs/>
        </w:rPr>
      </w:pPr>
      <w:r w:rsidRPr="00C74B0F">
        <w:rPr>
          <w:rFonts w:ascii="Century Gothic" w:hAnsi="Century Gothic" w:cstheme="minorHAnsi"/>
          <w:b/>
          <w:bCs/>
        </w:rPr>
        <w:t>L’inclusion de la gestation pour autrui dans les situations de traite des êtres humains</w:t>
      </w:r>
    </w:p>
    <w:p w14:paraId="62265937" w14:textId="77777777" w:rsidR="007A0973" w:rsidRPr="00C74B0F" w:rsidRDefault="007A0973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3ADE4F7C" w14:textId="6E302E5E" w:rsidR="0078616D" w:rsidRDefault="007A0973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 xml:space="preserve">La gestation pour autrui </w:t>
      </w:r>
      <w:r w:rsidR="005F2EAE">
        <w:rPr>
          <w:rFonts w:ascii="Century Gothic" w:hAnsi="Century Gothic" w:cstheme="minorHAnsi"/>
        </w:rPr>
        <w:t xml:space="preserve">(GPA) </w:t>
      </w:r>
      <w:r w:rsidRPr="00C74B0F">
        <w:rPr>
          <w:rFonts w:ascii="Century Gothic" w:hAnsi="Century Gothic" w:cstheme="minorHAnsi"/>
        </w:rPr>
        <w:t xml:space="preserve">est une nouvelle forme de traite à plusieurs égards, puisqu’elle revient à louer le corps d’une femme, et à faire de l’enfant l’objet d’un marché. </w:t>
      </w:r>
    </w:p>
    <w:p w14:paraId="67663A54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4957F820" w14:textId="51947E8A" w:rsidR="007A0973" w:rsidRPr="004C5B07" w:rsidRDefault="007A0973" w:rsidP="005C36A9">
      <w:pPr>
        <w:spacing w:before="0" w:after="0" w:line="240" w:lineRule="auto"/>
        <w:jc w:val="both"/>
        <w:rPr>
          <w:rFonts w:ascii="Century Gothic" w:hAnsi="Century Gothic" w:cstheme="minorHAnsi"/>
          <w:b/>
          <w:bCs/>
        </w:rPr>
      </w:pPr>
      <w:r w:rsidRPr="004C5B07">
        <w:rPr>
          <w:rFonts w:ascii="Century Gothic" w:hAnsi="Century Gothic" w:cstheme="minorHAnsi"/>
          <w:b/>
          <w:bCs/>
        </w:rPr>
        <w:t xml:space="preserve">Elle affecte ainsi les deux groupes de personnes particulièrement étudiées </w:t>
      </w:r>
      <w:r w:rsidR="0078616D" w:rsidRPr="004C5B07">
        <w:rPr>
          <w:rFonts w:ascii="Century Gothic" w:hAnsi="Century Gothic" w:cstheme="minorHAnsi"/>
          <w:b/>
          <w:bCs/>
        </w:rPr>
        <w:t>dans le cadre de votre mandat.</w:t>
      </w:r>
    </w:p>
    <w:p w14:paraId="2C941A9D" w14:textId="77777777" w:rsidR="005C36A9" w:rsidRDefault="005C36A9" w:rsidP="005C36A9">
      <w:pPr>
        <w:spacing w:before="0" w:after="0" w:line="240" w:lineRule="auto"/>
        <w:jc w:val="both"/>
        <w:rPr>
          <w:rFonts w:ascii="Century Gothic" w:eastAsia="Calibri" w:hAnsi="Century Gothic" w:cstheme="minorHAnsi"/>
          <w:color w:val="000000"/>
        </w:rPr>
      </w:pPr>
    </w:p>
    <w:p w14:paraId="3CF75253" w14:textId="57D8A08D" w:rsidR="0078616D" w:rsidRDefault="0078616D" w:rsidP="005C36A9">
      <w:pPr>
        <w:spacing w:before="0" w:after="0" w:line="240" w:lineRule="auto"/>
        <w:jc w:val="both"/>
        <w:rPr>
          <w:rFonts w:ascii="Century Gothic" w:eastAsia="Calibri" w:hAnsi="Century Gothic" w:cstheme="minorHAnsi"/>
          <w:color w:val="000000"/>
        </w:rPr>
      </w:pPr>
      <w:r>
        <w:rPr>
          <w:rFonts w:ascii="Century Gothic" w:eastAsia="Calibri" w:hAnsi="Century Gothic" w:cstheme="minorHAnsi"/>
          <w:color w:val="000000"/>
        </w:rPr>
        <w:t>Concernant la protection des enfants, l</w:t>
      </w:r>
      <w:r w:rsidR="007A0973" w:rsidRPr="00C74B0F">
        <w:rPr>
          <w:rFonts w:ascii="Century Gothic" w:eastAsia="Calibri" w:hAnsi="Century Gothic" w:cstheme="minorHAnsi"/>
          <w:color w:val="000000"/>
        </w:rPr>
        <w:t>a Rapporteuse spéciale sur la vente et l'exploitation sexuelle des enfants de l’ONU, dans un rapport de 2018</w:t>
      </w:r>
      <w:r w:rsidR="007A0973" w:rsidRPr="00C74B0F">
        <w:rPr>
          <w:rStyle w:val="FootnoteReference"/>
          <w:rFonts w:ascii="Century Gothic" w:eastAsia="Calibri" w:hAnsi="Century Gothic" w:cstheme="minorHAnsi"/>
          <w:color w:val="000000"/>
        </w:rPr>
        <w:footnoteReference w:id="1"/>
      </w:r>
      <w:r w:rsidR="007A0973" w:rsidRPr="00C74B0F">
        <w:rPr>
          <w:rFonts w:ascii="Century Gothic" w:eastAsia="Calibri" w:hAnsi="Century Gothic" w:cstheme="minorHAnsi"/>
          <w:color w:val="000000"/>
        </w:rPr>
        <w:t xml:space="preserve">, a démontré </w:t>
      </w:r>
      <w:r w:rsidR="007A0973" w:rsidRPr="0078616D">
        <w:rPr>
          <w:rFonts w:ascii="Century Gothic" w:eastAsia="Calibri" w:hAnsi="Century Gothic" w:cstheme="minorHAnsi"/>
          <w:b/>
          <w:bCs/>
          <w:color w:val="000000"/>
        </w:rPr>
        <w:t>que les critères de la vente d’enfant sont réunis</w:t>
      </w:r>
      <w:r w:rsidR="007A0973" w:rsidRPr="00C74B0F">
        <w:rPr>
          <w:rFonts w:ascii="Century Gothic" w:eastAsia="Calibri" w:hAnsi="Century Gothic" w:cstheme="minorHAnsi"/>
          <w:color w:val="000000"/>
        </w:rPr>
        <w:t xml:space="preserve"> dans la majorité des cas de GPA.</w:t>
      </w:r>
      <w:r w:rsidR="00297F61" w:rsidRPr="00C74B0F">
        <w:rPr>
          <w:rFonts w:ascii="Century Gothic" w:eastAsia="Calibri" w:hAnsi="Century Gothic" w:cstheme="minorHAnsi"/>
          <w:color w:val="000000"/>
        </w:rPr>
        <w:t xml:space="preserve"> </w:t>
      </w:r>
    </w:p>
    <w:p w14:paraId="57518823" w14:textId="77777777" w:rsidR="0078616D" w:rsidRDefault="0078616D" w:rsidP="005C36A9">
      <w:pPr>
        <w:spacing w:before="0" w:after="0" w:line="240" w:lineRule="auto"/>
        <w:jc w:val="both"/>
        <w:rPr>
          <w:rFonts w:ascii="Century Gothic" w:eastAsia="Calibri" w:hAnsi="Century Gothic" w:cstheme="minorHAnsi"/>
          <w:color w:val="000000"/>
        </w:rPr>
      </w:pPr>
    </w:p>
    <w:p w14:paraId="7A402324" w14:textId="521D09A3" w:rsidR="007A0973" w:rsidRPr="00C74B0F" w:rsidRDefault="00297F61" w:rsidP="005C36A9">
      <w:pPr>
        <w:spacing w:before="0" w:after="0" w:line="240" w:lineRule="auto"/>
        <w:jc w:val="both"/>
        <w:rPr>
          <w:rFonts w:ascii="Century Gothic" w:eastAsia="Calibri" w:hAnsi="Century Gothic" w:cstheme="minorHAnsi"/>
          <w:color w:val="000000"/>
        </w:rPr>
      </w:pPr>
      <w:r w:rsidRPr="00C74B0F">
        <w:rPr>
          <w:rFonts w:ascii="Century Gothic" w:eastAsia="Calibri" w:hAnsi="Century Gothic" w:cstheme="minorHAnsi"/>
          <w:color w:val="000000"/>
        </w:rPr>
        <w:t xml:space="preserve">Même dans le cas où la rémunération de la mère porteuse est écartée </w:t>
      </w:r>
      <w:r w:rsidR="0078616D">
        <w:rPr>
          <w:rFonts w:ascii="Century Gothic" w:eastAsia="Calibri" w:hAnsi="Century Gothic" w:cstheme="minorHAnsi"/>
          <w:color w:val="000000"/>
        </w:rPr>
        <w:t>ou</w:t>
      </w:r>
      <w:r w:rsidRPr="00C74B0F">
        <w:rPr>
          <w:rFonts w:ascii="Century Gothic" w:eastAsia="Calibri" w:hAnsi="Century Gothic" w:cstheme="minorHAnsi"/>
          <w:color w:val="000000"/>
        </w:rPr>
        <w:t xml:space="preserve"> limitée, il s’agit, </w:t>
      </w:r>
      <w:r w:rsidRPr="004C5B07">
        <w:rPr>
          <w:rFonts w:ascii="Century Gothic" w:eastAsia="Calibri" w:hAnsi="Century Gothic" w:cstheme="minorHAnsi"/>
          <w:b/>
          <w:bCs/>
          <w:color w:val="000000"/>
        </w:rPr>
        <w:t>toujours</w:t>
      </w:r>
      <w:r w:rsidRPr="00C74B0F">
        <w:rPr>
          <w:rFonts w:ascii="Century Gothic" w:eastAsia="Calibri" w:hAnsi="Century Gothic" w:cstheme="minorHAnsi"/>
          <w:color w:val="000000"/>
        </w:rPr>
        <w:t xml:space="preserve">, d’un contrat qui a pour objet </w:t>
      </w:r>
      <w:r w:rsidR="005F2EAE">
        <w:rPr>
          <w:rFonts w:ascii="Century Gothic" w:eastAsia="Calibri" w:hAnsi="Century Gothic" w:cstheme="minorHAnsi"/>
          <w:color w:val="000000"/>
        </w:rPr>
        <w:t>la cession d’un</w:t>
      </w:r>
      <w:r w:rsidRPr="00C74B0F">
        <w:rPr>
          <w:rFonts w:ascii="Century Gothic" w:eastAsia="Calibri" w:hAnsi="Century Gothic" w:cstheme="minorHAnsi"/>
          <w:color w:val="000000"/>
        </w:rPr>
        <w:t xml:space="preserve"> enfant.</w:t>
      </w:r>
    </w:p>
    <w:p w14:paraId="65108852" w14:textId="77777777" w:rsidR="00297F61" w:rsidRPr="00C74B0F" w:rsidRDefault="00297F61" w:rsidP="005C36A9">
      <w:pPr>
        <w:spacing w:before="0" w:after="0" w:line="240" w:lineRule="auto"/>
        <w:jc w:val="both"/>
        <w:rPr>
          <w:rFonts w:ascii="Century Gothic" w:eastAsia="Calibri" w:hAnsi="Century Gothic" w:cstheme="minorHAnsi"/>
          <w:color w:val="000000"/>
        </w:rPr>
      </w:pPr>
    </w:p>
    <w:p w14:paraId="7A63F720" w14:textId="71CD013B" w:rsidR="007A0973" w:rsidRPr="00C74B0F" w:rsidRDefault="0078616D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eastAsia="Calibri" w:hAnsi="Century Gothic" w:cstheme="minorHAnsi"/>
          <w:color w:val="000000"/>
        </w:rPr>
        <w:t xml:space="preserve">Concernant la protection des femmes, </w:t>
      </w:r>
      <w:r w:rsidRPr="00C74B0F">
        <w:rPr>
          <w:rFonts w:ascii="Century Gothic" w:eastAsia="Calibri" w:hAnsi="Century Gothic" w:cstheme="minorHAnsi"/>
          <w:color w:val="000000"/>
        </w:rPr>
        <w:t xml:space="preserve">les études convergent pour montrer </w:t>
      </w:r>
      <w:r>
        <w:rPr>
          <w:rFonts w:ascii="Century Gothic" w:eastAsia="Calibri" w:hAnsi="Century Gothic" w:cstheme="minorHAnsi"/>
          <w:color w:val="000000"/>
        </w:rPr>
        <w:t xml:space="preserve">que les </w:t>
      </w:r>
      <w:r w:rsidR="00297F61" w:rsidRPr="00C74B0F">
        <w:rPr>
          <w:rFonts w:ascii="Century Gothic" w:eastAsia="Calibri" w:hAnsi="Century Gothic" w:cstheme="minorHAnsi"/>
          <w:color w:val="000000"/>
        </w:rPr>
        <w:t xml:space="preserve">femmes qui se prêtent à une ou des grossesses pour autrui </w:t>
      </w:r>
      <w:r>
        <w:rPr>
          <w:rFonts w:ascii="Century Gothic" w:eastAsia="Calibri" w:hAnsi="Century Gothic" w:cstheme="minorHAnsi"/>
          <w:color w:val="000000"/>
        </w:rPr>
        <w:t>sont</w:t>
      </w:r>
      <w:r w:rsidR="00297F61" w:rsidRPr="00C74B0F">
        <w:rPr>
          <w:rFonts w:ascii="Century Gothic" w:eastAsia="Calibri" w:hAnsi="Century Gothic" w:cstheme="minorHAnsi"/>
          <w:color w:val="000000"/>
        </w:rPr>
        <w:t xml:space="preserve"> po</w:t>
      </w:r>
      <w:r w:rsidR="00297F61" w:rsidRPr="00C74B0F">
        <w:rPr>
          <w:rFonts w:ascii="Century Gothic" w:hAnsi="Century Gothic" w:cstheme="minorHAnsi"/>
        </w:rPr>
        <w:t xml:space="preserve">ur la plupart de femmes en état de </w:t>
      </w:r>
      <w:proofErr w:type="gramStart"/>
      <w:r w:rsidR="0084591E">
        <w:rPr>
          <w:rFonts w:ascii="Century Gothic" w:hAnsi="Century Gothic" w:cstheme="minorHAnsi"/>
        </w:rPr>
        <w:t>vulnérabilité</w:t>
      </w:r>
      <w:proofErr w:type="gramEnd"/>
      <w:r w:rsidR="0084591E">
        <w:rPr>
          <w:rFonts w:ascii="Century Gothic" w:hAnsi="Century Gothic" w:cstheme="minorHAnsi"/>
        </w:rPr>
        <w:t xml:space="preserve"> </w:t>
      </w:r>
      <w:r w:rsidR="00297F61" w:rsidRPr="00C74B0F">
        <w:rPr>
          <w:rFonts w:ascii="Century Gothic" w:hAnsi="Century Gothic" w:cstheme="minorHAnsi"/>
        </w:rPr>
        <w:t>agissant pour des raisons financières, qui subissent une grossesse puis abandonnent l’enfant en échange d’argent.</w:t>
      </w:r>
    </w:p>
    <w:p w14:paraId="2F25B4B1" w14:textId="77777777" w:rsidR="00297F61" w:rsidRPr="00C74B0F" w:rsidRDefault="00297F61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1146F863" w14:textId="6FE387DC" w:rsidR="00BB2851" w:rsidRPr="00C74B0F" w:rsidRDefault="00BB2851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 xml:space="preserve">Si la pratique de la gestation pour autrui est parfois présentée comme une problématique de choix individuels, elle est en réalité alimentée par un </w:t>
      </w:r>
      <w:r w:rsidRPr="00C74B0F">
        <w:rPr>
          <w:rFonts w:ascii="Century Gothic" w:hAnsi="Century Gothic" w:cstheme="minorHAnsi"/>
          <w:b/>
          <w:bCs/>
        </w:rPr>
        <w:t>véritable marché</w:t>
      </w:r>
      <w:r w:rsidRPr="00C74B0F">
        <w:rPr>
          <w:rFonts w:ascii="Century Gothic" w:hAnsi="Century Gothic" w:cstheme="minorHAnsi"/>
        </w:rPr>
        <w:t xml:space="preserve"> sur lequel des intermédiaires (agences d’entremises, assurances, médecins) tire</w:t>
      </w:r>
      <w:r w:rsidR="0078616D">
        <w:rPr>
          <w:rFonts w:ascii="Century Gothic" w:hAnsi="Century Gothic" w:cstheme="minorHAnsi"/>
        </w:rPr>
        <w:t>nt</w:t>
      </w:r>
      <w:r w:rsidRPr="00C74B0F">
        <w:rPr>
          <w:rFonts w:ascii="Century Gothic" w:hAnsi="Century Gothic" w:cstheme="minorHAnsi"/>
        </w:rPr>
        <w:t xml:space="preserve"> des profits énormes</w:t>
      </w:r>
      <w:r w:rsidR="0078616D">
        <w:rPr>
          <w:rFonts w:ascii="Century Gothic" w:hAnsi="Century Gothic" w:cstheme="minorHAnsi"/>
        </w:rPr>
        <w:t>.</w:t>
      </w:r>
    </w:p>
    <w:p w14:paraId="2A9E4F79" w14:textId="77777777" w:rsidR="00BB2851" w:rsidRPr="00C74B0F" w:rsidRDefault="00BB2851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597E50C9" w14:textId="7D6584B7" w:rsidR="00BB2851" w:rsidRPr="005C36A9" w:rsidRDefault="00BB2851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>Le march</w:t>
      </w:r>
      <w:r w:rsidRPr="005C36A9">
        <w:rPr>
          <w:rFonts w:ascii="Century Gothic" w:hAnsi="Century Gothic" w:cstheme="minorHAnsi"/>
        </w:rPr>
        <w:t xml:space="preserve">é </w:t>
      </w:r>
      <w:r w:rsidR="0084591E">
        <w:rPr>
          <w:rFonts w:ascii="Century Gothic" w:hAnsi="Century Gothic" w:cstheme="minorHAnsi"/>
        </w:rPr>
        <w:t>mondial de la gestation</w:t>
      </w:r>
      <w:r w:rsidRPr="005C36A9">
        <w:rPr>
          <w:rFonts w:ascii="Century Gothic" w:hAnsi="Century Gothic" w:cstheme="minorHAnsi"/>
        </w:rPr>
        <w:t xml:space="preserve"> pour autrui est évalué à </w:t>
      </w:r>
      <w:r w:rsidR="0084591E">
        <w:rPr>
          <w:rFonts w:ascii="Century Gothic" w:hAnsi="Century Gothic" w:cstheme="minorHAnsi"/>
        </w:rPr>
        <w:t>14 milliards de dollars en 2</w:t>
      </w:r>
      <w:r w:rsidRPr="005C36A9">
        <w:rPr>
          <w:rFonts w:ascii="Century Gothic" w:hAnsi="Century Gothic" w:cstheme="minorHAnsi"/>
        </w:rPr>
        <w:t>022</w:t>
      </w:r>
      <w:r w:rsidR="00297F61" w:rsidRPr="005C36A9">
        <w:rPr>
          <w:rFonts w:ascii="Century Gothic" w:hAnsi="Century Gothic" w:cstheme="minorHAnsi"/>
          <w:color w:val="000000" w:themeColor="text1"/>
        </w:rPr>
        <w:t xml:space="preserve">. </w:t>
      </w:r>
    </w:p>
    <w:p w14:paraId="5BBE8D97" w14:textId="77777777" w:rsidR="005F2EAE" w:rsidRDefault="005F2EAE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4D0AAB88" w14:textId="3DE8BEC2" w:rsidR="003258DF" w:rsidRPr="00AC3A40" w:rsidRDefault="0078616D" w:rsidP="00AC3A40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5C36A9">
        <w:rPr>
          <w:rFonts w:ascii="Century Gothic" w:hAnsi="Century Gothic" w:cstheme="minorHAnsi"/>
        </w:rPr>
        <w:t xml:space="preserve">C’est un </w:t>
      </w:r>
      <w:r w:rsidRPr="004C5B07">
        <w:rPr>
          <w:rFonts w:ascii="Century Gothic" w:hAnsi="Century Gothic" w:cstheme="minorHAnsi"/>
          <w:b/>
          <w:bCs/>
        </w:rPr>
        <w:t xml:space="preserve">trafic </w:t>
      </w:r>
      <w:r w:rsidR="005F2EAE" w:rsidRPr="004C5B07">
        <w:rPr>
          <w:rFonts w:ascii="Century Gothic" w:hAnsi="Century Gothic" w:cstheme="minorHAnsi"/>
          <w:b/>
          <w:bCs/>
        </w:rPr>
        <w:t>transfrontière</w:t>
      </w:r>
      <w:r w:rsidRPr="005C36A9">
        <w:rPr>
          <w:rFonts w:ascii="Century Gothic" w:hAnsi="Century Gothic" w:cstheme="minorHAnsi"/>
        </w:rPr>
        <w:t xml:space="preserve"> </w:t>
      </w:r>
      <w:r w:rsidR="003258DF" w:rsidRPr="005C36A9">
        <w:rPr>
          <w:rFonts w:ascii="Century Gothic" w:hAnsi="Century Gothic" w:cstheme="minorHAnsi"/>
        </w:rPr>
        <w:t>dont les sordides arrangements se dé</w:t>
      </w:r>
      <w:r w:rsidR="00AC3A40">
        <w:rPr>
          <w:rFonts w:ascii="Century Gothic" w:hAnsi="Century Gothic" w:cstheme="minorHAnsi"/>
        </w:rPr>
        <w:t xml:space="preserve">voilent à l’occasion de crises. </w:t>
      </w:r>
      <w:bookmarkStart w:id="1" w:name="_GoBack"/>
      <w:bookmarkEnd w:id="1"/>
      <w:r w:rsidR="003258DF" w:rsidRPr="00AC3A40">
        <w:rPr>
          <w:rFonts w:ascii="Century Gothic" w:hAnsi="Century Gothic"/>
        </w:rPr>
        <w:t xml:space="preserve"> </w:t>
      </w:r>
    </w:p>
    <w:p w14:paraId="72742406" w14:textId="77777777" w:rsidR="003258DF" w:rsidRPr="005C36A9" w:rsidRDefault="003258DF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13CA4FDE" w14:textId="77777777" w:rsidR="003258DF" w:rsidRPr="005C36A9" w:rsidRDefault="00297F61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5C36A9">
        <w:rPr>
          <w:rFonts w:ascii="Century Gothic" w:hAnsi="Century Gothic" w:cstheme="minorHAnsi"/>
        </w:rPr>
        <w:t xml:space="preserve">Face à l’ampleur de ce </w:t>
      </w:r>
      <w:r w:rsidR="003258DF" w:rsidRPr="005C36A9">
        <w:rPr>
          <w:rFonts w:ascii="Century Gothic" w:hAnsi="Century Gothic" w:cstheme="minorHAnsi"/>
        </w:rPr>
        <w:t>trafic qui franchit sans scrupule les frontières pour chercher le pays le mieux offrant</w:t>
      </w:r>
      <w:r w:rsidRPr="005C36A9">
        <w:rPr>
          <w:rFonts w:ascii="Century Gothic" w:hAnsi="Century Gothic" w:cstheme="minorHAnsi"/>
        </w:rPr>
        <w:t xml:space="preserve">, une coopération internationale est nécessaire. </w:t>
      </w:r>
    </w:p>
    <w:p w14:paraId="28E74C73" w14:textId="77777777" w:rsidR="003258DF" w:rsidRPr="005C36A9" w:rsidRDefault="003258DF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3B5F05C8" w14:textId="7739BC8A" w:rsidR="005F2EAE" w:rsidRDefault="005F2EAE" w:rsidP="005F2EAE">
      <w:pPr>
        <w:spacing w:before="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lastRenderedPageBreak/>
        <w:t>L</w:t>
      </w:r>
      <w:r w:rsidRPr="00C74B0F">
        <w:rPr>
          <w:rFonts w:ascii="Century Gothic" w:hAnsi="Century Gothic" w:cstheme="minorHAnsi"/>
        </w:rPr>
        <w:t>’Union européenne</w:t>
      </w:r>
      <w:r w:rsidR="004C5B07">
        <w:rPr>
          <w:rFonts w:ascii="Century Gothic" w:hAnsi="Century Gothic" w:cstheme="minorHAnsi"/>
        </w:rPr>
        <w:t>, engagée dans la lutte contre tout trafic d’êtres humains,</w:t>
      </w:r>
      <w:r>
        <w:rPr>
          <w:rFonts w:ascii="Century Gothic" w:hAnsi="Century Gothic" w:cstheme="minorHAnsi"/>
        </w:rPr>
        <w:t xml:space="preserve"> commence à prendre la mesure de </w:t>
      </w:r>
      <w:r w:rsidR="004C5B07">
        <w:rPr>
          <w:rFonts w:ascii="Century Gothic" w:hAnsi="Century Gothic" w:cstheme="minorHAnsi"/>
        </w:rPr>
        <w:t>la</w:t>
      </w:r>
      <w:r>
        <w:rPr>
          <w:rFonts w:ascii="Century Gothic" w:hAnsi="Century Gothic" w:cstheme="minorHAnsi"/>
        </w:rPr>
        <w:t xml:space="preserve"> </w:t>
      </w:r>
      <w:r w:rsidR="004C5B07">
        <w:rPr>
          <w:rFonts w:ascii="Century Gothic" w:hAnsi="Century Gothic" w:cstheme="minorHAnsi"/>
        </w:rPr>
        <w:t>nécessité de contrer</w:t>
      </w:r>
      <w:r>
        <w:rPr>
          <w:rFonts w:ascii="Century Gothic" w:hAnsi="Century Gothic" w:cstheme="minorHAnsi"/>
        </w:rPr>
        <w:t xml:space="preserve"> </w:t>
      </w:r>
      <w:r w:rsidRPr="00C74B0F">
        <w:rPr>
          <w:rFonts w:ascii="Century Gothic" w:hAnsi="Century Gothic" w:cstheme="minorHAnsi"/>
        </w:rPr>
        <w:t xml:space="preserve">cette pratique très lucrative. </w:t>
      </w:r>
    </w:p>
    <w:p w14:paraId="2E854735" w14:textId="77777777" w:rsidR="005C36A9" w:rsidRPr="00C74B0F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6CC2AE58" w14:textId="6477DFBB" w:rsidR="00C305A6" w:rsidRPr="00C74B0F" w:rsidRDefault="00C305A6" w:rsidP="005C36A9">
      <w:pPr>
        <w:pStyle w:val="Heading2"/>
        <w:spacing w:before="0" w:line="240" w:lineRule="auto"/>
        <w:jc w:val="both"/>
        <w:rPr>
          <w:rFonts w:ascii="Century Gothic" w:hAnsi="Century Gothic" w:cstheme="minorHAnsi"/>
          <w:b/>
          <w:bCs/>
        </w:rPr>
      </w:pPr>
      <w:r w:rsidRPr="00C74B0F">
        <w:rPr>
          <w:rFonts w:ascii="Century Gothic" w:hAnsi="Century Gothic" w:cstheme="minorHAnsi"/>
          <w:b/>
          <w:bCs/>
        </w:rPr>
        <w:t>L</w:t>
      </w:r>
      <w:r w:rsidR="005C36A9">
        <w:rPr>
          <w:rFonts w:ascii="Century Gothic" w:hAnsi="Century Gothic" w:cstheme="minorHAnsi"/>
          <w:b/>
          <w:bCs/>
        </w:rPr>
        <w:t xml:space="preserve">a révision de la Directive </w:t>
      </w:r>
      <w:bookmarkStart w:id="2" w:name="_Hlk169646537"/>
      <w:r w:rsidR="005C36A9" w:rsidRPr="005C36A9">
        <w:rPr>
          <w:rFonts w:ascii="Century Gothic" w:hAnsi="Century Gothic" w:cstheme="minorHAnsi"/>
          <w:b/>
          <w:bCs/>
        </w:rPr>
        <w:t xml:space="preserve">2011/36/UE </w:t>
      </w:r>
      <w:bookmarkEnd w:id="2"/>
      <w:r w:rsidR="005C36A9" w:rsidRPr="005C36A9">
        <w:rPr>
          <w:rFonts w:ascii="Century Gothic" w:hAnsi="Century Gothic" w:cstheme="minorHAnsi"/>
          <w:b/>
          <w:bCs/>
        </w:rPr>
        <w:t>concernant la prévention de la traite des êtres humains et la lutte contre ce phénomène ainsi que la protection des victimes</w:t>
      </w:r>
    </w:p>
    <w:p w14:paraId="4918A15D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5E40E34A" w14:textId="42E1B274" w:rsidR="00C305A6" w:rsidRPr="00C74B0F" w:rsidRDefault="00E466E0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proofErr w:type="spellStart"/>
      <w:r>
        <w:rPr>
          <w:rFonts w:ascii="Century Gothic" w:hAnsi="Century Gothic" w:cstheme="minorHAnsi"/>
        </w:rPr>
        <w:t>A</w:t>
      </w:r>
      <w:proofErr w:type="spellEnd"/>
      <w:r>
        <w:rPr>
          <w:rFonts w:ascii="Century Gothic" w:hAnsi="Century Gothic" w:cstheme="minorHAnsi"/>
        </w:rPr>
        <w:t xml:space="preserve"> plusieurs reprises, l’Union européenne et en particulier le Parlement européen ont été amené</w:t>
      </w:r>
      <w:r w:rsidR="005F2EAE">
        <w:rPr>
          <w:rFonts w:ascii="Century Gothic" w:hAnsi="Century Gothic" w:cstheme="minorHAnsi"/>
        </w:rPr>
        <w:t>s</w:t>
      </w:r>
      <w:r>
        <w:rPr>
          <w:rFonts w:ascii="Century Gothic" w:hAnsi="Century Gothic" w:cstheme="minorHAnsi"/>
        </w:rPr>
        <w:t xml:space="preserve"> à affirmer le </w:t>
      </w:r>
      <w:r w:rsidRPr="005C36A9">
        <w:rPr>
          <w:rFonts w:ascii="Century Gothic" w:hAnsi="Century Gothic" w:cstheme="minorHAnsi"/>
          <w:b/>
          <w:bCs/>
        </w:rPr>
        <w:t xml:space="preserve">lien intrinsèque entre </w:t>
      </w:r>
      <w:r w:rsidR="0078616D" w:rsidRPr="005C36A9">
        <w:rPr>
          <w:rFonts w:ascii="Century Gothic" w:hAnsi="Century Gothic" w:cstheme="minorHAnsi"/>
          <w:b/>
          <w:bCs/>
        </w:rPr>
        <w:t xml:space="preserve">gestation pour autrui et </w:t>
      </w:r>
      <w:r w:rsidRPr="005C36A9">
        <w:rPr>
          <w:rFonts w:ascii="Century Gothic" w:hAnsi="Century Gothic" w:cstheme="minorHAnsi"/>
          <w:b/>
          <w:bCs/>
        </w:rPr>
        <w:t>trafic d’êtres humains</w:t>
      </w:r>
      <w:r>
        <w:rPr>
          <w:rFonts w:ascii="Century Gothic" w:hAnsi="Century Gothic" w:cstheme="minorHAnsi"/>
        </w:rPr>
        <w:t>.</w:t>
      </w:r>
    </w:p>
    <w:p w14:paraId="19622118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4ED2C119" w14:textId="48CDC743" w:rsidR="005C36A9" w:rsidRDefault="00344D85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 xml:space="preserve">Le 21 janvier 2021, le Parlement européen a qualifié </w:t>
      </w:r>
      <w:r w:rsidR="005E1B80" w:rsidRPr="00C74B0F">
        <w:rPr>
          <w:rFonts w:ascii="Century Gothic" w:hAnsi="Century Gothic" w:cstheme="minorHAnsi"/>
        </w:rPr>
        <w:t xml:space="preserve">pour la </w:t>
      </w:r>
      <w:r w:rsidRPr="00C74B0F">
        <w:rPr>
          <w:rFonts w:ascii="Century Gothic" w:hAnsi="Century Gothic" w:cstheme="minorHAnsi"/>
        </w:rPr>
        <w:t>seconde</w:t>
      </w:r>
      <w:r w:rsidR="005E1B80" w:rsidRPr="00C74B0F">
        <w:rPr>
          <w:rFonts w:ascii="Century Gothic" w:hAnsi="Century Gothic" w:cstheme="minorHAnsi"/>
        </w:rPr>
        <w:t xml:space="preserve"> fois</w:t>
      </w:r>
      <w:r w:rsidRPr="00C74B0F">
        <w:rPr>
          <w:rFonts w:ascii="Century Gothic" w:hAnsi="Century Gothic" w:cstheme="minorHAnsi"/>
        </w:rPr>
        <w:t xml:space="preserve"> la GPA de « </w:t>
      </w:r>
      <w:r w:rsidRPr="00C74B0F">
        <w:rPr>
          <w:rFonts w:ascii="Century Gothic" w:hAnsi="Century Gothic" w:cstheme="minorHAnsi"/>
          <w:i/>
          <w:iCs/>
        </w:rPr>
        <w:t>violation de la dignité humaine et des droits de l’homme</w:t>
      </w:r>
      <w:r w:rsidRPr="00C74B0F">
        <w:rPr>
          <w:rFonts w:ascii="Century Gothic" w:hAnsi="Century Gothic" w:cstheme="minorHAnsi"/>
        </w:rPr>
        <w:t> »</w:t>
      </w:r>
      <w:r w:rsidRPr="00C74B0F">
        <w:rPr>
          <w:rFonts w:ascii="Century Gothic" w:hAnsi="Century Gothic" w:cstheme="minorHAnsi"/>
          <w:vertAlign w:val="superscript"/>
        </w:rPr>
        <w:footnoteReference w:id="2"/>
      </w:r>
      <w:r w:rsidRPr="00C74B0F">
        <w:rPr>
          <w:rFonts w:ascii="Century Gothic" w:hAnsi="Century Gothic" w:cstheme="minorHAnsi"/>
        </w:rPr>
        <w:t xml:space="preserve"> dans son rapport sur l’égalité entre les hommes et les femmes. </w:t>
      </w:r>
    </w:p>
    <w:p w14:paraId="5E5CCA8B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4C02C083" w14:textId="649C61B2" w:rsidR="001D6550" w:rsidRPr="00C74B0F" w:rsidRDefault="00344D85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>Dans des termes quasi-identiques, son rapport sur les droits de l’Homme de 2015 condamnait déjà cette pratique</w:t>
      </w:r>
      <w:r w:rsidRPr="00C74B0F">
        <w:rPr>
          <w:rFonts w:ascii="Century Gothic" w:hAnsi="Century Gothic" w:cstheme="minorHAnsi"/>
          <w:vertAlign w:val="superscript"/>
        </w:rPr>
        <w:footnoteReference w:id="3"/>
      </w:r>
      <w:r w:rsidRPr="00C74B0F">
        <w:rPr>
          <w:rFonts w:ascii="Century Gothic" w:hAnsi="Century Gothic" w:cstheme="minorHAnsi"/>
        </w:rPr>
        <w:t xml:space="preserve">. </w:t>
      </w:r>
    </w:p>
    <w:p w14:paraId="491A2BE2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1DC23413" w14:textId="28D33161" w:rsidR="005C36A9" w:rsidRDefault="005E1B80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 xml:space="preserve">Les </w:t>
      </w:r>
      <w:r w:rsidR="00344D85" w:rsidRPr="00C74B0F">
        <w:rPr>
          <w:rFonts w:ascii="Century Gothic" w:hAnsi="Century Gothic" w:cstheme="minorHAnsi"/>
        </w:rPr>
        <w:t>députés européens</w:t>
      </w:r>
      <w:r w:rsidRPr="00C74B0F">
        <w:rPr>
          <w:rFonts w:ascii="Century Gothic" w:hAnsi="Century Gothic" w:cstheme="minorHAnsi"/>
        </w:rPr>
        <w:t xml:space="preserve"> se sont de nouveaux saisis de la question 6 ans plus tard et</w:t>
      </w:r>
      <w:r w:rsidR="00344D85" w:rsidRPr="00C74B0F">
        <w:rPr>
          <w:rFonts w:ascii="Century Gothic" w:hAnsi="Century Gothic" w:cstheme="minorHAnsi"/>
        </w:rPr>
        <w:t xml:space="preserve"> </w:t>
      </w:r>
      <w:r w:rsidR="005C36A9">
        <w:rPr>
          <w:rFonts w:ascii="Century Gothic" w:hAnsi="Century Gothic" w:cstheme="minorHAnsi"/>
        </w:rPr>
        <w:t>ont refait</w:t>
      </w:r>
      <w:r w:rsidR="00344D85" w:rsidRPr="00C74B0F">
        <w:rPr>
          <w:rFonts w:ascii="Century Gothic" w:hAnsi="Century Gothic" w:cstheme="minorHAnsi"/>
        </w:rPr>
        <w:t xml:space="preserve"> le constat que « </w:t>
      </w:r>
      <w:r w:rsidR="00344D85" w:rsidRPr="00C74B0F">
        <w:rPr>
          <w:rFonts w:ascii="Century Gothic" w:hAnsi="Century Gothic" w:cstheme="minorHAnsi"/>
          <w:i/>
          <w:iCs/>
        </w:rPr>
        <w:t>l’exploitation sexuelle à des fins de gestation pour autrui et de reproduction (…) est inacceptable</w:t>
      </w:r>
      <w:r w:rsidR="00344D85" w:rsidRPr="00C74B0F">
        <w:rPr>
          <w:rFonts w:ascii="Century Gothic" w:hAnsi="Century Gothic" w:cstheme="minorHAnsi"/>
        </w:rPr>
        <w:t xml:space="preserve"> » </w:t>
      </w:r>
      <w:r w:rsidR="00344D85" w:rsidRPr="00C74B0F">
        <w:rPr>
          <w:rFonts w:ascii="Century Gothic" w:hAnsi="Century Gothic" w:cstheme="minorHAnsi"/>
          <w:vertAlign w:val="superscript"/>
        </w:rPr>
        <w:footnoteReference w:id="4"/>
      </w:r>
      <w:r w:rsidR="00344D85" w:rsidRPr="00C74B0F">
        <w:rPr>
          <w:rFonts w:ascii="Century Gothic" w:hAnsi="Century Gothic" w:cstheme="minorHAnsi"/>
        </w:rPr>
        <w:t>.</w:t>
      </w:r>
    </w:p>
    <w:p w14:paraId="17E04CBD" w14:textId="25781A6E" w:rsidR="00344D85" w:rsidRPr="00C74B0F" w:rsidRDefault="00344D85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515E7E5D" w14:textId="77777777" w:rsidR="005C36A9" w:rsidRDefault="005C36A9" w:rsidP="005C3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4CFFB604" w14:textId="7AD3DC0E" w:rsidR="005C36A9" w:rsidRDefault="001D6550" w:rsidP="005C3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 xml:space="preserve">Le 23 avril 2024, le Parlement européen a voté en faveur de la révision de la </w:t>
      </w:r>
      <w:r w:rsidR="005C36A9">
        <w:rPr>
          <w:rFonts w:ascii="Century Gothic" w:hAnsi="Century Gothic" w:cstheme="minorHAnsi"/>
        </w:rPr>
        <w:t>D</w:t>
      </w:r>
      <w:r w:rsidRPr="00C74B0F">
        <w:rPr>
          <w:rFonts w:ascii="Century Gothic" w:hAnsi="Century Gothic" w:cstheme="minorHAnsi"/>
        </w:rPr>
        <w:t>irective</w:t>
      </w:r>
      <w:r w:rsidR="005C36A9">
        <w:rPr>
          <w:rFonts w:ascii="Century Gothic" w:hAnsi="Century Gothic" w:cstheme="minorHAnsi"/>
        </w:rPr>
        <w:t xml:space="preserve"> </w:t>
      </w:r>
      <w:r w:rsidR="005C36A9" w:rsidRPr="005C36A9">
        <w:rPr>
          <w:rFonts w:ascii="Century Gothic" w:hAnsi="Century Gothic" w:cstheme="minorHAnsi"/>
        </w:rPr>
        <w:t>2011/36/UE</w:t>
      </w:r>
      <w:r w:rsidRPr="00C74B0F">
        <w:rPr>
          <w:rFonts w:ascii="Century Gothic" w:hAnsi="Century Gothic" w:cstheme="minorHAnsi"/>
        </w:rPr>
        <w:t xml:space="preserve"> sur la lutte contre la traite des êtres humains, qui inclut </w:t>
      </w:r>
      <w:r w:rsidR="004C5B07">
        <w:rPr>
          <w:rFonts w:ascii="Century Gothic" w:hAnsi="Century Gothic" w:cstheme="minorHAnsi"/>
        </w:rPr>
        <w:t>« </w:t>
      </w:r>
      <w:r w:rsidRPr="004C5B07">
        <w:rPr>
          <w:rFonts w:ascii="Century Gothic" w:hAnsi="Century Gothic" w:cstheme="minorHAnsi"/>
          <w:i/>
          <w:iCs/>
        </w:rPr>
        <w:t xml:space="preserve">l'exploitation de la </w:t>
      </w:r>
      <w:r w:rsidR="004C5B07" w:rsidRPr="004C5B07">
        <w:rPr>
          <w:rFonts w:ascii="Century Gothic" w:hAnsi="Century Gothic" w:cstheme="minorHAnsi"/>
          <w:i/>
          <w:iCs/>
        </w:rPr>
        <w:t>gestation pour autrui</w:t>
      </w:r>
      <w:r w:rsidR="004C5B07">
        <w:rPr>
          <w:rFonts w:ascii="Century Gothic" w:hAnsi="Century Gothic" w:cstheme="minorHAnsi"/>
          <w:i/>
          <w:iCs/>
        </w:rPr>
        <w:t xml:space="preserve"> </w:t>
      </w:r>
      <w:r w:rsidR="004C5B07">
        <w:rPr>
          <w:rFonts w:ascii="Century Gothic" w:hAnsi="Century Gothic" w:cstheme="minorHAnsi"/>
        </w:rPr>
        <w:t>»</w:t>
      </w:r>
      <w:r w:rsidRPr="00C74B0F">
        <w:rPr>
          <w:rFonts w:ascii="Century Gothic" w:hAnsi="Century Gothic" w:cstheme="minorHAnsi"/>
        </w:rPr>
        <w:t xml:space="preserve"> comme cas minimal de traite au niveau européen, au même titre que l'esclavage ou la prostitution forcée</w:t>
      </w:r>
      <w:r w:rsidR="00E466E0">
        <w:rPr>
          <w:rStyle w:val="FootnoteReference"/>
          <w:rFonts w:ascii="Century Gothic" w:hAnsi="Century Gothic" w:cstheme="minorHAnsi"/>
        </w:rPr>
        <w:footnoteReference w:id="5"/>
      </w:r>
      <w:r w:rsidRPr="00C74B0F">
        <w:rPr>
          <w:rFonts w:ascii="Century Gothic" w:hAnsi="Century Gothic" w:cstheme="minorHAnsi"/>
        </w:rPr>
        <w:t>.</w:t>
      </w:r>
    </w:p>
    <w:p w14:paraId="082A9060" w14:textId="3E548F06" w:rsidR="001D6550" w:rsidRPr="00C74B0F" w:rsidRDefault="001D6550" w:rsidP="005C3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 xml:space="preserve"> </w:t>
      </w:r>
    </w:p>
    <w:p w14:paraId="3467E6B3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09098AE7" w14:textId="6F7D8146" w:rsidR="001D6550" w:rsidRDefault="001D6550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>Cette</w:t>
      </w:r>
      <w:r w:rsidRPr="001D6550">
        <w:rPr>
          <w:rFonts w:ascii="Century Gothic" w:hAnsi="Century Gothic" w:cstheme="minorHAnsi"/>
        </w:rPr>
        <w:t xml:space="preserve"> Directive a pour objet d’établir « </w:t>
      </w:r>
      <w:r w:rsidRPr="001D6550">
        <w:rPr>
          <w:rFonts w:ascii="Century Gothic" w:hAnsi="Century Gothic" w:cstheme="minorHAnsi"/>
          <w:i/>
          <w:iCs/>
        </w:rPr>
        <w:t>des règles minimales relatives à la définition des infractions pénales et des sanctions</w:t>
      </w:r>
      <w:r w:rsidR="004C5B07">
        <w:rPr>
          <w:rFonts w:ascii="Century Gothic" w:hAnsi="Century Gothic" w:cstheme="minorHAnsi"/>
          <w:i/>
          <w:iCs/>
        </w:rPr>
        <w:t> »</w:t>
      </w:r>
      <w:r w:rsidRPr="001D6550">
        <w:rPr>
          <w:rFonts w:ascii="Century Gothic" w:hAnsi="Century Gothic" w:cstheme="minorHAnsi"/>
          <w:i/>
          <w:iCs/>
        </w:rPr>
        <w:t xml:space="preserve"> </w:t>
      </w:r>
      <w:r w:rsidRPr="004C5B07">
        <w:rPr>
          <w:rFonts w:ascii="Century Gothic" w:hAnsi="Century Gothic" w:cstheme="minorHAnsi"/>
        </w:rPr>
        <w:t>dans le domaine de la traite des êtres humains</w:t>
      </w:r>
      <w:r w:rsidRPr="001D6550">
        <w:rPr>
          <w:rFonts w:ascii="Century Gothic" w:hAnsi="Century Gothic" w:cstheme="minorHAnsi"/>
        </w:rPr>
        <w:t xml:space="preserve"> (art</w:t>
      </w:r>
      <w:r w:rsidR="005F2EAE">
        <w:rPr>
          <w:rFonts w:ascii="Century Gothic" w:hAnsi="Century Gothic" w:cstheme="minorHAnsi"/>
        </w:rPr>
        <w:t>icle</w:t>
      </w:r>
      <w:r w:rsidRPr="001D6550">
        <w:rPr>
          <w:rFonts w:ascii="Century Gothic" w:hAnsi="Century Gothic" w:cstheme="minorHAnsi"/>
        </w:rPr>
        <w:t xml:space="preserve"> 1er)</w:t>
      </w:r>
      <w:r w:rsidR="005F2EAE">
        <w:rPr>
          <w:rFonts w:ascii="Century Gothic" w:hAnsi="Century Gothic" w:cstheme="minorHAnsi"/>
        </w:rPr>
        <w:t>.</w:t>
      </w:r>
    </w:p>
    <w:p w14:paraId="0B278C73" w14:textId="77777777" w:rsidR="005F2EAE" w:rsidRPr="00C74B0F" w:rsidRDefault="005F2EAE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518D8F62" w14:textId="77DDC6F2" w:rsidR="001D6550" w:rsidRDefault="001D6550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 xml:space="preserve">Elle prévoit </w:t>
      </w:r>
      <w:r w:rsidR="0084591E">
        <w:rPr>
          <w:rFonts w:ascii="Century Gothic" w:hAnsi="Century Gothic" w:cstheme="minorHAnsi"/>
        </w:rPr>
        <w:t>une liste minimale</w:t>
      </w:r>
      <w:r w:rsidRPr="001D6550">
        <w:rPr>
          <w:rFonts w:ascii="Century Gothic" w:hAnsi="Century Gothic" w:cstheme="minorHAnsi"/>
        </w:rPr>
        <w:t xml:space="preserve"> des actes intentionnels que les États doivent punir </w:t>
      </w:r>
      <w:r w:rsidR="005F2EAE">
        <w:rPr>
          <w:rFonts w:ascii="Century Gothic" w:hAnsi="Century Gothic" w:cstheme="minorHAnsi"/>
        </w:rPr>
        <w:t>comme</w:t>
      </w:r>
      <w:r w:rsidRPr="001D6550">
        <w:rPr>
          <w:rFonts w:ascii="Century Gothic" w:hAnsi="Century Gothic" w:cstheme="minorHAnsi"/>
        </w:rPr>
        <w:t xml:space="preserve"> relevant de la traite des êtres humains (art</w:t>
      </w:r>
      <w:r w:rsidR="005F2EAE">
        <w:rPr>
          <w:rFonts w:ascii="Century Gothic" w:hAnsi="Century Gothic" w:cstheme="minorHAnsi"/>
        </w:rPr>
        <w:t>icle</w:t>
      </w:r>
      <w:r w:rsidRPr="001D6550">
        <w:rPr>
          <w:rFonts w:ascii="Century Gothic" w:hAnsi="Century Gothic" w:cstheme="minorHAnsi"/>
        </w:rPr>
        <w:t xml:space="preserve"> 2).</w:t>
      </w:r>
    </w:p>
    <w:p w14:paraId="35AF8171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2E3E0699" w14:textId="7387C80C" w:rsidR="00E466E0" w:rsidRDefault="00E466E0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Le texte adopté par le Parlement européen le 23 avril 2024 est rédigé comme il suit : </w:t>
      </w:r>
    </w:p>
    <w:p w14:paraId="58807016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1B2214A0" w14:textId="77777777" w:rsidR="00E466E0" w:rsidRDefault="00E466E0" w:rsidP="005C36A9">
      <w:pPr>
        <w:spacing w:before="0" w:after="0" w:line="240" w:lineRule="auto"/>
        <w:ind w:left="708"/>
        <w:jc w:val="both"/>
        <w:rPr>
          <w:rFonts w:ascii="Century Gothic" w:hAnsi="Century Gothic" w:cstheme="minorHAnsi"/>
          <w:i/>
          <w:iCs/>
        </w:rPr>
      </w:pPr>
      <w:r>
        <w:rPr>
          <w:rFonts w:ascii="Century Gothic" w:hAnsi="Century Gothic" w:cstheme="minorHAnsi"/>
        </w:rPr>
        <w:t>« </w:t>
      </w:r>
      <w:r w:rsidRPr="00E466E0">
        <w:rPr>
          <w:rFonts w:ascii="Century Gothic" w:hAnsi="Century Gothic" w:cstheme="minorHAnsi"/>
          <w:i/>
          <w:iCs/>
        </w:rPr>
        <w:t>La directive 2011/36/UE est modifiée comme suit:</w:t>
      </w:r>
    </w:p>
    <w:p w14:paraId="35D95500" w14:textId="77777777" w:rsidR="005C36A9" w:rsidRPr="00E466E0" w:rsidRDefault="005C36A9" w:rsidP="005C36A9">
      <w:pPr>
        <w:spacing w:before="0" w:after="0" w:line="240" w:lineRule="auto"/>
        <w:ind w:left="708"/>
        <w:jc w:val="both"/>
        <w:rPr>
          <w:rFonts w:ascii="Century Gothic" w:hAnsi="Century Gothic" w:cstheme="minorHAnsi"/>
          <w:i/>
          <w:iCs/>
        </w:rPr>
      </w:pPr>
    </w:p>
    <w:p w14:paraId="4E2E55A6" w14:textId="39EB7916" w:rsidR="00E466E0" w:rsidRDefault="00E466E0" w:rsidP="005C36A9">
      <w:pPr>
        <w:spacing w:before="0" w:after="0" w:line="240" w:lineRule="auto"/>
        <w:ind w:left="708"/>
        <w:jc w:val="both"/>
        <w:rPr>
          <w:rFonts w:ascii="Century Gothic" w:hAnsi="Century Gothic" w:cstheme="minorHAnsi"/>
          <w:i/>
          <w:iCs/>
        </w:rPr>
      </w:pPr>
      <w:r w:rsidRPr="00E466E0">
        <w:rPr>
          <w:rFonts w:ascii="Century Gothic" w:hAnsi="Century Gothic" w:cstheme="minorHAnsi"/>
          <w:i/>
          <w:iCs/>
        </w:rPr>
        <w:t>1)</w:t>
      </w:r>
      <w:r w:rsidR="004C5B07">
        <w:rPr>
          <w:rFonts w:ascii="Century Gothic" w:hAnsi="Century Gothic" w:cstheme="minorHAnsi"/>
          <w:i/>
          <w:iCs/>
        </w:rPr>
        <w:t xml:space="preserve"> </w:t>
      </w:r>
      <w:r w:rsidRPr="00E466E0">
        <w:rPr>
          <w:rFonts w:ascii="Century Gothic" w:hAnsi="Century Gothic" w:cstheme="minorHAnsi"/>
          <w:i/>
          <w:iCs/>
        </w:rPr>
        <w:t>L'article 2 est modifié comme suit:</w:t>
      </w:r>
    </w:p>
    <w:p w14:paraId="363760D7" w14:textId="77777777" w:rsidR="005C36A9" w:rsidRPr="00E466E0" w:rsidRDefault="005C36A9" w:rsidP="005C36A9">
      <w:pPr>
        <w:spacing w:before="0" w:after="0" w:line="240" w:lineRule="auto"/>
        <w:ind w:left="708"/>
        <w:jc w:val="both"/>
        <w:rPr>
          <w:rFonts w:ascii="Century Gothic" w:hAnsi="Century Gothic" w:cstheme="minorHAnsi"/>
          <w:i/>
          <w:iCs/>
        </w:rPr>
      </w:pPr>
    </w:p>
    <w:p w14:paraId="13177108" w14:textId="6BB1523A" w:rsidR="00E466E0" w:rsidRDefault="00E466E0" w:rsidP="005C36A9">
      <w:pPr>
        <w:spacing w:before="0" w:after="0" w:line="240" w:lineRule="auto"/>
        <w:ind w:left="708"/>
        <w:jc w:val="both"/>
        <w:rPr>
          <w:rFonts w:ascii="Century Gothic" w:hAnsi="Century Gothic" w:cstheme="minorHAnsi"/>
          <w:i/>
          <w:iCs/>
        </w:rPr>
      </w:pPr>
      <w:r w:rsidRPr="00E466E0">
        <w:rPr>
          <w:rFonts w:ascii="Century Gothic" w:hAnsi="Century Gothic" w:cstheme="minorHAnsi"/>
          <w:i/>
          <w:iCs/>
        </w:rPr>
        <w:t>a)</w:t>
      </w:r>
      <w:r w:rsidR="004C5B07">
        <w:rPr>
          <w:rFonts w:ascii="Century Gothic" w:hAnsi="Century Gothic" w:cstheme="minorHAnsi"/>
          <w:i/>
          <w:iCs/>
        </w:rPr>
        <w:t xml:space="preserve"> </w:t>
      </w:r>
      <w:r w:rsidRPr="00E466E0">
        <w:rPr>
          <w:rFonts w:ascii="Century Gothic" w:hAnsi="Century Gothic" w:cstheme="minorHAnsi"/>
          <w:i/>
          <w:iCs/>
        </w:rPr>
        <w:t>le paragraphe 3 est remplacé par le texte suivant:"</w:t>
      </w:r>
    </w:p>
    <w:p w14:paraId="7A64BEF3" w14:textId="77777777" w:rsidR="005C36A9" w:rsidRPr="00E466E0" w:rsidRDefault="005C36A9" w:rsidP="005C36A9">
      <w:pPr>
        <w:spacing w:before="0" w:after="0" w:line="240" w:lineRule="auto"/>
        <w:ind w:left="708"/>
        <w:jc w:val="both"/>
        <w:rPr>
          <w:rFonts w:ascii="Century Gothic" w:hAnsi="Century Gothic" w:cstheme="minorHAnsi"/>
          <w:i/>
          <w:iCs/>
        </w:rPr>
      </w:pPr>
    </w:p>
    <w:p w14:paraId="1A88439F" w14:textId="42A30A12" w:rsidR="00E466E0" w:rsidRPr="00E466E0" w:rsidRDefault="00E466E0" w:rsidP="005C36A9">
      <w:pPr>
        <w:spacing w:before="0" w:after="0" w:line="240" w:lineRule="auto"/>
        <w:ind w:left="708"/>
        <w:jc w:val="both"/>
        <w:rPr>
          <w:rFonts w:ascii="Century Gothic" w:hAnsi="Century Gothic" w:cstheme="minorHAnsi"/>
        </w:rPr>
      </w:pPr>
      <w:r w:rsidRPr="00E466E0">
        <w:rPr>
          <w:rFonts w:ascii="Century Gothic" w:hAnsi="Century Gothic" w:cstheme="minorHAnsi"/>
          <w:i/>
          <w:iCs/>
        </w:rPr>
        <w:t xml:space="preserve">"3. L'exploitation comprend, au minimum, l'exploitation de la prostitution d'autrui ou d'autres formes d'exploitation sexuelle, le travail ou les services forcés, y compris la mendicité, l'esclavage ou les pratiques analogues à l'esclavage, la servitude, ou </w:t>
      </w:r>
      <w:r w:rsidRPr="00E466E0">
        <w:rPr>
          <w:rFonts w:ascii="Century Gothic" w:hAnsi="Century Gothic" w:cstheme="minorHAnsi"/>
          <w:i/>
          <w:iCs/>
        </w:rPr>
        <w:lastRenderedPageBreak/>
        <w:t>l'exploitation d'activités criminelles, ou le prélèvement d'organes, ou l'exploitation de la gestation pour autrui, du mariage forcé ou de l'adoption illégale.";</w:t>
      </w:r>
      <w:r>
        <w:rPr>
          <w:rFonts w:ascii="Century Gothic" w:hAnsi="Century Gothic" w:cstheme="minorHAnsi"/>
        </w:rPr>
        <w:t> »</w:t>
      </w:r>
      <w:r>
        <w:rPr>
          <w:rStyle w:val="FootnoteReference"/>
          <w:rFonts w:ascii="Century Gothic" w:hAnsi="Century Gothic" w:cstheme="minorHAnsi"/>
        </w:rPr>
        <w:footnoteReference w:id="6"/>
      </w:r>
    </w:p>
    <w:p w14:paraId="767E586C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425E1F8A" w14:textId="77777777" w:rsidR="005C36A9" w:rsidRDefault="00E466E0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Ce texte</w:t>
      </w:r>
      <w:r w:rsidR="001D6550" w:rsidRPr="00C74B0F">
        <w:rPr>
          <w:rFonts w:ascii="Century Gothic" w:hAnsi="Century Gothic" w:cstheme="minorHAnsi"/>
        </w:rPr>
        <w:t xml:space="preserve"> a été approuvée par 563 voix pour, sept voix contre et 17 abstentions.</w:t>
      </w:r>
    </w:p>
    <w:p w14:paraId="3D1D71D9" w14:textId="77777777" w:rsidR="005C36A9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57C5E1B4" w14:textId="1D1B6CBE" w:rsidR="001D6550" w:rsidRDefault="001D6550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>Ce travail a été fait avec les élues de la Gauche européenne en charge de cette directive : refuser l’exploitation des femmes et la marchandisation des enfants est un combat qui réunit au-delà des clivages politiques.</w:t>
      </w:r>
    </w:p>
    <w:p w14:paraId="3C320D67" w14:textId="77777777" w:rsidR="005C36A9" w:rsidRPr="00C74B0F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583DFB04" w14:textId="571CA8DA" w:rsidR="00C74B0F" w:rsidRPr="00C74B0F" w:rsidRDefault="00C74B0F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C74B0F">
        <w:rPr>
          <w:rFonts w:ascii="Century Gothic" w:hAnsi="Century Gothic" w:cstheme="minorHAnsi"/>
        </w:rPr>
        <w:t xml:space="preserve">Après l’approbation formelle du </w:t>
      </w:r>
      <w:r w:rsidR="005C36A9">
        <w:rPr>
          <w:rFonts w:ascii="Century Gothic" w:hAnsi="Century Gothic" w:cstheme="minorHAnsi"/>
        </w:rPr>
        <w:t>C</w:t>
      </w:r>
      <w:r w:rsidRPr="00C74B0F">
        <w:rPr>
          <w:rFonts w:ascii="Century Gothic" w:hAnsi="Century Gothic" w:cstheme="minorHAnsi"/>
        </w:rPr>
        <w:t>onseil européen</w:t>
      </w:r>
      <w:r w:rsidR="005C36A9">
        <w:rPr>
          <w:rFonts w:ascii="Century Gothic" w:hAnsi="Century Gothic" w:cstheme="minorHAnsi"/>
        </w:rPr>
        <w:t xml:space="preserve"> et son entrée en vigueur, </w:t>
      </w:r>
      <w:r w:rsidRPr="00C74B0F">
        <w:rPr>
          <w:rFonts w:ascii="Century Gothic" w:hAnsi="Century Gothic" w:cstheme="minorHAnsi"/>
        </w:rPr>
        <w:t xml:space="preserve">les </w:t>
      </w:r>
      <w:proofErr w:type="spellStart"/>
      <w:r w:rsidRPr="00C74B0F">
        <w:rPr>
          <w:rFonts w:ascii="Century Gothic" w:hAnsi="Century Gothic" w:cstheme="minorHAnsi"/>
        </w:rPr>
        <w:t>Etats</w:t>
      </w:r>
      <w:proofErr w:type="spellEnd"/>
      <w:r w:rsidRPr="00C74B0F">
        <w:rPr>
          <w:rFonts w:ascii="Century Gothic" w:hAnsi="Century Gothic" w:cstheme="minorHAnsi"/>
        </w:rPr>
        <w:t xml:space="preserve"> membres auront deux ans pour transposer la </w:t>
      </w:r>
      <w:r w:rsidR="005C36A9">
        <w:rPr>
          <w:rFonts w:ascii="Century Gothic" w:hAnsi="Century Gothic" w:cstheme="minorHAnsi"/>
        </w:rPr>
        <w:t>D</w:t>
      </w:r>
      <w:r w:rsidRPr="00C74B0F">
        <w:rPr>
          <w:rFonts w:ascii="Century Gothic" w:hAnsi="Century Gothic" w:cstheme="minorHAnsi"/>
        </w:rPr>
        <w:t>irective dans leur droit interne.</w:t>
      </w:r>
    </w:p>
    <w:p w14:paraId="426DA40E" w14:textId="77777777" w:rsidR="00C74B0F" w:rsidRPr="00C74B0F" w:rsidRDefault="00C74B0F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24262381" w14:textId="3CD55FA7" w:rsidR="00BB2851" w:rsidRDefault="001D6550" w:rsidP="005C36A9">
      <w:pPr>
        <w:spacing w:before="0" w:after="0" w:line="240" w:lineRule="auto"/>
        <w:jc w:val="both"/>
        <w:rPr>
          <w:rFonts w:ascii="Century Gothic" w:hAnsi="Century Gothic" w:cstheme="minorHAnsi"/>
          <w:b/>
          <w:bCs/>
        </w:rPr>
      </w:pPr>
      <w:r w:rsidRPr="0078616D">
        <w:rPr>
          <w:rFonts w:ascii="Century Gothic" w:hAnsi="Century Gothic" w:cstheme="minorHAnsi"/>
          <w:b/>
          <w:bCs/>
        </w:rPr>
        <w:t>A</w:t>
      </w:r>
      <w:r w:rsidR="00BB2851" w:rsidRPr="0078616D">
        <w:rPr>
          <w:rFonts w:ascii="Century Gothic" w:hAnsi="Century Gothic" w:cstheme="minorHAnsi"/>
          <w:b/>
          <w:bCs/>
        </w:rPr>
        <w:t xml:space="preserve"> l’occasion du vote sur la Directive combattant le trafic d’êtres humains, j’ai reçu au Parlement européen, le 26 avril 2024, Madame Olivia Maurel</w:t>
      </w:r>
      <w:r w:rsidR="004C5B07">
        <w:rPr>
          <w:rFonts w:ascii="Century Gothic" w:hAnsi="Century Gothic" w:cstheme="minorHAnsi"/>
          <w:b/>
          <w:bCs/>
        </w:rPr>
        <w:t>,</w:t>
      </w:r>
      <w:r w:rsidR="00BB2851" w:rsidRPr="0078616D">
        <w:rPr>
          <w:rFonts w:ascii="Century Gothic" w:hAnsi="Century Gothic" w:cstheme="minorHAnsi"/>
          <w:b/>
          <w:bCs/>
        </w:rPr>
        <w:t xml:space="preserve"> venue partager au Parlement son témoignage courageux d’enfant née de GPA</w:t>
      </w:r>
      <w:r w:rsidR="00E466E0" w:rsidRPr="0078616D">
        <w:rPr>
          <w:rFonts w:ascii="Century Gothic" w:hAnsi="Century Gothic" w:cstheme="minorHAnsi"/>
          <w:b/>
          <w:bCs/>
        </w:rPr>
        <w:t>.</w:t>
      </w:r>
    </w:p>
    <w:p w14:paraId="0E04D316" w14:textId="77777777" w:rsidR="005C36A9" w:rsidRPr="0078616D" w:rsidRDefault="005C36A9" w:rsidP="005C36A9">
      <w:pPr>
        <w:spacing w:before="0" w:after="0" w:line="240" w:lineRule="auto"/>
        <w:jc w:val="both"/>
        <w:rPr>
          <w:rFonts w:ascii="Century Gothic" w:hAnsi="Century Gothic" w:cstheme="minorHAnsi"/>
          <w:b/>
          <w:bCs/>
        </w:rPr>
      </w:pPr>
    </w:p>
    <w:p w14:paraId="130F1D7C" w14:textId="125D1327" w:rsidR="00E466E0" w:rsidRDefault="00E466E0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E466E0">
        <w:rPr>
          <w:rFonts w:ascii="Century Gothic" w:hAnsi="Century Gothic" w:cstheme="minorHAnsi"/>
        </w:rPr>
        <w:t>Elle a déclaré notamment que la pratique de la gestation pour autrui met un enfant</w:t>
      </w:r>
      <w:r w:rsidR="004C5B07">
        <w:rPr>
          <w:rFonts w:ascii="Century Gothic" w:hAnsi="Century Gothic" w:cstheme="minorHAnsi"/>
        </w:rPr>
        <w:t>,</w:t>
      </w:r>
      <w:r w:rsidRPr="00E466E0">
        <w:rPr>
          <w:rFonts w:ascii="Century Gothic" w:hAnsi="Century Gothic" w:cstheme="minorHAnsi"/>
        </w:rPr>
        <w:t xml:space="preserve"> avant la conception</w:t>
      </w:r>
      <w:r w:rsidR="004C5B07">
        <w:rPr>
          <w:rFonts w:ascii="Century Gothic" w:hAnsi="Century Gothic" w:cstheme="minorHAnsi"/>
        </w:rPr>
        <w:t>,</w:t>
      </w:r>
      <w:r w:rsidRPr="00E466E0">
        <w:rPr>
          <w:rFonts w:ascii="Century Gothic" w:hAnsi="Century Gothic" w:cstheme="minorHAnsi"/>
        </w:rPr>
        <w:t xml:space="preserve"> au milieu d'un contrat</w:t>
      </w:r>
      <w:r w:rsidR="004C5B07">
        <w:rPr>
          <w:rFonts w:ascii="Century Gothic" w:hAnsi="Century Gothic" w:cstheme="minorHAnsi"/>
        </w:rPr>
        <w:t> ;</w:t>
      </w:r>
      <w:r w:rsidRPr="00E466E0">
        <w:rPr>
          <w:rFonts w:ascii="Century Gothic" w:hAnsi="Century Gothic" w:cstheme="minorHAnsi"/>
        </w:rPr>
        <w:t xml:space="preserve"> un enfant qui sera créé </w:t>
      </w:r>
      <w:r w:rsidR="004C5B07">
        <w:rPr>
          <w:rFonts w:ascii="Century Gothic" w:hAnsi="Century Gothic" w:cstheme="minorHAnsi"/>
        </w:rPr>
        <w:t>« </w:t>
      </w:r>
      <w:r w:rsidRPr="004C5B07">
        <w:rPr>
          <w:rFonts w:ascii="Century Gothic" w:hAnsi="Century Gothic" w:cstheme="minorHAnsi"/>
          <w:i/>
          <w:iCs/>
        </w:rPr>
        <w:t>seulement pour être abandonné à la naissance</w:t>
      </w:r>
      <w:r w:rsidR="004C5B07" w:rsidRPr="004C5B07">
        <w:rPr>
          <w:rFonts w:ascii="Century Gothic" w:hAnsi="Century Gothic" w:cstheme="minorHAnsi"/>
          <w:i/>
          <w:iCs/>
        </w:rPr>
        <w:t> </w:t>
      </w:r>
      <w:r w:rsidR="004C5B07">
        <w:rPr>
          <w:rFonts w:ascii="Century Gothic" w:hAnsi="Century Gothic" w:cstheme="minorHAnsi"/>
        </w:rPr>
        <w:t>»</w:t>
      </w:r>
      <w:r w:rsidRPr="00E466E0">
        <w:rPr>
          <w:rFonts w:ascii="Century Gothic" w:hAnsi="Century Gothic" w:cstheme="minorHAnsi"/>
        </w:rPr>
        <w:t xml:space="preserve">. L'enfant est arraché à sa mère, la </w:t>
      </w:r>
      <w:r w:rsidR="004C5B07">
        <w:rPr>
          <w:rFonts w:ascii="Century Gothic" w:hAnsi="Century Gothic" w:cstheme="minorHAnsi"/>
        </w:rPr>
        <w:t>« </w:t>
      </w:r>
      <w:r w:rsidRPr="004C5B07">
        <w:rPr>
          <w:rFonts w:ascii="Century Gothic" w:hAnsi="Century Gothic" w:cstheme="minorHAnsi"/>
          <w:i/>
          <w:iCs/>
        </w:rPr>
        <w:t>seule personne que le bébé cherchera à la naissance</w:t>
      </w:r>
      <w:r w:rsidR="004C5B07" w:rsidRPr="004C5B07">
        <w:rPr>
          <w:rFonts w:ascii="Century Gothic" w:hAnsi="Century Gothic" w:cstheme="minorHAnsi"/>
          <w:i/>
          <w:iCs/>
        </w:rPr>
        <w:t> </w:t>
      </w:r>
      <w:r w:rsidR="004C5B07">
        <w:rPr>
          <w:rFonts w:ascii="Century Gothic" w:hAnsi="Century Gothic" w:cstheme="minorHAnsi"/>
        </w:rPr>
        <w:t>»</w:t>
      </w:r>
      <w:r w:rsidRPr="00E466E0">
        <w:rPr>
          <w:rFonts w:ascii="Century Gothic" w:hAnsi="Century Gothic" w:cstheme="minorHAnsi"/>
        </w:rPr>
        <w:t xml:space="preserve"> qui l'a </w:t>
      </w:r>
      <w:r w:rsidR="004C5B07">
        <w:rPr>
          <w:rFonts w:ascii="Century Gothic" w:hAnsi="Century Gothic" w:cstheme="minorHAnsi"/>
        </w:rPr>
        <w:t>« </w:t>
      </w:r>
      <w:r w:rsidRPr="004C5B07">
        <w:rPr>
          <w:rFonts w:ascii="Century Gothic" w:hAnsi="Century Gothic" w:cstheme="minorHAnsi"/>
          <w:i/>
          <w:iCs/>
        </w:rPr>
        <w:t>élevé pendant 9 mois</w:t>
      </w:r>
      <w:r w:rsidR="004C5B07" w:rsidRPr="004C5B07">
        <w:rPr>
          <w:rFonts w:ascii="Century Gothic" w:hAnsi="Century Gothic" w:cstheme="minorHAnsi"/>
          <w:i/>
          <w:iCs/>
        </w:rPr>
        <w:t xml:space="preserve"> » </w:t>
      </w:r>
      <w:r w:rsidRPr="004C5B07">
        <w:rPr>
          <w:rFonts w:ascii="Century Gothic" w:hAnsi="Century Gothic" w:cstheme="minorHAnsi"/>
          <w:i/>
          <w:iCs/>
        </w:rPr>
        <w:t xml:space="preserve">et </w:t>
      </w:r>
      <w:r w:rsidR="004C5B07" w:rsidRPr="004C5B07">
        <w:rPr>
          <w:rFonts w:ascii="Century Gothic" w:hAnsi="Century Gothic" w:cstheme="minorHAnsi"/>
          <w:i/>
          <w:iCs/>
        </w:rPr>
        <w:t>« </w:t>
      </w:r>
      <w:r w:rsidRPr="004C5B07">
        <w:rPr>
          <w:rFonts w:ascii="Century Gothic" w:hAnsi="Century Gothic" w:cstheme="minorHAnsi"/>
          <w:i/>
          <w:iCs/>
        </w:rPr>
        <w:t>placé dans les bras de parfaits inconnus</w:t>
      </w:r>
      <w:r w:rsidR="004C5B07">
        <w:rPr>
          <w:rFonts w:ascii="Century Gothic" w:hAnsi="Century Gothic" w:cstheme="minorHAnsi"/>
        </w:rPr>
        <w:t> »</w:t>
      </w:r>
      <w:r>
        <w:rPr>
          <w:rStyle w:val="FootnoteReference"/>
          <w:rFonts w:ascii="Century Gothic" w:hAnsi="Century Gothic" w:cstheme="minorHAnsi"/>
        </w:rPr>
        <w:footnoteReference w:id="7"/>
      </w:r>
      <w:r>
        <w:rPr>
          <w:rFonts w:ascii="Century Gothic" w:hAnsi="Century Gothic" w:cstheme="minorHAnsi"/>
        </w:rPr>
        <w:t>.</w:t>
      </w:r>
    </w:p>
    <w:p w14:paraId="01A769B8" w14:textId="77777777" w:rsidR="004C5B07" w:rsidRDefault="004C5B07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09B6F0DF" w14:textId="0186A517" w:rsidR="00000E8F" w:rsidRDefault="00297F61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 w:rsidRPr="00E466E0">
        <w:rPr>
          <w:rFonts w:ascii="Century Gothic" w:hAnsi="Century Gothic" w:cstheme="minorHAnsi"/>
        </w:rPr>
        <w:t>Madame Olivia Maurel est à présent porte-parole de la Déclaration de Casablanca</w:t>
      </w:r>
      <w:r w:rsidR="001D6550" w:rsidRPr="00E466E0">
        <w:rPr>
          <w:rFonts w:ascii="Century Gothic" w:hAnsi="Century Gothic"/>
          <w:vertAlign w:val="superscript"/>
        </w:rPr>
        <w:footnoteReference w:id="8"/>
      </w:r>
      <w:r w:rsidRPr="00E466E0">
        <w:rPr>
          <w:rFonts w:ascii="Century Gothic" w:hAnsi="Century Gothic" w:cstheme="minorHAnsi"/>
        </w:rPr>
        <w:t xml:space="preserve">, </w:t>
      </w:r>
      <w:r w:rsidR="001D6550" w:rsidRPr="00E466E0">
        <w:rPr>
          <w:rFonts w:ascii="Century Gothic" w:hAnsi="Century Gothic" w:cstheme="minorHAnsi"/>
        </w:rPr>
        <w:t>une initiative internationale</w:t>
      </w:r>
      <w:r w:rsidR="00C74B0F" w:rsidRPr="00E466E0">
        <w:rPr>
          <w:rFonts w:ascii="Century Gothic" w:hAnsi="Century Gothic" w:cstheme="minorHAnsi"/>
        </w:rPr>
        <w:t xml:space="preserve"> d’experts de plus de 80 nationalités</w:t>
      </w:r>
      <w:r w:rsidR="001D6550" w:rsidRPr="00E466E0">
        <w:rPr>
          <w:rFonts w:ascii="Century Gothic" w:hAnsi="Century Gothic" w:cstheme="minorHAnsi"/>
        </w:rPr>
        <w:t xml:space="preserve"> qui « </w:t>
      </w:r>
      <w:r w:rsidR="001D6550" w:rsidRPr="005C36A9">
        <w:rPr>
          <w:rFonts w:ascii="Century Gothic" w:hAnsi="Century Gothic" w:cstheme="minorHAnsi"/>
          <w:i/>
          <w:iCs/>
        </w:rPr>
        <w:t>a pour objectif d’engager les États à adopter des mesures contre la gestation pour autrui dans toutes ses</w:t>
      </w:r>
      <w:r w:rsidR="001D6550" w:rsidRPr="00C74B0F">
        <w:rPr>
          <w:rFonts w:ascii="Century Gothic" w:hAnsi="Century Gothic" w:cstheme="minorHAnsi"/>
          <w:i/>
          <w:iCs/>
        </w:rPr>
        <w:t xml:space="preserve"> modalités et sous toutes ses formes</w:t>
      </w:r>
      <w:r w:rsidR="001D6550" w:rsidRPr="00C74B0F">
        <w:rPr>
          <w:rFonts w:ascii="Century Gothic" w:hAnsi="Century Gothic" w:cstheme="minorHAnsi"/>
        </w:rPr>
        <w:t> ».</w:t>
      </w:r>
    </w:p>
    <w:p w14:paraId="4C753857" w14:textId="77777777" w:rsidR="00BF21E8" w:rsidRDefault="00BF21E8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6148898A" w14:textId="4CFC939A" w:rsidR="005F2EAE" w:rsidRDefault="005F2EAE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La révision de la Directive constitue une étape importante en vue du but poursuivi par cette initiative internationale, à savoir l’abolition universelle de la gestation pour autrui.</w:t>
      </w:r>
    </w:p>
    <w:p w14:paraId="50F25A13" w14:textId="77777777" w:rsidR="005F2EAE" w:rsidRDefault="005F2EAE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268F8AF7" w14:textId="2544030A" w:rsidR="00BF21E8" w:rsidRDefault="00BF21E8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Je tenais à </w:t>
      </w:r>
      <w:r w:rsidR="005F2EAE">
        <w:rPr>
          <w:rFonts w:ascii="Century Gothic" w:hAnsi="Century Gothic" w:cstheme="minorHAnsi"/>
        </w:rPr>
        <w:t>attirer votre attention sur</w:t>
      </w:r>
      <w:r>
        <w:rPr>
          <w:rFonts w:ascii="Century Gothic" w:hAnsi="Century Gothic" w:cstheme="minorHAnsi"/>
        </w:rPr>
        <w:t xml:space="preserve"> de ce vote récent </w:t>
      </w:r>
      <w:r w:rsidR="005F2EAE">
        <w:rPr>
          <w:rFonts w:ascii="Century Gothic" w:hAnsi="Century Gothic" w:cstheme="minorHAnsi"/>
        </w:rPr>
        <w:t xml:space="preserve">du Parlement européen, pas supplémentaire </w:t>
      </w:r>
      <w:r>
        <w:rPr>
          <w:rFonts w:ascii="Century Gothic" w:hAnsi="Century Gothic" w:cstheme="minorHAnsi"/>
        </w:rPr>
        <w:t>de la lutte contre la nouvelle forme de traite des êtres humains, femmes et enfants.</w:t>
      </w:r>
    </w:p>
    <w:p w14:paraId="56188379" w14:textId="77777777" w:rsidR="00BF21E8" w:rsidRDefault="00BF21E8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00B52A7B" w14:textId="77777777" w:rsidR="00BF21E8" w:rsidRDefault="00BF21E8" w:rsidP="005C36A9">
      <w:pPr>
        <w:spacing w:before="0" w:after="0" w:line="240" w:lineRule="auto"/>
        <w:jc w:val="both"/>
        <w:rPr>
          <w:rFonts w:ascii="Century Gothic" w:hAnsi="Century Gothic" w:cstheme="minorHAnsi"/>
        </w:rPr>
      </w:pPr>
    </w:p>
    <w:p w14:paraId="4588A5E4" w14:textId="77777777" w:rsidR="005C36A9" w:rsidRDefault="005C36A9" w:rsidP="00BF21E8">
      <w:pPr>
        <w:spacing w:before="0" w:after="0" w:line="240" w:lineRule="auto"/>
        <w:jc w:val="right"/>
        <w:rPr>
          <w:rFonts w:ascii="Century Gothic" w:hAnsi="Century Gothic" w:cstheme="minorHAnsi"/>
        </w:rPr>
      </w:pPr>
    </w:p>
    <w:p w14:paraId="77A86804" w14:textId="42884A63" w:rsidR="00BF21E8" w:rsidRDefault="00BF21E8" w:rsidP="00BF21E8">
      <w:pPr>
        <w:spacing w:before="0" w:after="0" w:line="240" w:lineRule="auto"/>
        <w:jc w:val="righ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François-Xavier BELLAMY</w:t>
      </w:r>
    </w:p>
    <w:p w14:paraId="22DDF1BE" w14:textId="10D0EB8F" w:rsidR="00BF21E8" w:rsidRPr="00C74B0F" w:rsidRDefault="00BF21E8" w:rsidP="00BF21E8">
      <w:pPr>
        <w:spacing w:before="0" w:after="0" w:line="240" w:lineRule="auto"/>
        <w:jc w:val="righ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Député européen</w:t>
      </w:r>
    </w:p>
    <w:sectPr w:rsidR="00BF21E8" w:rsidRPr="00C74B0F" w:rsidSect="0084591E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5E89A" w14:textId="77777777" w:rsidR="00417F16" w:rsidRDefault="00417F16" w:rsidP="009718DD">
      <w:pPr>
        <w:spacing w:before="0" w:after="0" w:line="240" w:lineRule="auto"/>
      </w:pPr>
      <w:r>
        <w:separator/>
      </w:r>
    </w:p>
  </w:endnote>
  <w:endnote w:type="continuationSeparator" w:id="0">
    <w:p w14:paraId="4B276195" w14:textId="77777777" w:rsidR="00417F16" w:rsidRDefault="00417F16" w:rsidP="009718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253126"/>
      <w:docPartObj>
        <w:docPartGallery w:val="Page Numbers (Bottom of Page)"/>
        <w:docPartUnique/>
      </w:docPartObj>
    </w:sdtPr>
    <w:sdtEndPr/>
    <w:sdtContent>
      <w:p w14:paraId="2E3143FA" w14:textId="54820738" w:rsidR="00C305A6" w:rsidRDefault="00C305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A40">
          <w:rPr>
            <w:noProof/>
          </w:rPr>
          <w:t>2</w:t>
        </w:r>
        <w:r>
          <w:fldChar w:fldCharType="end"/>
        </w:r>
      </w:p>
    </w:sdtContent>
  </w:sdt>
  <w:p w14:paraId="5C478129" w14:textId="77777777" w:rsidR="00C305A6" w:rsidRDefault="00C3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435F" w14:textId="77777777" w:rsidR="00417F16" w:rsidRDefault="00417F16" w:rsidP="009718DD">
      <w:pPr>
        <w:spacing w:before="0" w:after="0" w:line="240" w:lineRule="auto"/>
      </w:pPr>
      <w:r>
        <w:separator/>
      </w:r>
    </w:p>
  </w:footnote>
  <w:footnote w:type="continuationSeparator" w:id="0">
    <w:p w14:paraId="570913DB" w14:textId="77777777" w:rsidR="00417F16" w:rsidRDefault="00417F16" w:rsidP="009718DD">
      <w:pPr>
        <w:spacing w:before="0" w:after="0" w:line="240" w:lineRule="auto"/>
      </w:pPr>
      <w:r>
        <w:continuationSeparator/>
      </w:r>
    </w:p>
  </w:footnote>
  <w:footnote w:id="1">
    <w:p w14:paraId="0991074E" w14:textId="77777777" w:rsidR="007A0973" w:rsidRPr="004C5B07" w:rsidRDefault="007A0973" w:rsidP="004C5B07">
      <w:pPr>
        <w:pStyle w:val="FootnoteText"/>
        <w:rPr>
          <w:rFonts w:ascii="Century Gothic" w:hAnsi="Century Gothic" w:cs="Times New Roman"/>
          <w:lang w:val="fr-FR"/>
        </w:rPr>
      </w:pPr>
      <w:r w:rsidRPr="004C5B07">
        <w:rPr>
          <w:rStyle w:val="FootnoteReference"/>
          <w:rFonts w:ascii="Century Gothic" w:hAnsi="Century Gothic" w:cs="Times New Roman"/>
        </w:rPr>
        <w:footnoteRef/>
      </w:r>
      <w:r w:rsidRPr="004C5B07">
        <w:rPr>
          <w:rFonts w:ascii="Century Gothic" w:hAnsi="Century Gothic" w:cs="Times New Roman"/>
          <w:lang w:val="fr-FR"/>
        </w:rPr>
        <w:t xml:space="preserve"> </w:t>
      </w:r>
      <w:r w:rsidRPr="004C5B07">
        <w:rPr>
          <w:rFonts w:ascii="Century Gothic" w:eastAsia="Calibri" w:hAnsi="Century Gothic" w:cs="Times New Roman"/>
          <w:color w:val="000000"/>
          <w:lang w:val="fr-FR"/>
        </w:rPr>
        <w:t xml:space="preserve">Rapport thématique sur la maternité de substitution, 2018, A/HRC/37/60 </w:t>
      </w:r>
    </w:p>
  </w:footnote>
  <w:footnote w:id="2">
    <w:p w14:paraId="12ECB013" w14:textId="77777777" w:rsidR="00344D85" w:rsidRPr="004C5B07" w:rsidRDefault="00344D85" w:rsidP="004C5B07">
      <w:pPr>
        <w:spacing w:before="0" w:after="0"/>
        <w:rPr>
          <w:rFonts w:ascii="Century Gothic" w:hAnsi="Century Gothic"/>
        </w:rPr>
      </w:pPr>
      <w:r w:rsidRPr="004C5B07">
        <w:rPr>
          <w:rStyle w:val="FootnoteReference"/>
          <w:rFonts w:ascii="Century Gothic" w:hAnsi="Century Gothic"/>
        </w:rPr>
        <w:footnoteRef/>
      </w:r>
      <w:r w:rsidRPr="004C5B07">
        <w:rPr>
          <w:rFonts w:ascii="Century Gothic" w:hAnsi="Century Gothic"/>
        </w:rPr>
        <w:t xml:space="preserve"> §32 ; </w:t>
      </w:r>
      <w:hyperlink r:id="rId1" w:history="1">
        <w:r w:rsidRPr="004C5B07">
          <w:rPr>
            <w:rStyle w:val="Hyperlink"/>
            <w:rFonts w:ascii="Century Gothic" w:hAnsi="Century Gothic"/>
          </w:rPr>
          <w:t>https://www.europarl.europa.eu/doceo/document/TA-9-2021-0025_FR.html</w:t>
        </w:r>
      </w:hyperlink>
      <w:r w:rsidRPr="004C5B07">
        <w:rPr>
          <w:rStyle w:val="Hyperlink"/>
          <w:rFonts w:ascii="Century Gothic" w:hAnsi="Century Gothic"/>
        </w:rPr>
        <w:t xml:space="preserve"> </w:t>
      </w:r>
    </w:p>
  </w:footnote>
  <w:footnote w:id="3">
    <w:p w14:paraId="1D2B9256" w14:textId="77777777" w:rsidR="00344D85" w:rsidRPr="004C5B07" w:rsidRDefault="00344D85" w:rsidP="004C5B07">
      <w:pPr>
        <w:spacing w:before="0" w:after="0"/>
        <w:rPr>
          <w:rFonts w:ascii="Century Gothic" w:hAnsi="Century Gothic"/>
        </w:rPr>
      </w:pPr>
      <w:r w:rsidRPr="004C5B07">
        <w:rPr>
          <w:rStyle w:val="FootnoteReference"/>
          <w:rFonts w:ascii="Century Gothic" w:hAnsi="Century Gothic"/>
        </w:rPr>
        <w:footnoteRef/>
      </w:r>
      <w:r w:rsidRPr="004C5B07">
        <w:rPr>
          <w:rFonts w:ascii="Century Gothic" w:hAnsi="Century Gothic"/>
        </w:rPr>
        <w:t xml:space="preserve"> §114 ; </w:t>
      </w:r>
      <w:hyperlink r:id="rId2" w:history="1">
        <w:r w:rsidRPr="004C5B07">
          <w:rPr>
            <w:rStyle w:val="Hyperlink"/>
            <w:rFonts w:ascii="Century Gothic" w:hAnsi="Century Gothic"/>
          </w:rPr>
          <w:t>https://www.europarl.europa.eu/doceo/document/A-8-2015-0344_FR.html?redirect</w:t>
        </w:r>
      </w:hyperlink>
    </w:p>
  </w:footnote>
  <w:footnote w:id="4">
    <w:p w14:paraId="2B99A105" w14:textId="77777777" w:rsidR="00344D85" w:rsidRPr="004C5B07" w:rsidRDefault="00344D85" w:rsidP="004C5B07">
      <w:pPr>
        <w:spacing w:before="0" w:after="0"/>
        <w:rPr>
          <w:rFonts w:ascii="Century Gothic" w:hAnsi="Century Gothic"/>
        </w:rPr>
      </w:pPr>
      <w:r w:rsidRPr="004C5B07">
        <w:rPr>
          <w:rStyle w:val="FootnoteReference"/>
          <w:rFonts w:ascii="Century Gothic" w:hAnsi="Century Gothic"/>
        </w:rPr>
        <w:footnoteRef/>
      </w:r>
      <w:r w:rsidRPr="004C5B07">
        <w:rPr>
          <w:rFonts w:ascii="Century Gothic" w:hAnsi="Century Gothic"/>
        </w:rPr>
        <w:t xml:space="preserve"> §32 ; </w:t>
      </w:r>
      <w:hyperlink r:id="rId3" w:history="1">
        <w:r w:rsidRPr="004C5B07">
          <w:rPr>
            <w:rStyle w:val="Hyperlink"/>
            <w:rFonts w:ascii="Century Gothic" w:hAnsi="Century Gothic"/>
          </w:rPr>
          <w:t>https://www.europarl.europa.eu/doceo/document/TA-9-2021-0025_FR.html</w:t>
        </w:r>
      </w:hyperlink>
      <w:r w:rsidRPr="004C5B07">
        <w:rPr>
          <w:rStyle w:val="Hyperlink"/>
          <w:rFonts w:ascii="Century Gothic" w:hAnsi="Century Gothic"/>
        </w:rPr>
        <w:t xml:space="preserve"> </w:t>
      </w:r>
    </w:p>
  </w:footnote>
  <w:footnote w:id="5">
    <w:p w14:paraId="12613F4E" w14:textId="655AAFDA" w:rsidR="00E466E0" w:rsidRPr="004C5B07" w:rsidRDefault="00E466E0" w:rsidP="004C5B07">
      <w:pPr>
        <w:pStyle w:val="FootnoteText"/>
        <w:rPr>
          <w:rFonts w:ascii="Century Gothic" w:hAnsi="Century Gothic"/>
          <w:lang w:val="fr-FR"/>
        </w:rPr>
      </w:pPr>
      <w:r w:rsidRPr="004C5B07">
        <w:rPr>
          <w:rStyle w:val="FootnoteReference"/>
          <w:rFonts w:ascii="Century Gothic" w:hAnsi="Century Gothic"/>
        </w:rPr>
        <w:footnoteRef/>
      </w:r>
      <w:r w:rsidRPr="004C5B07">
        <w:rPr>
          <w:rFonts w:ascii="Century Gothic" w:hAnsi="Century Gothic"/>
          <w:lang w:val="fr-FR"/>
        </w:rPr>
        <w:t xml:space="preserve"> </w:t>
      </w:r>
      <w:hyperlink r:id="rId4" w:anchor=":~:text=(3)%20La%20directive%202011%2F,de%20cette%20forme%20de%20criminalit%C3%A9" w:history="1">
        <w:r w:rsidRPr="004C5B07">
          <w:rPr>
            <w:rStyle w:val="Hyperlink"/>
            <w:rFonts w:ascii="Century Gothic" w:hAnsi="Century Gothic"/>
            <w:lang w:val="fr-FR"/>
          </w:rPr>
          <w:t>https://www.europarl.europa.eu/doceo/document/TA-9-2024-0310_FR.html#:~:text=(3)%20La%20directive%202011%2F,de%20cette%20forme%20de%20criminalit%C3%A9</w:t>
        </w:r>
      </w:hyperlink>
      <w:r w:rsidR="004C5B07">
        <w:rPr>
          <w:rStyle w:val="Hyperlink"/>
          <w:rFonts w:ascii="Century Gothic" w:hAnsi="Century Gothic"/>
          <w:lang w:val="fr-FR"/>
        </w:rPr>
        <w:t xml:space="preserve"> </w:t>
      </w:r>
      <w:r w:rsidRPr="004C5B07">
        <w:rPr>
          <w:rFonts w:ascii="Century Gothic" w:hAnsi="Century Gothic"/>
          <w:lang w:val="fr-FR"/>
        </w:rPr>
        <w:t xml:space="preserve"> </w:t>
      </w:r>
    </w:p>
  </w:footnote>
  <w:footnote w:id="6">
    <w:p w14:paraId="03C62637" w14:textId="36858B35" w:rsidR="00E466E0" w:rsidRPr="004C5B07" w:rsidRDefault="00E466E0" w:rsidP="004C5B07">
      <w:pPr>
        <w:pStyle w:val="FootnoteText"/>
        <w:rPr>
          <w:rFonts w:ascii="Century Gothic" w:hAnsi="Century Gothic"/>
          <w:lang w:val="fr-FR"/>
        </w:rPr>
      </w:pPr>
      <w:r w:rsidRPr="004C5B07">
        <w:rPr>
          <w:rStyle w:val="FootnoteReference"/>
          <w:rFonts w:ascii="Century Gothic" w:hAnsi="Century Gothic"/>
        </w:rPr>
        <w:footnoteRef/>
      </w:r>
      <w:r w:rsidRPr="004C5B07">
        <w:rPr>
          <w:rFonts w:ascii="Century Gothic" w:hAnsi="Century Gothic"/>
          <w:lang w:val="fr-FR"/>
        </w:rPr>
        <w:t xml:space="preserve"> </w:t>
      </w:r>
      <w:hyperlink r:id="rId5" w:anchor=":~:text=(3)%20La%20directive%202011%2F,de%20cette%20forme%20de%20criminalit%C3%A9" w:history="1">
        <w:r w:rsidRPr="004C5B07">
          <w:rPr>
            <w:rStyle w:val="Hyperlink"/>
            <w:rFonts w:ascii="Century Gothic" w:hAnsi="Century Gothic"/>
            <w:lang w:val="fr-FR"/>
          </w:rPr>
          <w:t>https://www.europarl.europa.eu/doceo/document/TA-9-2024-0310_FR.html#:~:text=(3)%20La%20directive%202011%2F,de%20cette%20forme%20de%20criminalit%C3%A9</w:t>
        </w:r>
      </w:hyperlink>
    </w:p>
  </w:footnote>
  <w:footnote w:id="7">
    <w:p w14:paraId="5D693C9A" w14:textId="07AD0A60" w:rsidR="00E466E0" w:rsidRPr="004C5B07" w:rsidRDefault="00E466E0" w:rsidP="004C5B07">
      <w:pPr>
        <w:pStyle w:val="FootnoteText"/>
        <w:rPr>
          <w:rFonts w:ascii="Century Gothic" w:hAnsi="Century Gothic"/>
          <w:lang w:val="fr-FR"/>
        </w:rPr>
      </w:pPr>
      <w:r w:rsidRPr="004C5B07">
        <w:rPr>
          <w:rStyle w:val="FootnoteReference"/>
          <w:rFonts w:ascii="Century Gothic" w:hAnsi="Century Gothic"/>
        </w:rPr>
        <w:footnoteRef/>
      </w:r>
      <w:r w:rsidRPr="004C5B07">
        <w:rPr>
          <w:rFonts w:ascii="Century Gothic" w:hAnsi="Century Gothic"/>
          <w:lang w:val="fr-FR"/>
        </w:rPr>
        <w:t xml:space="preserve"> </w:t>
      </w:r>
      <w:hyperlink r:id="rId6" w:history="1">
        <w:r w:rsidR="004C5B07" w:rsidRPr="007213D4">
          <w:rPr>
            <w:rStyle w:val="Hyperlink"/>
            <w:rFonts w:ascii="Century Gothic" w:hAnsi="Century Gothic"/>
            <w:lang w:val="fr-FR"/>
          </w:rPr>
          <w:t>https://declaration-surrogacy-casablanca.org/fr/surrogacy-as-a-minimum-case-of-trafficking-at-european-level/</w:t>
        </w:r>
      </w:hyperlink>
      <w:r w:rsidR="004C5B07">
        <w:rPr>
          <w:rFonts w:ascii="Century Gothic" w:hAnsi="Century Gothic"/>
          <w:lang w:val="fr-FR"/>
        </w:rPr>
        <w:t xml:space="preserve"> </w:t>
      </w:r>
    </w:p>
  </w:footnote>
  <w:footnote w:id="8">
    <w:p w14:paraId="6A282E08" w14:textId="16FC71B5" w:rsidR="001D6550" w:rsidRPr="004C5B07" w:rsidRDefault="001D6550" w:rsidP="004C5B07">
      <w:pPr>
        <w:pStyle w:val="FootnoteText"/>
        <w:rPr>
          <w:rFonts w:ascii="Century Gothic" w:hAnsi="Century Gothic"/>
          <w:lang w:val="fr-FR"/>
        </w:rPr>
      </w:pPr>
      <w:r w:rsidRPr="004C5B07">
        <w:rPr>
          <w:rStyle w:val="FootnoteReference"/>
          <w:rFonts w:ascii="Century Gothic" w:hAnsi="Century Gothic"/>
        </w:rPr>
        <w:footnoteRef/>
      </w:r>
      <w:r w:rsidRPr="004C5B07">
        <w:rPr>
          <w:rFonts w:ascii="Century Gothic" w:hAnsi="Century Gothic"/>
          <w:lang w:val="fr-FR"/>
        </w:rPr>
        <w:t xml:space="preserve"> </w:t>
      </w:r>
      <w:hyperlink r:id="rId7" w:history="1">
        <w:r w:rsidR="004C5B07" w:rsidRPr="007213D4">
          <w:rPr>
            <w:rStyle w:val="Hyperlink"/>
            <w:rFonts w:ascii="Century Gothic" w:hAnsi="Century Gothic"/>
            <w:lang w:val="fr-FR"/>
          </w:rPr>
          <w:t>https://declaration-surrogacy-casablanca.org/fr/</w:t>
        </w:r>
      </w:hyperlink>
      <w:r w:rsidR="004C5B07">
        <w:rPr>
          <w:rFonts w:ascii="Century Gothic" w:hAnsi="Century Gothic"/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53D"/>
    <w:multiLevelType w:val="hybridMultilevel"/>
    <w:tmpl w:val="0A38735E"/>
    <w:lvl w:ilvl="0" w:tplc="33BAD7FA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B81A5E"/>
    <w:multiLevelType w:val="hybridMultilevel"/>
    <w:tmpl w:val="6636917C"/>
    <w:lvl w:ilvl="0" w:tplc="DA6E5B5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E8677F"/>
    <w:multiLevelType w:val="hybridMultilevel"/>
    <w:tmpl w:val="A7722AB4"/>
    <w:lvl w:ilvl="0" w:tplc="E482D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967A7"/>
    <w:multiLevelType w:val="hybridMultilevel"/>
    <w:tmpl w:val="B65C6C74"/>
    <w:lvl w:ilvl="0" w:tplc="FEE687E4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BF"/>
    <w:rsid w:val="00000E8F"/>
    <w:rsid w:val="00006525"/>
    <w:rsid w:val="00006EFF"/>
    <w:rsid w:val="000145CD"/>
    <w:rsid w:val="000D77A1"/>
    <w:rsid w:val="000F11C3"/>
    <w:rsid w:val="00143563"/>
    <w:rsid w:val="00155E98"/>
    <w:rsid w:val="001D2D1A"/>
    <w:rsid w:val="001D6550"/>
    <w:rsid w:val="001E2BED"/>
    <w:rsid w:val="00221F72"/>
    <w:rsid w:val="002775BF"/>
    <w:rsid w:val="0028375B"/>
    <w:rsid w:val="00297F61"/>
    <w:rsid w:val="002F7FC4"/>
    <w:rsid w:val="003070DF"/>
    <w:rsid w:val="003258DF"/>
    <w:rsid w:val="00327D23"/>
    <w:rsid w:val="00335C7C"/>
    <w:rsid w:val="00344D85"/>
    <w:rsid w:val="00360CFC"/>
    <w:rsid w:val="003820CD"/>
    <w:rsid w:val="00417F16"/>
    <w:rsid w:val="004207F7"/>
    <w:rsid w:val="004223CC"/>
    <w:rsid w:val="00430BE3"/>
    <w:rsid w:val="00453D59"/>
    <w:rsid w:val="004C5B07"/>
    <w:rsid w:val="004F06CC"/>
    <w:rsid w:val="00525C11"/>
    <w:rsid w:val="005516C1"/>
    <w:rsid w:val="00567600"/>
    <w:rsid w:val="00592419"/>
    <w:rsid w:val="005929A8"/>
    <w:rsid w:val="005C36A9"/>
    <w:rsid w:val="005D315B"/>
    <w:rsid w:val="005D3928"/>
    <w:rsid w:val="005E1B80"/>
    <w:rsid w:val="005F2BCE"/>
    <w:rsid w:val="005F2EAE"/>
    <w:rsid w:val="00606BF3"/>
    <w:rsid w:val="00652147"/>
    <w:rsid w:val="00677A0A"/>
    <w:rsid w:val="00685198"/>
    <w:rsid w:val="006A43A7"/>
    <w:rsid w:val="006A6CED"/>
    <w:rsid w:val="0076421E"/>
    <w:rsid w:val="007670E6"/>
    <w:rsid w:val="0078616D"/>
    <w:rsid w:val="007A0973"/>
    <w:rsid w:val="00803167"/>
    <w:rsid w:val="008369DB"/>
    <w:rsid w:val="00840D67"/>
    <w:rsid w:val="0084591E"/>
    <w:rsid w:val="008B3EC6"/>
    <w:rsid w:val="008D0D77"/>
    <w:rsid w:val="00920836"/>
    <w:rsid w:val="00967394"/>
    <w:rsid w:val="009718DD"/>
    <w:rsid w:val="00993C7C"/>
    <w:rsid w:val="009C0433"/>
    <w:rsid w:val="00A0558F"/>
    <w:rsid w:val="00A12B3D"/>
    <w:rsid w:val="00A75227"/>
    <w:rsid w:val="00AC3A40"/>
    <w:rsid w:val="00AC61CC"/>
    <w:rsid w:val="00B0312D"/>
    <w:rsid w:val="00B27802"/>
    <w:rsid w:val="00B41FE4"/>
    <w:rsid w:val="00B54348"/>
    <w:rsid w:val="00B618A9"/>
    <w:rsid w:val="00BB2851"/>
    <w:rsid w:val="00BD29C4"/>
    <w:rsid w:val="00BE0537"/>
    <w:rsid w:val="00BF21E8"/>
    <w:rsid w:val="00BF57D3"/>
    <w:rsid w:val="00C305A6"/>
    <w:rsid w:val="00C30CCF"/>
    <w:rsid w:val="00C61CD0"/>
    <w:rsid w:val="00C65D24"/>
    <w:rsid w:val="00C74B0F"/>
    <w:rsid w:val="00CE32D7"/>
    <w:rsid w:val="00CF7DFC"/>
    <w:rsid w:val="00D04424"/>
    <w:rsid w:val="00D7554C"/>
    <w:rsid w:val="00DE531C"/>
    <w:rsid w:val="00DF619B"/>
    <w:rsid w:val="00E27D58"/>
    <w:rsid w:val="00E466E0"/>
    <w:rsid w:val="00E85B70"/>
    <w:rsid w:val="00EA745E"/>
    <w:rsid w:val="00EA7BF7"/>
    <w:rsid w:val="00F73C48"/>
    <w:rsid w:val="00FC78AE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EC21"/>
  <w15:chartTrackingRefBased/>
  <w15:docId w15:val="{5878770F-2B9F-42EC-822A-9495BDDD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8DD"/>
  </w:style>
  <w:style w:type="paragraph" w:styleId="Heading1">
    <w:name w:val="heading 1"/>
    <w:basedOn w:val="Normal"/>
    <w:next w:val="Normal"/>
    <w:link w:val="Heading1Char"/>
    <w:uiPriority w:val="9"/>
    <w:qFormat/>
    <w:rsid w:val="009718D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8D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8D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8D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8D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8D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8D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8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8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8DD"/>
    <w:rPr>
      <w:caps/>
      <w:spacing w:val="15"/>
      <w:shd w:val="clear" w:color="auto" w:fill="D9E2F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9718D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8D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8D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8D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8D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8D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8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8D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18D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18D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8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8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718D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718DD"/>
    <w:rPr>
      <w:b/>
      <w:bCs/>
    </w:rPr>
  </w:style>
  <w:style w:type="character" w:styleId="Emphasis">
    <w:name w:val="Emphasis"/>
    <w:uiPriority w:val="20"/>
    <w:qFormat/>
    <w:rsid w:val="009718DD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718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18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18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8D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8DD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718D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718D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718D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718D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718D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18D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718DD"/>
    <w:pPr>
      <w:spacing w:before="0" w:after="0" w:line="240" w:lineRule="auto"/>
    </w:pPr>
    <w:rPr>
      <w:rFonts w:eastAsiaTheme="minorHAns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718DD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9718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2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2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2D7"/>
  </w:style>
  <w:style w:type="paragraph" w:styleId="Footer">
    <w:name w:val="footer"/>
    <w:basedOn w:val="Normal"/>
    <w:link w:val="FooterChar"/>
    <w:uiPriority w:val="99"/>
    <w:unhideWhenUsed/>
    <w:rsid w:val="00CE32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2D7"/>
  </w:style>
  <w:style w:type="character" w:styleId="FollowedHyperlink">
    <w:name w:val="FollowedHyperlink"/>
    <w:basedOn w:val="DefaultParagraphFont"/>
    <w:uiPriority w:val="99"/>
    <w:semiHidden/>
    <w:unhideWhenUsed/>
    <w:rsid w:val="00344D8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7DFC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BB2851"/>
  </w:style>
  <w:style w:type="paragraph" w:styleId="NormalWeb">
    <w:name w:val="Normal (Web)"/>
    <w:basedOn w:val="Normal"/>
    <w:uiPriority w:val="99"/>
    <w:semiHidden/>
    <w:unhideWhenUsed/>
    <w:rsid w:val="00BB285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roparl.europa.eu/doceo/document/TA-9-2021-0025_FR.html" TargetMode="External"/><Relationship Id="rId7" Type="http://schemas.openxmlformats.org/officeDocument/2006/relationships/hyperlink" Target="https://declaration-surrogacy-casablanca.org/fr/" TargetMode="External"/><Relationship Id="rId2" Type="http://schemas.openxmlformats.org/officeDocument/2006/relationships/hyperlink" Target="https://www.europarl.europa.eu/doceo/document/A-8-2015-0344_FR.html?redirect" TargetMode="External"/><Relationship Id="rId1" Type="http://schemas.openxmlformats.org/officeDocument/2006/relationships/hyperlink" Target="https://www.europarl.europa.eu/doceo/document/TA-9-2021-0025_FR.html" TargetMode="External"/><Relationship Id="rId6" Type="http://schemas.openxmlformats.org/officeDocument/2006/relationships/hyperlink" Target="https://declaration-surrogacy-casablanca.org/fr/surrogacy-as-a-minimum-case-of-trafficking-at-european-level/" TargetMode="External"/><Relationship Id="rId5" Type="http://schemas.openxmlformats.org/officeDocument/2006/relationships/hyperlink" Target="https://www.europarl.europa.eu/doceo/document/TA-9-2024-0310_FR.html" TargetMode="External"/><Relationship Id="rId4" Type="http://schemas.openxmlformats.org/officeDocument/2006/relationships/hyperlink" Target="https://www.europarl.europa.eu/doceo/document/TA-9-2024-0310_FR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Individuals</Category>
    <Filename xmlns="d42e65b2-cf21-49c1-b27d-d23f90380c0e" xsi:nil="true"/>
    <Doctype xmlns="d42e65b2-cf21-49c1-b27d-d23f90380c0e">input</Doctype>
    <Contributor xmlns="d42e65b2-cf21-49c1-b27d-d23f90380c0e">Francois Francois Bellamy (Depute Francais, Parlement Europeen)</Contributor>
  </documentManagement>
</p:properties>
</file>

<file path=customXml/itemProps1.xml><?xml version="1.0" encoding="utf-8"?>
<ds:datastoreItem xmlns:ds="http://schemas.openxmlformats.org/officeDocument/2006/customXml" ds:itemID="{F0DCE214-53DE-478D-8B4D-CBDFA6787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C8216-F9CF-4C2F-BD5D-68BB2EB55A2D}"/>
</file>

<file path=customXml/itemProps3.xml><?xml version="1.0" encoding="utf-8"?>
<ds:datastoreItem xmlns:ds="http://schemas.openxmlformats.org/officeDocument/2006/customXml" ds:itemID="{CE7E36D8-38B3-4758-99B3-C1EB8C6F76DB}"/>
</file>

<file path=customXml/itemProps4.xml><?xml version="1.0" encoding="utf-8"?>
<ds:datastoreItem xmlns:ds="http://schemas.openxmlformats.org/officeDocument/2006/customXml" ds:itemID="{333C3EB1-98D8-4592-85C3-3E2CD77AE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  <vt:variant>
        <vt:lpstr>Titel</vt:lpstr>
      </vt:variant>
      <vt:variant>
        <vt:i4>1</vt:i4>
      </vt:variant>
    </vt:vector>
  </HeadingPairs>
  <TitlesOfParts>
    <vt:vector size="10" baseType="lpstr">
      <vt:lpstr/>
      <vt:lpstr/>
      <vt:lpstr>    </vt:lpstr>
      <vt:lpstr>    Réponse à l’appel à contribution de la RapporteuSE spécialE sur la traite des êt</vt:lpstr>
      <vt:lpstr>    </vt:lpstr>
      <vt:lpstr>    par le député européen François-Xavier Bellamy</vt:lpstr>
      <vt:lpstr>    Juin 2024</vt:lpstr>
      <vt:lpstr>    L’inclusion de la gestation pour autrui dans les situations de traite des êtres </vt:lpstr>
      <vt:lpstr>    La révision de la Directive 2011/36/UE concernant la prévention de la traite des</vt:lpstr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Ham</dc:creator>
  <cp:keywords/>
  <dc:description/>
  <cp:lastModifiedBy>SION Laetitia</cp:lastModifiedBy>
  <cp:revision>3</cp:revision>
  <dcterms:created xsi:type="dcterms:W3CDTF">2024-06-20T15:42:00Z</dcterms:created>
  <dcterms:modified xsi:type="dcterms:W3CDTF">2024-06-20T15:55:00Z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