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AC377" w14:textId="77777777" w:rsidR="00A22CEF" w:rsidRPr="00A22CEF" w:rsidRDefault="00A22CEF" w:rsidP="00A22CEF">
      <w:pPr>
        <w:jc w:val="both"/>
        <w:rPr>
          <w:rFonts w:ascii="Lato" w:eastAsia="Lato" w:hAnsi="Lato" w:cs="Lato"/>
          <w:b/>
          <w:i/>
          <w:color w:val="046B8C"/>
          <w:sz w:val="40"/>
          <w:szCs w:val="40"/>
          <w:lang w:val="en-US"/>
        </w:rPr>
      </w:pPr>
      <w:r w:rsidRPr="00A22CEF">
        <w:rPr>
          <w:rFonts w:ascii="Lato" w:eastAsia="Lato" w:hAnsi="Lato" w:cs="Lato"/>
          <w:b/>
          <w:color w:val="046B8C"/>
          <w:sz w:val="40"/>
          <w:szCs w:val="40"/>
          <w:lang w:val="en-US"/>
        </w:rPr>
        <w:t>Toxic pollution and human rights implications of some climate change solutions</w:t>
      </w:r>
    </w:p>
    <w:p w14:paraId="51DCE56D" w14:textId="77777777" w:rsidR="00161574" w:rsidRPr="004A0DFB" w:rsidRDefault="00161574">
      <w:pPr>
        <w:jc w:val="both"/>
        <w:rPr>
          <w:rFonts w:ascii="Lato" w:eastAsia="Lato" w:hAnsi="Lato" w:cs="Lato"/>
          <w:color w:val="046B8C"/>
          <w:sz w:val="34"/>
          <w:szCs w:val="34"/>
          <w:lang w:val="en-US"/>
        </w:rPr>
      </w:pPr>
    </w:p>
    <w:p w14:paraId="28E4BA81" w14:textId="6276B7AC" w:rsidR="00A22CEF" w:rsidRPr="00A22CEF" w:rsidRDefault="00A22CEF">
      <w:pPr>
        <w:jc w:val="both"/>
        <w:rPr>
          <w:rFonts w:ascii="Lato" w:eastAsia="Lato" w:hAnsi="Lato" w:cs="Lato"/>
          <w:color w:val="046B8C"/>
          <w:sz w:val="34"/>
          <w:szCs w:val="34"/>
          <w:lang w:val="en-US"/>
        </w:rPr>
      </w:pPr>
      <w:r w:rsidRPr="00A22CEF">
        <w:rPr>
          <w:rFonts w:ascii="Lato" w:eastAsia="Lato" w:hAnsi="Lato" w:cs="Lato"/>
          <w:bCs/>
          <w:color w:val="046B8C"/>
          <w:sz w:val="34"/>
          <w:szCs w:val="34"/>
          <w:lang w:val="en-US"/>
        </w:rPr>
        <w:t>Submission for the Special Rapporteur</w:t>
      </w:r>
      <w:r>
        <w:rPr>
          <w:rFonts w:ascii="Lato" w:eastAsia="Lato" w:hAnsi="Lato" w:cs="Lato"/>
          <w:bCs/>
          <w:color w:val="046B8C"/>
          <w:sz w:val="34"/>
          <w:szCs w:val="34"/>
          <w:lang w:val="en-US"/>
        </w:rPr>
        <w:t xml:space="preserve"> on</w:t>
      </w:r>
      <w:r w:rsidRPr="00A22CEF">
        <w:rPr>
          <w:rFonts w:ascii="Lato" w:eastAsia="Lato" w:hAnsi="Lato" w:cs="Lato"/>
          <w:bCs/>
          <w:color w:val="046B8C"/>
          <w:sz w:val="34"/>
          <w:szCs w:val="34"/>
          <w:lang w:val="en-US"/>
        </w:rPr>
        <w:t xml:space="preserve"> </w:t>
      </w:r>
      <w:r w:rsidRPr="00A22CEF">
        <w:rPr>
          <w:rFonts w:ascii="Lato" w:eastAsia="Lato" w:hAnsi="Lato" w:cs="Lato"/>
          <w:color w:val="046B8C"/>
          <w:sz w:val="34"/>
          <w:szCs w:val="34"/>
          <w:lang w:val="en-US"/>
        </w:rPr>
        <w:t>hazardous substances and wastes</w:t>
      </w:r>
    </w:p>
    <w:p w14:paraId="5E565EA5" w14:textId="77777777" w:rsidR="00161574" w:rsidRDefault="00C62FDC">
      <w:pPr>
        <w:jc w:val="both"/>
        <w:rPr>
          <w:rFonts w:ascii="Lato" w:eastAsia="Lato" w:hAnsi="Lato" w:cs="Lato"/>
          <w:i/>
        </w:rPr>
      </w:pPr>
      <w:r>
        <w:rPr>
          <w:rFonts w:ascii="Lato" w:eastAsia="Lato" w:hAnsi="Lato" w:cs="Lato"/>
          <w:i/>
        </w:rPr>
        <w:t>March 2023</w:t>
      </w:r>
    </w:p>
    <w:p w14:paraId="3279DA9A" w14:textId="77777777" w:rsidR="00161574" w:rsidRDefault="00161574">
      <w:pPr>
        <w:jc w:val="both"/>
        <w:rPr>
          <w:rFonts w:ascii="Lato" w:eastAsia="Lato" w:hAnsi="Lato" w:cs="Lato"/>
          <w:i/>
        </w:rPr>
      </w:pPr>
    </w:p>
    <w:p w14:paraId="3928B3E2" w14:textId="6989C3F5" w:rsidR="004A0DFB" w:rsidRDefault="00C62FDC" w:rsidP="004A0DFB">
      <w:pPr>
        <w:numPr>
          <w:ilvl w:val="0"/>
          <w:numId w:val="2"/>
        </w:numPr>
        <w:ind w:left="0" w:firstLine="0"/>
        <w:jc w:val="both"/>
        <w:rPr>
          <w:rFonts w:ascii="Lato" w:eastAsia="Lato" w:hAnsi="Lato" w:cs="Lato"/>
          <w:lang w:val="en-US"/>
        </w:rPr>
      </w:pPr>
      <w:r w:rsidRPr="004A0DFB">
        <w:rPr>
          <w:rFonts w:ascii="Lato" w:eastAsia="Lato" w:hAnsi="Lato" w:cs="Lato"/>
          <w:lang w:val="en-US"/>
        </w:rPr>
        <w:t xml:space="preserve">The Center for International Environmental Law (CIEL) is pleased to submit the </w:t>
      </w:r>
      <w:r w:rsidRPr="004A0DFB">
        <w:rPr>
          <w:rFonts w:ascii="Lato" w:eastAsia="Lato" w:hAnsi="Lato" w:cs="Lato"/>
          <w:lang w:val="en-US"/>
        </w:rPr>
        <w:t>present written comments to the Special Rapporteur on the implications for human rights of the environmentally sound management and disposal of hazardous substances and wastes, regarding his upcoming report on issues related to the toxic pollution and huma</w:t>
      </w:r>
      <w:r w:rsidRPr="004A0DFB">
        <w:rPr>
          <w:rFonts w:ascii="Lato" w:eastAsia="Lato" w:hAnsi="Lato" w:cs="Lato"/>
          <w:lang w:val="en-US"/>
        </w:rPr>
        <w:t>n rights implications of some climate change solutions</w:t>
      </w:r>
      <w:r>
        <w:rPr>
          <w:rFonts w:ascii="Lato" w:eastAsia="Lato" w:hAnsi="Lato" w:cs="Lato"/>
          <w:vertAlign w:val="superscript"/>
        </w:rPr>
        <w:footnoteReference w:id="1"/>
      </w:r>
      <w:r w:rsidRPr="004A0DFB">
        <w:rPr>
          <w:rFonts w:ascii="Lato" w:eastAsia="Lato" w:hAnsi="Lato" w:cs="Lato"/>
          <w:lang w:val="en-US"/>
        </w:rPr>
        <w:t>, and commends his choice to focus on this topic.</w:t>
      </w:r>
    </w:p>
    <w:p w14:paraId="652F8C8E" w14:textId="77777777" w:rsidR="004A0DFB" w:rsidRPr="004A0DFB" w:rsidRDefault="004A0DFB" w:rsidP="004A0DFB">
      <w:pPr>
        <w:jc w:val="both"/>
        <w:rPr>
          <w:rFonts w:ascii="Lato" w:eastAsia="Lato" w:hAnsi="Lato" w:cs="Lato"/>
          <w:lang w:val="en-US"/>
        </w:rPr>
      </w:pPr>
    </w:p>
    <w:p w14:paraId="6B280D7A" w14:textId="51C05F7A" w:rsidR="004A0DFB" w:rsidRDefault="00C62FDC" w:rsidP="004A0DFB">
      <w:pPr>
        <w:numPr>
          <w:ilvl w:val="0"/>
          <w:numId w:val="2"/>
        </w:numPr>
        <w:ind w:left="0" w:firstLine="0"/>
        <w:jc w:val="both"/>
        <w:rPr>
          <w:rFonts w:ascii="Lato" w:eastAsia="Lato" w:hAnsi="Lato" w:cs="Lato"/>
          <w:lang w:val="en-US"/>
        </w:rPr>
      </w:pPr>
      <w:r w:rsidRPr="004A0DFB">
        <w:rPr>
          <w:rFonts w:ascii="Lato" w:eastAsia="Lato" w:hAnsi="Lato" w:cs="Lato"/>
          <w:lang w:val="en-US"/>
        </w:rPr>
        <w:t xml:space="preserve">CIEL’s submission focuses primarily on the toxic impacts and human rights implications of technologies that purport either to </w:t>
      </w:r>
      <w:r w:rsidRPr="004A0DFB">
        <w:rPr>
          <w:rFonts w:ascii="Lato" w:eastAsia="Lato" w:hAnsi="Lato" w:cs="Lato"/>
          <w:b/>
          <w:lang w:val="en-US"/>
        </w:rPr>
        <w:t>(</w:t>
      </w:r>
      <w:proofErr w:type="spellStart"/>
      <w:r w:rsidRPr="004A0DFB">
        <w:rPr>
          <w:rFonts w:ascii="Lato" w:eastAsia="Lato" w:hAnsi="Lato" w:cs="Lato"/>
          <w:b/>
          <w:lang w:val="en-US"/>
        </w:rPr>
        <w:t>i</w:t>
      </w:r>
      <w:proofErr w:type="spellEnd"/>
      <w:r w:rsidRPr="004A0DFB">
        <w:rPr>
          <w:rFonts w:ascii="Lato" w:eastAsia="Lato" w:hAnsi="Lato" w:cs="Lato"/>
          <w:b/>
          <w:lang w:val="en-US"/>
        </w:rPr>
        <w:t xml:space="preserve">) </w:t>
      </w:r>
      <w:r w:rsidRPr="004A0DFB">
        <w:rPr>
          <w:rFonts w:ascii="Lato" w:eastAsia="Lato" w:hAnsi="Lato" w:cs="Lato"/>
          <w:lang w:val="en-US"/>
        </w:rPr>
        <w:t>capture carbon diox</w:t>
      </w:r>
      <w:r w:rsidRPr="004A0DFB">
        <w:rPr>
          <w:rFonts w:ascii="Lato" w:eastAsia="Lato" w:hAnsi="Lato" w:cs="Lato"/>
          <w:lang w:val="en-US"/>
        </w:rPr>
        <w:t>ide from an emitting source before it enters the atmosphere and inject it underground or use it in another process or product (</w:t>
      </w:r>
      <w:r w:rsidRPr="004A0DFB">
        <w:rPr>
          <w:rFonts w:ascii="Lato" w:eastAsia="Lato" w:hAnsi="Lato" w:cs="Lato"/>
          <w:b/>
          <w:lang w:val="en-US"/>
        </w:rPr>
        <w:t>carbon capture and storage (CCS) or carbon capture utilization and storage (CCUS)</w:t>
      </w:r>
      <w:r w:rsidRPr="004A0DFB">
        <w:rPr>
          <w:rFonts w:ascii="Lato" w:eastAsia="Lato" w:hAnsi="Lato" w:cs="Lato"/>
          <w:lang w:val="en-US"/>
        </w:rPr>
        <w:t xml:space="preserve">), or </w:t>
      </w:r>
      <w:r w:rsidRPr="004A0DFB">
        <w:rPr>
          <w:rFonts w:ascii="Lato" w:eastAsia="Lato" w:hAnsi="Lato" w:cs="Lato"/>
          <w:b/>
          <w:lang w:val="en-US"/>
        </w:rPr>
        <w:t xml:space="preserve">(ii) </w:t>
      </w:r>
      <w:r w:rsidRPr="004A0DFB">
        <w:rPr>
          <w:rFonts w:ascii="Lato" w:eastAsia="Lato" w:hAnsi="Lato" w:cs="Lato"/>
          <w:lang w:val="en-US"/>
        </w:rPr>
        <w:t>remove carbon dioxide from the atmosp</w:t>
      </w:r>
      <w:r w:rsidRPr="004A0DFB">
        <w:rPr>
          <w:rFonts w:ascii="Lato" w:eastAsia="Lato" w:hAnsi="Lato" w:cs="Lato"/>
          <w:lang w:val="en-US"/>
        </w:rPr>
        <w:t>here (</w:t>
      </w:r>
      <w:r w:rsidRPr="004A0DFB">
        <w:rPr>
          <w:rFonts w:ascii="Lato" w:eastAsia="Lato" w:hAnsi="Lato" w:cs="Lato"/>
          <w:b/>
          <w:lang w:val="en-US"/>
        </w:rPr>
        <w:t>carbon dioxide removal</w:t>
      </w:r>
      <w:r w:rsidRPr="004A0DFB">
        <w:rPr>
          <w:rFonts w:ascii="Lato" w:eastAsia="Lato" w:hAnsi="Lato" w:cs="Lato"/>
          <w:lang w:val="en-US"/>
        </w:rPr>
        <w:t xml:space="preserve"> </w:t>
      </w:r>
      <w:r w:rsidRPr="004A0DFB">
        <w:rPr>
          <w:rFonts w:ascii="Lato" w:eastAsia="Lato" w:hAnsi="Lato" w:cs="Lato"/>
          <w:b/>
          <w:lang w:val="en-US"/>
        </w:rPr>
        <w:t>(CDR)</w:t>
      </w:r>
      <w:r w:rsidRPr="004A0DFB">
        <w:rPr>
          <w:rFonts w:ascii="Lato" w:eastAsia="Lato" w:hAnsi="Lato" w:cs="Lato"/>
          <w:lang w:val="en-US"/>
        </w:rPr>
        <w:t xml:space="preserve">), such as through </w:t>
      </w:r>
      <w:r w:rsidRPr="004A0DFB">
        <w:rPr>
          <w:rFonts w:ascii="Lato" w:eastAsia="Lato" w:hAnsi="Lato" w:cs="Lato"/>
          <w:b/>
          <w:lang w:val="en-US"/>
        </w:rPr>
        <w:t>direct air capture with carbon storage (DACCS)</w:t>
      </w:r>
      <w:r w:rsidRPr="004A0DFB">
        <w:rPr>
          <w:rFonts w:ascii="Lato" w:eastAsia="Lato" w:hAnsi="Lato" w:cs="Lato"/>
          <w:lang w:val="en-US"/>
        </w:rPr>
        <w:t xml:space="preserve"> or </w:t>
      </w:r>
      <w:r w:rsidRPr="004A0DFB">
        <w:rPr>
          <w:rFonts w:ascii="Lato" w:eastAsia="Lato" w:hAnsi="Lato" w:cs="Lato"/>
          <w:b/>
          <w:lang w:val="en-US"/>
        </w:rPr>
        <w:t>bioenergy with carbon capture and storage (BECCS)</w:t>
      </w:r>
      <w:r w:rsidRPr="004A0DFB">
        <w:rPr>
          <w:rFonts w:ascii="Lato" w:eastAsia="Lato" w:hAnsi="Lato" w:cs="Lato"/>
          <w:lang w:val="en-US"/>
        </w:rPr>
        <w:t>. While proponents often claim that CCS/CCUS, DACCS, and BECCS are climate “solutions”, these technologi</w:t>
      </w:r>
      <w:r w:rsidRPr="004A0DFB">
        <w:rPr>
          <w:rFonts w:ascii="Lato" w:eastAsia="Lato" w:hAnsi="Lato" w:cs="Lato"/>
          <w:lang w:val="en-US"/>
        </w:rPr>
        <w:t>es are unproven at scale, face multiple feasibility constraints, and divert attention and resources from the only possible pathway to avoiding catastrophic climate change while respecting human rights - namely, rapidly reducing greenhouse gas (GHG) emissio</w:t>
      </w:r>
      <w:r w:rsidRPr="004A0DFB">
        <w:rPr>
          <w:rFonts w:ascii="Lato" w:eastAsia="Lato" w:hAnsi="Lato" w:cs="Lato"/>
          <w:lang w:val="en-US"/>
        </w:rPr>
        <w:t>ns through the immediate phase-out of fossil fuels, scale-up of renewable energy, increase in energy efficiency, and reduction of energy demand.</w:t>
      </w:r>
      <w:r>
        <w:rPr>
          <w:rFonts w:ascii="Lato" w:eastAsia="Lato" w:hAnsi="Lato" w:cs="Lato"/>
          <w:vertAlign w:val="superscript"/>
        </w:rPr>
        <w:footnoteReference w:id="2"/>
      </w:r>
      <w:r w:rsidRPr="004A0DFB">
        <w:rPr>
          <w:rFonts w:ascii="Lato" w:eastAsia="Lato" w:hAnsi="Lato" w:cs="Lato"/>
          <w:lang w:val="en-US"/>
        </w:rPr>
        <w:t xml:space="preserve"> Moreover, CCS/CCUS and CDR technologies also pose significant documented risks to human rights and the enviro</w:t>
      </w:r>
      <w:r w:rsidRPr="004A0DFB">
        <w:rPr>
          <w:rFonts w:ascii="Lato" w:eastAsia="Lato" w:hAnsi="Lato" w:cs="Lato"/>
          <w:lang w:val="en-US"/>
        </w:rPr>
        <w:t>nment.</w:t>
      </w:r>
    </w:p>
    <w:p w14:paraId="5C1BBA70" w14:textId="77777777" w:rsidR="004A0DFB" w:rsidRPr="004A0DFB" w:rsidRDefault="004A0DFB" w:rsidP="004A0DFB">
      <w:pPr>
        <w:jc w:val="both"/>
        <w:rPr>
          <w:rFonts w:ascii="Lato" w:eastAsia="Lato" w:hAnsi="Lato" w:cs="Lato"/>
          <w:lang w:val="en-US"/>
        </w:rPr>
      </w:pPr>
    </w:p>
    <w:p w14:paraId="1B6A39BD" w14:textId="77777777" w:rsidR="004A0DFB" w:rsidRDefault="00C62FDC" w:rsidP="004A0DFB">
      <w:pPr>
        <w:numPr>
          <w:ilvl w:val="0"/>
          <w:numId w:val="2"/>
        </w:numPr>
        <w:ind w:left="0" w:firstLine="0"/>
        <w:jc w:val="both"/>
        <w:rPr>
          <w:rFonts w:ascii="Lato" w:eastAsia="Lato" w:hAnsi="Lato" w:cs="Lato"/>
          <w:lang w:val="en-US"/>
        </w:rPr>
      </w:pPr>
      <w:r w:rsidRPr="004A0DFB">
        <w:rPr>
          <w:rFonts w:ascii="Lato" w:eastAsia="Lato" w:hAnsi="Lato" w:cs="Lato"/>
          <w:lang w:val="en-US"/>
        </w:rPr>
        <w:lastRenderedPageBreak/>
        <w:t>The following sections address these indirect and direct impacts and threats to human rights and the environment, with particular attention to the toxicity of the chemicals and processes involved in the deployment of CCS/CCUS and CDR, and their rel</w:t>
      </w:r>
      <w:r w:rsidRPr="004A0DFB">
        <w:rPr>
          <w:rFonts w:ascii="Lato" w:eastAsia="Lato" w:hAnsi="Lato" w:cs="Lato"/>
          <w:lang w:val="en-US"/>
        </w:rPr>
        <w:t>ationship to existing sources of pollution and climate-related harm.</w:t>
      </w:r>
    </w:p>
    <w:p w14:paraId="5535D3DC" w14:textId="77777777" w:rsidR="004A0DFB" w:rsidRDefault="004A0DFB" w:rsidP="004A0DFB">
      <w:pPr>
        <w:pStyle w:val="ListParagraph"/>
        <w:rPr>
          <w:rFonts w:ascii="Lato" w:eastAsia="Lato" w:hAnsi="Lato" w:cs="Lato"/>
          <w:lang w:val="en-US"/>
        </w:rPr>
      </w:pPr>
    </w:p>
    <w:p w14:paraId="0EA636DF" w14:textId="77777777" w:rsidR="004A0DFB" w:rsidRDefault="00C62FDC" w:rsidP="004A0DFB">
      <w:pPr>
        <w:numPr>
          <w:ilvl w:val="0"/>
          <w:numId w:val="2"/>
        </w:numPr>
        <w:ind w:left="0" w:firstLine="0"/>
        <w:jc w:val="both"/>
        <w:rPr>
          <w:rFonts w:ascii="Lato" w:eastAsia="Lato" w:hAnsi="Lato" w:cs="Lato"/>
          <w:lang w:val="en-US"/>
        </w:rPr>
      </w:pPr>
      <w:r w:rsidRPr="004A0DFB">
        <w:rPr>
          <w:rFonts w:ascii="Lato" w:eastAsia="Lato" w:hAnsi="Lato" w:cs="Lato"/>
          <w:lang w:val="en-US"/>
        </w:rPr>
        <w:t xml:space="preserve">This submission also addresses the hazards and risks to human rights posed by hydrogen and ammonia, which are touted as alternative energy sources for the future, </w:t>
      </w:r>
      <w:proofErr w:type="gramStart"/>
      <w:r w:rsidRPr="004A0DFB">
        <w:rPr>
          <w:rFonts w:ascii="Lato" w:eastAsia="Lato" w:hAnsi="Lato" w:cs="Lato"/>
          <w:lang w:val="en-US"/>
        </w:rPr>
        <w:t>despite the fact that</w:t>
      </w:r>
      <w:proofErr w:type="gramEnd"/>
      <w:r w:rsidRPr="004A0DFB">
        <w:rPr>
          <w:rFonts w:ascii="Lato" w:eastAsia="Lato" w:hAnsi="Lato" w:cs="Lato"/>
          <w:lang w:val="en-US"/>
        </w:rPr>
        <w:t xml:space="preserve"> v</w:t>
      </w:r>
      <w:r w:rsidRPr="004A0DFB">
        <w:rPr>
          <w:rFonts w:ascii="Lato" w:eastAsia="Lato" w:hAnsi="Lato" w:cs="Lato"/>
          <w:lang w:val="en-US"/>
        </w:rPr>
        <w:t>irtually all hydrogen produced today (and ammonia made with it) is made from fossil fuels, especially gas. Rather than a key “bridge” or destination fuel in the needed transition to renewable energy, hydrogen is a tether to the fossil economy and its delet</w:t>
      </w:r>
      <w:r w:rsidRPr="004A0DFB">
        <w:rPr>
          <w:rFonts w:ascii="Lato" w:eastAsia="Lato" w:hAnsi="Lato" w:cs="Lato"/>
          <w:lang w:val="en-US"/>
        </w:rPr>
        <w:t xml:space="preserve">erious impacts, and a source of new risks associated with its volatility, combustion emissions, and the water-intensity of its production. </w:t>
      </w:r>
    </w:p>
    <w:p w14:paraId="1993D165" w14:textId="77777777" w:rsidR="004A0DFB" w:rsidRDefault="004A0DFB" w:rsidP="004A0DFB">
      <w:pPr>
        <w:pStyle w:val="ListParagraph"/>
        <w:rPr>
          <w:rFonts w:ascii="Lato" w:eastAsia="Lato" w:hAnsi="Lato" w:cs="Lato"/>
          <w:lang w:val="en-US"/>
        </w:rPr>
      </w:pPr>
    </w:p>
    <w:p w14:paraId="083887B4" w14:textId="56D4D500" w:rsidR="00161574" w:rsidRPr="004A0DFB" w:rsidRDefault="00C62FDC" w:rsidP="004A0DFB">
      <w:pPr>
        <w:numPr>
          <w:ilvl w:val="0"/>
          <w:numId w:val="2"/>
        </w:numPr>
        <w:ind w:left="0" w:firstLine="0"/>
        <w:jc w:val="both"/>
        <w:rPr>
          <w:rFonts w:ascii="Lato" w:eastAsia="Lato" w:hAnsi="Lato" w:cs="Lato"/>
          <w:lang w:val="en-US"/>
        </w:rPr>
      </w:pPr>
      <w:r w:rsidRPr="004A0DFB">
        <w:rPr>
          <w:rFonts w:ascii="Lato" w:eastAsia="Lato" w:hAnsi="Lato" w:cs="Lato"/>
          <w:lang w:val="en-US"/>
        </w:rPr>
        <w:t>CCS/CCUS, CDR technologies, and hydrogen (particularly fossil hydrogen) jeopardize the enjoyment of a broad range o</w:t>
      </w:r>
      <w:r w:rsidRPr="004A0DFB">
        <w:rPr>
          <w:rFonts w:ascii="Lato" w:eastAsia="Lato" w:hAnsi="Lato" w:cs="Lato"/>
          <w:lang w:val="en-US"/>
        </w:rPr>
        <w:t>f human rights, including the rights to life, to health, to a clean, healthy and sustainable environment, to water, to food, as well as the right to non-discrimination. In respect of the latter, it should be noted that toxic impacts of CCS/CCUS and CDR tec</w:t>
      </w:r>
      <w:r w:rsidRPr="004A0DFB">
        <w:rPr>
          <w:rFonts w:ascii="Lato" w:eastAsia="Lato" w:hAnsi="Lato" w:cs="Lato"/>
          <w:lang w:val="en-US"/>
        </w:rPr>
        <w:t>hnologies are often felt more acutely by certain groups, in particular Indigenous peoples, ethnic minorities, and persons of African descent.</w:t>
      </w:r>
    </w:p>
    <w:p w14:paraId="7BBAB757" w14:textId="77777777" w:rsidR="00161574" w:rsidRPr="004A0DFB" w:rsidRDefault="00161574">
      <w:pPr>
        <w:jc w:val="both"/>
        <w:rPr>
          <w:rFonts w:ascii="Lato" w:eastAsia="Lato" w:hAnsi="Lato" w:cs="Lato"/>
          <w:lang w:val="en-US"/>
        </w:rPr>
      </w:pPr>
    </w:p>
    <w:p w14:paraId="4518723A" w14:textId="77777777" w:rsidR="00161574" w:rsidRPr="004A0DFB" w:rsidRDefault="00C62FDC">
      <w:pPr>
        <w:numPr>
          <w:ilvl w:val="0"/>
          <w:numId w:val="1"/>
        </w:numPr>
        <w:pBdr>
          <w:top w:val="nil"/>
          <w:left w:val="nil"/>
          <w:bottom w:val="nil"/>
          <w:right w:val="nil"/>
          <w:between w:val="nil"/>
        </w:pBdr>
        <w:jc w:val="both"/>
        <w:rPr>
          <w:rFonts w:ascii="Lato" w:eastAsia="Lato" w:hAnsi="Lato" w:cs="Lato"/>
          <w:b/>
          <w:color w:val="046B8C"/>
          <w:sz w:val="32"/>
          <w:szCs w:val="32"/>
          <w:lang w:val="en-US"/>
        </w:rPr>
      </w:pPr>
      <w:r w:rsidRPr="004A0DFB">
        <w:rPr>
          <w:rFonts w:ascii="Lato" w:eastAsia="Lato" w:hAnsi="Lato" w:cs="Lato"/>
          <w:b/>
          <w:color w:val="046B8C"/>
          <w:sz w:val="32"/>
          <w:szCs w:val="32"/>
          <w:lang w:val="en-US"/>
        </w:rPr>
        <w:t>CO2 leakages and air pollution from CCS and CCUS processes</w:t>
      </w:r>
    </w:p>
    <w:p w14:paraId="55E2EB05" w14:textId="77777777" w:rsidR="00161574" w:rsidRPr="004A0DFB" w:rsidRDefault="00161574">
      <w:pPr>
        <w:jc w:val="both"/>
        <w:rPr>
          <w:rFonts w:ascii="Lato" w:eastAsia="Lato" w:hAnsi="Lato" w:cs="Lato"/>
          <w:lang w:val="en-US"/>
        </w:rPr>
      </w:pPr>
    </w:p>
    <w:p w14:paraId="7D5EF162" w14:textId="77777777" w:rsidR="00161574" w:rsidRPr="004A0DFB" w:rsidRDefault="00C62FDC" w:rsidP="004A0DFB">
      <w:pPr>
        <w:numPr>
          <w:ilvl w:val="0"/>
          <w:numId w:val="2"/>
        </w:numPr>
        <w:ind w:left="0" w:firstLine="0"/>
        <w:jc w:val="both"/>
        <w:rPr>
          <w:rFonts w:ascii="Lato" w:eastAsia="Lato" w:hAnsi="Lato" w:cs="Lato"/>
          <w:lang w:val="en-US"/>
        </w:rPr>
      </w:pPr>
      <w:r w:rsidRPr="004A0DFB">
        <w:rPr>
          <w:rFonts w:ascii="Lato" w:eastAsia="Lato" w:hAnsi="Lato" w:cs="Lato"/>
          <w:lang w:val="en-US"/>
        </w:rPr>
        <w:t xml:space="preserve">CCS and CCUS refer to processes for the collection of </w:t>
      </w:r>
      <w:proofErr w:type="gramStart"/>
      <w:r w:rsidRPr="004A0DFB">
        <w:rPr>
          <w:rFonts w:ascii="Lato" w:eastAsia="Lato" w:hAnsi="Lato" w:cs="Lato"/>
          <w:lang w:val="en-US"/>
        </w:rPr>
        <w:t>CO2</w:t>
      </w:r>
      <w:proofErr w:type="gramEnd"/>
      <w:r w:rsidRPr="004A0DFB">
        <w:rPr>
          <w:rFonts w:ascii="Lato" w:eastAsia="Lato" w:hAnsi="Lato" w:cs="Lato"/>
          <w:lang w:val="en-US"/>
        </w:rPr>
        <w:t xml:space="preserve"> generated by an emitting facility or activity, such as coal or gas-fired power plants or petrochemical manufacturing, and its injection underground for storage or utilization in industrial processes</w:t>
      </w:r>
      <w:r w:rsidRPr="004A0DFB">
        <w:rPr>
          <w:rFonts w:ascii="Lato" w:eastAsia="Lato" w:hAnsi="Lato" w:cs="Lato"/>
          <w:lang w:val="en-US"/>
        </w:rPr>
        <w:t>.</w:t>
      </w:r>
      <w:r>
        <w:rPr>
          <w:rFonts w:ascii="Lato" w:eastAsia="Lato" w:hAnsi="Lato" w:cs="Lato"/>
          <w:vertAlign w:val="superscript"/>
        </w:rPr>
        <w:footnoteReference w:id="3"/>
      </w:r>
    </w:p>
    <w:p w14:paraId="3E5F4340" w14:textId="77777777" w:rsidR="00161574" w:rsidRPr="004A0DFB" w:rsidRDefault="00161574" w:rsidP="004A0DFB">
      <w:pPr>
        <w:jc w:val="both"/>
        <w:rPr>
          <w:rFonts w:ascii="Lato" w:eastAsia="Lato" w:hAnsi="Lato" w:cs="Lato"/>
          <w:vertAlign w:val="superscript"/>
          <w:lang w:val="en-US"/>
        </w:rPr>
      </w:pPr>
    </w:p>
    <w:p w14:paraId="67A3B175" w14:textId="77777777" w:rsidR="00161574" w:rsidRPr="004A0DFB" w:rsidRDefault="00C62FDC" w:rsidP="004A0DFB">
      <w:pPr>
        <w:numPr>
          <w:ilvl w:val="0"/>
          <w:numId w:val="2"/>
        </w:numPr>
        <w:ind w:left="0" w:firstLine="0"/>
        <w:jc w:val="both"/>
        <w:rPr>
          <w:rFonts w:ascii="Lato" w:eastAsia="Lato" w:hAnsi="Lato" w:cs="Lato"/>
          <w:lang w:val="en-US"/>
        </w:rPr>
      </w:pPr>
      <w:r w:rsidRPr="004A0DFB">
        <w:rPr>
          <w:rFonts w:ascii="Lato" w:eastAsia="Lato" w:hAnsi="Lato" w:cs="Lato"/>
          <w:lang w:val="en-US"/>
        </w:rPr>
        <w:t>In one of its most recent reports, the Intergovernmental Panel on Climate Change (IPCC) categorized CCS/CCUS technologies as among the mitigation options with the highest cost and lowest potential to contribute to emissions reductions by 2030.</w:t>
      </w:r>
      <w:r>
        <w:rPr>
          <w:rFonts w:ascii="Lato" w:eastAsia="Lato" w:hAnsi="Lato" w:cs="Lato"/>
          <w:vertAlign w:val="superscript"/>
        </w:rPr>
        <w:footnoteReference w:id="4"/>
      </w:r>
      <w:r w:rsidRPr="004A0DFB">
        <w:rPr>
          <w:rFonts w:ascii="Lato" w:eastAsia="Lato" w:hAnsi="Lato" w:cs="Lato"/>
          <w:vertAlign w:val="superscript"/>
          <w:lang w:val="en-US"/>
        </w:rPr>
        <w:t xml:space="preserve"> </w:t>
      </w:r>
      <w:r w:rsidRPr="004A0DFB">
        <w:rPr>
          <w:rFonts w:ascii="Lato" w:eastAsia="Lato" w:hAnsi="Lato" w:cs="Lato"/>
          <w:lang w:val="en-US"/>
        </w:rPr>
        <w:t>Consequently, the potential for CCS/CCUS to contribute to the reduction of net emissions in the near term - the period when significant emissions reduction is the most important, in order to keep global temperature rise under 1.5°C and avoid the irreversib</w:t>
      </w:r>
      <w:r w:rsidRPr="004A0DFB">
        <w:rPr>
          <w:rFonts w:ascii="Lato" w:eastAsia="Lato" w:hAnsi="Lato" w:cs="Lato"/>
          <w:lang w:val="en-US"/>
        </w:rPr>
        <w:t xml:space="preserve">le consequences of overshoot – is negligible, while their financial costs are high. Furthermore, CCS/CCUS technologies can also </w:t>
      </w:r>
      <w:r w:rsidRPr="004A0DFB">
        <w:rPr>
          <w:rFonts w:ascii="Lato" w:eastAsia="Lato" w:hAnsi="Lato" w:cs="Lato"/>
          <w:lang w:val="en-US"/>
        </w:rPr>
        <w:lastRenderedPageBreak/>
        <w:t>be harmful to peoples’ rights and the environment - including through the exacerbation of toxic pollution,</w:t>
      </w:r>
      <w:r>
        <w:rPr>
          <w:rFonts w:ascii="Lato" w:eastAsia="Lato" w:hAnsi="Lato" w:cs="Lato"/>
          <w:vertAlign w:val="superscript"/>
        </w:rPr>
        <w:footnoteReference w:id="5"/>
      </w:r>
      <w:r w:rsidRPr="004A0DFB">
        <w:rPr>
          <w:rFonts w:ascii="Lato" w:eastAsia="Lato" w:hAnsi="Lato" w:cs="Lato"/>
          <w:lang w:val="en-US"/>
        </w:rPr>
        <w:t xml:space="preserve"> raising safety and </w:t>
      </w:r>
      <w:r w:rsidRPr="004A0DFB">
        <w:rPr>
          <w:rFonts w:ascii="Lato" w:eastAsia="Lato" w:hAnsi="Lato" w:cs="Lato"/>
          <w:lang w:val="en-US"/>
        </w:rPr>
        <w:t>health concerns.</w:t>
      </w:r>
      <w:r>
        <w:rPr>
          <w:rFonts w:ascii="Lato" w:eastAsia="Lato" w:hAnsi="Lato" w:cs="Lato"/>
          <w:vertAlign w:val="superscript"/>
        </w:rPr>
        <w:footnoteReference w:id="6"/>
      </w:r>
    </w:p>
    <w:p w14:paraId="0DDBD316" w14:textId="77777777" w:rsidR="00161574" w:rsidRPr="004A0DFB" w:rsidRDefault="00161574">
      <w:pPr>
        <w:jc w:val="both"/>
        <w:rPr>
          <w:rFonts w:ascii="Lato" w:eastAsia="Lato" w:hAnsi="Lato" w:cs="Lato"/>
          <w:lang w:val="en-US"/>
        </w:rPr>
      </w:pPr>
    </w:p>
    <w:p w14:paraId="453DB6F4" w14:textId="77777777" w:rsidR="00161574" w:rsidRDefault="00C62FDC">
      <w:pPr>
        <w:jc w:val="both"/>
        <w:rPr>
          <w:rFonts w:ascii="Lato" w:eastAsia="Lato" w:hAnsi="Lato" w:cs="Lato"/>
          <w:i/>
          <w:u w:val="single"/>
        </w:rPr>
      </w:pPr>
      <w:r>
        <w:rPr>
          <w:rFonts w:ascii="Lato" w:eastAsia="Lato" w:hAnsi="Lato" w:cs="Lato"/>
          <w:i/>
          <w:u w:val="single"/>
        </w:rPr>
        <w:t>Direct impacts</w:t>
      </w:r>
    </w:p>
    <w:p w14:paraId="6BA07ED0" w14:textId="77777777" w:rsidR="00161574" w:rsidRPr="004A0DFB" w:rsidRDefault="00C62FDC" w:rsidP="004A0DFB">
      <w:pPr>
        <w:numPr>
          <w:ilvl w:val="0"/>
          <w:numId w:val="2"/>
        </w:numPr>
        <w:ind w:left="0" w:hanging="11"/>
        <w:jc w:val="both"/>
        <w:rPr>
          <w:rFonts w:ascii="Lato" w:eastAsia="Lato" w:hAnsi="Lato" w:cs="Lato"/>
          <w:lang w:val="en-US"/>
        </w:rPr>
      </w:pPr>
      <w:r w:rsidRPr="004A0DFB">
        <w:rPr>
          <w:rFonts w:ascii="Lato" w:eastAsia="Lato" w:hAnsi="Lato" w:cs="Lato"/>
          <w:lang w:val="en-US"/>
        </w:rPr>
        <w:t xml:space="preserve"> The entire CCS/CCUS process involves risks of toxic impacts, starting with the capture of CO2 itself. In order for the CO2 from an industrial facility to be captured, the most common type of CCS units use amine-based sol</w:t>
      </w:r>
      <w:r w:rsidRPr="004A0DFB">
        <w:rPr>
          <w:rFonts w:ascii="Lato" w:eastAsia="Lato" w:hAnsi="Lato" w:cs="Lato"/>
          <w:lang w:val="en-US"/>
        </w:rPr>
        <w:t>vents,</w:t>
      </w:r>
      <w:r>
        <w:rPr>
          <w:rFonts w:ascii="Lato" w:eastAsia="Lato" w:hAnsi="Lato" w:cs="Lato"/>
          <w:vertAlign w:val="superscript"/>
        </w:rPr>
        <w:footnoteReference w:id="7"/>
      </w:r>
      <w:r w:rsidRPr="004A0DFB">
        <w:rPr>
          <w:rFonts w:ascii="Lato" w:eastAsia="Lato" w:hAnsi="Lato" w:cs="Lato"/>
          <w:lang w:val="en-US"/>
        </w:rPr>
        <w:t xml:space="preserve"> relying on large amounts of chemicals for the process and releasing significant quantities of ammonia.</w:t>
      </w:r>
      <w:r>
        <w:rPr>
          <w:rFonts w:ascii="Lato" w:eastAsia="Lato" w:hAnsi="Lato" w:cs="Lato"/>
          <w:vertAlign w:val="superscript"/>
        </w:rPr>
        <w:footnoteReference w:id="8"/>
      </w:r>
      <w:r w:rsidRPr="004A0DFB">
        <w:rPr>
          <w:rFonts w:ascii="Lato" w:eastAsia="Lato" w:hAnsi="Lato" w:cs="Lato"/>
          <w:lang w:val="en-US"/>
        </w:rPr>
        <w:t xml:space="preserve"> The release of ammonia (whose “high toxicity”</w:t>
      </w:r>
      <w:r>
        <w:rPr>
          <w:rFonts w:ascii="Lato" w:eastAsia="Lato" w:hAnsi="Lato" w:cs="Lato"/>
          <w:vertAlign w:val="superscript"/>
        </w:rPr>
        <w:footnoteReference w:id="9"/>
      </w:r>
      <w:r w:rsidRPr="004A0DFB">
        <w:rPr>
          <w:rFonts w:ascii="Lato" w:eastAsia="Lato" w:hAnsi="Lato" w:cs="Lato"/>
          <w:vertAlign w:val="superscript"/>
          <w:lang w:val="en-US"/>
        </w:rPr>
        <w:t xml:space="preserve"> </w:t>
      </w:r>
      <w:r w:rsidRPr="004A0DFB">
        <w:rPr>
          <w:rFonts w:ascii="Lato" w:eastAsia="Lato" w:hAnsi="Lato" w:cs="Lato"/>
          <w:lang w:val="en-US"/>
        </w:rPr>
        <w:t>is undisputed) from the CCS/CCUS process represents a hazard for neighboring communities and a</w:t>
      </w:r>
      <w:r w:rsidRPr="004A0DFB">
        <w:rPr>
          <w:rFonts w:ascii="Lato" w:eastAsia="Lato" w:hAnsi="Lato" w:cs="Lato"/>
          <w:lang w:val="en-US"/>
        </w:rPr>
        <w:t xml:space="preserve"> threat to neighboring people’s rights to life, to health and to a clean, healthy and sustainable environment - in particular for children and people in vulnerable situations .</w:t>
      </w:r>
      <w:r>
        <w:rPr>
          <w:rFonts w:ascii="Lato" w:eastAsia="Lato" w:hAnsi="Lato" w:cs="Lato"/>
          <w:vertAlign w:val="superscript"/>
        </w:rPr>
        <w:footnoteReference w:id="10"/>
      </w:r>
    </w:p>
    <w:p w14:paraId="072DD90B" w14:textId="77777777" w:rsidR="00161574" w:rsidRPr="004A0DFB" w:rsidRDefault="00161574" w:rsidP="004A0DFB">
      <w:pPr>
        <w:ind w:hanging="11"/>
        <w:jc w:val="both"/>
        <w:rPr>
          <w:rFonts w:ascii="Lato" w:eastAsia="Lato" w:hAnsi="Lato" w:cs="Lato"/>
          <w:lang w:val="en-US"/>
        </w:rPr>
      </w:pPr>
    </w:p>
    <w:p w14:paraId="04EC28A2" w14:textId="77777777" w:rsidR="00161574" w:rsidRPr="004A0DFB" w:rsidRDefault="00C62FDC" w:rsidP="004A0DFB">
      <w:pPr>
        <w:numPr>
          <w:ilvl w:val="0"/>
          <w:numId w:val="2"/>
        </w:numPr>
        <w:ind w:left="0" w:hanging="11"/>
        <w:jc w:val="both"/>
        <w:rPr>
          <w:rFonts w:ascii="Lato" w:eastAsia="Lato" w:hAnsi="Lato" w:cs="Lato"/>
          <w:lang w:val="en-US"/>
        </w:rPr>
      </w:pPr>
      <w:r w:rsidRPr="004A0DFB">
        <w:rPr>
          <w:rFonts w:ascii="Lato" w:eastAsia="Lato" w:hAnsi="Lato" w:cs="Lato"/>
          <w:lang w:val="en-US"/>
        </w:rPr>
        <w:t xml:space="preserve">The transport of captured CO2, by pipeline or by ship, also entails several </w:t>
      </w:r>
      <w:r w:rsidRPr="004A0DFB">
        <w:rPr>
          <w:rFonts w:ascii="Lato" w:eastAsia="Lato" w:hAnsi="Lato" w:cs="Lato"/>
          <w:lang w:val="en-US"/>
        </w:rPr>
        <w:t>risks. At high concentrations, carbon dioxide is a toxic gas and an asphyxiant, which can cause “‘circulatory insufficiency’, coma and death.”</w:t>
      </w:r>
      <w:r>
        <w:rPr>
          <w:rFonts w:ascii="Lato" w:eastAsia="Lato" w:hAnsi="Lato" w:cs="Lato"/>
          <w:vertAlign w:val="superscript"/>
        </w:rPr>
        <w:footnoteReference w:id="11"/>
      </w:r>
      <w:r w:rsidRPr="004A0DFB">
        <w:rPr>
          <w:rFonts w:ascii="Lato" w:eastAsia="Lato" w:hAnsi="Lato" w:cs="Lato"/>
          <w:lang w:val="en-US"/>
        </w:rPr>
        <w:t xml:space="preserve"> In addition, depending on the source of capture, compressed CO2 may be mixed with other contaminants such as th</w:t>
      </w:r>
      <w:r w:rsidRPr="004A0DFB">
        <w:rPr>
          <w:rFonts w:ascii="Lato" w:eastAsia="Lato" w:hAnsi="Lato" w:cs="Lato"/>
          <w:lang w:val="en-US"/>
        </w:rPr>
        <w:t>e hydrogen sulfide, whose presence increases the risk of pipe corrosions and leaks, and whose qualification as a “poisonous chemical”</w:t>
      </w:r>
      <w:r>
        <w:rPr>
          <w:rFonts w:ascii="Lato" w:eastAsia="Lato" w:hAnsi="Lato" w:cs="Lato"/>
          <w:vertAlign w:val="superscript"/>
        </w:rPr>
        <w:footnoteReference w:id="12"/>
      </w:r>
      <w:r w:rsidRPr="004A0DFB">
        <w:rPr>
          <w:rFonts w:ascii="Lato" w:eastAsia="Lato" w:hAnsi="Lato" w:cs="Lato"/>
          <w:lang w:val="en-US"/>
        </w:rPr>
        <w:t xml:space="preserve"> compounds the health risks and potential hazards for people and animals in case of exposure.</w:t>
      </w:r>
    </w:p>
    <w:p w14:paraId="72DF73B7" w14:textId="77777777" w:rsidR="00161574" w:rsidRPr="004A0DFB" w:rsidRDefault="00161574" w:rsidP="004A0DFB">
      <w:pPr>
        <w:ind w:hanging="11"/>
        <w:jc w:val="both"/>
        <w:rPr>
          <w:rFonts w:ascii="Lato" w:eastAsia="Lato" w:hAnsi="Lato" w:cs="Lato"/>
          <w:lang w:val="en-US"/>
        </w:rPr>
      </w:pPr>
    </w:p>
    <w:p w14:paraId="01671B69" w14:textId="77777777" w:rsidR="00161574" w:rsidRPr="004A0DFB" w:rsidRDefault="00C62FDC" w:rsidP="004A0DFB">
      <w:pPr>
        <w:numPr>
          <w:ilvl w:val="0"/>
          <w:numId w:val="2"/>
        </w:numPr>
        <w:ind w:left="0" w:hanging="11"/>
        <w:jc w:val="both"/>
        <w:rPr>
          <w:rFonts w:ascii="Lato" w:eastAsia="Lato" w:hAnsi="Lato" w:cs="Lato"/>
          <w:lang w:val="en-US"/>
        </w:rPr>
      </w:pPr>
      <w:r w:rsidRPr="004A0DFB">
        <w:rPr>
          <w:rFonts w:ascii="Lato" w:eastAsia="Lato" w:hAnsi="Lato" w:cs="Lato"/>
          <w:lang w:val="en-US"/>
        </w:rPr>
        <w:t xml:space="preserve">The injection and storage </w:t>
      </w:r>
      <w:r w:rsidRPr="004A0DFB">
        <w:rPr>
          <w:rFonts w:ascii="Lato" w:eastAsia="Lato" w:hAnsi="Lato" w:cs="Lato"/>
          <w:lang w:val="en-US"/>
        </w:rPr>
        <w:t>of CO2 in ​​underground reservoirs entails a series of complex issues and risks, since it increases the pressure in these underground geological formations, which in turn can lead to earthquakes (“induced seismicity”) or “to the pollution of potable water”</w:t>
      </w:r>
      <w:r>
        <w:rPr>
          <w:rFonts w:ascii="Lato" w:eastAsia="Lato" w:hAnsi="Lato" w:cs="Lato"/>
          <w:vertAlign w:val="superscript"/>
        </w:rPr>
        <w:footnoteReference w:id="13"/>
      </w:r>
      <w:r w:rsidRPr="004A0DFB">
        <w:rPr>
          <w:rFonts w:ascii="Lato" w:eastAsia="Lato" w:hAnsi="Lato" w:cs="Lato"/>
          <w:lang w:val="en-US"/>
        </w:rPr>
        <w:t xml:space="preserve"> in the event of a leak  or due to contamination with produced water or brine displaced by CO2 injection, among other impacts.</w:t>
      </w:r>
      <w:r>
        <w:rPr>
          <w:rFonts w:ascii="Lato" w:eastAsia="Lato" w:hAnsi="Lato" w:cs="Lato"/>
          <w:vertAlign w:val="superscript"/>
        </w:rPr>
        <w:footnoteReference w:id="14"/>
      </w:r>
      <w:r w:rsidRPr="004A0DFB">
        <w:rPr>
          <w:rFonts w:ascii="Lato" w:eastAsia="Lato" w:hAnsi="Lato" w:cs="Lato"/>
          <w:lang w:val="en-US"/>
        </w:rPr>
        <w:t xml:space="preserve"> Geological carbon storage produces high-salinity brines</w:t>
      </w:r>
      <w:r>
        <w:rPr>
          <w:rFonts w:ascii="Lato" w:eastAsia="Lato" w:hAnsi="Lato" w:cs="Lato"/>
          <w:vertAlign w:val="superscript"/>
        </w:rPr>
        <w:footnoteReference w:id="15"/>
      </w:r>
      <w:r w:rsidRPr="004A0DFB">
        <w:rPr>
          <w:rFonts w:ascii="Lato" w:eastAsia="Lato" w:hAnsi="Lato" w:cs="Lato"/>
          <w:lang w:val="en-US"/>
        </w:rPr>
        <w:t xml:space="preserve"> that may contain toxic metals and radioactive substances, and that have to be reinjected or disposed of to avoid polluting ecosystems and prevent harmful effects on the environment. Even the reinjection and disposal of these brines, however, can be “envir</w:t>
      </w:r>
      <w:r w:rsidRPr="004A0DFB">
        <w:rPr>
          <w:rFonts w:ascii="Lato" w:eastAsia="Lato" w:hAnsi="Lato" w:cs="Lato"/>
          <w:lang w:val="en-US"/>
        </w:rPr>
        <w:t>onmentally challenging”.</w:t>
      </w:r>
      <w:r>
        <w:rPr>
          <w:rFonts w:ascii="Lato" w:eastAsia="Lato" w:hAnsi="Lato" w:cs="Lato"/>
          <w:vertAlign w:val="superscript"/>
        </w:rPr>
        <w:footnoteReference w:id="16"/>
      </w:r>
      <w:r w:rsidRPr="004A0DFB">
        <w:rPr>
          <w:rFonts w:ascii="Lato" w:eastAsia="Lato" w:hAnsi="Lato" w:cs="Lato"/>
          <w:vertAlign w:val="superscript"/>
          <w:lang w:val="en-US"/>
        </w:rPr>
        <w:t xml:space="preserve"> </w:t>
      </w:r>
      <w:r w:rsidRPr="004A0DFB">
        <w:rPr>
          <w:rFonts w:ascii="Lato" w:eastAsia="Lato" w:hAnsi="Lato" w:cs="Lato"/>
          <w:lang w:val="en-US"/>
        </w:rPr>
        <w:t xml:space="preserve">The resulting environmental and health damage threatens the rights to health, to a clean, healthy and sustainable environment, and to water. </w:t>
      </w:r>
    </w:p>
    <w:p w14:paraId="6B933C38" w14:textId="77777777" w:rsidR="00161574" w:rsidRPr="004A0DFB" w:rsidRDefault="00161574">
      <w:pPr>
        <w:jc w:val="both"/>
        <w:rPr>
          <w:rFonts w:ascii="Lato" w:eastAsia="Lato" w:hAnsi="Lato" w:cs="Lato"/>
          <w:lang w:val="en-US"/>
        </w:rPr>
      </w:pPr>
    </w:p>
    <w:p w14:paraId="0A7A2F94" w14:textId="77777777" w:rsidR="00161574" w:rsidRDefault="00C62FDC">
      <w:pPr>
        <w:jc w:val="both"/>
        <w:rPr>
          <w:rFonts w:ascii="Lato" w:eastAsia="Lato" w:hAnsi="Lato" w:cs="Lato"/>
        </w:rPr>
      </w:pPr>
      <w:r>
        <w:rPr>
          <w:rFonts w:ascii="Lato" w:eastAsia="Lato" w:hAnsi="Lato" w:cs="Lato"/>
          <w:i/>
          <w:u w:val="single"/>
        </w:rPr>
        <w:t>Indirect impacts</w:t>
      </w:r>
    </w:p>
    <w:p w14:paraId="0C7FE9C1" w14:textId="77777777" w:rsidR="00161574" w:rsidRPr="004A0DFB" w:rsidRDefault="00C62FDC" w:rsidP="004A0DFB">
      <w:pPr>
        <w:numPr>
          <w:ilvl w:val="0"/>
          <w:numId w:val="2"/>
        </w:numPr>
        <w:ind w:left="0" w:firstLine="0"/>
        <w:jc w:val="both"/>
        <w:rPr>
          <w:rFonts w:ascii="Lato" w:eastAsia="Lato" w:hAnsi="Lato" w:cs="Lato"/>
          <w:lang w:val="en-US"/>
        </w:rPr>
      </w:pPr>
      <w:r w:rsidRPr="004A0DFB">
        <w:rPr>
          <w:rFonts w:ascii="Lato" w:eastAsia="Lato" w:hAnsi="Lato" w:cs="Lato"/>
          <w:lang w:val="en-US"/>
        </w:rPr>
        <w:t xml:space="preserve">The inseparable link between CCS/CCUS and the fossil fuel economy compounds the toxic impacts of these technologies and their risks to rights. Because CCS/CCUS technology is applied to an underlying source of pollution by design, it risks locking in place </w:t>
      </w:r>
      <w:r w:rsidRPr="004A0DFB">
        <w:rPr>
          <w:rFonts w:ascii="Lato" w:eastAsia="Lato" w:hAnsi="Lato" w:cs="Lato"/>
          <w:lang w:val="en-US"/>
        </w:rPr>
        <w:t xml:space="preserve">fossil fuel-reliant facilities and processes, exacerbating environmental injustice in communities already burdened by the associated pollution. </w:t>
      </w:r>
    </w:p>
    <w:p w14:paraId="2237524E" w14:textId="77777777" w:rsidR="00161574" w:rsidRPr="004A0DFB" w:rsidRDefault="00161574" w:rsidP="004A0DFB">
      <w:pPr>
        <w:jc w:val="both"/>
        <w:rPr>
          <w:rFonts w:ascii="Lato" w:eastAsia="Lato" w:hAnsi="Lato" w:cs="Lato"/>
          <w:lang w:val="en-US"/>
        </w:rPr>
      </w:pPr>
    </w:p>
    <w:p w14:paraId="3F5D2EDC" w14:textId="77777777" w:rsidR="00161574" w:rsidRPr="004A0DFB" w:rsidRDefault="00C62FDC" w:rsidP="004A0DFB">
      <w:pPr>
        <w:numPr>
          <w:ilvl w:val="0"/>
          <w:numId w:val="2"/>
        </w:numPr>
        <w:ind w:left="0" w:firstLine="0"/>
        <w:jc w:val="both"/>
        <w:rPr>
          <w:rFonts w:ascii="Lato" w:eastAsia="Lato" w:hAnsi="Lato" w:cs="Lato"/>
          <w:lang w:val="en-US"/>
        </w:rPr>
      </w:pPr>
      <w:r w:rsidRPr="004A0DFB">
        <w:rPr>
          <w:rFonts w:ascii="Lato" w:eastAsia="Lato" w:hAnsi="Lato" w:cs="Lato"/>
          <w:lang w:val="en-US"/>
        </w:rPr>
        <w:t>This is particularly the case with increased air pollution linked to the additional fuel consumption necessary</w:t>
      </w:r>
      <w:r w:rsidRPr="004A0DFB">
        <w:rPr>
          <w:rFonts w:ascii="Lato" w:eastAsia="Lato" w:hAnsi="Lato" w:cs="Lato"/>
          <w:lang w:val="en-US"/>
        </w:rPr>
        <w:t xml:space="preserve"> to power CCS/CCUS processes. These technologies require a lot of energy to function, leading to a significant energy penalty at the underlying emitting facility. For example, applying carbon capture to a coal or gas power </w:t>
      </w:r>
      <w:proofErr w:type="gramStart"/>
      <w:r w:rsidRPr="004A0DFB">
        <w:rPr>
          <w:rFonts w:ascii="Lato" w:eastAsia="Lato" w:hAnsi="Lato" w:cs="Lato"/>
          <w:lang w:val="en-US"/>
        </w:rPr>
        <w:t>plant  “</w:t>
      </w:r>
      <w:proofErr w:type="gramEnd"/>
      <w:r w:rsidRPr="004A0DFB">
        <w:rPr>
          <w:rFonts w:ascii="Lato" w:eastAsia="Lato" w:hAnsi="Lato" w:cs="Lato"/>
          <w:lang w:val="en-US"/>
        </w:rPr>
        <w:t>increases the fuel requir</w:t>
      </w:r>
      <w:r w:rsidRPr="004A0DFB">
        <w:rPr>
          <w:rFonts w:ascii="Lato" w:eastAsia="Lato" w:hAnsi="Lato" w:cs="Lato"/>
          <w:lang w:val="en-US"/>
        </w:rPr>
        <w:t>ement for electricity generation by 13–44%.”</w:t>
      </w:r>
      <w:r>
        <w:rPr>
          <w:rFonts w:ascii="Lato" w:eastAsia="Lato" w:hAnsi="Lato" w:cs="Lato"/>
          <w:vertAlign w:val="superscript"/>
        </w:rPr>
        <w:footnoteReference w:id="17"/>
      </w:r>
      <w:r w:rsidRPr="004A0DFB">
        <w:rPr>
          <w:rFonts w:ascii="Lato" w:eastAsia="Lato" w:hAnsi="Lato" w:cs="Lato"/>
          <w:vertAlign w:val="superscript"/>
          <w:lang w:val="en-US"/>
        </w:rPr>
        <w:t xml:space="preserve"> </w:t>
      </w:r>
      <w:r w:rsidRPr="004A0DFB">
        <w:rPr>
          <w:rFonts w:ascii="Lato" w:eastAsia="Lato" w:hAnsi="Lato" w:cs="Lato"/>
          <w:lang w:val="en-US"/>
        </w:rPr>
        <w:t xml:space="preserve">In other words, applying CCS/CCUS to a </w:t>
      </w:r>
      <w:r w:rsidRPr="004A0DFB">
        <w:rPr>
          <w:rFonts w:ascii="Lato" w:eastAsia="Lato" w:hAnsi="Lato" w:cs="Lato"/>
          <w:lang w:val="en-US"/>
        </w:rPr>
        <w:lastRenderedPageBreak/>
        <w:t>fossil-fuel burning facility requires that facility to burn more fossil fuels for the same output, increasing associated air pollution – particularly of hazardous emissio</w:t>
      </w:r>
      <w:r w:rsidRPr="004A0DFB">
        <w:rPr>
          <w:rFonts w:ascii="Lato" w:eastAsia="Lato" w:hAnsi="Lato" w:cs="Lato"/>
          <w:lang w:val="en-US"/>
        </w:rPr>
        <w:t>ns other than CO2, which are not captured by CCS such as NOx. As the European Environment Agency (EEA) notes, nitrogen oxides “seem to increase almost proportionally with the increase in primary energy demand needed to run the capture unit.”</w:t>
      </w:r>
      <w:r>
        <w:rPr>
          <w:rFonts w:ascii="Lato" w:eastAsia="Lato" w:hAnsi="Lato" w:cs="Lato"/>
          <w:vertAlign w:val="superscript"/>
        </w:rPr>
        <w:footnoteReference w:id="18"/>
      </w:r>
    </w:p>
    <w:p w14:paraId="74DB946C" w14:textId="77777777" w:rsidR="00161574" w:rsidRPr="004A0DFB" w:rsidRDefault="00161574" w:rsidP="004A0DFB">
      <w:pPr>
        <w:jc w:val="both"/>
        <w:rPr>
          <w:rFonts w:ascii="Lato" w:eastAsia="Lato" w:hAnsi="Lato" w:cs="Lato"/>
          <w:lang w:val="en-US"/>
        </w:rPr>
      </w:pPr>
    </w:p>
    <w:p w14:paraId="0F660394" w14:textId="0EF704F0" w:rsidR="00161574" w:rsidRPr="004A0DFB" w:rsidRDefault="00C62FDC" w:rsidP="004A0DFB">
      <w:pPr>
        <w:numPr>
          <w:ilvl w:val="0"/>
          <w:numId w:val="2"/>
        </w:numPr>
        <w:ind w:left="0" w:firstLine="0"/>
        <w:jc w:val="both"/>
        <w:rPr>
          <w:rFonts w:ascii="Lato" w:eastAsia="Lato" w:hAnsi="Lato" w:cs="Lato"/>
          <w:lang w:val="en-US"/>
        </w:rPr>
      </w:pPr>
      <w:r w:rsidRPr="004A0DFB">
        <w:rPr>
          <w:rFonts w:ascii="Lato" w:eastAsia="Lato" w:hAnsi="Lato" w:cs="Lato"/>
          <w:lang w:val="en-US"/>
        </w:rPr>
        <w:t>The indirec</w:t>
      </w:r>
      <w:r w:rsidRPr="004A0DFB">
        <w:rPr>
          <w:rFonts w:ascii="Lato" w:eastAsia="Lato" w:hAnsi="Lato" w:cs="Lato"/>
          <w:lang w:val="en-US"/>
        </w:rPr>
        <w:t>t impact of the CCS/CCUS energy penalty has led the EEA to state that “the lifecycle emissions from the CCS/CCUS chain, particularly the additional indirect emissions from fuel production and transportation, may also be significant in some instances. The m</w:t>
      </w:r>
      <w:r w:rsidRPr="004A0DFB">
        <w:rPr>
          <w:rFonts w:ascii="Lato" w:eastAsia="Lato" w:hAnsi="Lato" w:cs="Lato"/>
          <w:lang w:val="en-US"/>
        </w:rPr>
        <w:t>agnitude of the indirect emissions, for all pollutants, can exceed that of the direct emissions in certain cases.”</w:t>
      </w:r>
      <w:r>
        <w:rPr>
          <w:rFonts w:ascii="Lato" w:eastAsia="Lato" w:hAnsi="Lato" w:cs="Lato"/>
          <w:vertAlign w:val="superscript"/>
        </w:rPr>
        <w:footnoteReference w:id="19"/>
      </w:r>
      <w:r w:rsidRPr="004A0DFB">
        <w:rPr>
          <w:rFonts w:ascii="Lato" w:eastAsia="Lato" w:hAnsi="Lato" w:cs="Lato"/>
          <w:lang w:val="en-US"/>
        </w:rPr>
        <w:t xml:space="preserve"> </w:t>
      </w:r>
    </w:p>
    <w:p w14:paraId="57A40C8C" w14:textId="77777777" w:rsidR="00161574" w:rsidRPr="004A0DFB" w:rsidRDefault="00161574" w:rsidP="004A0DFB">
      <w:pPr>
        <w:jc w:val="both"/>
        <w:rPr>
          <w:rFonts w:ascii="Lato" w:eastAsia="Lato" w:hAnsi="Lato" w:cs="Lato"/>
          <w:lang w:val="en-US"/>
        </w:rPr>
      </w:pPr>
    </w:p>
    <w:p w14:paraId="4B823126" w14:textId="77777777" w:rsidR="00161574" w:rsidRPr="004A0DFB" w:rsidRDefault="00C62FDC" w:rsidP="004A0DFB">
      <w:pPr>
        <w:numPr>
          <w:ilvl w:val="0"/>
          <w:numId w:val="2"/>
        </w:numPr>
        <w:ind w:left="0" w:firstLine="0"/>
        <w:jc w:val="both"/>
        <w:rPr>
          <w:rFonts w:ascii="Lato" w:eastAsia="Lato" w:hAnsi="Lato" w:cs="Lato"/>
          <w:lang w:val="en-US"/>
        </w:rPr>
      </w:pPr>
      <w:r w:rsidRPr="004A0DFB">
        <w:rPr>
          <w:rFonts w:ascii="Lato" w:eastAsia="Lato" w:hAnsi="Lato" w:cs="Lato"/>
          <w:lang w:val="en-US"/>
        </w:rPr>
        <w:t>In some instances, the increased pollution load due to increased fuel consumption from CCS/CCUS technologies has been cited by private co</w:t>
      </w:r>
      <w:r w:rsidRPr="004A0DFB">
        <w:rPr>
          <w:rFonts w:ascii="Lato" w:eastAsia="Lato" w:hAnsi="Lato" w:cs="Lato"/>
          <w:lang w:val="en-US"/>
        </w:rPr>
        <w:t>mpanies - including Chevron Phillips,</w:t>
      </w:r>
      <w:r>
        <w:rPr>
          <w:rFonts w:ascii="Lato" w:eastAsia="Lato" w:hAnsi="Lato" w:cs="Lato"/>
          <w:vertAlign w:val="superscript"/>
        </w:rPr>
        <w:footnoteReference w:id="20"/>
      </w:r>
      <w:r w:rsidRPr="004A0DFB">
        <w:rPr>
          <w:rFonts w:ascii="Lato" w:eastAsia="Lato" w:hAnsi="Lato" w:cs="Lato"/>
          <w:lang w:val="en-US"/>
        </w:rPr>
        <w:t xml:space="preserve"> Dow Chemical</w:t>
      </w:r>
      <w:r>
        <w:rPr>
          <w:rFonts w:ascii="Lato" w:eastAsia="Lato" w:hAnsi="Lato" w:cs="Lato"/>
          <w:vertAlign w:val="superscript"/>
        </w:rPr>
        <w:footnoteReference w:id="21"/>
      </w:r>
      <w:r w:rsidRPr="004A0DFB">
        <w:rPr>
          <w:rFonts w:ascii="Lato" w:eastAsia="Lato" w:hAnsi="Lato" w:cs="Lato"/>
          <w:lang w:val="en-US"/>
        </w:rPr>
        <w:t xml:space="preserve"> and ExxonMobil</w:t>
      </w:r>
      <w:r>
        <w:rPr>
          <w:rFonts w:ascii="Lato" w:eastAsia="Lato" w:hAnsi="Lato" w:cs="Lato"/>
          <w:vertAlign w:val="superscript"/>
        </w:rPr>
        <w:footnoteReference w:id="22"/>
      </w:r>
      <w:r w:rsidRPr="004A0DFB">
        <w:rPr>
          <w:rFonts w:ascii="Lato" w:eastAsia="Lato" w:hAnsi="Lato" w:cs="Lato"/>
          <w:lang w:val="en-US"/>
        </w:rPr>
        <w:t xml:space="preserve"> - to justify not incorporating carbon capture technology into their facilities.</w:t>
      </w:r>
    </w:p>
    <w:p w14:paraId="5CA453EC" w14:textId="77777777" w:rsidR="00161574" w:rsidRPr="004A0DFB" w:rsidRDefault="00161574" w:rsidP="004A0DFB">
      <w:pPr>
        <w:jc w:val="both"/>
        <w:rPr>
          <w:rFonts w:ascii="Lato" w:eastAsia="Lato" w:hAnsi="Lato" w:cs="Lato"/>
          <w:b/>
          <w:u w:val="single"/>
          <w:lang w:val="en-US"/>
        </w:rPr>
      </w:pPr>
    </w:p>
    <w:p w14:paraId="27346BC3" w14:textId="77777777" w:rsidR="00161574" w:rsidRPr="004A0DFB" w:rsidRDefault="00C62FDC" w:rsidP="004A0DFB">
      <w:pPr>
        <w:numPr>
          <w:ilvl w:val="0"/>
          <w:numId w:val="2"/>
        </w:numPr>
        <w:ind w:left="0" w:firstLine="0"/>
        <w:jc w:val="both"/>
        <w:rPr>
          <w:rFonts w:ascii="Lato" w:eastAsia="Lato" w:hAnsi="Lato" w:cs="Lato"/>
          <w:lang w:val="en-US"/>
        </w:rPr>
      </w:pPr>
      <w:r w:rsidRPr="004A0DFB">
        <w:rPr>
          <w:rFonts w:ascii="Lato" w:eastAsia="Lato" w:hAnsi="Lato" w:cs="Lato"/>
          <w:lang w:val="en-US"/>
        </w:rPr>
        <w:t>Finally, the impacts of air pollution and release of toxic substances from CCS/CCUS often disproportion</w:t>
      </w:r>
      <w:r w:rsidRPr="004A0DFB">
        <w:rPr>
          <w:rFonts w:ascii="Lato" w:eastAsia="Lato" w:hAnsi="Lato" w:cs="Lato"/>
          <w:lang w:val="en-US"/>
        </w:rPr>
        <w:t>ately affect marginalized communities, including low-income populations, Indigenous Peoples, and other people in vulnerable situations many of whom are “already overburdened by the heavy concentration of toxic industrial pollution,”</w:t>
      </w:r>
      <w:r>
        <w:rPr>
          <w:rFonts w:ascii="Lato" w:eastAsia="Lato" w:hAnsi="Lato" w:cs="Lato"/>
          <w:vertAlign w:val="superscript"/>
        </w:rPr>
        <w:footnoteReference w:id="23"/>
      </w:r>
      <w:r w:rsidRPr="004A0DFB">
        <w:rPr>
          <w:rFonts w:ascii="Lato" w:eastAsia="Lato" w:hAnsi="Lato" w:cs="Lato"/>
          <w:lang w:val="en-US"/>
        </w:rPr>
        <w:t xml:space="preserve"> in violation of these</w:t>
      </w:r>
      <w:r w:rsidRPr="004A0DFB">
        <w:rPr>
          <w:rFonts w:ascii="Lato" w:eastAsia="Lato" w:hAnsi="Lato" w:cs="Lato"/>
          <w:lang w:val="en-US"/>
        </w:rPr>
        <w:t xml:space="preserve"> communities’ rights to non-discrimination.</w:t>
      </w:r>
    </w:p>
    <w:p w14:paraId="2116E851" w14:textId="77777777" w:rsidR="00161574" w:rsidRPr="004A0DFB" w:rsidRDefault="00161574">
      <w:pPr>
        <w:jc w:val="both"/>
        <w:rPr>
          <w:rFonts w:ascii="Lato" w:eastAsia="Lato" w:hAnsi="Lato" w:cs="Lato"/>
          <w:lang w:val="en-US"/>
        </w:rPr>
      </w:pPr>
    </w:p>
    <w:p w14:paraId="06DB220D" w14:textId="77777777" w:rsidR="00161574" w:rsidRDefault="00C62FDC">
      <w:pPr>
        <w:numPr>
          <w:ilvl w:val="0"/>
          <w:numId w:val="1"/>
        </w:numPr>
        <w:pBdr>
          <w:top w:val="nil"/>
          <w:left w:val="nil"/>
          <w:bottom w:val="nil"/>
          <w:right w:val="nil"/>
          <w:between w:val="nil"/>
        </w:pBdr>
        <w:jc w:val="both"/>
        <w:rPr>
          <w:rFonts w:ascii="Lato" w:eastAsia="Lato" w:hAnsi="Lato" w:cs="Lato"/>
          <w:b/>
          <w:color w:val="046B8C"/>
          <w:sz w:val="32"/>
          <w:szCs w:val="32"/>
        </w:rPr>
      </w:pPr>
      <w:r>
        <w:rPr>
          <w:rFonts w:ascii="Lato" w:eastAsia="Lato" w:hAnsi="Lato" w:cs="Lato"/>
          <w:b/>
          <w:color w:val="046B8C"/>
          <w:sz w:val="32"/>
          <w:szCs w:val="32"/>
        </w:rPr>
        <w:t xml:space="preserve">Chemical pollutants byproducts and air pollution from Direct Air Capture </w:t>
      </w:r>
    </w:p>
    <w:p w14:paraId="1FB61029" w14:textId="77777777" w:rsidR="00161574" w:rsidRDefault="00161574">
      <w:pPr>
        <w:jc w:val="both"/>
        <w:rPr>
          <w:rFonts w:ascii="Lato" w:eastAsia="Lato" w:hAnsi="Lato" w:cs="Lato"/>
        </w:rPr>
      </w:pPr>
    </w:p>
    <w:p w14:paraId="2696BAA8" w14:textId="77777777" w:rsidR="00161574" w:rsidRPr="004A0DFB" w:rsidRDefault="00C62FDC" w:rsidP="004A0DFB">
      <w:pPr>
        <w:numPr>
          <w:ilvl w:val="0"/>
          <w:numId w:val="2"/>
        </w:numPr>
        <w:ind w:left="0" w:hanging="11"/>
        <w:jc w:val="both"/>
        <w:rPr>
          <w:rFonts w:ascii="Lato" w:eastAsia="Lato" w:hAnsi="Lato" w:cs="Lato"/>
          <w:lang w:val="en-US"/>
        </w:rPr>
      </w:pPr>
      <w:r w:rsidRPr="004A0DFB">
        <w:rPr>
          <w:rFonts w:ascii="Lato" w:eastAsia="Lato" w:hAnsi="Lato" w:cs="Lato"/>
          <w:lang w:val="en-US"/>
        </w:rPr>
        <w:t xml:space="preserve">Direct air capture (DAC) [also called DACCS] is a process through which CO2 molecules are pulled directly from the </w:t>
      </w:r>
      <w:r w:rsidRPr="004A0DFB">
        <w:rPr>
          <w:rFonts w:ascii="Lato" w:eastAsia="Lato" w:hAnsi="Lato" w:cs="Lato"/>
          <w:lang w:val="en-US"/>
        </w:rPr>
        <w:t>atmosphere, where they exist in smaller concentrations than at industrial point sources of emissions (to which CCS/CCUS can be applied). Due to the difficulty of collecting CO2 present in low concentrations, DAC requires far more energy per ton of carbon d</w:t>
      </w:r>
      <w:r w:rsidRPr="004A0DFB">
        <w:rPr>
          <w:rFonts w:ascii="Lato" w:eastAsia="Lato" w:hAnsi="Lato" w:cs="Lato"/>
          <w:lang w:val="en-US"/>
        </w:rPr>
        <w:t>ioxide removed than CCS/CCUS, and it is also more expensive.</w:t>
      </w:r>
      <w:r>
        <w:rPr>
          <w:rFonts w:ascii="Lato" w:eastAsia="Lato" w:hAnsi="Lato" w:cs="Lato"/>
          <w:vertAlign w:val="superscript"/>
        </w:rPr>
        <w:footnoteReference w:id="24"/>
      </w:r>
    </w:p>
    <w:p w14:paraId="7F8376A0" w14:textId="77777777" w:rsidR="00161574" w:rsidRPr="004A0DFB" w:rsidRDefault="00161574" w:rsidP="004A0DFB">
      <w:pPr>
        <w:ind w:hanging="11"/>
        <w:jc w:val="both"/>
        <w:rPr>
          <w:rFonts w:ascii="Lato" w:eastAsia="Lato" w:hAnsi="Lato" w:cs="Lato"/>
          <w:lang w:val="en-US"/>
        </w:rPr>
      </w:pPr>
    </w:p>
    <w:p w14:paraId="716ACFC8" w14:textId="77777777" w:rsidR="00161574" w:rsidRPr="004A0DFB" w:rsidRDefault="00C62FDC" w:rsidP="004A0DFB">
      <w:pPr>
        <w:numPr>
          <w:ilvl w:val="0"/>
          <w:numId w:val="2"/>
        </w:numPr>
        <w:ind w:left="0" w:hanging="11"/>
        <w:jc w:val="both"/>
        <w:rPr>
          <w:rFonts w:ascii="Lato" w:eastAsia="Lato" w:hAnsi="Lato" w:cs="Lato"/>
          <w:lang w:val="en-US"/>
        </w:rPr>
      </w:pPr>
      <w:r w:rsidRPr="004A0DFB">
        <w:rPr>
          <w:rFonts w:ascii="Lato" w:eastAsia="Lato" w:hAnsi="Lato" w:cs="Lato"/>
          <w:lang w:val="en-US"/>
        </w:rPr>
        <w:t xml:space="preserve">Two processes are currently the </w:t>
      </w:r>
      <w:proofErr w:type="gramStart"/>
      <w:r w:rsidRPr="004A0DFB">
        <w:rPr>
          <w:rFonts w:ascii="Lato" w:eastAsia="Lato" w:hAnsi="Lato" w:cs="Lato"/>
          <w:lang w:val="en-US"/>
        </w:rPr>
        <w:t>main focus</w:t>
      </w:r>
      <w:proofErr w:type="gramEnd"/>
      <w:r w:rsidRPr="004A0DFB">
        <w:rPr>
          <w:rFonts w:ascii="Lato" w:eastAsia="Lato" w:hAnsi="Lato" w:cs="Lato"/>
          <w:lang w:val="en-US"/>
        </w:rPr>
        <w:t xml:space="preserve"> of research around DAC, using two different chemicals and chemical reactions to obtain the capture of the CO2: the first one relies on hydroxide sorbents, a product of chlorine (Cl2) synthesis, contained in water solutions, while the second one uses amine</w:t>
      </w:r>
      <w:r w:rsidRPr="004A0DFB">
        <w:rPr>
          <w:rFonts w:ascii="Lato" w:eastAsia="Lato" w:hAnsi="Lato" w:cs="Lato"/>
          <w:lang w:val="en-US"/>
        </w:rPr>
        <w:t xml:space="preserve"> materials, especially </w:t>
      </w:r>
      <w:proofErr w:type="spellStart"/>
      <w:r w:rsidRPr="004A0DFB">
        <w:rPr>
          <w:rFonts w:ascii="Lato" w:eastAsia="Lato" w:hAnsi="Lato" w:cs="Lato"/>
          <w:lang w:val="en-US"/>
        </w:rPr>
        <w:t>monoethanolamine</w:t>
      </w:r>
      <w:proofErr w:type="spellEnd"/>
      <w:r w:rsidRPr="004A0DFB">
        <w:rPr>
          <w:rFonts w:ascii="Lato" w:eastAsia="Lato" w:hAnsi="Lato" w:cs="Lato"/>
          <w:lang w:val="en-US"/>
        </w:rPr>
        <w:t xml:space="preserve"> (MEA).</w:t>
      </w:r>
      <w:r>
        <w:rPr>
          <w:rFonts w:ascii="Lato" w:eastAsia="Lato" w:hAnsi="Lato" w:cs="Lato"/>
          <w:vertAlign w:val="superscript"/>
        </w:rPr>
        <w:footnoteReference w:id="25"/>
      </w:r>
    </w:p>
    <w:p w14:paraId="29B22F02" w14:textId="77777777" w:rsidR="00161574" w:rsidRPr="004A0DFB" w:rsidRDefault="00161574">
      <w:pPr>
        <w:jc w:val="both"/>
        <w:rPr>
          <w:rFonts w:ascii="Lato" w:eastAsia="Lato" w:hAnsi="Lato" w:cs="Lato"/>
          <w:lang w:val="en-US"/>
        </w:rPr>
      </w:pPr>
    </w:p>
    <w:p w14:paraId="33C2233D" w14:textId="77777777" w:rsidR="00161574" w:rsidRDefault="00C62FDC">
      <w:pPr>
        <w:jc w:val="both"/>
        <w:rPr>
          <w:rFonts w:ascii="Lato" w:eastAsia="Lato" w:hAnsi="Lato" w:cs="Lato"/>
        </w:rPr>
      </w:pPr>
      <w:r>
        <w:rPr>
          <w:rFonts w:ascii="Lato" w:eastAsia="Lato" w:hAnsi="Lato" w:cs="Lato"/>
          <w:i/>
          <w:u w:val="single"/>
        </w:rPr>
        <w:t>Direct impacts</w:t>
      </w:r>
    </w:p>
    <w:p w14:paraId="39CEA7E3" w14:textId="16A05DDE" w:rsidR="00161574" w:rsidRPr="004A0DFB" w:rsidRDefault="00C62FDC" w:rsidP="004A0DFB">
      <w:pPr>
        <w:numPr>
          <w:ilvl w:val="0"/>
          <w:numId w:val="2"/>
        </w:numPr>
        <w:ind w:left="0" w:firstLine="0"/>
        <w:jc w:val="both"/>
        <w:rPr>
          <w:rFonts w:ascii="Lato" w:eastAsia="Lato" w:hAnsi="Lato" w:cs="Lato"/>
          <w:lang w:val="en-US"/>
        </w:rPr>
      </w:pPr>
      <w:r w:rsidRPr="004A0DFB">
        <w:rPr>
          <w:rFonts w:ascii="Lato" w:eastAsia="Lato" w:hAnsi="Lato" w:cs="Lato"/>
          <w:lang w:val="en-US"/>
        </w:rPr>
        <w:t>Deploying either of the</w:t>
      </w:r>
      <w:r w:rsidR="00C27EDA">
        <w:rPr>
          <w:rFonts w:ascii="Lato" w:eastAsia="Lato" w:hAnsi="Lato" w:cs="Lato"/>
          <w:lang w:val="en-US"/>
        </w:rPr>
        <w:t xml:space="preserve"> </w:t>
      </w:r>
      <w:r w:rsidRPr="004A0DFB">
        <w:rPr>
          <w:rFonts w:ascii="Lato" w:eastAsia="Lato" w:hAnsi="Lato" w:cs="Lato"/>
          <w:lang w:val="en-US"/>
        </w:rPr>
        <w:t>DAC processes described above at scale would involve the use of significant quantities of toxic chemicals whose upstream production and downstream release entails risk</w:t>
      </w:r>
      <w:r w:rsidRPr="004A0DFB">
        <w:rPr>
          <w:rFonts w:ascii="Lato" w:eastAsia="Lato" w:hAnsi="Lato" w:cs="Lato"/>
          <w:lang w:val="en-US"/>
        </w:rPr>
        <w:t>s for the rights to health and to a clean, healthy and sustainable environment. When it comes to DAC processes using hydroxide sorbents, the main byproduct of the process is chlorine gas,</w:t>
      </w:r>
      <w:r>
        <w:rPr>
          <w:rFonts w:ascii="Lato" w:eastAsia="Lato" w:hAnsi="Lato" w:cs="Lato"/>
          <w:vertAlign w:val="superscript"/>
        </w:rPr>
        <w:footnoteReference w:id="26"/>
      </w:r>
      <w:r w:rsidRPr="004A0DFB">
        <w:rPr>
          <w:rFonts w:ascii="Lato" w:eastAsia="Lato" w:hAnsi="Lato" w:cs="Lato"/>
          <w:lang w:val="en-US"/>
        </w:rPr>
        <w:t xml:space="preserve"> which raises “concerns about its handling, since it is a highly po</w:t>
      </w:r>
      <w:r w:rsidRPr="004A0DFB">
        <w:rPr>
          <w:rFonts w:ascii="Lato" w:eastAsia="Lato" w:hAnsi="Lato" w:cs="Lato"/>
          <w:lang w:val="en-US"/>
        </w:rPr>
        <w:t>isonous gas and a potential ingredient in chemical warfare,”</w:t>
      </w:r>
      <w:r>
        <w:rPr>
          <w:rFonts w:ascii="Lato" w:eastAsia="Lato" w:hAnsi="Lato" w:cs="Lato"/>
          <w:vertAlign w:val="superscript"/>
        </w:rPr>
        <w:footnoteReference w:id="27"/>
      </w:r>
      <w:r w:rsidRPr="004A0DFB">
        <w:rPr>
          <w:rFonts w:ascii="Lato" w:eastAsia="Lato" w:hAnsi="Lato" w:cs="Lato"/>
          <w:lang w:val="en-US"/>
        </w:rPr>
        <w:t xml:space="preserve"> “posing risks which are difficult to evaluate a priori.”</w:t>
      </w:r>
      <w:r>
        <w:rPr>
          <w:rFonts w:ascii="Lato" w:eastAsia="Lato" w:hAnsi="Lato" w:cs="Lato"/>
          <w:vertAlign w:val="superscript"/>
        </w:rPr>
        <w:footnoteReference w:id="28"/>
      </w:r>
      <w:r w:rsidRPr="004A0DFB">
        <w:rPr>
          <w:rFonts w:ascii="Lato" w:eastAsia="Lato" w:hAnsi="Lato" w:cs="Lato"/>
          <w:lang w:val="en-US"/>
        </w:rPr>
        <w:t xml:space="preserve"> Other processes relying on amine materials necessitate chemicals such as MEA, a product of the synthesis of ammonia and ethylene oxide</w:t>
      </w:r>
      <w:r w:rsidRPr="004A0DFB">
        <w:rPr>
          <w:rFonts w:ascii="Lato" w:eastAsia="Lato" w:hAnsi="Lato" w:cs="Lato"/>
          <w:lang w:val="en-US"/>
        </w:rPr>
        <w:t>, both of these toxic substances “come from fossil fuel precursors, mainly oil and natural gas.”</w:t>
      </w:r>
      <w:r>
        <w:rPr>
          <w:rFonts w:ascii="Lato" w:eastAsia="Lato" w:hAnsi="Lato" w:cs="Lato"/>
          <w:vertAlign w:val="superscript"/>
        </w:rPr>
        <w:footnoteReference w:id="29"/>
      </w:r>
    </w:p>
    <w:p w14:paraId="480B894E" w14:textId="77777777" w:rsidR="00161574" w:rsidRPr="004A0DFB" w:rsidRDefault="00161574" w:rsidP="004A0DFB">
      <w:pPr>
        <w:jc w:val="both"/>
        <w:rPr>
          <w:rFonts w:ascii="Lato" w:eastAsia="Lato" w:hAnsi="Lato" w:cs="Lato"/>
          <w:lang w:val="en-US"/>
        </w:rPr>
      </w:pPr>
    </w:p>
    <w:p w14:paraId="7D9F4701" w14:textId="77777777" w:rsidR="00161574" w:rsidRPr="004A0DFB" w:rsidRDefault="00C62FDC" w:rsidP="004A0DFB">
      <w:pPr>
        <w:numPr>
          <w:ilvl w:val="0"/>
          <w:numId w:val="2"/>
        </w:numPr>
        <w:ind w:left="0" w:firstLine="0"/>
        <w:jc w:val="both"/>
        <w:rPr>
          <w:rFonts w:ascii="Lato" w:eastAsia="Lato" w:hAnsi="Lato" w:cs="Lato"/>
          <w:lang w:val="en-US"/>
        </w:rPr>
      </w:pPr>
      <w:r w:rsidRPr="004A0DFB">
        <w:rPr>
          <w:rFonts w:ascii="Lato" w:eastAsia="Lato" w:hAnsi="Lato" w:cs="Lato"/>
          <w:lang w:val="en-US"/>
        </w:rPr>
        <w:t>The risks posed by the chemical pollutants contained in the sorbents used by DAC technologies are so significant that they have been identified as a possibl</w:t>
      </w:r>
      <w:r w:rsidRPr="004A0DFB">
        <w:rPr>
          <w:rFonts w:ascii="Lato" w:eastAsia="Lato" w:hAnsi="Lato" w:cs="Lato"/>
          <w:lang w:val="en-US"/>
        </w:rPr>
        <w:t>e obstacle to their deployment at scale.</w:t>
      </w:r>
      <w:r>
        <w:rPr>
          <w:rFonts w:ascii="Lato" w:eastAsia="Lato" w:hAnsi="Lato" w:cs="Lato"/>
          <w:vertAlign w:val="superscript"/>
        </w:rPr>
        <w:footnoteReference w:id="30"/>
      </w:r>
      <w:r w:rsidRPr="004A0DFB">
        <w:rPr>
          <w:rFonts w:ascii="Lato" w:eastAsia="Lato" w:hAnsi="Lato" w:cs="Lato"/>
          <w:vertAlign w:val="superscript"/>
          <w:lang w:val="en-US"/>
        </w:rPr>
        <w:t xml:space="preserve"> </w:t>
      </w:r>
      <w:r w:rsidRPr="004A0DFB">
        <w:rPr>
          <w:rFonts w:ascii="Lato" w:eastAsia="Lato" w:hAnsi="Lato" w:cs="Lato"/>
          <w:lang w:val="en-US"/>
        </w:rPr>
        <w:t xml:space="preserve">Overall, studies indicate that the solid waste from the recovery cycles of the separation processes implemented by DAC “will have similar environmental implications and disposal guidelines as the </w:t>
      </w:r>
      <w:r w:rsidRPr="004A0DFB">
        <w:rPr>
          <w:rFonts w:ascii="Lato" w:eastAsia="Lato" w:hAnsi="Lato" w:cs="Lato"/>
          <w:lang w:val="en-US"/>
        </w:rPr>
        <w:t>reclaimer waste in conventional amine scrubbing operations.”</w:t>
      </w:r>
      <w:r>
        <w:rPr>
          <w:rFonts w:ascii="Lato" w:eastAsia="Lato" w:hAnsi="Lato" w:cs="Lato"/>
          <w:vertAlign w:val="superscript"/>
        </w:rPr>
        <w:footnoteReference w:id="31"/>
      </w:r>
    </w:p>
    <w:p w14:paraId="6273F11D" w14:textId="77777777" w:rsidR="00161574" w:rsidRPr="004A0DFB" w:rsidRDefault="00161574" w:rsidP="004A0DFB">
      <w:pPr>
        <w:jc w:val="both"/>
        <w:rPr>
          <w:rFonts w:ascii="Lato" w:eastAsia="Lato" w:hAnsi="Lato" w:cs="Lato"/>
          <w:lang w:val="en-US"/>
        </w:rPr>
      </w:pPr>
    </w:p>
    <w:p w14:paraId="14F5DA34" w14:textId="77777777" w:rsidR="00161574" w:rsidRPr="004A0DFB" w:rsidRDefault="00C62FDC" w:rsidP="004A0DFB">
      <w:pPr>
        <w:numPr>
          <w:ilvl w:val="0"/>
          <w:numId w:val="2"/>
        </w:numPr>
        <w:ind w:left="0" w:firstLine="0"/>
        <w:jc w:val="both"/>
        <w:rPr>
          <w:rFonts w:ascii="Lato" w:eastAsia="Lato" w:hAnsi="Lato" w:cs="Lato"/>
          <w:lang w:val="en-US"/>
        </w:rPr>
      </w:pPr>
      <w:r w:rsidRPr="004A0DFB">
        <w:rPr>
          <w:rFonts w:ascii="Lato" w:eastAsia="Lato" w:hAnsi="Lato" w:cs="Lato"/>
          <w:lang w:val="en-US"/>
        </w:rPr>
        <w:t>Although touted by proponents and included in some climate mitigation models, DAC is a nascent technology that has not been implemented or proven at scale, and its side-effects have not been d</w:t>
      </w:r>
      <w:r w:rsidRPr="004A0DFB">
        <w:rPr>
          <w:rFonts w:ascii="Lato" w:eastAsia="Lato" w:hAnsi="Lato" w:cs="Lato"/>
          <w:lang w:val="en-US"/>
        </w:rPr>
        <w:t>iscussed in depth by literature,</w:t>
      </w:r>
      <w:r>
        <w:rPr>
          <w:rFonts w:ascii="Lato" w:eastAsia="Lato" w:hAnsi="Lato" w:cs="Lato"/>
          <w:vertAlign w:val="superscript"/>
        </w:rPr>
        <w:footnoteReference w:id="32"/>
      </w:r>
      <w:r w:rsidRPr="004A0DFB">
        <w:rPr>
          <w:rFonts w:ascii="Lato" w:eastAsia="Lato" w:hAnsi="Lato" w:cs="Lato"/>
          <w:lang w:val="en-US"/>
        </w:rPr>
        <w:t xml:space="preserve"> especially </w:t>
      </w:r>
      <w:proofErr w:type="gramStart"/>
      <w:r w:rsidRPr="004A0DFB">
        <w:rPr>
          <w:rFonts w:ascii="Lato" w:eastAsia="Lato" w:hAnsi="Lato" w:cs="Lato"/>
          <w:lang w:val="en-US"/>
        </w:rPr>
        <w:t>with regard to</w:t>
      </w:r>
      <w:proofErr w:type="gramEnd"/>
      <w:r w:rsidRPr="004A0DFB">
        <w:rPr>
          <w:rFonts w:ascii="Lato" w:eastAsia="Lato" w:hAnsi="Lato" w:cs="Lato"/>
          <w:lang w:val="en-US"/>
        </w:rPr>
        <w:t xml:space="preserve"> production of chemical waste. What is clear is that any large-scale DAC “will require extensive amounts of materials, and therefore mineral extraction, refining, transportation and waste disposal</w:t>
      </w:r>
      <w:r w:rsidRPr="004A0DFB">
        <w:rPr>
          <w:rFonts w:ascii="Lato" w:eastAsia="Lato" w:hAnsi="Lato" w:cs="Lato"/>
          <w:lang w:val="en-US"/>
        </w:rPr>
        <w:t xml:space="preserve"> infrastructures,”</w:t>
      </w:r>
      <w:r>
        <w:rPr>
          <w:rFonts w:ascii="Lato" w:eastAsia="Lato" w:hAnsi="Lato" w:cs="Lato"/>
          <w:vertAlign w:val="superscript"/>
        </w:rPr>
        <w:footnoteReference w:id="33"/>
      </w:r>
      <w:r w:rsidRPr="004A0DFB">
        <w:rPr>
          <w:rFonts w:ascii="Lato" w:eastAsia="Lato" w:hAnsi="Lato" w:cs="Lato"/>
          <w:lang w:val="en-US"/>
        </w:rPr>
        <w:t xml:space="preserve"> which in turn will have significant impacts on health and the environment.</w:t>
      </w:r>
    </w:p>
    <w:p w14:paraId="36C0A940" w14:textId="77777777" w:rsidR="00161574" w:rsidRPr="004A0DFB" w:rsidRDefault="00161574">
      <w:pPr>
        <w:jc w:val="both"/>
        <w:rPr>
          <w:rFonts w:ascii="Lato" w:eastAsia="Lato" w:hAnsi="Lato" w:cs="Lato"/>
          <w:lang w:val="en-US"/>
        </w:rPr>
      </w:pPr>
    </w:p>
    <w:p w14:paraId="1829C41C" w14:textId="77777777" w:rsidR="00161574" w:rsidRDefault="00C62FDC">
      <w:pPr>
        <w:jc w:val="both"/>
        <w:rPr>
          <w:rFonts w:ascii="Lato" w:eastAsia="Lato" w:hAnsi="Lato" w:cs="Lato"/>
          <w:i/>
          <w:u w:val="single"/>
        </w:rPr>
      </w:pPr>
      <w:r>
        <w:rPr>
          <w:rFonts w:ascii="Lato" w:eastAsia="Lato" w:hAnsi="Lato" w:cs="Lato"/>
          <w:i/>
          <w:u w:val="single"/>
        </w:rPr>
        <w:t>Indirect impacts</w:t>
      </w:r>
    </w:p>
    <w:p w14:paraId="15552112" w14:textId="77777777" w:rsidR="00161574" w:rsidRPr="004A0DFB" w:rsidRDefault="00C62FDC" w:rsidP="004A0DFB">
      <w:pPr>
        <w:numPr>
          <w:ilvl w:val="0"/>
          <w:numId w:val="2"/>
        </w:numPr>
        <w:ind w:left="0" w:hanging="11"/>
        <w:jc w:val="both"/>
        <w:rPr>
          <w:rFonts w:ascii="Lato" w:eastAsia="Lato" w:hAnsi="Lato" w:cs="Lato"/>
          <w:lang w:val="en-US"/>
        </w:rPr>
      </w:pPr>
      <w:r w:rsidRPr="004A0DFB">
        <w:rPr>
          <w:rFonts w:ascii="Lato" w:eastAsia="Lato" w:hAnsi="Lato" w:cs="Lato"/>
          <w:lang w:val="en-US"/>
        </w:rPr>
        <w:t>Like the deployment of CCS, the deployment of DAC technology would have indirect toxic impacts due to the additional energy, land, water and r</w:t>
      </w:r>
      <w:r w:rsidRPr="004A0DFB">
        <w:rPr>
          <w:rFonts w:ascii="Lato" w:eastAsia="Lato" w:hAnsi="Lato" w:cs="Lato"/>
          <w:lang w:val="en-US"/>
        </w:rPr>
        <w:t>esources it would require. Moreover, counting on DAC to remove CO2 in the future could delay emissions reductions in the near term, prolonging the production and use of fossil fuels, which are hazardous to communities, and locking in an overshoot of 1.5°C,</w:t>
      </w:r>
      <w:r w:rsidRPr="004A0DFB">
        <w:rPr>
          <w:rFonts w:ascii="Lato" w:eastAsia="Lato" w:hAnsi="Lato" w:cs="Lato"/>
          <w:lang w:val="en-US"/>
        </w:rPr>
        <w:t xml:space="preserve"> with irreversible impacts.</w:t>
      </w:r>
      <w:r>
        <w:rPr>
          <w:rFonts w:ascii="Lato" w:eastAsia="Lato" w:hAnsi="Lato" w:cs="Lato"/>
          <w:vertAlign w:val="superscript"/>
        </w:rPr>
        <w:footnoteReference w:id="34"/>
      </w:r>
      <w:r w:rsidRPr="004A0DFB">
        <w:rPr>
          <w:rFonts w:ascii="Lato" w:eastAsia="Lato" w:hAnsi="Lato" w:cs="Lato"/>
          <w:lang w:val="en-US"/>
        </w:rPr>
        <w:t xml:space="preserve"> Even if it were effective-which is by no means certain–, DACCS could not meaningfully remove CO2 from the atmosphere until 2050 or later.</w:t>
      </w:r>
      <w:r>
        <w:rPr>
          <w:rFonts w:ascii="Lato" w:eastAsia="Lato" w:hAnsi="Lato" w:cs="Lato"/>
          <w:vertAlign w:val="superscript"/>
        </w:rPr>
        <w:footnoteReference w:id="35"/>
      </w:r>
      <w:r w:rsidRPr="004A0DFB">
        <w:rPr>
          <w:rFonts w:ascii="Lato" w:eastAsia="Lato" w:hAnsi="Lato" w:cs="Lato"/>
          <w:lang w:val="en-US"/>
        </w:rPr>
        <w:t xml:space="preserve"> </w:t>
      </w:r>
    </w:p>
    <w:p w14:paraId="7DE25A2B" w14:textId="77777777" w:rsidR="00161574" w:rsidRPr="004A0DFB" w:rsidRDefault="00161574" w:rsidP="004A0DFB">
      <w:pPr>
        <w:ind w:hanging="11"/>
        <w:jc w:val="both"/>
        <w:rPr>
          <w:rFonts w:ascii="Lato" w:eastAsia="Lato" w:hAnsi="Lato" w:cs="Lato"/>
          <w:lang w:val="en-US"/>
        </w:rPr>
      </w:pPr>
    </w:p>
    <w:p w14:paraId="44D92130" w14:textId="5DBDDDF5" w:rsidR="004A0DFB" w:rsidRPr="004A0DFB" w:rsidRDefault="00C62FDC" w:rsidP="004A0DFB">
      <w:pPr>
        <w:numPr>
          <w:ilvl w:val="0"/>
          <w:numId w:val="2"/>
        </w:numPr>
        <w:ind w:left="0" w:hanging="11"/>
        <w:jc w:val="both"/>
        <w:rPr>
          <w:rFonts w:ascii="Lato" w:eastAsia="Lato" w:hAnsi="Lato" w:cs="Lato"/>
          <w:lang w:val="en-US"/>
        </w:rPr>
      </w:pPr>
      <w:r w:rsidRPr="004A0DFB">
        <w:rPr>
          <w:rFonts w:ascii="Lato" w:eastAsia="Lato" w:hAnsi="Lato" w:cs="Lato"/>
          <w:lang w:val="en-US"/>
        </w:rPr>
        <w:t xml:space="preserve">In its most recent report, the IPCC found that large-scale use of DAC could have </w:t>
      </w:r>
      <w:r w:rsidRPr="004A0DFB">
        <w:rPr>
          <w:rFonts w:ascii="Lato" w:eastAsia="Lato" w:hAnsi="Lato" w:cs="Lato"/>
          <w:lang w:val="en-US"/>
        </w:rPr>
        <w:t>“a significant land footprint” and can also “significantly impact food prices via demand for land and water,”</w:t>
      </w:r>
      <w:r>
        <w:rPr>
          <w:rFonts w:ascii="Lato" w:eastAsia="Lato" w:hAnsi="Lato" w:cs="Lato"/>
          <w:vertAlign w:val="superscript"/>
        </w:rPr>
        <w:footnoteReference w:id="36"/>
      </w:r>
      <w:r w:rsidRPr="004A0DFB">
        <w:rPr>
          <w:rFonts w:ascii="Lato" w:eastAsia="Lato" w:hAnsi="Lato" w:cs="Lato"/>
          <w:lang w:val="en-US"/>
        </w:rPr>
        <w:t xml:space="preserve"> potentially negatively impacting the right to food, especially of vulnerable </w:t>
      </w:r>
      <w:r w:rsidRPr="004A0DFB">
        <w:rPr>
          <w:rFonts w:ascii="Lato" w:eastAsia="Lato" w:hAnsi="Lato" w:cs="Lato"/>
          <w:lang w:val="en-US"/>
        </w:rPr>
        <w:lastRenderedPageBreak/>
        <w:t>peoples. Other studies have also found that deployment of DAC at la</w:t>
      </w:r>
      <w:r w:rsidRPr="004A0DFB">
        <w:rPr>
          <w:rFonts w:ascii="Lato" w:eastAsia="Lato" w:hAnsi="Lato" w:cs="Lato"/>
          <w:lang w:val="en-US"/>
        </w:rPr>
        <w:t>rge scale would require an amount of energy and materials that is “unrealistic even when the most promising technologies are employed.”</w:t>
      </w:r>
      <w:r>
        <w:rPr>
          <w:rFonts w:ascii="Lato" w:eastAsia="Lato" w:hAnsi="Lato" w:cs="Lato"/>
          <w:vertAlign w:val="superscript"/>
        </w:rPr>
        <w:footnoteReference w:id="37"/>
      </w:r>
    </w:p>
    <w:p w14:paraId="58DB134A" w14:textId="77777777" w:rsidR="004A0DFB" w:rsidRPr="004A0DFB" w:rsidRDefault="004A0DFB" w:rsidP="004A0DFB">
      <w:pPr>
        <w:pStyle w:val="ListParagraph"/>
        <w:ind w:left="0" w:hanging="11"/>
        <w:rPr>
          <w:rFonts w:ascii="Lato" w:eastAsia="Lato" w:hAnsi="Lato" w:cs="Lato"/>
          <w:lang w:val="en-US"/>
        </w:rPr>
      </w:pPr>
    </w:p>
    <w:p w14:paraId="701352D3" w14:textId="14420C28" w:rsidR="00161574" w:rsidRPr="004A0DFB" w:rsidRDefault="00C62FDC" w:rsidP="004A0DFB">
      <w:pPr>
        <w:numPr>
          <w:ilvl w:val="0"/>
          <w:numId w:val="2"/>
        </w:numPr>
        <w:ind w:left="0" w:hanging="11"/>
        <w:jc w:val="both"/>
        <w:rPr>
          <w:rFonts w:ascii="Lato" w:eastAsia="Lato" w:hAnsi="Lato" w:cs="Lato"/>
          <w:lang w:val="en-US"/>
        </w:rPr>
      </w:pPr>
      <w:r w:rsidRPr="004A0DFB">
        <w:rPr>
          <w:rFonts w:ascii="Lato" w:eastAsia="Lato" w:hAnsi="Lato" w:cs="Lato"/>
          <w:lang w:val="en-US"/>
        </w:rPr>
        <w:t>DAC processes can be powered by fossil fuels or renewables. If powered by fossil fuels such as fossil (“natural”) gas</w:t>
      </w:r>
      <w:r w:rsidRPr="004A0DFB">
        <w:rPr>
          <w:rFonts w:ascii="Lato" w:eastAsia="Lato" w:hAnsi="Lato" w:cs="Lato"/>
          <w:lang w:val="en-US"/>
        </w:rPr>
        <w:t>, DAC equipment will contribute to increasing “air pollution due to the combustion and upstream emissions associated with natural gas”</w:t>
      </w:r>
      <w:r>
        <w:rPr>
          <w:rFonts w:ascii="Lato" w:eastAsia="Lato" w:hAnsi="Lato" w:cs="Lato"/>
          <w:vertAlign w:val="superscript"/>
        </w:rPr>
        <w:footnoteReference w:id="38"/>
      </w:r>
      <w:r w:rsidRPr="004A0DFB">
        <w:rPr>
          <w:rFonts w:ascii="Lato" w:eastAsia="Lato" w:hAnsi="Lato" w:cs="Lato"/>
          <w:lang w:val="en-US"/>
        </w:rPr>
        <w:t>.</w:t>
      </w:r>
    </w:p>
    <w:p w14:paraId="305D5B5E" w14:textId="77777777" w:rsidR="00161574" w:rsidRPr="004A0DFB" w:rsidRDefault="00161574" w:rsidP="004A0DFB">
      <w:pPr>
        <w:pBdr>
          <w:top w:val="nil"/>
          <w:left w:val="nil"/>
          <w:bottom w:val="nil"/>
          <w:right w:val="nil"/>
          <w:between w:val="nil"/>
        </w:pBdr>
        <w:ind w:hanging="11"/>
        <w:jc w:val="both"/>
        <w:rPr>
          <w:rFonts w:ascii="Lato" w:eastAsia="Lato" w:hAnsi="Lato" w:cs="Lato"/>
          <w:lang w:val="en-US"/>
        </w:rPr>
      </w:pPr>
    </w:p>
    <w:p w14:paraId="08870296" w14:textId="77777777" w:rsidR="00161574" w:rsidRPr="004A0DFB" w:rsidRDefault="00C62FDC" w:rsidP="004A0DFB">
      <w:pPr>
        <w:numPr>
          <w:ilvl w:val="0"/>
          <w:numId w:val="2"/>
        </w:numPr>
        <w:pBdr>
          <w:top w:val="nil"/>
          <w:left w:val="nil"/>
          <w:bottom w:val="nil"/>
          <w:right w:val="nil"/>
          <w:between w:val="nil"/>
        </w:pBdr>
        <w:ind w:left="0" w:hanging="11"/>
        <w:jc w:val="both"/>
        <w:rPr>
          <w:rFonts w:ascii="Lato" w:eastAsia="Lato" w:hAnsi="Lato" w:cs="Lato"/>
          <w:lang w:val="en-US"/>
        </w:rPr>
      </w:pPr>
      <w:r w:rsidRPr="004A0DFB">
        <w:rPr>
          <w:rFonts w:ascii="Lato" w:eastAsia="Lato" w:hAnsi="Lato" w:cs="Lato"/>
          <w:lang w:val="en-US"/>
        </w:rPr>
        <w:t xml:space="preserve">Since DAC equipment does not contribute to the capture of pollution emitted from fossil fuel-based power </w:t>
      </w:r>
      <w:r w:rsidRPr="004A0DFB">
        <w:rPr>
          <w:rFonts w:ascii="Lato" w:eastAsia="Lato" w:hAnsi="Lato" w:cs="Lato"/>
          <w:lang w:val="en-US"/>
        </w:rPr>
        <w:t>facilities (including CO, NOx, SO2, organic gases, mercury, toxins, black and brown carbon, fly ash, and other aerosol components), deploying DAC technology to justify or prolong continued reliance on fossil fuels will have significantly more harmful impac</w:t>
      </w:r>
      <w:r w:rsidRPr="004A0DFB">
        <w:rPr>
          <w:rFonts w:ascii="Lato" w:eastAsia="Lato" w:hAnsi="Lato" w:cs="Lato"/>
          <w:lang w:val="en-US"/>
        </w:rPr>
        <w:t>ts when compared with replacement of those same facilities with ones powered by renewable energies.</w:t>
      </w:r>
      <w:r>
        <w:rPr>
          <w:rFonts w:ascii="Lato" w:eastAsia="Lato" w:hAnsi="Lato" w:cs="Lato"/>
          <w:vertAlign w:val="superscript"/>
        </w:rPr>
        <w:footnoteReference w:id="39"/>
      </w:r>
    </w:p>
    <w:p w14:paraId="3E7AFB60" w14:textId="77777777" w:rsidR="00161574" w:rsidRPr="004A0DFB" w:rsidRDefault="00161574" w:rsidP="004A0DFB">
      <w:pPr>
        <w:ind w:hanging="11"/>
        <w:jc w:val="both"/>
        <w:rPr>
          <w:rFonts w:ascii="Lato" w:eastAsia="Lato" w:hAnsi="Lato" w:cs="Lato"/>
          <w:lang w:val="en-US"/>
        </w:rPr>
      </w:pPr>
    </w:p>
    <w:p w14:paraId="0F0A6546" w14:textId="77777777" w:rsidR="00161574" w:rsidRPr="004A0DFB" w:rsidRDefault="00C62FDC" w:rsidP="004A0DFB">
      <w:pPr>
        <w:numPr>
          <w:ilvl w:val="0"/>
          <w:numId w:val="2"/>
        </w:numPr>
        <w:ind w:left="0" w:hanging="11"/>
        <w:jc w:val="both"/>
        <w:rPr>
          <w:rFonts w:ascii="Lato" w:eastAsia="Lato" w:hAnsi="Lato" w:cs="Lato"/>
          <w:lang w:val="en-US"/>
        </w:rPr>
      </w:pPr>
      <w:r w:rsidRPr="004A0DFB">
        <w:rPr>
          <w:rFonts w:ascii="Lato" w:eastAsia="Lato" w:hAnsi="Lato" w:cs="Lato"/>
          <w:lang w:val="en-US"/>
        </w:rPr>
        <w:t>The materials required by DAC processes are energy-intensive and hazardous to produce,</w:t>
      </w:r>
      <w:r>
        <w:rPr>
          <w:rFonts w:ascii="Lato" w:eastAsia="Lato" w:hAnsi="Lato" w:cs="Lato"/>
          <w:vertAlign w:val="superscript"/>
        </w:rPr>
        <w:footnoteReference w:id="40"/>
      </w:r>
      <w:r w:rsidRPr="004A0DFB">
        <w:rPr>
          <w:rFonts w:ascii="Lato" w:eastAsia="Lato" w:hAnsi="Lato" w:cs="Lato"/>
          <w:lang w:val="en-US"/>
        </w:rPr>
        <w:t xml:space="preserve"> and not currently available at the volumes required to implement</w:t>
      </w:r>
      <w:r w:rsidRPr="004A0DFB">
        <w:rPr>
          <w:rFonts w:ascii="Lato" w:eastAsia="Lato" w:hAnsi="Lato" w:cs="Lato"/>
          <w:lang w:val="en-US"/>
        </w:rPr>
        <w:t xml:space="preserve"> DAC at climate-relevant scale. The massive increase in chemical production that would be required to implement DAC at scale – necessitating, for example, quantities of ammonia and ethylene oxide orders of magnitude greater than the current market size</w:t>
      </w:r>
      <w:r>
        <w:rPr>
          <w:rFonts w:ascii="Lato" w:eastAsia="Lato" w:hAnsi="Lato" w:cs="Lato"/>
          <w:vertAlign w:val="superscript"/>
        </w:rPr>
        <w:footnoteReference w:id="41"/>
      </w:r>
      <w:r w:rsidRPr="004A0DFB">
        <w:rPr>
          <w:rFonts w:ascii="Lato" w:eastAsia="Lato" w:hAnsi="Lato" w:cs="Lato"/>
          <w:lang w:val="en-US"/>
        </w:rPr>
        <w:t xml:space="preserve"> –</w:t>
      </w:r>
      <w:r w:rsidRPr="004A0DFB">
        <w:rPr>
          <w:rFonts w:ascii="Lato" w:eastAsia="Lato" w:hAnsi="Lato" w:cs="Lato"/>
          <w:lang w:val="en-US"/>
        </w:rPr>
        <w:t xml:space="preserve"> would increase risks to communities on the </w:t>
      </w:r>
      <w:proofErr w:type="spellStart"/>
      <w:r w:rsidRPr="004A0DFB">
        <w:rPr>
          <w:rFonts w:ascii="Lato" w:eastAsia="Lato" w:hAnsi="Lato" w:cs="Lato"/>
          <w:lang w:val="en-US"/>
        </w:rPr>
        <w:t>fencelines</w:t>
      </w:r>
      <w:proofErr w:type="spellEnd"/>
      <w:r w:rsidRPr="004A0DFB">
        <w:rPr>
          <w:rFonts w:ascii="Lato" w:eastAsia="Lato" w:hAnsi="Lato" w:cs="Lato"/>
          <w:lang w:val="en-US"/>
        </w:rPr>
        <w:t xml:space="preserve"> of petrochemical facilities and those through which the toxic substances are transported. </w:t>
      </w:r>
    </w:p>
    <w:p w14:paraId="1CDBE847" w14:textId="77777777" w:rsidR="00161574" w:rsidRPr="004A0DFB" w:rsidRDefault="00161574" w:rsidP="004A0DFB">
      <w:pPr>
        <w:ind w:hanging="11"/>
        <w:jc w:val="both"/>
        <w:rPr>
          <w:rFonts w:ascii="Lato" w:eastAsia="Lato" w:hAnsi="Lato" w:cs="Lato"/>
          <w:lang w:val="en-US"/>
        </w:rPr>
      </w:pPr>
    </w:p>
    <w:p w14:paraId="3B6AA7F6" w14:textId="77777777" w:rsidR="00161574" w:rsidRPr="004A0DFB" w:rsidRDefault="00C62FDC" w:rsidP="004A0DFB">
      <w:pPr>
        <w:numPr>
          <w:ilvl w:val="0"/>
          <w:numId w:val="2"/>
        </w:numPr>
        <w:ind w:left="0" w:hanging="11"/>
        <w:jc w:val="both"/>
        <w:rPr>
          <w:rFonts w:ascii="Lato" w:eastAsia="Lato" w:hAnsi="Lato" w:cs="Lato"/>
          <w:lang w:val="en-US"/>
        </w:rPr>
      </w:pPr>
      <w:proofErr w:type="gramStart"/>
      <w:r w:rsidRPr="004A0DFB">
        <w:rPr>
          <w:rFonts w:ascii="Lato" w:eastAsia="Lato" w:hAnsi="Lato" w:cs="Lato"/>
          <w:lang w:val="en-US"/>
        </w:rPr>
        <w:t>In light of</w:t>
      </w:r>
      <w:proofErr w:type="gramEnd"/>
      <w:r w:rsidRPr="004A0DFB">
        <w:rPr>
          <w:rFonts w:ascii="Lato" w:eastAsia="Lato" w:hAnsi="Lato" w:cs="Lato"/>
          <w:lang w:val="en-US"/>
        </w:rPr>
        <w:t xml:space="preserve"> all the above, taking into account its unrealistic deployment at scale in the short-term, DAC can</w:t>
      </w:r>
      <w:r w:rsidRPr="004A0DFB">
        <w:rPr>
          <w:rFonts w:ascii="Lato" w:eastAsia="Lato" w:hAnsi="Lato" w:cs="Lato"/>
          <w:lang w:val="en-US"/>
        </w:rPr>
        <w:t xml:space="preserve"> only be seen as “an energetically and financially costly distraction in effective mitigation of climate changes at a meaningful scale,”</w:t>
      </w:r>
      <w:r>
        <w:rPr>
          <w:rFonts w:ascii="Lato" w:eastAsia="Lato" w:hAnsi="Lato" w:cs="Lato"/>
          <w:vertAlign w:val="superscript"/>
        </w:rPr>
        <w:footnoteReference w:id="42"/>
      </w:r>
      <w:r w:rsidRPr="004A0DFB">
        <w:rPr>
          <w:rFonts w:ascii="Lato" w:eastAsia="Lato" w:hAnsi="Lato" w:cs="Lato"/>
          <w:lang w:val="en-US"/>
        </w:rPr>
        <w:t xml:space="preserve"> which will however have very real direct and indirect impacts on human rights due to its requirement for and generati</w:t>
      </w:r>
      <w:r w:rsidRPr="004A0DFB">
        <w:rPr>
          <w:rFonts w:ascii="Lato" w:eastAsia="Lato" w:hAnsi="Lato" w:cs="Lato"/>
          <w:lang w:val="en-US"/>
        </w:rPr>
        <w:t>on of significant volumes of toxic substances.</w:t>
      </w:r>
    </w:p>
    <w:p w14:paraId="05BA5CBE" w14:textId="77777777" w:rsidR="00161574" w:rsidRPr="004A0DFB" w:rsidRDefault="00161574">
      <w:pPr>
        <w:pBdr>
          <w:top w:val="nil"/>
          <w:left w:val="nil"/>
          <w:bottom w:val="nil"/>
          <w:right w:val="nil"/>
          <w:between w:val="nil"/>
        </w:pBdr>
        <w:jc w:val="both"/>
        <w:rPr>
          <w:rFonts w:ascii="Lato" w:eastAsia="Lato" w:hAnsi="Lato" w:cs="Lato"/>
          <w:lang w:val="en-US"/>
        </w:rPr>
      </w:pPr>
    </w:p>
    <w:p w14:paraId="5984865E" w14:textId="77777777" w:rsidR="00161574" w:rsidRPr="004A0DFB" w:rsidRDefault="00C62FDC">
      <w:pPr>
        <w:numPr>
          <w:ilvl w:val="0"/>
          <w:numId w:val="1"/>
        </w:numPr>
        <w:pBdr>
          <w:top w:val="nil"/>
          <w:left w:val="nil"/>
          <w:bottom w:val="nil"/>
          <w:right w:val="nil"/>
          <w:between w:val="nil"/>
        </w:pBdr>
        <w:jc w:val="both"/>
        <w:rPr>
          <w:rFonts w:ascii="Lato" w:eastAsia="Lato" w:hAnsi="Lato" w:cs="Lato"/>
          <w:b/>
          <w:color w:val="046B8C"/>
          <w:sz w:val="32"/>
          <w:szCs w:val="32"/>
          <w:lang w:val="en-US"/>
        </w:rPr>
      </w:pPr>
      <w:r w:rsidRPr="004A0DFB">
        <w:rPr>
          <w:rFonts w:ascii="Lato" w:eastAsia="Lato" w:hAnsi="Lato" w:cs="Lato"/>
          <w:b/>
          <w:color w:val="046B8C"/>
          <w:sz w:val="32"/>
          <w:szCs w:val="32"/>
          <w:lang w:val="en-US"/>
        </w:rPr>
        <w:t>Land demand and air and water pollution from BECCS</w:t>
      </w:r>
    </w:p>
    <w:p w14:paraId="4C239778" w14:textId="77777777" w:rsidR="00161574" w:rsidRPr="004A0DFB" w:rsidRDefault="00161574">
      <w:pPr>
        <w:pBdr>
          <w:top w:val="nil"/>
          <w:left w:val="nil"/>
          <w:bottom w:val="nil"/>
          <w:right w:val="nil"/>
          <w:between w:val="nil"/>
        </w:pBdr>
        <w:jc w:val="both"/>
        <w:rPr>
          <w:rFonts w:ascii="Lato" w:eastAsia="Lato" w:hAnsi="Lato" w:cs="Lato"/>
          <w:lang w:val="en-US"/>
        </w:rPr>
      </w:pPr>
    </w:p>
    <w:p w14:paraId="0C76AFD6" w14:textId="77777777" w:rsidR="00161574" w:rsidRPr="004A0DFB" w:rsidRDefault="00C62FDC">
      <w:pPr>
        <w:numPr>
          <w:ilvl w:val="0"/>
          <w:numId w:val="2"/>
        </w:numPr>
        <w:pBdr>
          <w:top w:val="nil"/>
          <w:left w:val="nil"/>
          <w:bottom w:val="nil"/>
          <w:right w:val="nil"/>
          <w:between w:val="nil"/>
        </w:pBdr>
        <w:ind w:left="0" w:firstLine="0"/>
        <w:jc w:val="both"/>
        <w:rPr>
          <w:rFonts w:ascii="Lato" w:eastAsia="Lato" w:hAnsi="Lato" w:cs="Lato"/>
          <w:lang w:val="en-US"/>
        </w:rPr>
      </w:pPr>
      <w:r w:rsidRPr="004A0DFB">
        <w:rPr>
          <w:rFonts w:ascii="Lato" w:eastAsia="Lato" w:hAnsi="Lato" w:cs="Lato"/>
          <w:lang w:val="en-US"/>
        </w:rPr>
        <w:t>BECCS consists in the combustion of biological material (biomass or biofuels) combined with CCS to capture and store emissions produced when burning it.</w:t>
      </w:r>
      <w:r>
        <w:rPr>
          <w:rFonts w:ascii="Lato" w:eastAsia="Lato" w:hAnsi="Lato" w:cs="Lato"/>
          <w:vertAlign w:val="superscript"/>
        </w:rPr>
        <w:footnoteReference w:id="43"/>
      </w:r>
      <w:r w:rsidRPr="004A0DFB">
        <w:rPr>
          <w:rFonts w:ascii="Lato" w:eastAsia="Lato" w:hAnsi="Lato" w:cs="Lato"/>
          <w:lang w:val="en-US"/>
        </w:rPr>
        <w:t xml:space="preserve"> The most important side-effect in the deployment of BECCS at scale is the immense amount of land it would require, which would entail “[c]</w:t>
      </w:r>
      <w:proofErr w:type="spellStart"/>
      <w:r w:rsidRPr="004A0DFB">
        <w:rPr>
          <w:rFonts w:ascii="Lato" w:eastAsia="Lato" w:hAnsi="Lato" w:cs="Lato"/>
          <w:lang w:val="en-US"/>
        </w:rPr>
        <w:t>ompetition</w:t>
      </w:r>
      <w:proofErr w:type="spellEnd"/>
      <w:r w:rsidRPr="004A0DFB">
        <w:rPr>
          <w:rFonts w:ascii="Lato" w:eastAsia="Lato" w:hAnsi="Lato" w:cs="Lato"/>
          <w:lang w:val="en-US"/>
        </w:rPr>
        <w:t xml:space="preserve"> with food crops, implications for biodiversity, potential deforestation to support bioenergy crop producti</w:t>
      </w:r>
      <w:r w:rsidRPr="004A0DFB">
        <w:rPr>
          <w:rFonts w:ascii="Lato" w:eastAsia="Lato" w:hAnsi="Lato" w:cs="Lato"/>
          <w:lang w:val="en-US"/>
        </w:rPr>
        <w:t xml:space="preserve">on, energy security implications from bioenergy trade, point-of-use emissions and associated effects on air quality, and water use and </w:t>
      </w:r>
      <w:proofErr w:type="spellStart"/>
      <w:r w:rsidRPr="004A0DFB">
        <w:rPr>
          <w:rFonts w:ascii="Lato" w:eastAsia="Lato" w:hAnsi="Lato" w:cs="Lato"/>
          <w:lang w:val="en-US"/>
        </w:rPr>
        <w:t>fertiliser</w:t>
      </w:r>
      <w:proofErr w:type="spellEnd"/>
      <w:r w:rsidRPr="004A0DFB">
        <w:rPr>
          <w:rFonts w:ascii="Lato" w:eastAsia="Lato" w:hAnsi="Lato" w:cs="Lato"/>
          <w:lang w:val="en-US"/>
        </w:rPr>
        <w:t xml:space="preserve"> use,”</w:t>
      </w:r>
      <w:r>
        <w:rPr>
          <w:rFonts w:ascii="Lato" w:eastAsia="Lato" w:hAnsi="Lato" w:cs="Lato"/>
          <w:vertAlign w:val="superscript"/>
        </w:rPr>
        <w:footnoteReference w:id="44"/>
      </w:r>
      <w:r w:rsidRPr="004A0DFB">
        <w:rPr>
          <w:rFonts w:ascii="Lato" w:eastAsia="Lato" w:hAnsi="Lato" w:cs="Lato"/>
          <w:lang w:val="en-US"/>
        </w:rPr>
        <w:t xml:space="preserve"> hindering the realization of peoples’ rights to food and to water</w:t>
      </w:r>
      <w:r>
        <w:rPr>
          <w:rFonts w:ascii="Lato" w:eastAsia="Lato" w:hAnsi="Lato" w:cs="Lato"/>
          <w:vertAlign w:val="superscript"/>
        </w:rPr>
        <w:footnoteReference w:id="45"/>
      </w:r>
      <w:r w:rsidRPr="004A0DFB">
        <w:rPr>
          <w:rFonts w:ascii="Lato" w:eastAsia="Lato" w:hAnsi="Lato" w:cs="Lato"/>
          <w:lang w:val="en-US"/>
        </w:rPr>
        <w:t>. The conversion of land to bioener</w:t>
      </w:r>
      <w:r w:rsidRPr="004A0DFB">
        <w:rPr>
          <w:rFonts w:ascii="Lato" w:eastAsia="Lato" w:hAnsi="Lato" w:cs="Lato"/>
          <w:lang w:val="en-US"/>
        </w:rPr>
        <w:t>gy also would, among other impacts, lead to different forms of land grabbing.</w:t>
      </w:r>
      <w:r>
        <w:rPr>
          <w:rFonts w:ascii="Lato" w:eastAsia="Lato" w:hAnsi="Lato" w:cs="Lato"/>
          <w:vertAlign w:val="superscript"/>
        </w:rPr>
        <w:footnoteReference w:id="46"/>
      </w:r>
      <w:r w:rsidRPr="004A0DFB">
        <w:rPr>
          <w:rFonts w:ascii="Lato" w:eastAsia="Lato" w:hAnsi="Lato" w:cs="Lato"/>
          <w:lang w:val="en-US"/>
        </w:rPr>
        <w:t xml:space="preserve"> Large-scale monoculture of biofuel crops requires an increased use of agricultural chemicals, including fertilizers and pesticides, which heavily impact human rights to life, t</w:t>
      </w:r>
      <w:r w:rsidRPr="004A0DFB">
        <w:rPr>
          <w:rFonts w:ascii="Lato" w:eastAsia="Lato" w:hAnsi="Lato" w:cs="Lato"/>
          <w:lang w:val="en-US"/>
        </w:rPr>
        <w:t>o health and to a clean, healthy and sustainable environment.</w:t>
      </w:r>
      <w:r>
        <w:rPr>
          <w:rFonts w:ascii="Lato" w:eastAsia="Lato" w:hAnsi="Lato" w:cs="Lato"/>
          <w:vertAlign w:val="superscript"/>
        </w:rPr>
        <w:footnoteReference w:id="47"/>
      </w:r>
      <w:r w:rsidRPr="004A0DFB">
        <w:rPr>
          <w:rFonts w:ascii="Lato" w:eastAsia="Lato" w:hAnsi="Lato" w:cs="Lato"/>
          <w:lang w:val="en-US"/>
        </w:rPr>
        <w:t xml:space="preserve"> As the Special Rapporteur has previously noted, pesticides often disproportionately affect Indigenous communities living alongside fields.</w:t>
      </w:r>
      <w:r>
        <w:rPr>
          <w:rFonts w:ascii="Lato" w:eastAsia="Lato" w:hAnsi="Lato" w:cs="Lato"/>
          <w:vertAlign w:val="superscript"/>
        </w:rPr>
        <w:footnoteReference w:id="48"/>
      </w:r>
      <w:r w:rsidRPr="004A0DFB">
        <w:rPr>
          <w:rFonts w:ascii="Lato" w:eastAsia="Lato" w:hAnsi="Lato" w:cs="Lato"/>
          <w:lang w:val="en-US"/>
        </w:rPr>
        <w:t xml:space="preserve"> As stressed by several UN Human Rights Treaty Bodie</w:t>
      </w:r>
      <w:r w:rsidRPr="004A0DFB">
        <w:rPr>
          <w:rFonts w:ascii="Lato" w:eastAsia="Lato" w:hAnsi="Lato" w:cs="Lato"/>
          <w:lang w:val="en-US"/>
        </w:rPr>
        <w:t>s, the rights of children, women and farming communities are particularly threatened by the harmful impact of the use of pesticides, fertilizers and other agrochemicals.</w:t>
      </w:r>
      <w:r>
        <w:rPr>
          <w:rFonts w:ascii="Lato" w:eastAsia="Lato" w:hAnsi="Lato" w:cs="Lato"/>
          <w:vertAlign w:val="superscript"/>
        </w:rPr>
        <w:footnoteReference w:id="49"/>
      </w:r>
      <w:r w:rsidRPr="004A0DFB">
        <w:rPr>
          <w:rFonts w:ascii="Lato" w:eastAsia="Lato" w:hAnsi="Lato" w:cs="Lato"/>
          <w:lang w:val="en-US"/>
        </w:rPr>
        <w:t xml:space="preserve"> Diverting water </w:t>
      </w:r>
      <w:r w:rsidRPr="004A0DFB">
        <w:rPr>
          <w:rFonts w:ascii="Lato" w:eastAsia="Lato" w:hAnsi="Lato" w:cs="Lato"/>
          <w:lang w:val="en-US"/>
        </w:rPr>
        <w:lastRenderedPageBreak/>
        <w:t xml:space="preserve">to irrigate BECCS plantations could also “double the global area </w:t>
      </w:r>
      <w:r w:rsidRPr="004A0DFB">
        <w:rPr>
          <w:rFonts w:ascii="Lato" w:eastAsia="Lato" w:hAnsi="Lato" w:cs="Lato"/>
          <w:lang w:val="en-US"/>
        </w:rPr>
        <w:t>and population living under severe water stress compared to the current baseline.”</w:t>
      </w:r>
      <w:r>
        <w:rPr>
          <w:rFonts w:ascii="Lato" w:eastAsia="Lato" w:hAnsi="Lato" w:cs="Lato"/>
          <w:vertAlign w:val="superscript"/>
        </w:rPr>
        <w:footnoteReference w:id="50"/>
      </w:r>
    </w:p>
    <w:p w14:paraId="40446508" w14:textId="77777777" w:rsidR="00161574" w:rsidRPr="004A0DFB" w:rsidRDefault="00161574">
      <w:pPr>
        <w:pBdr>
          <w:top w:val="nil"/>
          <w:left w:val="nil"/>
          <w:bottom w:val="nil"/>
          <w:right w:val="nil"/>
          <w:between w:val="nil"/>
        </w:pBdr>
        <w:jc w:val="both"/>
        <w:rPr>
          <w:rFonts w:ascii="Lato" w:eastAsia="Lato" w:hAnsi="Lato" w:cs="Lato"/>
          <w:lang w:val="en-US"/>
        </w:rPr>
      </w:pPr>
    </w:p>
    <w:p w14:paraId="1AE4B7E7" w14:textId="535C4A6F" w:rsidR="00161574" w:rsidRPr="004A0DFB" w:rsidRDefault="00C62FDC">
      <w:pPr>
        <w:numPr>
          <w:ilvl w:val="0"/>
          <w:numId w:val="2"/>
        </w:numPr>
        <w:pBdr>
          <w:top w:val="nil"/>
          <w:left w:val="nil"/>
          <w:bottom w:val="nil"/>
          <w:right w:val="nil"/>
          <w:between w:val="nil"/>
        </w:pBdr>
        <w:ind w:left="0" w:firstLine="0"/>
        <w:jc w:val="both"/>
        <w:rPr>
          <w:rFonts w:ascii="Lato" w:eastAsia="Lato" w:hAnsi="Lato" w:cs="Lato"/>
          <w:lang w:val="en-US"/>
        </w:rPr>
      </w:pPr>
      <w:r w:rsidRPr="004A0DFB">
        <w:rPr>
          <w:rFonts w:ascii="Lato" w:eastAsia="Lato" w:hAnsi="Lato" w:cs="Lato"/>
          <w:lang w:val="en-US"/>
        </w:rPr>
        <w:t xml:space="preserve">Further toxic impacts of BECCS are related to the CCS part of this approach, which, as discussed above in Section (1), can cause air pollution, pollution of </w:t>
      </w:r>
      <w:r w:rsidRPr="004A0DFB">
        <w:rPr>
          <w:rFonts w:ascii="Lato" w:eastAsia="Lato" w:hAnsi="Lato" w:cs="Lato"/>
          <w:lang w:val="en-US"/>
        </w:rPr>
        <w:t>potable water and environmental and health risks in the event of CO2 leaks,</w:t>
      </w:r>
      <w:r>
        <w:rPr>
          <w:rFonts w:ascii="Lato" w:eastAsia="Lato" w:hAnsi="Lato" w:cs="Lato"/>
          <w:vertAlign w:val="superscript"/>
        </w:rPr>
        <w:footnoteReference w:id="51"/>
      </w:r>
      <w:r w:rsidRPr="004A0DFB">
        <w:rPr>
          <w:rFonts w:ascii="Lato" w:eastAsia="Lato" w:hAnsi="Lato" w:cs="Lato"/>
          <w:lang w:val="en-US"/>
        </w:rPr>
        <w:t xml:space="preserve"> endangering the enjoyment of the rights to health, to water,</w:t>
      </w:r>
      <w:r w:rsidR="00C27EDA">
        <w:rPr>
          <w:rFonts w:ascii="Lato" w:eastAsia="Lato" w:hAnsi="Lato" w:cs="Lato"/>
          <w:lang w:val="en-US"/>
        </w:rPr>
        <w:t xml:space="preserve"> </w:t>
      </w:r>
      <w:r w:rsidRPr="004A0DFB">
        <w:rPr>
          <w:rFonts w:ascii="Lato" w:eastAsia="Lato" w:hAnsi="Lato" w:cs="Lato"/>
          <w:lang w:val="en-US"/>
        </w:rPr>
        <w:t>to a clean, healthy and sustainable environment and to non-discrimination.</w:t>
      </w:r>
    </w:p>
    <w:p w14:paraId="536FE425" w14:textId="77777777" w:rsidR="00161574" w:rsidRPr="004A0DFB" w:rsidRDefault="00161574">
      <w:pPr>
        <w:pBdr>
          <w:top w:val="nil"/>
          <w:left w:val="nil"/>
          <w:bottom w:val="nil"/>
          <w:right w:val="nil"/>
          <w:between w:val="nil"/>
        </w:pBdr>
        <w:jc w:val="both"/>
        <w:rPr>
          <w:rFonts w:ascii="Lato" w:eastAsia="Lato" w:hAnsi="Lato" w:cs="Lato"/>
          <w:lang w:val="en-US"/>
        </w:rPr>
      </w:pPr>
    </w:p>
    <w:p w14:paraId="0690475F" w14:textId="77777777" w:rsidR="00161574" w:rsidRPr="004A0DFB" w:rsidRDefault="00C62FDC">
      <w:pPr>
        <w:numPr>
          <w:ilvl w:val="0"/>
          <w:numId w:val="1"/>
        </w:numPr>
        <w:pBdr>
          <w:top w:val="nil"/>
          <w:left w:val="nil"/>
          <w:bottom w:val="nil"/>
          <w:right w:val="nil"/>
          <w:between w:val="nil"/>
        </w:pBdr>
        <w:ind w:left="708" w:hanging="425"/>
        <w:jc w:val="both"/>
        <w:rPr>
          <w:rFonts w:ascii="Lato" w:eastAsia="Lato" w:hAnsi="Lato" w:cs="Lato"/>
          <w:b/>
          <w:color w:val="046B8C"/>
          <w:sz w:val="32"/>
          <w:szCs w:val="32"/>
          <w:lang w:val="en-US"/>
        </w:rPr>
      </w:pPr>
      <w:r w:rsidRPr="004A0DFB">
        <w:rPr>
          <w:rFonts w:ascii="Lato" w:eastAsia="Lato" w:hAnsi="Lato" w:cs="Lato"/>
          <w:b/>
          <w:color w:val="046B8C"/>
          <w:sz w:val="32"/>
          <w:szCs w:val="32"/>
          <w:lang w:val="en-US"/>
        </w:rPr>
        <w:t>Toxic nature of hydrogen and ammonia</w:t>
      </w:r>
    </w:p>
    <w:p w14:paraId="680EB883" w14:textId="77777777" w:rsidR="00161574" w:rsidRPr="004A0DFB" w:rsidRDefault="00161574">
      <w:pPr>
        <w:pBdr>
          <w:top w:val="nil"/>
          <w:left w:val="nil"/>
          <w:bottom w:val="nil"/>
          <w:right w:val="nil"/>
          <w:between w:val="nil"/>
        </w:pBdr>
        <w:jc w:val="both"/>
        <w:rPr>
          <w:rFonts w:ascii="Lato" w:eastAsia="Lato" w:hAnsi="Lato" w:cs="Lato"/>
          <w:lang w:val="en-US"/>
        </w:rPr>
      </w:pPr>
    </w:p>
    <w:p w14:paraId="17C971DA" w14:textId="77777777" w:rsidR="00161574" w:rsidRPr="004A0DFB" w:rsidRDefault="00C62FDC">
      <w:pPr>
        <w:numPr>
          <w:ilvl w:val="0"/>
          <w:numId w:val="2"/>
        </w:numPr>
        <w:pBdr>
          <w:top w:val="nil"/>
          <w:left w:val="nil"/>
          <w:bottom w:val="nil"/>
          <w:right w:val="nil"/>
          <w:between w:val="nil"/>
        </w:pBdr>
        <w:ind w:left="0" w:firstLine="0"/>
        <w:jc w:val="both"/>
        <w:rPr>
          <w:rFonts w:ascii="Lato" w:eastAsia="Lato" w:hAnsi="Lato" w:cs="Lato"/>
          <w:lang w:val="en-US"/>
        </w:rPr>
      </w:pPr>
      <w:r w:rsidRPr="004A0DFB">
        <w:rPr>
          <w:rFonts w:ascii="Lato" w:eastAsia="Lato" w:hAnsi="Lato" w:cs="Lato"/>
          <w:lang w:val="en-US"/>
        </w:rPr>
        <w:t>Hyd</w:t>
      </w:r>
      <w:r w:rsidRPr="004A0DFB">
        <w:rPr>
          <w:rFonts w:ascii="Lato" w:eastAsia="Lato" w:hAnsi="Lato" w:cs="Lato"/>
          <w:lang w:val="en-US"/>
        </w:rPr>
        <w:t>rogen has been proposed as a “solution” for the decarbonization of the industrial, energy and transportation sectors. However, with the exception of green hydrogen (i.e., hydrogen made by running electricity from exclusively renewable sources through water</w:t>
      </w:r>
      <w:r w:rsidRPr="004A0DFB">
        <w:rPr>
          <w:rFonts w:ascii="Lato" w:eastAsia="Lato" w:hAnsi="Lato" w:cs="Lato"/>
          <w:lang w:val="en-US"/>
        </w:rPr>
        <w:t xml:space="preserve"> to separate it into its constituent parts, hydrogen and oxygen), whose potential contribution in terms of climate solutions will be modest</w:t>
      </w:r>
      <w:r>
        <w:rPr>
          <w:rFonts w:ascii="Lato" w:eastAsia="Lato" w:hAnsi="Lato" w:cs="Lato"/>
          <w:vertAlign w:val="superscript"/>
        </w:rPr>
        <w:footnoteReference w:id="52"/>
      </w:r>
      <w:r w:rsidRPr="004A0DFB">
        <w:rPr>
          <w:rFonts w:ascii="Lato" w:eastAsia="Lato" w:hAnsi="Lato" w:cs="Lato"/>
          <w:lang w:val="en-US"/>
        </w:rPr>
        <w:t xml:space="preserve"> and which would divert renewable energy from more direct uses, nearly all hydrogen is today produced from fossil f</w:t>
      </w:r>
      <w:r w:rsidRPr="004A0DFB">
        <w:rPr>
          <w:rFonts w:ascii="Lato" w:eastAsia="Lato" w:hAnsi="Lato" w:cs="Lato"/>
          <w:lang w:val="en-US"/>
        </w:rPr>
        <w:t>uels, and as such does not contribute to solving the climate crisis - quite the contrary.</w:t>
      </w:r>
      <w:r>
        <w:rPr>
          <w:rFonts w:ascii="Lato" w:eastAsia="Lato" w:hAnsi="Lato" w:cs="Lato"/>
          <w:vertAlign w:val="superscript"/>
        </w:rPr>
        <w:footnoteReference w:id="53"/>
      </w:r>
    </w:p>
    <w:p w14:paraId="26218021" w14:textId="77777777" w:rsidR="00161574" w:rsidRPr="004A0DFB" w:rsidRDefault="00161574">
      <w:pPr>
        <w:pBdr>
          <w:top w:val="nil"/>
          <w:left w:val="nil"/>
          <w:bottom w:val="nil"/>
          <w:right w:val="nil"/>
          <w:between w:val="nil"/>
        </w:pBdr>
        <w:jc w:val="both"/>
        <w:rPr>
          <w:rFonts w:ascii="Lato" w:eastAsia="Lato" w:hAnsi="Lato" w:cs="Lato"/>
          <w:lang w:val="en-US"/>
        </w:rPr>
      </w:pPr>
    </w:p>
    <w:p w14:paraId="6E3D33D9" w14:textId="77777777" w:rsidR="00161574" w:rsidRPr="004A0DFB" w:rsidRDefault="00C62FDC">
      <w:pPr>
        <w:numPr>
          <w:ilvl w:val="0"/>
          <w:numId w:val="2"/>
        </w:numPr>
        <w:pBdr>
          <w:top w:val="nil"/>
          <w:left w:val="nil"/>
          <w:bottom w:val="nil"/>
          <w:right w:val="nil"/>
          <w:between w:val="nil"/>
        </w:pBdr>
        <w:ind w:left="0" w:firstLine="0"/>
        <w:jc w:val="both"/>
        <w:rPr>
          <w:rFonts w:ascii="Lato" w:eastAsia="Lato" w:hAnsi="Lato" w:cs="Lato"/>
          <w:lang w:val="en-US"/>
        </w:rPr>
      </w:pPr>
      <w:r w:rsidRPr="004A0DFB">
        <w:rPr>
          <w:rFonts w:ascii="Lato" w:eastAsia="Lato" w:hAnsi="Lato" w:cs="Lato"/>
          <w:lang w:val="en-US"/>
        </w:rPr>
        <w:t xml:space="preserve">From a </w:t>
      </w:r>
      <w:proofErr w:type="gramStart"/>
      <w:r w:rsidRPr="004A0DFB">
        <w:rPr>
          <w:rFonts w:ascii="Lato" w:eastAsia="Lato" w:hAnsi="Lato" w:cs="Lato"/>
          <w:lang w:val="en-US"/>
        </w:rPr>
        <w:t>toxics</w:t>
      </w:r>
      <w:proofErr w:type="gramEnd"/>
      <w:r w:rsidRPr="004A0DFB">
        <w:rPr>
          <w:rFonts w:ascii="Lato" w:eastAsia="Lato" w:hAnsi="Lato" w:cs="Lato"/>
          <w:lang w:val="en-US"/>
        </w:rPr>
        <w:t xml:space="preserve"> perspective, hydrogen–whether made from fossil fuel or water with renewables–is an explosive substance, difficult to transport; even though it does not contain contaminants or particulates, hydrogen produces nitrogen oxides when burned, thus “creating tox</w:t>
      </w:r>
      <w:r w:rsidRPr="004A0DFB">
        <w:rPr>
          <w:rFonts w:ascii="Lato" w:eastAsia="Lato" w:hAnsi="Lato" w:cs="Lato"/>
          <w:lang w:val="en-US"/>
        </w:rPr>
        <w:t>ic risks if it is used in industrial applications or domestic gas lines.”</w:t>
      </w:r>
      <w:r>
        <w:rPr>
          <w:rFonts w:ascii="Lato" w:eastAsia="Lato" w:hAnsi="Lato" w:cs="Lato"/>
          <w:vertAlign w:val="superscript"/>
        </w:rPr>
        <w:footnoteReference w:id="54"/>
      </w:r>
    </w:p>
    <w:p w14:paraId="3CFAFF13" w14:textId="77777777" w:rsidR="00161574" w:rsidRPr="004A0DFB" w:rsidRDefault="00161574">
      <w:pPr>
        <w:pBdr>
          <w:top w:val="nil"/>
          <w:left w:val="nil"/>
          <w:bottom w:val="nil"/>
          <w:right w:val="nil"/>
          <w:between w:val="nil"/>
        </w:pBdr>
        <w:jc w:val="both"/>
        <w:rPr>
          <w:rFonts w:ascii="Lato" w:eastAsia="Lato" w:hAnsi="Lato" w:cs="Lato"/>
          <w:lang w:val="en-US"/>
        </w:rPr>
      </w:pPr>
    </w:p>
    <w:p w14:paraId="04183D78" w14:textId="77777777" w:rsidR="00161574" w:rsidRPr="004A0DFB" w:rsidRDefault="00C62FDC">
      <w:pPr>
        <w:numPr>
          <w:ilvl w:val="0"/>
          <w:numId w:val="2"/>
        </w:numPr>
        <w:pBdr>
          <w:top w:val="nil"/>
          <w:left w:val="nil"/>
          <w:bottom w:val="nil"/>
          <w:right w:val="nil"/>
          <w:between w:val="nil"/>
        </w:pBdr>
        <w:ind w:left="0" w:firstLine="0"/>
        <w:jc w:val="both"/>
        <w:rPr>
          <w:rFonts w:ascii="Lato" w:eastAsia="Lato" w:hAnsi="Lato" w:cs="Lato"/>
          <w:lang w:val="en-US"/>
        </w:rPr>
      </w:pPr>
      <w:r w:rsidRPr="004A0DFB">
        <w:rPr>
          <w:rFonts w:ascii="Lato" w:eastAsia="Lato" w:hAnsi="Lato" w:cs="Lato"/>
          <w:lang w:val="en-US"/>
        </w:rPr>
        <w:t xml:space="preserve">Finally, one of the largest current uses of hydrogen is for the production of ammonia, principally for synthetic fertilizer production (the other most significant use of hydrogen </w:t>
      </w:r>
      <w:r w:rsidRPr="004A0DFB">
        <w:rPr>
          <w:rFonts w:ascii="Lato" w:eastAsia="Lato" w:hAnsi="Lato" w:cs="Lato"/>
          <w:lang w:val="en-US"/>
        </w:rPr>
        <w:t xml:space="preserve">is for </w:t>
      </w:r>
      <w:r w:rsidRPr="004A0DFB">
        <w:rPr>
          <w:rFonts w:ascii="Lato" w:eastAsia="Lato" w:hAnsi="Lato" w:cs="Lato"/>
          <w:lang w:val="en-US"/>
        </w:rPr>
        <w:lastRenderedPageBreak/>
        <w:t>petroleum refining).</w:t>
      </w:r>
      <w:r>
        <w:rPr>
          <w:rFonts w:ascii="Lato" w:eastAsia="Lato" w:hAnsi="Lato" w:cs="Lato"/>
          <w:vertAlign w:val="superscript"/>
        </w:rPr>
        <w:footnoteReference w:id="55"/>
      </w:r>
      <w:r w:rsidRPr="004A0DFB">
        <w:rPr>
          <w:rFonts w:ascii="Lato" w:eastAsia="Lato" w:hAnsi="Lato" w:cs="Lato"/>
          <w:lang w:val="en-US"/>
        </w:rPr>
        <w:t xml:space="preserve">  Ammonia, which is widely known to be extremely toxic: at moderate concentrations, it can irritate the eyes, the nose and the respiratory tract, while at high concentrations it can be “promptly lethal”</w:t>
      </w:r>
      <w:r>
        <w:rPr>
          <w:rFonts w:ascii="Lato" w:eastAsia="Lato" w:hAnsi="Lato" w:cs="Lato"/>
          <w:vertAlign w:val="superscript"/>
        </w:rPr>
        <w:footnoteReference w:id="56"/>
      </w:r>
      <w:r w:rsidRPr="004A0DFB">
        <w:rPr>
          <w:rFonts w:ascii="Lato" w:eastAsia="Lato" w:hAnsi="Lato" w:cs="Lato"/>
          <w:lang w:val="en-US"/>
        </w:rPr>
        <w:t xml:space="preserve"> if inhaled, ingested o</w:t>
      </w:r>
      <w:r w:rsidRPr="004A0DFB">
        <w:rPr>
          <w:rFonts w:ascii="Lato" w:eastAsia="Lato" w:hAnsi="Lato" w:cs="Lato"/>
          <w:lang w:val="en-US"/>
        </w:rPr>
        <w:t>r absorbed through the skin, with a disproportionate risk for children.</w:t>
      </w:r>
      <w:r>
        <w:rPr>
          <w:rFonts w:ascii="Lato" w:eastAsia="Lato" w:hAnsi="Lato" w:cs="Lato"/>
          <w:vertAlign w:val="superscript"/>
        </w:rPr>
        <w:footnoteReference w:id="57"/>
      </w:r>
      <w:r w:rsidRPr="004A0DFB">
        <w:rPr>
          <w:rFonts w:ascii="Lato" w:eastAsia="Lato" w:hAnsi="Lato" w:cs="Lato"/>
          <w:lang w:val="en-US"/>
        </w:rPr>
        <w:t xml:space="preserve"> Exposure of any kind to ammonia can be dangerous; upon combustion (even when properly done), ammonia can “release toxic nitrogen oxides, as its constituent nitrogen is combined with </w:t>
      </w:r>
      <w:r w:rsidRPr="004A0DFB">
        <w:rPr>
          <w:rFonts w:ascii="Lato" w:eastAsia="Lato" w:hAnsi="Lato" w:cs="Lato"/>
          <w:lang w:val="en-US"/>
        </w:rPr>
        <w:t>oxygen in the air.”</w:t>
      </w:r>
      <w:r>
        <w:rPr>
          <w:rFonts w:ascii="Lato" w:eastAsia="Lato" w:hAnsi="Lato" w:cs="Lato"/>
          <w:vertAlign w:val="superscript"/>
        </w:rPr>
        <w:footnoteReference w:id="58"/>
      </w:r>
    </w:p>
    <w:p w14:paraId="30FAD599" w14:textId="77777777" w:rsidR="00161574" w:rsidRPr="004A0DFB" w:rsidRDefault="00161574">
      <w:pPr>
        <w:pBdr>
          <w:top w:val="nil"/>
          <w:left w:val="nil"/>
          <w:bottom w:val="nil"/>
          <w:right w:val="nil"/>
          <w:between w:val="nil"/>
        </w:pBdr>
        <w:jc w:val="both"/>
        <w:rPr>
          <w:rFonts w:ascii="Lato" w:eastAsia="Lato" w:hAnsi="Lato" w:cs="Lato"/>
          <w:lang w:val="en-US"/>
        </w:rPr>
      </w:pPr>
    </w:p>
    <w:p w14:paraId="21E1207B" w14:textId="77777777" w:rsidR="00161574" w:rsidRDefault="00C62FDC">
      <w:pPr>
        <w:numPr>
          <w:ilvl w:val="0"/>
          <w:numId w:val="1"/>
        </w:numPr>
        <w:pBdr>
          <w:top w:val="nil"/>
          <w:left w:val="nil"/>
          <w:bottom w:val="nil"/>
          <w:right w:val="nil"/>
          <w:between w:val="nil"/>
        </w:pBdr>
        <w:ind w:left="708" w:hanging="425"/>
        <w:jc w:val="both"/>
        <w:rPr>
          <w:rFonts w:ascii="Lato" w:eastAsia="Lato" w:hAnsi="Lato" w:cs="Lato"/>
          <w:b/>
          <w:color w:val="046B8C"/>
          <w:sz w:val="32"/>
          <w:szCs w:val="32"/>
        </w:rPr>
      </w:pPr>
      <w:r>
        <w:rPr>
          <w:rFonts w:ascii="Lato" w:eastAsia="Lato" w:hAnsi="Lato" w:cs="Lato"/>
          <w:b/>
          <w:color w:val="046B8C"/>
          <w:sz w:val="32"/>
          <w:szCs w:val="32"/>
        </w:rPr>
        <w:t>Conclusion</w:t>
      </w:r>
    </w:p>
    <w:p w14:paraId="54A7D69D" w14:textId="77777777" w:rsidR="00161574" w:rsidRDefault="00C62FDC">
      <w:pPr>
        <w:jc w:val="both"/>
        <w:rPr>
          <w:rFonts w:ascii="Lato" w:eastAsia="Lato" w:hAnsi="Lato" w:cs="Lato"/>
          <w:b/>
          <w:u w:val="single"/>
        </w:rPr>
      </w:pPr>
      <w:r>
        <w:rPr>
          <w:rFonts w:ascii="Lato" w:eastAsia="Lato" w:hAnsi="Lato" w:cs="Lato"/>
          <w:b/>
          <w:u w:val="single"/>
        </w:rPr>
        <w:t xml:space="preserve"> </w:t>
      </w:r>
    </w:p>
    <w:p w14:paraId="45E12D43" w14:textId="77777777" w:rsidR="00161574" w:rsidRPr="004A0DFB" w:rsidRDefault="00C62FDC">
      <w:pPr>
        <w:numPr>
          <w:ilvl w:val="0"/>
          <w:numId w:val="2"/>
        </w:numPr>
        <w:pBdr>
          <w:top w:val="nil"/>
          <w:left w:val="nil"/>
          <w:bottom w:val="nil"/>
          <w:right w:val="nil"/>
          <w:between w:val="nil"/>
        </w:pBdr>
        <w:ind w:left="0" w:firstLine="0"/>
        <w:jc w:val="both"/>
        <w:rPr>
          <w:rFonts w:ascii="Lato" w:eastAsia="Lato" w:hAnsi="Lato" w:cs="Lato"/>
          <w:lang w:val="en-US"/>
        </w:rPr>
      </w:pPr>
      <w:r w:rsidRPr="004A0DFB">
        <w:rPr>
          <w:rFonts w:ascii="Lato" w:eastAsia="Lato" w:hAnsi="Lato" w:cs="Lato"/>
          <w:lang w:val="en-US"/>
        </w:rPr>
        <w:t xml:space="preserve">CIEL thanks the Special Rapporteur for the opportunity to present this submission and remains available to provide any further information on any of the </w:t>
      </w:r>
      <w:proofErr w:type="gramStart"/>
      <w:r w:rsidRPr="004A0DFB">
        <w:rPr>
          <w:rFonts w:ascii="Lato" w:eastAsia="Lato" w:hAnsi="Lato" w:cs="Lato"/>
          <w:lang w:val="en-US"/>
        </w:rPr>
        <w:t>aforementioned topics</w:t>
      </w:r>
      <w:proofErr w:type="gramEnd"/>
      <w:r w:rsidRPr="004A0DFB">
        <w:rPr>
          <w:rFonts w:ascii="Lato" w:eastAsia="Lato" w:hAnsi="Lato" w:cs="Lato"/>
          <w:lang w:val="en-US"/>
        </w:rPr>
        <w:t>.</w:t>
      </w:r>
    </w:p>
    <w:p w14:paraId="6A923037" w14:textId="77777777" w:rsidR="00161574" w:rsidRPr="004A0DFB" w:rsidRDefault="00C62FDC">
      <w:pPr>
        <w:pBdr>
          <w:top w:val="nil"/>
          <w:left w:val="nil"/>
          <w:bottom w:val="nil"/>
          <w:right w:val="nil"/>
          <w:between w:val="nil"/>
        </w:pBdr>
        <w:ind w:left="720"/>
        <w:jc w:val="both"/>
        <w:rPr>
          <w:rFonts w:ascii="Lato" w:eastAsia="Lato" w:hAnsi="Lato" w:cs="Lato"/>
          <w:lang w:val="en-US"/>
        </w:rPr>
      </w:pPr>
      <w:r w:rsidRPr="004A0DFB">
        <w:rPr>
          <w:rFonts w:ascii="Lato" w:eastAsia="Lato" w:hAnsi="Lato" w:cs="Lato"/>
          <w:lang w:val="en-US"/>
        </w:rPr>
        <w:t xml:space="preserve"> </w:t>
      </w:r>
    </w:p>
    <w:p w14:paraId="055095C3" w14:textId="77777777" w:rsidR="00161574" w:rsidRPr="004A0DFB" w:rsidRDefault="00C62FDC">
      <w:pPr>
        <w:numPr>
          <w:ilvl w:val="0"/>
          <w:numId w:val="2"/>
        </w:numPr>
        <w:pBdr>
          <w:top w:val="nil"/>
          <w:left w:val="nil"/>
          <w:bottom w:val="nil"/>
          <w:right w:val="nil"/>
          <w:between w:val="nil"/>
        </w:pBdr>
        <w:ind w:left="0" w:firstLine="0"/>
        <w:jc w:val="both"/>
        <w:rPr>
          <w:rFonts w:ascii="Lato" w:eastAsia="Lato" w:hAnsi="Lato" w:cs="Lato"/>
          <w:lang w:val="en-US"/>
        </w:rPr>
      </w:pPr>
      <w:r w:rsidRPr="004A0DFB">
        <w:rPr>
          <w:rFonts w:ascii="Lato" w:eastAsia="Lato" w:hAnsi="Lato" w:cs="Lato"/>
          <w:lang w:val="en-US"/>
        </w:rPr>
        <w:t>For any questions or clarification, please do not hesitate to reach us at</w:t>
      </w:r>
      <w:r w:rsidRPr="004A0DFB">
        <w:rPr>
          <w:rFonts w:ascii="Lato" w:eastAsia="Lato" w:hAnsi="Lato" w:cs="Lato"/>
          <w:color w:val="0000FF"/>
          <w:lang w:val="en-US"/>
        </w:rPr>
        <w:t xml:space="preserve"> sfei</w:t>
      </w:r>
      <w:r w:rsidRPr="004A0DFB">
        <w:rPr>
          <w:rFonts w:ascii="Lato" w:eastAsia="Lato" w:hAnsi="Lato" w:cs="Lato"/>
          <w:color w:val="0000FF"/>
          <w:lang w:val="en-US"/>
        </w:rPr>
        <w:t>t@ciel.org,</w:t>
      </w:r>
      <w:r w:rsidRPr="004A0DFB">
        <w:rPr>
          <w:rFonts w:ascii="Lato" w:eastAsia="Lato" w:hAnsi="Lato" w:cs="Lato"/>
          <w:lang w:val="en-US"/>
        </w:rPr>
        <w:t xml:space="preserve"> </w:t>
      </w:r>
      <w:r w:rsidRPr="004A0DFB">
        <w:rPr>
          <w:rFonts w:ascii="Lato" w:eastAsia="Lato" w:hAnsi="Lato" w:cs="Lato"/>
          <w:color w:val="0000FF"/>
          <w:lang w:val="en-US"/>
        </w:rPr>
        <w:t>sduyck@ciel.org</w:t>
      </w:r>
      <w:r w:rsidRPr="004A0DFB">
        <w:rPr>
          <w:rFonts w:ascii="Lato" w:eastAsia="Lato" w:hAnsi="Lato" w:cs="Lato"/>
          <w:lang w:val="en-US"/>
        </w:rPr>
        <w:t xml:space="preserve"> and</w:t>
      </w:r>
      <w:r w:rsidRPr="004A0DFB">
        <w:rPr>
          <w:rFonts w:ascii="Lato" w:eastAsia="Lato" w:hAnsi="Lato" w:cs="Lato"/>
          <w:color w:val="0000FF"/>
          <w:lang w:val="en-US"/>
        </w:rPr>
        <w:t xml:space="preserve"> nreisch@ciel.org</w:t>
      </w:r>
      <w:r w:rsidRPr="004A0DFB">
        <w:rPr>
          <w:rFonts w:ascii="Lato" w:eastAsia="Lato" w:hAnsi="Lato" w:cs="Lato"/>
          <w:lang w:val="en-US"/>
        </w:rPr>
        <w:t>.</w:t>
      </w:r>
    </w:p>
    <w:sectPr w:rsidR="00161574" w:rsidRPr="004A0DFB">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68703" w14:textId="77777777" w:rsidR="00242996" w:rsidRDefault="00242996">
      <w:pPr>
        <w:spacing w:line="240" w:lineRule="auto"/>
      </w:pPr>
      <w:r>
        <w:separator/>
      </w:r>
    </w:p>
  </w:endnote>
  <w:endnote w:type="continuationSeparator" w:id="0">
    <w:p w14:paraId="7970BD44" w14:textId="77777777" w:rsidR="00242996" w:rsidRDefault="002429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E066B" w14:textId="77777777" w:rsidR="00161574" w:rsidRPr="00A22CEF" w:rsidRDefault="00C62FDC">
    <w:pPr>
      <w:jc w:val="right"/>
      <w:rPr>
        <w:rFonts w:ascii="Lato" w:hAnsi="Lato"/>
        <w:color w:val="595959" w:themeColor="text1" w:themeTint="A6"/>
      </w:rPr>
    </w:pPr>
    <w:r w:rsidRPr="00A22CEF">
      <w:rPr>
        <w:rFonts w:ascii="Lato" w:hAnsi="Lato"/>
        <w:color w:val="595959" w:themeColor="text1" w:themeTint="A6"/>
      </w:rPr>
      <w:fldChar w:fldCharType="begin"/>
    </w:r>
    <w:r w:rsidRPr="00A22CEF">
      <w:rPr>
        <w:rFonts w:ascii="Lato" w:hAnsi="Lato"/>
        <w:color w:val="595959" w:themeColor="text1" w:themeTint="A6"/>
      </w:rPr>
      <w:instrText>PAGE</w:instrText>
    </w:r>
    <w:r w:rsidRPr="00A22CEF">
      <w:rPr>
        <w:rFonts w:ascii="Lato" w:hAnsi="Lato"/>
        <w:color w:val="595959" w:themeColor="text1" w:themeTint="A6"/>
      </w:rPr>
      <w:fldChar w:fldCharType="separate"/>
    </w:r>
    <w:r w:rsidR="004A0DFB" w:rsidRPr="00A22CEF">
      <w:rPr>
        <w:rFonts w:ascii="Lato" w:hAnsi="Lato"/>
        <w:noProof/>
        <w:color w:val="595959" w:themeColor="text1" w:themeTint="A6"/>
      </w:rPr>
      <w:t>1</w:t>
    </w:r>
    <w:r w:rsidRPr="00A22CEF">
      <w:rPr>
        <w:rFonts w:ascii="Lato" w:hAnsi="Lato"/>
        <w:color w:val="595959" w:themeColor="text1" w:themeTint="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E236D" w14:textId="77777777" w:rsidR="00242996" w:rsidRDefault="00242996">
      <w:pPr>
        <w:spacing w:line="240" w:lineRule="auto"/>
      </w:pPr>
      <w:r>
        <w:separator/>
      </w:r>
    </w:p>
  </w:footnote>
  <w:footnote w:type="continuationSeparator" w:id="0">
    <w:p w14:paraId="39DD88A3" w14:textId="77777777" w:rsidR="00242996" w:rsidRDefault="00242996">
      <w:pPr>
        <w:spacing w:line="240" w:lineRule="auto"/>
      </w:pPr>
      <w:r>
        <w:continuationSeparator/>
      </w:r>
    </w:p>
  </w:footnote>
  <w:footnote w:id="1">
    <w:p w14:paraId="4989D10B" w14:textId="77777777" w:rsidR="00161574" w:rsidRPr="004A0DFB" w:rsidRDefault="00C62FDC" w:rsidP="004A0DFB">
      <w:pPr>
        <w:spacing w:after="120" w:line="240" w:lineRule="auto"/>
        <w:jc w:val="both"/>
        <w:rPr>
          <w:rFonts w:ascii="Lato" w:eastAsia="Lato" w:hAnsi="Lato" w:cs="Lato"/>
          <w:sz w:val="20"/>
          <w:szCs w:val="20"/>
          <w:lang w:val="en-US"/>
        </w:rPr>
      </w:pPr>
      <w:r w:rsidRPr="004A0DFB">
        <w:rPr>
          <w:rFonts w:ascii="Lato" w:hAnsi="Lato"/>
          <w:vertAlign w:val="superscript"/>
        </w:rPr>
        <w:footnoteRef/>
      </w:r>
      <w:r w:rsidRPr="004A0DFB">
        <w:rPr>
          <w:rFonts w:ascii="Lato" w:eastAsia="Lato" w:hAnsi="Lato" w:cs="Lato"/>
          <w:sz w:val="20"/>
          <w:szCs w:val="20"/>
          <w:lang w:val="en-US"/>
        </w:rPr>
        <w:t xml:space="preserve"> Not all actions undertaken in the name of climate change are climate change “solutions.” Indeed, what qualifies as a solution is at the heart of debates over climate action and accountability today. As suggested in the Special Rapporteur’s call for inputs</w:t>
      </w:r>
      <w:r w:rsidRPr="004A0DFB">
        <w:rPr>
          <w:rFonts w:ascii="Lato" w:eastAsia="Lato" w:hAnsi="Lato" w:cs="Lato"/>
          <w:sz w:val="20"/>
          <w:szCs w:val="20"/>
          <w:lang w:val="en-US"/>
        </w:rPr>
        <w:t xml:space="preserve"> to this report, responses to climate change, including certain technologies that purport to mitigate greenhouse gas emissions or mask their impacts, may adversely affect human rights. This submission focuses on just several of the many technofixes and int</w:t>
      </w:r>
      <w:r w:rsidRPr="004A0DFB">
        <w:rPr>
          <w:rFonts w:ascii="Lato" w:eastAsia="Lato" w:hAnsi="Lato" w:cs="Lato"/>
          <w:sz w:val="20"/>
          <w:szCs w:val="20"/>
          <w:lang w:val="en-US"/>
        </w:rPr>
        <w:t xml:space="preserve">erventions that pose such concerns. </w:t>
      </w:r>
    </w:p>
  </w:footnote>
  <w:footnote w:id="2">
    <w:p w14:paraId="7F7CFA0D" w14:textId="3AD5648C" w:rsidR="00161574" w:rsidRPr="004A0DFB" w:rsidRDefault="00C62FDC" w:rsidP="004A0DFB">
      <w:pPr>
        <w:spacing w:after="120" w:line="240" w:lineRule="auto"/>
        <w:jc w:val="both"/>
        <w:rPr>
          <w:rFonts w:ascii="Lato" w:eastAsia="Lato" w:hAnsi="Lato" w:cs="Lato"/>
          <w:sz w:val="20"/>
          <w:szCs w:val="20"/>
          <w:lang w:val="en-US"/>
        </w:rPr>
      </w:pPr>
      <w:r w:rsidRPr="004A0DFB">
        <w:rPr>
          <w:rFonts w:ascii="Lato" w:hAnsi="Lato"/>
          <w:vertAlign w:val="superscript"/>
        </w:rPr>
        <w:footnoteRef/>
      </w:r>
      <w:r w:rsidRPr="004A0DFB">
        <w:rPr>
          <w:rFonts w:ascii="Lato" w:eastAsia="Lato" w:hAnsi="Lato" w:cs="Lato"/>
          <w:sz w:val="20"/>
          <w:szCs w:val="20"/>
          <w:lang w:val="en-US"/>
        </w:rPr>
        <w:t xml:space="preserve"> </w:t>
      </w:r>
      <w:r w:rsidRPr="004A0DFB">
        <w:rPr>
          <w:rFonts w:ascii="Lato" w:eastAsia="Lato" w:hAnsi="Lato" w:cs="Lato"/>
          <w:i/>
          <w:sz w:val="20"/>
          <w:szCs w:val="20"/>
          <w:lang w:val="en-US"/>
        </w:rPr>
        <w:t xml:space="preserve">See </w:t>
      </w:r>
      <w:r w:rsidRPr="004A0DFB">
        <w:rPr>
          <w:rFonts w:ascii="Lato" w:eastAsia="Lato" w:hAnsi="Lato" w:cs="Lato"/>
          <w:sz w:val="20"/>
          <w:szCs w:val="20"/>
          <w:lang w:val="en-US"/>
        </w:rPr>
        <w:t xml:space="preserve">Center for International Environmental Law (CIEL) and Heinrich </w:t>
      </w:r>
      <w:proofErr w:type="spellStart"/>
      <w:r w:rsidRPr="004A0DFB">
        <w:rPr>
          <w:rFonts w:ascii="Lato" w:eastAsia="Lato" w:hAnsi="Lato" w:cs="Lato"/>
          <w:sz w:val="20"/>
          <w:szCs w:val="20"/>
          <w:lang w:val="en-US"/>
        </w:rPr>
        <w:t>Böll</w:t>
      </w:r>
      <w:proofErr w:type="spellEnd"/>
      <w:r w:rsidRPr="004A0DFB">
        <w:rPr>
          <w:rFonts w:ascii="Lato" w:eastAsia="Lato" w:hAnsi="Lato" w:cs="Lato"/>
          <w:sz w:val="20"/>
          <w:szCs w:val="20"/>
          <w:lang w:val="en-US"/>
        </w:rPr>
        <w:t xml:space="preserve"> Foundation, </w:t>
      </w:r>
      <w:hyperlink r:id="rId1">
        <w:r w:rsidRPr="004A0DFB">
          <w:rPr>
            <w:rFonts w:ascii="Lato" w:eastAsia="Lato" w:hAnsi="Lato" w:cs="Lato"/>
            <w:i/>
            <w:color w:val="1155CC"/>
            <w:sz w:val="20"/>
            <w:szCs w:val="20"/>
            <w:u w:val="single"/>
            <w:lang w:val="en-US"/>
          </w:rPr>
          <w:t>Beyond the Limits: New IPCC WG II Report Highlights How Gambling on</w:t>
        </w:r>
        <w:r w:rsidRPr="004A0DFB">
          <w:rPr>
            <w:rFonts w:ascii="Lato" w:eastAsia="Lato" w:hAnsi="Lato" w:cs="Lato"/>
            <w:i/>
            <w:color w:val="1155CC"/>
            <w:sz w:val="20"/>
            <w:szCs w:val="20"/>
            <w:u w:val="single"/>
            <w:lang w:val="en-US"/>
          </w:rPr>
          <w:t xml:space="preserve"> Overshoot is Pushing the Planet Past a Point of No Return</w:t>
        </w:r>
      </w:hyperlink>
      <w:r w:rsidRPr="004A0DFB">
        <w:rPr>
          <w:rFonts w:ascii="Lato" w:eastAsia="Lato" w:hAnsi="Lato" w:cs="Lato"/>
          <w:sz w:val="20"/>
          <w:szCs w:val="20"/>
          <w:lang w:val="en-US"/>
        </w:rPr>
        <w:t xml:space="preserve">, 2022; CIEL and Heinrich </w:t>
      </w:r>
      <w:proofErr w:type="spellStart"/>
      <w:r w:rsidRPr="004A0DFB">
        <w:rPr>
          <w:rFonts w:ascii="Lato" w:eastAsia="Lato" w:hAnsi="Lato" w:cs="Lato"/>
          <w:sz w:val="20"/>
          <w:szCs w:val="20"/>
          <w:lang w:val="en-US"/>
        </w:rPr>
        <w:t>Böll</w:t>
      </w:r>
      <w:proofErr w:type="spellEnd"/>
      <w:r w:rsidRPr="004A0DFB">
        <w:rPr>
          <w:rFonts w:ascii="Lato" w:eastAsia="Lato" w:hAnsi="Lato" w:cs="Lato"/>
          <w:sz w:val="20"/>
          <w:szCs w:val="20"/>
          <w:lang w:val="en-US"/>
        </w:rPr>
        <w:t xml:space="preserve"> Foundation, </w:t>
      </w:r>
      <w:hyperlink r:id="rId2">
        <w:r w:rsidRPr="004A0DFB">
          <w:rPr>
            <w:rFonts w:ascii="Lato" w:eastAsia="Lato" w:hAnsi="Lato" w:cs="Lato"/>
            <w:i/>
            <w:color w:val="1155CC"/>
            <w:sz w:val="20"/>
            <w:szCs w:val="20"/>
            <w:u w:val="single"/>
            <w:lang w:val="en-US"/>
          </w:rPr>
          <w:t xml:space="preserve">IPCC </w:t>
        </w:r>
      </w:hyperlink>
      <w:hyperlink r:id="rId3">
        <w:proofErr w:type="spellStart"/>
        <w:r w:rsidRPr="004A0DFB">
          <w:rPr>
            <w:rFonts w:ascii="Lato" w:eastAsia="Lato" w:hAnsi="Lato" w:cs="Lato"/>
            <w:i/>
            <w:color w:val="1155CC"/>
            <w:sz w:val="20"/>
            <w:szCs w:val="20"/>
            <w:u w:val="single"/>
            <w:lang w:val="en-US"/>
          </w:rPr>
          <w:t>Unsummarized</w:t>
        </w:r>
        <w:proofErr w:type="spellEnd"/>
        <w:r w:rsidRPr="004A0DFB">
          <w:rPr>
            <w:rFonts w:ascii="Lato" w:eastAsia="Lato" w:hAnsi="Lato" w:cs="Lato"/>
            <w:i/>
            <w:color w:val="1155CC"/>
            <w:sz w:val="20"/>
            <w:szCs w:val="20"/>
            <w:u w:val="single"/>
            <w:lang w:val="en-US"/>
          </w:rPr>
          <w:t>: Un</w:t>
        </w:r>
        <w:r w:rsidRPr="004A0DFB">
          <w:rPr>
            <w:rFonts w:ascii="Lato" w:eastAsia="Lato" w:hAnsi="Lato" w:cs="Lato"/>
            <w:i/>
            <w:color w:val="1155CC"/>
            <w:sz w:val="20"/>
            <w:szCs w:val="20"/>
            <w:u w:val="single"/>
            <w:lang w:val="en-US"/>
          </w:rPr>
          <w:t>masking Clear Warnings on Overshoot, Techno-fixes, and the Urgency of Climate Justice</w:t>
        </w:r>
      </w:hyperlink>
      <w:r w:rsidRPr="004A0DFB">
        <w:rPr>
          <w:rFonts w:ascii="Lato" w:eastAsia="Lato" w:hAnsi="Lato" w:cs="Lato"/>
          <w:sz w:val="20"/>
          <w:szCs w:val="20"/>
          <w:lang w:val="en-US"/>
        </w:rPr>
        <w:t xml:space="preserve">, 2022; CIEL and Heinrich </w:t>
      </w:r>
      <w:proofErr w:type="spellStart"/>
      <w:r w:rsidRPr="004A0DFB">
        <w:rPr>
          <w:rFonts w:ascii="Lato" w:eastAsia="Lato" w:hAnsi="Lato" w:cs="Lato"/>
          <w:sz w:val="20"/>
          <w:szCs w:val="20"/>
          <w:lang w:val="en-US"/>
        </w:rPr>
        <w:t>Böll</w:t>
      </w:r>
      <w:proofErr w:type="spellEnd"/>
      <w:r w:rsidRPr="004A0DFB">
        <w:rPr>
          <w:rFonts w:ascii="Lato" w:eastAsia="Lato" w:hAnsi="Lato" w:cs="Lato"/>
          <w:sz w:val="20"/>
          <w:szCs w:val="20"/>
          <w:lang w:val="en-US"/>
        </w:rPr>
        <w:t xml:space="preserve"> Foundation, </w:t>
      </w:r>
      <w:hyperlink r:id="rId4">
        <w:r w:rsidRPr="004A0DFB">
          <w:rPr>
            <w:rFonts w:ascii="Lato" w:eastAsia="Lato" w:hAnsi="Lato" w:cs="Lato"/>
            <w:i/>
            <w:color w:val="1155CC"/>
            <w:sz w:val="20"/>
            <w:szCs w:val="20"/>
            <w:u w:val="single"/>
            <w:lang w:val="en-US"/>
          </w:rPr>
          <w:t>Lost in Translation:</w:t>
        </w:r>
        <w:r w:rsidRPr="004A0DFB">
          <w:rPr>
            <w:rFonts w:ascii="Lato" w:eastAsia="Lato" w:hAnsi="Lato" w:cs="Lato"/>
            <w:i/>
            <w:color w:val="1155CC"/>
            <w:sz w:val="20"/>
            <w:szCs w:val="20"/>
            <w:u w:val="single"/>
            <w:lang w:val="en-US"/>
          </w:rPr>
          <w:t xml:space="preserve"> Lessons from the IPCC’s Sixth Assessment on the Urgent Transition from Fossil Fuels and the Risks of Misplaced Reliance on False Solutions</w:t>
        </w:r>
      </w:hyperlink>
      <w:r w:rsidRPr="004A0DFB">
        <w:rPr>
          <w:rFonts w:ascii="Lato" w:eastAsia="Lato" w:hAnsi="Lato" w:cs="Lato"/>
          <w:sz w:val="20"/>
          <w:szCs w:val="20"/>
          <w:lang w:val="en-US"/>
        </w:rPr>
        <w:t>, 2023.</w:t>
      </w:r>
    </w:p>
  </w:footnote>
  <w:footnote w:id="3">
    <w:p w14:paraId="7891C96B" w14:textId="77777777" w:rsidR="00161574" w:rsidRPr="004A0DFB" w:rsidRDefault="00C62FDC" w:rsidP="004A0DFB">
      <w:pPr>
        <w:spacing w:after="120" w:line="240" w:lineRule="auto"/>
        <w:jc w:val="both"/>
        <w:rPr>
          <w:rFonts w:ascii="Lato" w:eastAsia="Lato" w:hAnsi="Lato" w:cs="Lato"/>
          <w:sz w:val="20"/>
          <w:szCs w:val="20"/>
          <w:lang w:val="en-US"/>
        </w:rPr>
      </w:pPr>
      <w:r w:rsidRPr="004A0DFB">
        <w:rPr>
          <w:rFonts w:ascii="Lato" w:hAnsi="Lato"/>
          <w:vertAlign w:val="superscript"/>
        </w:rPr>
        <w:footnoteRef/>
      </w:r>
      <w:r w:rsidRPr="004A0DFB">
        <w:rPr>
          <w:rFonts w:ascii="Lato" w:eastAsia="Lato" w:hAnsi="Lato" w:cs="Lato"/>
          <w:sz w:val="20"/>
          <w:szCs w:val="20"/>
          <w:lang w:val="en-US"/>
        </w:rPr>
        <w:t xml:space="preserve"> Center for International Environment, </w:t>
      </w:r>
      <w:hyperlink r:id="rId5">
        <w:r w:rsidRPr="004A0DFB">
          <w:rPr>
            <w:rFonts w:ascii="Lato" w:eastAsia="Lato" w:hAnsi="Lato" w:cs="Lato"/>
            <w:i/>
            <w:color w:val="1155CC"/>
            <w:sz w:val="20"/>
            <w:szCs w:val="20"/>
            <w:u w:val="single"/>
            <w:lang w:val="en-US"/>
          </w:rPr>
          <w:t>Confronting the Myth of Carbon-Free Fossil Fuels</w:t>
        </w:r>
      </w:hyperlink>
      <w:r w:rsidRPr="004A0DFB">
        <w:rPr>
          <w:rFonts w:ascii="Lato" w:eastAsia="Lato" w:hAnsi="Lato" w:cs="Lato"/>
          <w:sz w:val="20"/>
          <w:szCs w:val="20"/>
          <w:lang w:val="en-US"/>
        </w:rPr>
        <w:t xml:space="preserve">, 2021, available at p. 2; </w:t>
      </w:r>
      <w:r w:rsidRPr="004A0DFB">
        <w:rPr>
          <w:rFonts w:ascii="Lato" w:eastAsia="Lato" w:hAnsi="Lato" w:cs="Lato"/>
          <w:i/>
          <w:sz w:val="20"/>
          <w:szCs w:val="20"/>
          <w:lang w:val="en-US"/>
        </w:rPr>
        <w:t xml:space="preserve">see also </w:t>
      </w:r>
      <w:r w:rsidRPr="004A0DFB">
        <w:rPr>
          <w:rFonts w:ascii="Lato" w:eastAsia="Lato" w:hAnsi="Lato" w:cs="Lato"/>
          <w:sz w:val="20"/>
          <w:szCs w:val="20"/>
          <w:lang w:val="en-US"/>
        </w:rPr>
        <w:t xml:space="preserve">CIEL, </w:t>
      </w:r>
      <w:hyperlink r:id="rId6" w:anchor="Is%20CCS%20the%20same%20as%20carbon%20dioxide%20removal">
        <w:r w:rsidRPr="004A0DFB">
          <w:rPr>
            <w:rFonts w:ascii="Lato" w:eastAsia="Lato" w:hAnsi="Lato" w:cs="Lato"/>
            <w:color w:val="1155CC"/>
            <w:sz w:val="20"/>
            <w:szCs w:val="20"/>
            <w:u w:val="single"/>
            <w:lang w:val="en-US"/>
          </w:rPr>
          <w:t>Carbon Capture and Storage: (CCS): Frequently Asked Questions</w:t>
        </w:r>
      </w:hyperlink>
      <w:r w:rsidRPr="004A0DFB">
        <w:rPr>
          <w:rFonts w:ascii="Lato" w:eastAsia="Lato" w:hAnsi="Lato" w:cs="Lato"/>
          <w:sz w:val="20"/>
          <w:szCs w:val="20"/>
          <w:lang w:val="en-US"/>
        </w:rPr>
        <w:t xml:space="preserve">. </w:t>
      </w:r>
    </w:p>
  </w:footnote>
  <w:footnote w:id="4">
    <w:p w14:paraId="0BE90217" w14:textId="77777777" w:rsidR="00161574" w:rsidRPr="004A0DFB" w:rsidRDefault="00C62FDC" w:rsidP="004A0DFB">
      <w:pPr>
        <w:spacing w:after="120" w:line="240" w:lineRule="auto"/>
        <w:jc w:val="both"/>
        <w:rPr>
          <w:rFonts w:ascii="Lato" w:eastAsia="Lato" w:hAnsi="Lato" w:cs="Lato"/>
          <w:sz w:val="20"/>
          <w:szCs w:val="20"/>
          <w:lang w:val="en-US"/>
        </w:rPr>
      </w:pPr>
      <w:r w:rsidRPr="004A0DFB">
        <w:rPr>
          <w:rFonts w:ascii="Lato" w:hAnsi="Lato"/>
          <w:vertAlign w:val="superscript"/>
        </w:rPr>
        <w:footnoteRef/>
      </w:r>
      <w:r w:rsidRPr="004A0DFB">
        <w:rPr>
          <w:rFonts w:ascii="Lato" w:eastAsia="Lato" w:hAnsi="Lato" w:cs="Lato"/>
          <w:sz w:val="20"/>
          <w:szCs w:val="20"/>
          <w:lang w:val="en-US"/>
        </w:rPr>
        <w:t xml:space="preserve"> IPCC, </w:t>
      </w:r>
      <w:r w:rsidRPr="004A0DFB">
        <w:rPr>
          <w:rFonts w:ascii="Lato" w:eastAsia="Lato" w:hAnsi="Lato" w:cs="Lato"/>
          <w:i/>
          <w:sz w:val="20"/>
          <w:szCs w:val="20"/>
          <w:lang w:val="en-US"/>
        </w:rPr>
        <w:t xml:space="preserve">Climate Change 2022: Mitigation of Climate Change. Contribution of Working Group III to the Sixth Assessment Report of the </w:t>
      </w:r>
      <w:r w:rsidRPr="004A0DFB">
        <w:rPr>
          <w:rFonts w:ascii="Lato" w:eastAsia="Lato" w:hAnsi="Lato" w:cs="Lato"/>
          <w:i/>
          <w:sz w:val="20"/>
          <w:szCs w:val="20"/>
          <w:lang w:val="en-US"/>
        </w:rPr>
        <w:t>Intergovernmental Panel on Climate Change</w:t>
      </w:r>
      <w:r w:rsidRPr="004A0DFB">
        <w:rPr>
          <w:rFonts w:ascii="Lato" w:eastAsia="Lato" w:hAnsi="Lato" w:cs="Lato"/>
          <w:sz w:val="20"/>
          <w:szCs w:val="20"/>
          <w:lang w:val="en-US"/>
        </w:rPr>
        <w:t xml:space="preserve">, 2022, available at </w:t>
      </w:r>
      <w:hyperlink r:id="rId7">
        <w:r w:rsidRPr="004A0DFB">
          <w:rPr>
            <w:rFonts w:ascii="Lato" w:eastAsia="Lato" w:hAnsi="Lato" w:cs="Lato"/>
            <w:color w:val="1155CC"/>
            <w:sz w:val="20"/>
            <w:szCs w:val="20"/>
            <w:u w:val="single"/>
            <w:lang w:val="en-US"/>
          </w:rPr>
          <w:t>https://www.ipcc.ch/report/ar6/wg3/downloads/report/IPCC_AR6_WGIII_SummaryForPoli</w:t>
        </w:r>
        <w:r w:rsidRPr="004A0DFB">
          <w:rPr>
            <w:rFonts w:ascii="Lato" w:eastAsia="Lato" w:hAnsi="Lato" w:cs="Lato"/>
            <w:color w:val="1155CC"/>
            <w:sz w:val="20"/>
            <w:szCs w:val="20"/>
            <w:u w:val="single"/>
            <w:lang w:val="en-US"/>
          </w:rPr>
          <w:t>cymakers.pdf</w:t>
        </w:r>
      </w:hyperlink>
      <w:r w:rsidRPr="004A0DFB">
        <w:rPr>
          <w:rFonts w:ascii="Lato" w:eastAsia="Lato" w:hAnsi="Lato" w:cs="Lato"/>
          <w:sz w:val="20"/>
          <w:szCs w:val="20"/>
          <w:lang w:val="en-US"/>
        </w:rPr>
        <w:t xml:space="preserve">, </w:t>
      </w:r>
      <w:proofErr w:type="spellStart"/>
      <w:r w:rsidRPr="004A0DFB">
        <w:rPr>
          <w:rFonts w:ascii="Lato" w:eastAsia="Lato" w:hAnsi="Lato" w:cs="Lato"/>
          <w:sz w:val="20"/>
          <w:szCs w:val="20"/>
          <w:lang w:val="en-US"/>
        </w:rPr>
        <w:t>at</w:t>
      </w:r>
      <w:proofErr w:type="spellEnd"/>
      <w:r w:rsidRPr="004A0DFB">
        <w:rPr>
          <w:rFonts w:ascii="Lato" w:eastAsia="Lato" w:hAnsi="Lato" w:cs="Lato"/>
          <w:sz w:val="20"/>
          <w:szCs w:val="20"/>
          <w:lang w:val="en-US"/>
        </w:rPr>
        <w:t xml:space="preserve"> figure SPM.7 p. 3</w:t>
      </w:r>
      <w:r w:rsidRPr="004A0DFB">
        <w:rPr>
          <w:rFonts w:ascii="Lato" w:eastAsia="Lato" w:hAnsi="Lato" w:cs="Lato"/>
          <w:lang w:val="en-US"/>
        </w:rPr>
        <w:t>8</w:t>
      </w:r>
    </w:p>
  </w:footnote>
  <w:footnote w:id="5">
    <w:p w14:paraId="0501D558" w14:textId="77777777" w:rsidR="00161574" w:rsidRPr="004A0DFB" w:rsidRDefault="00C62FDC" w:rsidP="004A0DFB">
      <w:pPr>
        <w:spacing w:after="120" w:line="240" w:lineRule="auto"/>
        <w:jc w:val="both"/>
        <w:rPr>
          <w:rFonts w:ascii="Lato" w:eastAsia="Lato" w:hAnsi="Lato" w:cs="Lato"/>
          <w:sz w:val="20"/>
          <w:szCs w:val="20"/>
          <w:lang w:val="en-US"/>
        </w:rPr>
      </w:pPr>
      <w:r w:rsidRPr="004A0DFB">
        <w:rPr>
          <w:rFonts w:ascii="Lato" w:hAnsi="Lato"/>
          <w:vertAlign w:val="superscript"/>
        </w:rPr>
        <w:footnoteRef/>
      </w:r>
      <w:r w:rsidRPr="004A0DFB">
        <w:rPr>
          <w:rFonts w:ascii="Lato" w:eastAsia="Lato" w:hAnsi="Lato" w:cs="Lato"/>
          <w:sz w:val="20"/>
          <w:szCs w:val="20"/>
          <w:lang w:val="en-US"/>
        </w:rPr>
        <w:t xml:space="preserve"> Fogarty J., McCally M., </w:t>
      </w:r>
      <w:r w:rsidRPr="004A0DFB">
        <w:rPr>
          <w:rFonts w:ascii="Lato" w:eastAsia="Lato" w:hAnsi="Lato" w:cs="Lato"/>
          <w:i/>
          <w:sz w:val="20"/>
          <w:szCs w:val="20"/>
          <w:lang w:val="en-US"/>
        </w:rPr>
        <w:t>Health and Safety Risks of Carbon Capture and Storage</w:t>
      </w:r>
      <w:r w:rsidRPr="004A0DFB">
        <w:rPr>
          <w:rFonts w:ascii="Lato" w:eastAsia="Lato" w:hAnsi="Lato" w:cs="Lato"/>
          <w:sz w:val="20"/>
          <w:szCs w:val="20"/>
          <w:lang w:val="en-US"/>
        </w:rPr>
        <w:t xml:space="preserve">, in JAMA, 2010, 303(1), available at </w:t>
      </w:r>
      <w:hyperlink r:id="rId8">
        <w:r w:rsidRPr="004A0DFB">
          <w:rPr>
            <w:rFonts w:ascii="Lato" w:eastAsia="Lato" w:hAnsi="Lato" w:cs="Lato"/>
            <w:color w:val="1155CC"/>
            <w:sz w:val="20"/>
            <w:szCs w:val="20"/>
            <w:u w:val="single"/>
            <w:lang w:val="en-US"/>
          </w:rPr>
          <w:t>https://jamanetwork.co</w:t>
        </w:r>
        <w:r w:rsidRPr="004A0DFB">
          <w:rPr>
            <w:rFonts w:ascii="Lato" w:eastAsia="Lato" w:hAnsi="Lato" w:cs="Lato"/>
            <w:color w:val="1155CC"/>
            <w:sz w:val="20"/>
            <w:szCs w:val="20"/>
            <w:u w:val="single"/>
            <w:lang w:val="en-US"/>
          </w:rPr>
          <w:t>m/journals/jama/article-abstract/185135</w:t>
        </w:r>
      </w:hyperlink>
      <w:r w:rsidRPr="004A0DFB">
        <w:rPr>
          <w:rFonts w:ascii="Lato" w:eastAsia="Lato" w:hAnsi="Lato" w:cs="Lato"/>
          <w:sz w:val="20"/>
          <w:szCs w:val="20"/>
          <w:lang w:val="en-US"/>
        </w:rPr>
        <w:t xml:space="preserve"> </w:t>
      </w:r>
    </w:p>
  </w:footnote>
  <w:footnote w:id="6">
    <w:p w14:paraId="32625228" w14:textId="77777777" w:rsidR="00161574" w:rsidRPr="004A0DFB" w:rsidRDefault="00C62FDC" w:rsidP="004A0DFB">
      <w:pPr>
        <w:spacing w:after="120" w:line="240" w:lineRule="auto"/>
        <w:jc w:val="both"/>
        <w:rPr>
          <w:rFonts w:ascii="Lato" w:eastAsia="Lato" w:hAnsi="Lato" w:cs="Lato"/>
          <w:sz w:val="20"/>
          <w:szCs w:val="20"/>
          <w:lang w:val="en-US"/>
        </w:rPr>
      </w:pPr>
      <w:r w:rsidRPr="004A0DFB">
        <w:rPr>
          <w:rFonts w:ascii="Lato" w:hAnsi="Lato"/>
          <w:vertAlign w:val="superscript"/>
        </w:rPr>
        <w:footnoteRef/>
      </w:r>
      <w:r w:rsidRPr="004A0DFB">
        <w:rPr>
          <w:rFonts w:ascii="Lato" w:eastAsia="Lato" w:hAnsi="Lato" w:cs="Lato"/>
          <w:sz w:val="20"/>
          <w:szCs w:val="20"/>
          <w:lang w:val="en-US"/>
        </w:rPr>
        <w:t xml:space="preserve"> </w:t>
      </w:r>
      <w:proofErr w:type="spellStart"/>
      <w:r w:rsidRPr="004A0DFB">
        <w:rPr>
          <w:rFonts w:ascii="Lato" w:eastAsia="Lato" w:hAnsi="Lato" w:cs="Lato"/>
          <w:sz w:val="20"/>
          <w:szCs w:val="20"/>
          <w:lang w:val="en-US"/>
        </w:rPr>
        <w:t>Sekera</w:t>
      </w:r>
      <w:proofErr w:type="spellEnd"/>
      <w:r w:rsidRPr="004A0DFB">
        <w:rPr>
          <w:rFonts w:ascii="Lato" w:eastAsia="Lato" w:hAnsi="Lato" w:cs="Lato"/>
          <w:sz w:val="20"/>
          <w:szCs w:val="20"/>
          <w:lang w:val="en-US"/>
        </w:rPr>
        <w:t>, J., Lichtenberger, A.,</w:t>
      </w:r>
      <w:r w:rsidRPr="004A0DFB">
        <w:rPr>
          <w:rFonts w:ascii="Lato" w:eastAsia="Lato" w:hAnsi="Lato" w:cs="Lato"/>
          <w:i/>
          <w:sz w:val="20"/>
          <w:szCs w:val="20"/>
          <w:lang w:val="en-US"/>
        </w:rPr>
        <w:t xml:space="preserve"> Assessing Carbon Capture: Public Policy, Science, and Societal Need</w:t>
      </w:r>
      <w:r w:rsidRPr="004A0DFB">
        <w:rPr>
          <w:rFonts w:ascii="Lato" w:eastAsia="Lato" w:hAnsi="Lato" w:cs="Lato"/>
          <w:sz w:val="20"/>
          <w:szCs w:val="20"/>
          <w:lang w:val="en-US"/>
        </w:rPr>
        <w:t xml:space="preserve">, in </w:t>
      </w:r>
      <w:proofErr w:type="spellStart"/>
      <w:r w:rsidRPr="004A0DFB">
        <w:rPr>
          <w:rFonts w:ascii="Lato" w:eastAsia="Lato" w:hAnsi="Lato" w:cs="Lato"/>
          <w:sz w:val="20"/>
          <w:szCs w:val="20"/>
          <w:lang w:val="en-US"/>
        </w:rPr>
        <w:t>Biophys</w:t>
      </w:r>
      <w:proofErr w:type="spellEnd"/>
      <w:r w:rsidRPr="004A0DFB">
        <w:rPr>
          <w:rFonts w:ascii="Lato" w:eastAsia="Lato" w:hAnsi="Lato" w:cs="Lato"/>
          <w:sz w:val="20"/>
          <w:szCs w:val="20"/>
          <w:lang w:val="en-US"/>
        </w:rPr>
        <w:t xml:space="preserve"> Econ Sust, 2020, 5(14), available at </w:t>
      </w:r>
      <w:hyperlink r:id="rId9">
        <w:r w:rsidRPr="004A0DFB">
          <w:rPr>
            <w:rFonts w:ascii="Lato" w:eastAsia="Lato" w:hAnsi="Lato" w:cs="Lato"/>
            <w:color w:val="1155CC"/>
            <w:sz w:val="20"/>
            <w:szCs w:val="20"/>
            <w:u w:val="single"/>
            <w:lang w:val="en-US"/>
          </w:rPr>
          <w:t>htt</w:t>
        </w:r>
        <w:r w:rsidRPr="004A0DFB">
          <w:rPr>
            <w:rFonts w:ascii="Lato" w:eastAsia="Lato" w:hAnsi="Lato" w:cs="Lato"/>
            <w:color w:val="1155CC"/>
            <w:sz w:val="20"/>
            <w:szCs w:val="20"/>
            <w:u w:val="single"/>
            <w:lang w:val="en-US"/>
          </w:rPr>
          <w:t>ps://doi.org/10.1007/s41247-020-00080-5</w:t>
        </w:r>
      </w:hyperlink>
    </w:p>
  </w:footnote>
  <w:footnote w:id="7">
    <w:p w14:paraId="00F6A36C" w14:textId="77777777" w:rsidR="00161574" w:rsidRPr="004A0DFB" w:rsidRDefault="00C62FDC" w:rsidP="004A0DFB">
      <w:pPr>
        <w:spacing w:after="120" w:line="240" w:lineRule="auto"/>
        <w:jc w:val="both"/>
        <w:rPr>
          <w:rFonts w:ascii="Lato" w:eastAsia="Lato" w:hAnsi="Lato" w:cs="Lato"/>
          <w:sz w:val="20"/>
          <w:szCs w:val="20"/>
          <w:lang w:val="en-US"/>
        </w:rPr>
      </w:pPr>
      <w:r w:rsidRPr="004A0DFB">
        <w:rPr>
          <w:rFonts w:ascii="Lato" w:hAnsi="Lato"/>
          <w:vertAlign w:val="superscript"/>
        </w:rPr>
        <w:footnoteRef/>
      </w:r>
      <w:r w:rsidRPr="004A0DFB">
        <w:rPr>
          <w:rFonts w:ascii="Lato" w:eastAsia="Lato" w:hAnsi="Lato" w:cs="Lato"/>
          <w:sz w:val="20"/>
          <w:szCs w:val="20"/>
          <w:lang w:val="en-US"/>
        </w:rPr>
        <w:t xml:space="preserve"> </w:t>
      </w:r>
      <w:proofErr w:type="spellStart"/>
      <w:r w:rsidRPr="004A0DFB">
        <w:rPr>
          <w:rFonts w:ascii="Lato" w:eastAsia="Lato" w:hAnsi="Lato" w:cs="Lato"/>
          <w:sz w:val="20"/>
          <w:szCs w:val="20"/>
          <w:lang w:val="en-US"/>
        </w:rPr>
        <w:t>Hambdy</w:t>
      </w:r>
      <w:proofErr w:type="spellEnd"/>
      <w:r w:rsidRPr="004A0DFB">
        <w:rPr>
          <w:rFonts w:ascii="Lato" w:eastAsia="Lato" w:hAnsi="Lato" w:cs="Lato"/>
          <w:sz w:val="20"/>
          <w:szCs w:val="20"/>
          <w:lang w:val="en-US"/>
        </w:rPr>
        <w:t xml:space="preserve"> L. B. et al., </w:t>
      </w:r>
      <w:r w:rsidRPr="004A0DFB">
        <w:rPr>
          <w:rFonts w:ascii="Lato" w:eastAsia="Lato" w:hAnsi="Lato" w:cs="Lato"/>
          <w:i/>
          <w:sz w:val="20"/>
          <w:szCs w:val="20"/>
          <w:lang w:val="en-US"/>
        </w:rPr>
        <w:t xml:space="preserve">The application of amine-based materials for carbon capture and </w:t>
      </w:r>
      <w:proofErr w:type="spellStart"/>
      <w:r w:rsidRPr="004A0DFB">
        <w:rPr>
          <w:rFonts w:ascii="Lato" w:eastAsia="Lato" w:hAnsi="Lato" w:cs="Lato"/>
          <w:i/>
          <w:sz w:val="20"/>
          <w:szCs w:val="20"/>
          <w:lang w:val="en-US"/>
        </w:rPr>
        <w:t>utilisation</w:t>
      </w:r>
      <w:proofErr w:type="spellEnd"/>
      <w:r w:rsidRPr="004A0DFB">
        <w:rPr>
          <w:rFonts w:ascii="Lato" w:eastAsia="Lato" w:hAnsi="Lato" w:cs="Lato"/>
          <w:i/>
          <w:sz w:val="20"/>
          <w:szCs w:val="20"/>
          <w:lang w:val="en-US"/>
        </w:rPr>
        <w:t>: an overarching view</w:t>
      </w:r>
      <w:r w:rsidRPr="004A0DFB">
        <w:rPr>
          <w:rFonts w:ascii="Lato" w:eastAsia="Lato" w:hAnsi="Lato" w:cs="Lato"/>
          <w:sz w:val="20"/>
          <w:szCs w:val="20"/>
          <w:lang w:val="en-US"/>
        </w:rPr>
        <w:t>, in Material Advances, 2021, 2 5843-5880</w:t>
      </w:r>
    </w:p>
  </w:footnote>
  <w:footnote w:id="8">
    <w:p w14:paraId="10E82660" w14:textId="77777777" w:rsidR="00161574" w:rsidRPr="004A0DFB" w:rsidRDefault="00C62FDC" w:rsidP="004A0DFB">
      <w:pPr>
        <w:spacing w:after="120" w:line="240" w:lineRule="auto"/>
        <w:jc w:val="both"/>
        <w:rPr>
          <w:rFonts w:ascii="Lato" w:eastAsia="Lato" w:hAnsi="Lato" w:cs="Lato"/>
          <w:sz w:val="20"/>
          <w:szCs w:val="20"/>
          <w:lang w:val="en-US"/>
        </w:rPr>
      </w:pPr>
      <w:r w:rsidRPr="004A0DFB">
        <w:rPr>
          <w:rFonts w:ascii="Lato" w:hAnsi="Lato"/>
          <w:vertAlign w:val="superscript"/>
        </w:rPr>
        <w:footnoteRef/>
      </w:r>
      <w:r w:rsidRPr="004A0DFB">
        <w:rPr>
          <w:rFonts w:ascii="Lato" w:eastAsia="Lato" w:hAnsi="Lato" w:cs="Lato"/>
          <w:sz w:val="20"/>
          <w:szCs w:val="20"/>
          <w:lang w:val="en-US"/>
        </w:rPr>
        <w:t xml:space="preserve"> EEA Technical report no. 14/2011, </w:t>
      </w:r>
      <w:r w:rsidRPr="004A0DFB">
        <w:rPr>
          <w:rFonts w:ascii="Lato" w:eastAsia="Lato" w:hAnsi="Lato" w:cs="Lato"/>
          <w:i/>
          <w:sz w:val="20"/>
          <w:szCs w:val="20"/>
          <w:lang w:val="en-US"/>
        </w:rPr>
        <w:t>Air pollution impac</w:t>
      </w:r>
      <w:r w:rsidRPr="004A0DFB">
        <w:rPr>
          <w:rFonts w:ascii="Lato" w:eastAsia="Lato" w:hAnsi="Lato" w:cs="Lato"/>
          <w:i/>
          <w:sz w:val="20"/>
          <w:szCs w:val="20"/>
          <w:lang w:val="en-US"/>
        </w:rPr>
        <w:t>ts from carbon capture and storage (CCS)</w:t>
      </w:r>
      <w:r w:rsidRPr="004A0DFB">
        <w:rPr>
          <w:rFonts w:ascii="Lato" w:eastAsia="Lato" w:hAnsi="Lato" w:cs="Lato"/>
          <w:sz w:val="20"/>
          <w:szCs w:val="20"/>
          <w:lang w:val="en-US"/>
        </w:rPr>
        <w:t xml:space="preserve">, 2011 available at https://www.eea.europa.eu/publications/carbon-capture-and-storage, </w:t>
      </w:r>
      <w:proofErr w:type="spellStart"/>
      <w:r w:rsidRPr="004A0DFB">
        <w:rPr>
          <w:rFonts w:ascii="Lato" w:eastAsia="Lato" w:hAnsi="Lato" w:cs="Lato"/>
          <w:sz w:val="20"/>
          <w:szCs w:val="20"/>
          <w:lang w:val="en-US"/>
        </w:rPr>
        <w:t>at</w:t>
      </w:r>
      <w:proofErr w:type="spellEnd"/>
      <w:r w:rsidRPr="004A0DFB">
        <w:rPr>
          <w:rFonts w:ascii="Lato" w:eastAsia="Lato" w:hAnsi="Lato" w:cs="Lato"/>
          <w:sz w:val="20"/>
          <w:szCs w:val="20"/>
          <w:lang w:val="en-US"/>
        </w:rPr>
        <w:t xml:space="preserve"> p. 10</w:t>
      </w:r>
    </w:p>
  </w:footnote>
  <w:footnote w:id="9">
    <w:p w14:paraId="3514F6EF" w14:textId="77777777" w:rsidR="00161574" w:rsidRPr="004A0DFB" w:rsidRDefault="00C62FDC" w:rsidP="004A0DFB">
      <w:pPr>
        <w:spacing w:after="120" w:line="240" w:lineRule="auto"/>
        <w:jc w:val="both"/>
        <w:rPr>
          <w:rFonts w:ascii="Lato" w:eastAsia="Lato" w:hAnsi="Lato" w:cs="Lato"/>
          <w:sz w:val="20"/>
          <w:szCs w:val="20"/>
          <w:lang w:val="en-US"/>
        </w:rPr>
      </w:pPr>
      <w:r w:rsidRPr="004A0DFB">
        <w:rPr>
          <w:rFonts w:ascii="Lato" w:hAnsi="Lato"/>
          <w:vertAlign w:val="superscript"/>
        </w:rPr>
        <w:footnoteRef/>
      </w:r>
      <w:r w:rsidRPr="004A0DFB">
        <w:rPr>
          <w:rFonts w:ascii="Lato" w:eastAsia="Lato" w:hAnsi="Lato" w:cs="Lato"/>
          <w:sz w:val="20"/>
          <w:szCs w:val="20"/>
          <w:lang w:val="en-US"/>
        </w:rPr>
        <w:t xml:space="preserve"> Report of the Special Rapporteur, </w:t>
      </w:r>
      <w:proofErr w:type="spellStart"/>
      <w:r w:rsidRPr="004A0DFB">
        <w:rPr>
          <w:rFonts w:ascii="Lato" w:eastAsia="Lato" w:hAnsi="Lato" w:cs="Lato"/>
          <w:sz w:val="20"/>
          <w:szCs w:val="20"/>
          <w:lang w:val="en-US"/>
        </w:rPr>
        <w:t>Okechukwu</w:t>
      </w:r>
      <w:proofErr w:type="spellEnd"/>
      <w:r w:rsidRPr="004A0DFB">
        <w:rPr>
          <w:rFonts w:ascii="Lato" w:eastAsia="Lato" w:hAnsi="Lato" w:cs="Lato"/>
          <w:sz w:val="20"/>
          <w:szCs w:val="20"/>
          <w:lang w:val="en-US"/>
        </w:rPr>
        <w:t xml:space="preserve"> </w:t>
      </w:r>
      <w:proofErr w:type="spellStart"/>
      <w:r w:rsidRPr="004A0DFB">
        <w:rPr>
          <w:rFonts w:ascii="Lato" w:eastAsia="Lato" w:hAnsi="Lato" w:cs="Lato"/>
          <w:sz w:val="20"/>
          <w:szCs w:val="20"/>
          <w:lang w:val="en-US"/>
        </w:rPr>
        <w:t>Ibeanu</w:t>
      </w:r>
      <w:proofErr w:type="spellEnd"/>
      <w:r w:rsidRPr="004A0DFB">
        <w:rPr>
          <w:rFonts w:ascii="Lato" w:eastAsia="Lato" w:hAnsi="Lato" w:cs="Lato"/>
          <w:sz w:val="20"/>
          <w:szCs w:val="20"/>
          <w:lang w:val="en-US"/>
        </w:rPr>
        <w:t xml:space="preserve">, </w:t>
      </w:r>
      <w:r w:rsidRPr="004A0DFB">
        <w:rPr>
          <w:rFonts w:ascii="Lato" w:eastAsia="Lato" w:hAnsi="Lato" w:cs="Lato"/>
          <w:i/>
          <w:sz w:val="20"/>
          <w:szCs w:val="20"/>
          <w:lang w:val="en-US"/>
        </w:rPr>
        <w:t>Adverse effects of the illicit movement and dumping of toxic and d</w:t>
      </w:r>
      <w:r w:rsidRPr="004A0DFB">
        <w:rPr>
          <w:rFonts w:ascii="Lato" w:eastAsia="Lato" w:hAnsi="Lato" w:cs="Lato"/>
          <w:i/>
          <w:sz w:val="20"/>
          <w:szCs w:val="20"/>
          <w:lang w:val="en-US"/>
        </w:rPr>
        <w:t>angerous products and wastes on the enjoyment of human rights</w:t>
      </w:r>
      <w:r w:rsidRPr="004A0DFB">
        <w:rPr>
          <w:rFonts w:ascii="Lato" w:eastAsia="Lato" w:hAnsi="Lato" w:cs="Lato"/>
          <w:sz w:val="20"/>
          <w:szCs w:val="20"/>
          <w:lang w:val="en-US"/>
        </w:rPr>
        <w:t xml:space="preserve">, 2007, report no. A/HRC/5/5, available at </w:t>
      </w:r>
    </w:p>
    <w:p w14:paraId="00520DCD" w14:textId="77777777" w:rsidR="00161574" w:rsidRPr="004A0DFB" w:rsidRDefault="00C62FDC" w:rsidP="004A0DFB">
      <w:pPr>
        <w:spacing w:after="120" w:line="240" w:lineRule="auto"/>
        <w:jc w:val="both"/>
        <w:rPr>
          <w:rFonts w:ascii="Lato" w:eastAsia="Lato" w:hAnsi="Lato" w:cs="Lato"/>
          <w:sz w:val="20"/>
          <w:szCs w:val="20"/>
          <w:lang w:val="en-US"/>
        </w:rPr>
      </w:pPr>
      <w:hyperlink r:id="rId10">
        <w:r w:rsidRPr="004A0DFB">
          <w:rPr>
            <w:rFonts w:ascii="Lato" w:eastAsia="Lato" w:hAnsi="Lato" w:cs="Lato"/>
            <w:color w:val="1155CC"/>
            <w:sz w:val="20"/>
            <w:szCs w:val="20"/>
            <w:u w:val="single"/>
            <w:lang w:val="en-US"/>
          </w:rPr>
          <w:t>https://undocs.org/Home</w:t>
        </w:r>
        <w:r w:rsidRPr="004A0DFB">
          <w:rPr>
            <w:rFonts w:ascii="Lato" w:eastAsia="Lato" w:hAnsi="Lato" w:cs="Lato"/>
            <w:color w:val="1155CC"/>
            <w:sz w:val="20"/>
            <w:szCs w:val="20"/>
            <w:u w:val="single"/>
            <w:lang w:val="en-US"/>
          </w:rPr>
          <w:t>/Mobile?FinalSymbol=A%2FHRC%2F5%2F5&amp;Language=E&amp;DeviceType=Desktop&amp;LangRequested=False</w:t>
        </w:r>
      </w:hyperlink>
      <w:r w:rsidRPr="004A0DFB">
        <w:rPr>
          <w:rFonts w:ascii="Lato" w:eastAsia="Lato" w:hAnsi="Lato" w:cs="Lato"/>
          <w:sz w:val="20"/>
          <w:szCs w:val="20"/>
          <w:lang w:val="en-US"/>
        </w:rPr>
        <w:t xml:space="preserve"> at p. 8</w:t>
      </w:r>
    </w:p>
  </w:footnote>
  <w:footnote w:id="10">
    <w:p w14:paraId="66E81A92" w14:textId="77777777" w:rsidR="00161574" w:rsidRPr="004A0DFB" w:rsidRDefault="00C62FDC" w:rsidP="004A0DFB">
      <w:pPr>
        <w:spacing w:after="120" w:line="240" w:lineRule="auto"/>
        <w:jc w:val="both"/>
        <w:rPr>
          <w:rFonts w:ascii="Lato" w:eastAsia="Lato" w:hAnsi="Lato" w:cs="Lato"/>
          <w:sz w:val="20"/>
          <w:szCs w:val="20"/>
          <w:lang w:val="en-US"/>
        </w:rPr>
      </w:pPr>
      <w:r w:rsidRPr="004A0DFB">
        <w:rPr>
          <w:rFonts w:ascii="Lato" w:hAnsi="Lato"/>
          <w:vertAlign w:val="superscript"/>
        </w:rPr>
        <w:footnoteRef/>
      </w:r>
      <w:r w:rsidRPr="004A0DFB">
        <w:rPr>
          <w:rFonts w:ascii="Lato" w:hAnsi="Lato"/>
          <w:sz w:val="20"/>
          <w:szCs w:val="20"/>
          <w:lang w:val="en-US"/>
        </w:rPr>
        <w:t xml:space="preserve"> </w:t>
      </w:r>
      <w:r w:rsidRPr="004A0DFB">
        <w:rPr>
          <w:rFonts w:ascii="Lato" w:eastAsia="Lato" w:hAnsi="Lato" w:cs="Lato"/>
          <w:sz w:val="20"/>
          <w:szCs w:val="20"/>
          <w:lang w:val="en-US"/>
        </w:rPr>
        <w:t>See Agency for Toxic Substances and Disease Registry, Toxic Substances Portal, Medical Management Guidelines for Ammonia,</w:t>
      </w:r>
    </w:p>
    <w:p w14:paraId="715031DC" w14:textId="77777777" w:rsidR="00161574" w:rsidRPr="004A0DFB" w:rsidRDefault="00C62FDC" w:rsidP="004A0DFB">
      <w:pPr>
        <w:spacing w:after="120" w:line="240" w:lineRule="auto"/>
        <w:jc w:val="both"/>
        <w:rPr>
          <w:rFonts w:ascii="Lato" w:eastAsia="Lato" w:hAnsi="Lato" w:cs="Lato"/>
          <w:sz w:val="20"/>
          <w:szCs w:val="20"/>
          <w:lang w:val="en-US"/>
        </w:rPr>
      </w:pPr>
      <w:r w:rsidRPr="004A0DFB">
        <w:rPr>
          <w:rFonts w:ascii="Lato" w:eastAsia="Lato" w:hAnsi="Lato" w:cs="Lato"/>
          <w:color w:val="1155CC"/>
          <w:sz w:val="20"/>
          <w:szCs w:val="20"/>
          <w:u w:val="single"/>
          <w:lang w:val="en-US"/>
        </w:rPr>
        <w:t>https://wwwn.cdc.gov/TSP/MMG/MMGDetails.aspx?mmgid=7&amp;toxid=2</w:t>
      </w:r>
    </w:p>
  </w:footnote>
  <w:footnote w:id="11">
    <w:p w14:paraId="2C95BB29" w14:textId="77777777" w:rsidR="00161574" w:rsidRPr="004A0DFB" w:rsidRDefault="00C62FDC" w:rsidP="004A0DFB">
      <w:pPr>
        <w:spacing w:after="120" w:line="240" w:lineRule="auto"/>
        <w:jc w:val="both"/>
        <w:rPr>
          <w:rFonts w:ascii="Lato" w:eastAsia="Times New Roman" w:hAnsi="Lato" w:cs="Times New Roman"/>
          <w:sz w:val="18"/>
          <w:szCs w:val="18"/>
          <w:lang w:val="en-US"/>
        </w:rPr>
      </w:pPr>
      <w:r w:rsidRPr="004A0DFB">
        <w:rPr>
          <w:rFonts w:ascii="Lato" w:hAnsi="Lato"/>
          <w:vertAlign w:val="superscript"/>
        </w:rPr>
        <w:footnoteRef/>
      </w:r>
      <w:r w:rsidRPr="004A0DFB">
        <w:rPr>
          <w:rFonts w:ascii="Lato" w:eastAsia="Lato" w:hAnsi="Lato" w:cs="Lato"/>
          <w:sz w:val="20"/>
          <w:szCs w:val="20"/>
          <w:lang w:val="en-US"/>
        </w:rPr>
        <w:t xml:space="preserve"> </w:t>
      </w:r>
      <w:proofErr w:type="spellStart"/>
      <w:r w:rsidRPr="004A0DFB">
        <w:rPr>
          <w:rFonts w:ascii="Lato" w:eastAsia="Lato" w:hAnsi="Lato" w:cs="Lato"/>
          <w:sz w:val="20"/>
          <w:szCs w:val="20"/>
          <w:lang w:val="en-US"/>
        </w:rPr>
        <w:t>Parfomak</w:t>
      </w:r>
      <w:proofErr w:type="spellEnd"/>
      <w:r w:rsidRPr="004A0DFB">
        <w:rPr>
          <w:rFonts w:ascii="Lato" w:eastAsia="Lato" w:hAnsi="Lato" w:cs="Lato"/>
          <w:sz w:val="20"/>
          <w:szCs w:val="20"/>
          <w:lang w:val="en-US"/>
        </w:rPr>
        <w:t xml:space="preserve"> P. W., Folger P., </w:t>
      </w:r>
      <w:r w:rsidRPr="004A0DFB">
        <w:rPr>
          <w:rFonts w:ascii="Lato" w:eastAsia="Lato" w:hAnsi="Lato" w:cs="Lato"/>
          <w:i/>
          <w:sz w:val="20"/>
          <w:szCs w:val="20"/>
          <w:lang w:val="en-US"/>
        </w:rPr>
        <w:t>Congressional Research Service, Carbon Dioxide (CO2) Pipelines for Carbon Sequestration: Emerging Policy Issues</w:t>
      </w:r>
      <w:r w:rsidRPr="004A0DFB">
        <w:rPr>
          <w:rFonts w:ascii="Lato" w:eastAsia="Lato" w:hAnsi="Lato" w:cs="Lato"/>
          <w:sz w:val="20"/>
          <w:szCs w:val="20"/>
          <w:lang w:val="en-US"/>
        </w:rPr>
        <w:t xml:space="preserve">, 2007, available at </w:t>
      </w:r>
      <w:hyperlink r:id="rId11">
        <w:r w:rsidRPr="004A0DFB">
          <w:rPr>
            <w:rFonts w:ascii="Lato" w:eastAsia="Lato" w:hAnsi="Lato" w:cs="Lato"/>
            <w:color w:val="1155CC"/>
            <w:sz w:val="20"/>
            <w:szCs w:val="20"/>
            <w:u w:val="single"/>
            <w:lang w:val="en-US"/>
          </w:rPr>
          <w:t>https://www.everycrsreport.com/reports/RL33971.html</w:t>
        </w:r>
      </w:hyperlink>
      <w:r w:rsidRPr="004A0DFB">
        <w:rPr>
          <w:rFonts w:ascii="Lato" w:eastAsia="Lato" w:hAnsi="Lato" w:cs="Lato"/>
          <w:sz w:val="20"/>
          <w:szCs w:val="20"/>
          <w:lang w:val="en-US"/>
        </w:rPr>
        <w:t>, at p. 15</w:t>
      </w:r>
    </w:p>
  </w:footnote>
  <w:footnote w:id="12">
    <w:p w14:paraId="0739DFA7" w14:textId="77777777" w:rsidR="00161574" w:rsidRPr="004A0DFB" w:rsidRDefault="00C62FDC" w:rsidP="004A0DFB">
      <w:pPr>
        <w:spacing w:after="120" w:line="240" w:lineRule="auto"/>
        <w:jc w:val="both"/>
        <w:rPr>
          <w:rFonts w:ascii="Lato" w:hAnsi="Lato"/>
          <w:sz w:val="20"/>
          <w:szCs w:val="20"/>
          <w:lang w:val="en-US"/>
        </w:rPr>
      </w:pPr>
      <w:r w:rsidRPr="004A0DFB">
        <w:rPr>
          <w:rFonts w:ascii="Lato" w:hAnsi="Lato"/>
          <w:vertAlign w:val="superscript"/>
        </w:rPr>
        <w:footnoteRef/>
      </w:r>
      <w:r w:rsidRPr="004A0DFB">
        <w:rPr>
          <w:rFonts w:ascii="Lato" w:eastAsia="Lato" w:hAnsi="Lato" w:cs="Lato"/>
          <w:sz w:val="20"/>
          <w:szCs w:val="20"/>
          <w:lang w:val="en-US"/>
        </w:rPr>
        <w:t xml:space="preserve"> Report of the Special Rapporteur on the adverse effects of the illicit movement and dumping of toxic and dangerous products and wastes on the enjoyment of </w:t>
      </w:r>
      <w:r w:rsidRPr="004A0DFB">
        <w:rPr>
          <w:rFonts w:ascii="Lato" w:eastAsia="Lato" w:hAnsi="Lato" w:cs="Lato"/>
          <w:sz w:val="20"/>
          <w:szCs w:val="20"/>
          <w:lang w:val="en-US"/>
        </w:rPr>
        <w:t xml:space="preserve">human rights, </w:t>
      </w:r>
      <w:proofErr w:type="spellStart"/>
      <w:r w:rsidRPr="004A0DFB">
        <w:rPr>
          <w:rFonts w:ascii="Lato" w:eastAsia="Lato" w:hAnsi="Lato" w:cs="Lato"/>
          <w:sz w:val="20"/>
          <w:szCs w:val="20"/>
          <w:lang w:val="en-US"/>
        </w:rPr>
        <w:t>Okechukwu</w:t>
      </w:r>
      <w:proofErr w:type="spellEnd"/>
      <w:r w:rsidRPr="004A0DFB">
        <w:rPr>
          <w:rFonts w:ascii="Lato" w:eastAsia="Lato" w:hAnsi="Lato" w:cs="Lato"/>
          <w:sz w:val="20"/>
          <w:szCs w:val="20"/>
          <w:lang w:val="en-US"/>
        </w:rPr>
        <w:t xml:space="preserve"> </w:t>
      </w:r>
      <w:proofErr w:type="spellStart"/>
      <w:r w:rsidRPr="004A0DFB">
        <w:rPr>
          <w:rFonts w:ascii="Lato" w:eastAsia="Lato" w:hAnsi="Lato" w:cs="Lato"/>
          <w:sz w:val="20"/>
          <w:szCs w:val="20"/>
          <w:lang w:val="en-US"/>
        </w:rPr>
        <w:t>Ibeanu</w:t>
      </w:r>
      <w:proofErr w:type="spellEnd"/>
      <w:r w:rsidRPr="004A0DFB">
        <w:rPr>
          <w:rFonts w:ascii="Lato" w:eastAsia="Lato" w:hAnsi="Lato" w:cs="Lato"/>
          <w:sz w:val="20"/>
          <w:szCs w:val="20"/>
          <w:lang w:val="en-US"/>
        </w:rPr>
        <w:t xml:space="preserve">, 2008, report no. A/HRC/9/22, available at </w:t>
      </w:r>
      <w:hyperlink r:id="rId12">
        <w:r w:rsidRPr="004A0DFB">
          <w:rPr>
            <w:rFonts w:ascii="Lato" w:eastAsia="Lato" w:hAnsi="Lato" w:cs="Lato"/>
            <w:color w:val="1155CC"/>
            <w:sz w:val="20"/>
            <w:szCs w:val="20"/>
            <w:u w:val="single"/>
            <w:lang w:val="en-US"/>
          </w:rPr>
          <w:t>https://undocs.org/Home/Mobile?FinalSymbol=A%2FHRC%2F</w:t>
        </w:r>
        <w:r w:rsidRPr="004A0DFB">
          <w:rPr>
            <w:rFonts w:ascii="Lato" w:eastAsia="Lato" w:hAnsi="Lato" w:cs="Lato"/>
            <w:color w:val="1155CC"/>
            <w:sz w:val="20"/>
            <w:szCs w:val="20"/>
            <w:u w:val="single"/>
            <w:lang w:val="en-US"/>
          </w:rPr>
          <w:t>9%2F22&amp;Language=E&amp;DeviceType=Desktop&amp;LangRequested=False</w:t>
        </w:r>
      </w:hyperlink>
      <w:r w:rsidRPr="004A0DFB">
        <w:rPr>
          <w:rFonts w:ascii="Lato" w:eastAsia="Lato" w:hAnsi="Lato" w:cs="Lato"/>
          <w:sz w:val="20"/>
          <w:szCs w:val="20"/>
          <w:lang w:val="en-US"/>
        </w:rPr>
        <w:t>, at p. 4</w:t>
      </w:r>
    </w:p>
  </w:footnote>
  <w:footnote w:id="13">
    <w:p w14:paraId="5245AF48" w14:textId="77777777" w:rsidR="00161574" w:rsidRPr="004A0DFB" w:rsidRDefault="00C62FDC" w:rsidP="004A0DFB">
      <w:pPr>
        <w:spacing w:after="120" w:line="240" w:lineRule="auto"/>
        <w:jc w:val="both"/>
        <w:rPr>
          <w:rFonts w:ascii="Lato" w:eastAsia="Lato" w:hAnsi="Lato" w:cs="Lato"/>
          <w:sz w:val="20"/>
          <w:szCs w:val="20"/>
          <w:lang w:val="en-US"/>
        </w:rPr>
      </w:pPr>
      <w:r w:rsidRPr="004A0DFB">
        <w:rPr>
          <w:rFonts w:ascii="Lato" w:hAnsi="Lato"/>
          <w:vertAlign w:val="superscript"/>
        </w:rPr>
        <w:footnoteRef/>
      </w:r>
      <w:r w:rsidRPr="004A0DFB">
        <w:rPr>
          <w:rFonts w:ascii="Lato" w:eastAsia="Lato" w:hAnsi="Lato" w:cs="Lato"/>
          <w:sz w:val="20"/>
          <w:szCs w:val="20"/>
          <w:lang w:val="en-US"/>
        </w:rPr>
        <w:t xml:space="preserve"> Fuss S. et al., </w:t>
      </w:r>
      <w:r w:rsidRPr="004A0DFB">
        <w:rPr>
          <w:rFonts w:ascii="Lato" w:eastAsia="Lato" w:hAnsi="Lato" w:cs="Lato"/>
          <w:i/>
          <w:sz w:val="20"/>
          <w:szCs w:val="20"/>
          <w:lang w:val="en-US"/>
        </w:rPr>
        <w:t>Negative emissions--Part 2: Costs, potentials, and side effects</w:t>
      </w:r>
      <w:r w:rsidRPr="004A0DFB">
        <w:rPr>
          <w:rFonts w:ascii="Lato" w:eastAsia="Lato" w:hAnsi="Lato" w:cs="Lato"/>
          <w:sz w:val="20"/>
          <w:szCs w:val="20"/>
          <w:lang w:val="en-US"/>
        </w:rPr>
        <w:t>, in Environmental Research Letters, 2018, 13 063002, available at</w:t>
      </w:r>
    </w:p>
    <w:p w14:paraId="56623E0A" w14:textId="77777777" w:rsidR="00161574" w:rsidRPr="004A0DFB" w:rsidRDefault="00C62FDC" w:rsidP="004A0DFB">
      <w:pPr>
        <w:spacing w:after="120" w:line="240" w:lineRule="auto"/>
        <w:jc w:val="both"/>
        <w:rPr>
          <w:rFonts w:ascii="Lato" w:eastAsia="Lato" w:hAnsi="Lato" w:cs="Lato"/>
          <w:sz w:val="20"/>
          <w:szCs w:val="20"/>
          <w:lang w:val="en-US"/>
        </w:rPr>
      </w:pPr>
      <w:hyperlink r:id="rId13">
        <w:r w:rsidRPr="004A0DFB">
          <w:rPr>
            <w:rFonts w:ascii="Lato" w:eastAsia="Lato" w:hAnsi="Lato" w:cs="Lato"/>
            <w:color w:val="1155CC"/>
            <w:sz w:val="20"/>
            <w:szCs w:val="20"/>
            <w:u w:val="single"/>
            <w:lang w:val="en-US"/>
          </w:rPr>
          <w:t>https://iopscience.iop.org/article/10.1088/1748-9326/aabf9f/meta</w:t>
        </w:r>
      </w:hyperlink>
      <w:r w:rsidRPr="004A0DFB">
        <w:rPr>
          <w:rFonts w:ascii="Lato" w:eastAsia="Lato" w:hAnsi="Lato" w:cs="Lato"/>
          <w:sz w:val="20"/>
          <w:szCs w:val="20"/>
          <w:lang w:val="en-US"/>
        </w:rPr>
        <w:t>, at p.14</w:t>
      </w:r>
    </w:p>
  </w:footnote>
  <w:footnote w:id="14">
    <w:p w14:paraId="11F2DA28" w14:textId="77777777" w:rsidR="00161574" w:rsidRPr="004A0DFB" w:rsidRDefault="00C62FDC" w:rsidP="004A0DFB">
      <w:pPr>
        <w:spacing w:after="120" w:line="240" w:lineRule="auto"/>
        <w:jc w:val="both"/>
        <w:rPr>
          <w:rFonts w:ascii="Lato" w:eastAsia="Lato" w:hAnsi="Lato" w:cs="Lato"/>
          <w:sz w:val="20"/>
          <w:szCs w:val="20"/>
          <w:lang w:val="en-US"/>
        </w:rPr>
      </w:pPr>
      <w:r w:rsidRPr="004A0DFB">
        <w:rPr>
          <w:rFonts w:ascii="Lato" w:hAnsi="Lato"/>
          <w:vertAlign w:val="superscript"/>
        </w:rPr>
        <w:footnoteRef/>
      </w:r>
      <w:r w:rsidRPr="004A0DFB">
        <w:rPr>
          <w:rFonts w:ascii="Lato" w:eastAsia="Lato" w:hAnsi="Lato" w:cs="Lato"/>
          <w:sz w:val="20"/>
          <w:szCs w:val="20"/>
          <w:lang w:val="en-US"/>
        </w:rPr>
        <w:t xml:space="preserve"> See ​​</w:t>
      </w:r>
      <w:proofErr w:type="spellStart"/>
      <w:r w:rsidRPr="004A0DFB">
        <w:rPr>
          <w:rFonts w:ascii="Lato" w:eastAsia="Lato" w:hAnsi="Lato" w:cs="Lato"/>
          <w:sz w:val="20"/>
          <w:szCs w:val="20"/>
          <w:lang w:val="en-US"/>
        </w:rPr>
        <w:t>Buschecka</w:t>
      </w:r>
      <w:proofErr w:type="spellEnd"/>
      <w:r w:rsidRPr="004A0DFB">
        <w:rPr>
          <w:rFonts w:ascii="Lato" w:eastAsia="Lato" w:hAnsi="Lato" w:cs="Lato"/>
          <w:sz w:val="20"/>
          <w:szCs w:val="20"/>
          <w:lang w:val="en-US"/>
        </w:rPr>
        <w:t xml:space="preserve"> T.A. et al., </w:t>
      </w:r>
      <w:r w:rsidRPr="004A0DFB">
        <w:rPr>
          <w:rFonts w:ascii="Lato" w:eastAsia="Lato" w:hAnsi="Lato" w:cs="Lato"/>
          <w:i/>
          <w:sz w:val="20"/>
          <w:szCs w:val="20"/>
          <w:lang w:val="en-US"/>
        </w:rPr>
        <w:t>Pre-Injection Brine Production for Managing Pressure in Compartmentalized CO2 Storage Reservoirs</w:t>
      </w:r>
      <w:r w:rsidRPr="004A0DFB">
        <w:rPr>
          <w:rFonts w:ascii="Lato" w:eastAsia="Lato" w:hAnsi="Lato" w:cs="Lato"/>
          <w:sz w:val="20"/>
          <w:szCs w:val="20"/>
          <w:lang w:val="en-US"/>
        </w:rPr>
        <w:t>, in   Energy</w:t>
      </w:r>
      <w:r w:rsidRPr="004A0DFB">
        <w:rPr>
          <w:rFonts w:ascii="Lato" w:eastAsia="Lato" w:hAnsi="Lato" w:cs="Lato"/>
          <w:sz w:val="20"/>
          <w:szCs w:val="20"/>
          <w:lang w:val="en-US"/>
        </w:rPr>
        <w:t xml:space="preserve"> Procedia, 2014, 63:5333 – 5340, available at </w:t>
      </w:r>
      <w:hyperlink r:id="rId14">
        <w:r w:rsidRPr="004A0DFB">
          <w:rPr>
            <w:rFonts w:ascii="Lato" w:eastAsia="Lato" w:hAnsi="Lato" w:cs="Lato"/>
            <w:sz w:val="20"/>
            <w:szCs w:val="20"/>
            <w:lang w:val="en-US"/>
          </w:rPr>
          <w:t>https://reader.elsevier.com/reader/sd/pii/S1876610214023807?token=1FF1E7D8B00E1C1098F3647F82BE3D278A7C4A405D299DB00FE50A249034FFBDCB8889BD47FFBBB5838B7C65B67EF18F&amp;originRegion=eu-west-1&amp;originCreation=20230308103928</w:t>
        </w:r>
      </w:hyperlink>
    </w:p>
  </w:footnote>
  <w:footnote w:id="15">
    <w:p w14:paraId="2CA7DFD0" w14:textId="77777777" w:rsidR="00161574" w:rsidRPr="004A0DFB" w:rsidRDefault="00C62FDC" w:rsidP="004A0DFB">
      <w:pPr>
        <w:spacing w:after="120" w:line="240" w:lineRule="auto"/>
        <w:jc w:val="both"/>
        <w:rPr>
          <w:rFonts w:ascii="Lato" w:eastAsia="Lato" w:hAnsi="Lato" w:cs="Lato"/>
          <w:sz w:val="20"/>
          <w:szCs w:val="20"/>
          <w:lang w:val="en-US"/>
        </w:rPr>
      </w:pPr>
      <w:r w:rsidRPr="004A0DFB">
        <w:rPr>
          <w:rFonts w:ascii="Lato" w:hAnsi="Lato"/>
          <w:vertAlign w:val="superscript"/>
        </w:rPr>
        <w:footnoteRef/>
      </w:r>
      <w:r w:rsidRPr="004A0DFB">
        <w:rPr>
          <w:rFonts w:ascii="Lato" w:eastAsia="Lato" w:hAnsi="Lato" w:cs="Lato"/>
          <w:sz w:val="20"/>
          <w:szCs w:val="20"/>
          <w:lang w:val="en-US"/>
        </w:rPr>
        <w:t xml:space="preserve"> IPCC, Climate Change 2022: Mitigation </w:t>
      </w:r>
      <w:r w:rsidRPr="004A0DFB">
        <w:rPr>
          <w:rFonts w:ascii="Lato" w:eastAsia="Lato" w:hAnsi="Lato" w:cs="Lato"/>
          <w:sz w:val="20"/>
          <w:szCs w:val="20"/>
          <w:lang w:val="en-US"/>
        </w:rPr>
        <w:t xml:space="preserve">of Climate Change. Contribution of Working Group III to the Sixth Assessment Report of the Intergovernmental Panel on Climate Change, </w:t>
      </w:r>
      <w:r w:rsidRPr="004A0DFB">
        <w:rPr>
          <w:rFonts w:ascii="Lato" w:eastAsia="Lato" w:hAnsi="Lato" w:cs="Lato"/>
          <w:i/>
          <w:sz w:val="20"/>
          <w:szCs w:val="20"/>
          <w:lang w:val="en-US"/>
        </w:rPr>
        <w:t>supra</w:t>
      </w:r>
      <w:r w:rsidRPr="004A0DFB">
        <w:rPr>
          <w:rFonts w:ascii="Lato" w:eastAsia="Lato" w:hAnsi="Lato" w:cs="Lato"/>
          <w:sz w:val="20"/>
          <w:szCs w:val="20"/>
          <w:lang w:val="en-US"/>
        </w:rPr>
        <w:t xml:space="preserve"> at footnote no. 4, at p. 705</w:t>
      </w:r>
    </w:p>
  </w:footnote>
  <w:footnote w:id="16">
    <w:p w14:paraId="3F41F9A4" w14:textId="77777777" w:rsidR="00161574" w:rsidRPr="004A0DFB" w:rsidRDefault="00C62FDC" w:rsidP="004A0DFB">
      <w:pPr>
        <w:spacing w:after="120" w:line="240" w:lineRule="auto"/>
        <w:jc w:val="both"/>
        <w:rPr>
          <w:rFonts w:ascii="Lato" w:eastAsia="Lato" w:hAnsi="Lato" w:cs="Lato"/>
          <w:sz w:val="20"/>
          <w:szCs w:val="20"/>
          <w:lang w:val="en-US"/>
        </w:rPr>
      </w:pPr>
      <w:r w:rsidRPr="004A0DFB">
        <w:rPr>
          <w:rFonts w:ascii="Lato" w:hAnsi="Lato"/>
          <w:vertAlign w:val="superscript"/>
        </w:rPr>
        <w:footnoteRef/>
      </w:r>
      <w:r w:rsidRPr="004A0DFB">
        <w:rPr>
          <w:rFonts w:ascii="Lato" w:eastAsia="Lato" w:hAnsi="Lato" w:cs="Lato"/>
          <w:sz w:val="20"/>
          <w:szCs w:val="20"/>
          <w:lang w:val="en-US"/>
        </w:rPr>
        <w:t xml:space="preserve"> </w:t>
      </w:r>
      <w:proofErr w:type="spellStart"/>
      <w:r w:rsidRPr="004A0DFB">
        <w:rPr>
          <w:rFonts w:ascii="Lato" w:eastAsia="Lato" w:hAnsi="Lato" w:cs="Lato"/>
          <w:sz w:val="20"/>
          <w:szCs w:val="20"/>
          <w:lang w:val="en-US"/>
        </w:rPr>
        <w:t>Santibanez-Borda</w:t>
      </w:r>
      <w:proofErr w:type="spellEnd"/>
      <w:r w:rsidRPr="004A0DFB">
        <w:rPr>
          <w:rFonts w:ascii="Lato" w:eastAsia="Lato" w:hAnsi="Lato" w:cs="Lato"/>
          <w:sz w:val="20"/>
          <w:szCs w:val="20"/>
          <w:lang w:val="en-US"/>
        </w:rPr>
        <w:t xml:space="preserve"> E. et al., </w:t>
      </w:r>
      <w:proofErr w:type="spellStart"/>
      <w:r w:rsidRPr="004A0DFB">
        <w:rPr>
          <w:rFonts w:ascii="Lato" w:eastAsia="Lato" w:hAnsi="Lato" w:cs="Lato"/>
          <w:sz w:val="20"/>
          <w:szCs w:val="20"/>
          <w:lang w:val="en-US"/>
        </w:rPr>
        <w:t>Maximising</w:t>
      </w:r>
      <w:proofErr w:type="spellEnd"/>
      <w:r w:rsidRPr="004A0DFB">
        <w:rPr>
          <w:rFonts w:ascii="Lato" w:eastAsia="Lato" w:hAnsi="Lato" w:cs="Lato"/>
          <w:sz w:val="20"/>
          <w:szCs w:val="20"/>
          <w:lang w:val="en-US"/>
        </w:rPr>
        <w:t xml:space="preserve"> the Dynamic CO2 storage Capacity through the </w:t>
      </w:r>
      <w:proofErr w:type="spellStart"/>
      <w:r w:rsidRPr="004A0DFB">
        <w:rPr>
          <w:rFonts w:ascii="Lato" w:eastAsia="Lato" w:hAnsi="Lato" w:cs="Lato"/>
          <w:sz w:val="20"/>
          <w:szCs w:val="20"/>
          <w:lang w:val="en-US"/>
        </w:rPr>
        <w:t>o</w:t>
      </w:r>
      <w:r w:rsidRPr="004A0DFB">
        <w:rPr>
          <w:rFonts w:ascii="Lato" w:eastAsia="Lato" w:hAnsi="Lato" w:cs="Lato"/>
          <w:sz w:val="20"/>
          <w:szCs w:val="20"/>
          <w:lang w:val="en-US"/>
        </w:rPr>
        <w:t>ptimisation</w:t>
      </w:r>
      <w:proofErr w:type="spellEnd"/>
      <w:r w:rsidRPr="004A0DFB">
        <w:rPr>
          <w:rFonts w:ascii="Lato" w:eastAsia="Lato" w:hAnsi="Lato" w:cs="Lato"/>
          <w:sz w:val="20"/>
          <w:szCs w:val="20"/>
          <w:lang w:val="en-US"/>
        </w:rPr>
        <w:t xml:space="preserve"> of CO2 Injection and Brine Production Rates, in International Journal of Greenhouse Gas Control, 2019, 80(76-95) available at </w:t>
      </w:r>
      <w:hyperlink r:id="rId15">
        <w:r w:rsidRPr="004A0DFB">
          <w:rPr>
            <w:rFonts w:ascii="Lato" w:eastAsia="Lato" w:hAnsi="Lato" w:cs="Lato"/>
            <w:sz w:val="20"/>
            <w:szCs w:val="20"/>
            <w:lang w:val="en-US"/>
          </w:rPr>
          <w:t>https://doi.org/10.1016/j.ijggc.2018.11.012</w:t>
        </w:r>
      </w:hyperlink>
      <w:r w:rsidRPr="004A0DFB">
        <w:rPr>
          <w:rFonts w:ascii="Lato" w:eastAsia="Lato" w:hAnsi="Lato" w:cs="Lato"/>
          <w:sz w:val="20"/>
          <w:szCs w:val="20"/>
          <w:lang w:val="en-US"/>
        </w:rPr>
        <w:t>, at pp. 76-</w:t>
      </w:r>
      <w:r w:rsidRPr="004A0DFB">
        <w:rPr>
          <w:rFonts w:ascii="Lato" w:eastAsia="Lato" w:hAnsi="Lato" w:cs="Lato"/>
          <w:sz w:val="20"/>
          <w:szCs w:val="20"/>
          <w:lang w:val="en-US"/>
        </w:rPr>
        <w:t>77</w:t>
      </w:r>
    </w:p>
  </w:footnote>
  <w:footnote w:id="17">
    <w:p w14:paraId="6112E291" w14:textId="77777777" w:rsidR="00161574" w:rsidRPr="004A0DFB" w:rsidRDefault="00C62FDC" w:rsidP="004A0DFB">
      <w:pPr>
        <w:spacing w:after="120" w:line="240" w:lineRule="auto"/>
        <w:jc w:val="both"/>
        <w:rPr>
          <w:rFonts w:ascii="Lato" w:hAnsi="Lato"/>
          <w:sz w:val="20"/>
          <w:szCs w:val="20"/>
          <w:lang w:val="en-US"/>
        </w:rPr>
      </w:pPr>
      <w:r w:rsidRPr="004A0DFB">
        <w:rPr>
          <w:rFonts w:ascii="Lato" w:hAnsi="Lato"/>
          <w:vertAlign w:val="superscript"/>
        </w:rPr>
        <w:footnoteRef/>
      </w:r>
      <w:r w:rsidRPr="004A0DFB">
        <w:rPr>
          <w:rFonts w:ascii="Lato" w:hAnsi="Lato"/>
          <w:sz w:val="20"/>
          <w:szCs w:val="20"/>
          <w:lang w:val="en-US"/>
        </w:rPr>
        <w:t xml:space="preserve"> </w:t>
      </w:r>
      <w:r w:rsidRPr="004A0DFB">
        <w:rPr>
          <w:rFonts w:ascii="Lato" w:eastAsia="Lato" w:hAnsi="Lato" w:cs="Lato"/>
          <w:sz w:val="20"/>
          <w:szCs w:val="20"/>
          <w:lang w:val="en-US"/>
        </w:rPr>
        <w:t xml:space="preserve">IPCC, </w:t>
      </w:r>
      <w:r w:rsidRPr="004A0DFB">
        <w:rPr>
          <w:rFonts w:ascii="Lato" w:eastAsia="Lato" w:hAnsi="Lato" w:cs="Lato"/>
          <w:i/>
          <w:sz w:val="20"/>
          <w:szCs w:val="20"/>
          <w:lang w:val="en-US"/>
        </w:rPr>
        <w:t>Climate Change 2022: Mitigation of Climate Change. Contribution of Working Group III to the Sixth Assessment Report of the Intergovernmental Panel on Climate Change</w:t>
      </w:r>
      <w:r w:rsidRPr="004A0DFB">
        <w:rPr>
          <w:rFonts w:ascii="Lato" w:eastAsia="Lato" w:hAnsi="Lato" w:cs="Lato"/>
          <w:sz w:val="20"/>
          <w:szCs w:val="20"/>
          <w:lang w:val="en-US"/>
        </w:rPr>
        <w:t xml:space="preserve">, </w:t>
      </w:r>
      <w:r w:rsidRPr="004A0DFB">
        <w:rPr>
          <w:rFonts w:ascii="Lato" w:eastAsia="Lato" w:hAnsi="Lato" w:cs="Lato"/>
          <w:i/>
          <w:sz w:val="20"/>
          <w:szCs w:val="20"/>
          <w:lang w:val="en-US"/>
        </w:rPr>
        <w:t xml:space="preserve">supra </w:t>
      </w:r>
      <w:r w:rsidRPr="004A0DFB">
        <w:rPr>
          <w:rFonts w:ascii="Lato" w:eastAsia="Lato" w:hAnsi="Lato" w:cs="Lato"/>
          <w:sz w:val="20"/>
          <w:szCs w:val="20"/>
          <w:lang w:val="en-US"/>
        </w:rPr>
        <w:t>at footnote no. 4,</w:t>
      </w:r>
      <w:r w:rsidRPr="004A0DFB">
        <w:rPr>
          <w:rFonts w:ascii="Lato" w:eastAsia="Lato" w:hAnsi="Lato" w:cs="Lato"/>
          <w:lang w:val="en-US"/>
        </w:rPr>
        <w:t xml:space="preserve"> </w:t>
      </w:r>
      <w:r w:rsidRPr="004A0DFB">
        <w:rPr>
          <w:rFonts w:ascii="Lato" w:eastAsia="Lato" w:hAnsi="Lato" w:cs="Lato"/>
          <w:sz w:val="20"/>
          <w:szCs w:val="20"/>
          <w:lang w:val="en-US"/>
        </w:rPr>
        <w:t>at p. 642</w:t>
      </w:r>
    </w:p>
  </w:footnote>
  <w:footnote w:id="18">
    <w:p w14:paraId="2C8AB449" w14:textId="77777777" w:rsidR="00161574" w:rsidRPr="004A0DFB" w:rsidRDefault="00C62FDC" w:rsidP="004A0DFB">
      <w:pPr>
        <w:spacing w:after="120" w:line="240" w:lineRule="auto"/>
        <w:jc w:val="both"/>
        <w:rPr>
          <w:rFonts w:ascii="Lato" w:eastAsia="Lato" w:hAnsi="Lato" w:cs="Lato"/>
          <w:sz w:val="20"/>
          <w:szCs w:val="20"/>
          <w:lang w:val="en-US"/>
        </w:rPr>
      </w:pPr>
      <w:r w:rsidRPr="004A0DFB">
        <w:rPr>
          <w:rFonts w:ascii="Lato" w:hAnsi="Lato"/>
          <w:vertAlign w:val="superscript"/>
        </w:rPr>
        <w:footnoteRef/>
      </w:r>
      <w:r w:rsidRPr="004A0DFB">
        <w:rPr>
          <w:rFonts w:ascii="Lato" w:eastAsia="Lato" w:hAnsi="Lato" w:cs="Lato"/>
          <w:sz w:val="20"/>
          <w:szCs w:val="20"/>
          <w:lang w:val="en-US"/>
        </w:rPr>
        <w:t xml:space="preserve"> EEA Technical report no. 14/2011, </w:t>
      </w:r>
      <w:r w:rsidRPr="004A0DFB">
        <w:rPr>
          <w:rFonts w:ascii="Lato" w:eastAsia="Lato" w:hAnsi="Lato" w:cs="Lato"/>
          <w:i/>
          <w:sz w:val="20"/>
          <w:szCs w:val="20"/>
          <w:lang w:val="en-US"/>
        </w:rPr>
        <w:t>Air poll</w:t>
      </w:r>
      <w:r w:rsidRPr="004A0DFB">
        <w:rPr>
          <w:rFonts w:ascii="Lato" w:eastAsia="Lato" w:hAnsi="Lato" w:cs="Lato"/>
          <w:i/>
          <w:sz w:val="20"/>
          <w:szCs w:val="20"/>
          <w:lang w:val="en-US"/>
        </w:rPr>
        <w:t>ution impacts from carbon capture and storage (CCS)</w:t>
      </w:r>
      <w:r w:rsidRPr="004A0DFB">
        <w:rPr>
          <w:rFonts w:ascii="Lato" w:eastAsia="Lato" w:hAnsi="Lato" w:cs="Lato"/>
          <w:sz w:val="20"/>
          <w:szCs w:val="20"/>
          <w:lang w:val="en-US"/>
        </w:rPr>
        <w:t xml:space="preserve">, </w:t>
      </w:r>
      <w:r w:rsidRPr="004A0DFB">
        <w:rPr>
          <w:rFonts w:ascii="Lato" w:eastAsia="Lato" w:hAnsi="Lato" w:cs="Lato"/>
          <w:i/>
          <w:sz w:val="20"/>
          <w:szCs w:val="20"/>
          <w:lang w:val="en-US"/>
        </w:rPr>
        <w:t xml:space="preserve">supra </w:t>
      </w:r>
      <w:r w:rsidRPr="004A0DFB">
        <w:rPr>
          <w:rFonts w:ascii="Lato" w:eastAsia="Lato" w:hAnsi="Lato" w:cs="Lato"/>
          <w:sz w:val="20"/>
          <w:szCs w:val="20"/>
          <w:lang w:val="en-US"/>
        </w:rPr>
        <w:t>at footnote no. 8, at p. 27.</w:t>
      </w:r>
    </w:p>
  </w:footnote>
  <w:footnote w:id="19">
    <w:p w14:paraId="603325AA" w14:textId="77777777" w:rsidR="00161574" w:rsidRPr="004A0DFB" w:rsidRDefault="00C62FDC" w:rsidP="004A0DFB">
      <w:pPr>
        <w:spacing w:after="120" w:line="240" w:lineRule="auto"/>
        <w:jc w:val="both"/>
        <w:rPr>
          <w:rFonts w:ascii="Lato" w:eastAsia="Lato" w:hAnsi="Lato" w:cs="Lato"/>
          <w:sz w:val="20"/>
          <w:szCs w:val="20"/>
          <w:lang w:val="en-US"/>
        </w:rPr>
      </w:pPr>
      <w:r w:rsidRPr="004A0DFB">
        <w:rPr>
          <w:rFonts w:ascii="Lato" w:hAnsi="Lato"/>
          <w:vertAlign w:val="superscript"/>
        </w:rPr>
        <w:footnoteRef/>
      </w:r>
      <w:r w:rsidRPr="004A0DFB">
        <w:rPr>
          <w:rFonts w:ascii="Lato" w:eastAsia="Lato" w:hAnsi="Lato" w:cs="Lato"/>
          <w:sz w:val="20"/>
          <w:szCs w:val="20"/>
          <w:lang w:val="en-US"/>
        </w:rPr>
        <w:t xml:space="preserve"> </w:t>
      </w:r>
      <w:r w:rsidRPr="004A0DFB">
        <w:rPr>
          <w:rFonts w:ascii="Lato" w:eastAsia="Lato" w:hAnsi="Lato" w:cs="Lato"/>
          <w:i/>
          <w:sz w:val="20"/>
          <w:szCs w:val="20"/>
          <w:lang w:val="en-US"/>
        </w:rPr>
        <w:t>Ibidem</w:t>
      </w:r>
      <w:r w:rsidRPr="004A0DFB">
        <w:rPr>
          <w:rFonts w:ascii="Lato" w:eastAsia="Lato" w:hAnsi="Lato" w:cs="Lato"/>
          <w:sz w:val="20"/>
          <w:szCs w:val="20"/>
          <w:lang w:val="en-US"/>
        </w:rPr>
        <w:t>, at p. 7</w:t>
      </w:r>
    </w:p>
  </w:footnote>
  <w:footnote w:id="20">
    <w:p w14:paraId="2538E019" w14:textId="77777777" w:rsidR="00161574" w:rsidRPr="004A0DFB" w:rsidRDefault="00C62FDC" w:rsidP="004A0DFB">
      <w:pPr>
        <w:spacing w:after="120" w:line="240" w:lineRule="auto"/>
        <w:jc w:val="both"/>
        <w:rPr>
          <w:rFonts w:ascii="Lato" w:eastAsia="Lato" w:hAnsi="Lato" w:cs="Lato"/>
          <w:sz w:val="20"/>
          <w:szCs w:val="20"/>
          <w:lang w:val="en-US"/>
        </w:rPr>
      </w:pPr>
      <w:r w:rsidRPr="004A0DFB">
        <w:rPr>
          <w:rFonts w:ascii="Lato" w:hAnsi="Lato"/>
          <w:vertAlign w:val="superscript"/>
        </w:rPr>
        <w:footnoteRef/>
      </w:r>
      <w:r w:rsidRPr="004A0DFB">
        <w:rPr>
          <w:rFonts w:ascii="Lato" w:eastAsia="Lato" w:hAnsi="Lato" w:cs="Lato"/>
          <w:sz w:val="20"/>
          <w:szCs w:val="20"/>
          <w:lang w:val="en-US"/>
        </w:rPr>
        <w:t xml:space="preserve"> U.S. EPA, Archive Document, </w:t>
      </w:r>
      <w:r w:rsidRPr="004A0DFB">
        <w:rPr>
          <w:rFonts w:ascii="Lato" w:eastAsia="Lato" w:hAnsi="Lato" w:cs="Lato"/>
          <w:i/>
          <w:sz w:val="20"/>
          <w:szCs w:val="20"/>
          <w:lang w:val="en-US"/>
        </w:rPr>
        <w:t>PSD Greenhouse Gas Permit Application</w:t>
      </w:r>
      <w:r w:rsidRPr="004A0DFB">
        <w:rPr>
          <w:rFonts w:ascii="Lato" w:eastAsia="Lato" w:hAnsi="Lato" w:cs="Lato"/>
          <w:sz w:val="20"/>
          <w:szCs w:val="20"/>
          <w:lang w:val="en-US"/>
        </w:rPr>
        <w:t xml:space="preserve">, 2012, available at </w:t>
      </w:r>
      <w:hyperlink r:id="rId16">
        <w:r w:rsidRPr="004A0DFB">
          <w:rPr>
            <w:rFonts w:ascii="Lato" w:eastAsia="Lato" w:hAnsi="Lato" w:cs="Lato"/>
            <w:color w:val="1155CC"/>
            <w:sz w:val="20"/>
            <w:szCs w:val="20"/>
            <w:u w:val="single"/>
            <w:lang w:val="en-US"/>
          </w:rPr>
          <w:t>https://archive.epa.gov/region6/6pd/air/pd-r/ghg/web/pdf/chevron_response031912.pdf</w:t>
        </w:r>
      </w:hyperlink>
      <w:r w:rsidRPr="004A0DFB">
        <w:rPr>
          <w:rFonts w:ascii="Lato" w:eastAsia="Lato" w:hAnsi="Lato" w:cs="Lato"/>
          <w:sz w:val="20"/>
          <w:szCs w:val="20"/>
          <w:lang w:val="en-US"/>
        </w:rPr>
        <w:t xml:space="preserve">, </w:t>
      </w:r>
      <w:proofErr w:type="spellStart"/>
      <w:r w:rsidRPr="004A0DFB">
        <w:rPr>
          <w:rFonts w:ascii="Lato" w:eastAsia="Lato" w:hAnsi="Lato" w:cs="Lato"/>
          <w:sz w:val="20"/>
          <w:szCs w:val="20"/>
          <w:lang w:val="en-US"/>
        </w:rPr>
        <w:t>at</w:t>
      </w:r>
      <w:proofErr w:type="spellEnd"/>
      <w:r w:rsidRPr="004A0DFB">
        <w:rPr>
          <w:rFonts w:ascii="Lato" w:eastAsia="Lato" w:hAnsi="Lato" w:cs="Lato"/>
          <w:sz w:val="20"/>
          <w:szCs w:val="20"/>
          <w:lang w:val="en-US"/>
        </w:rPr>
        <w:t xml:space="preserve"> p. 11</w:t>
      </w:r>
    </w:p>
  </w:footnote>
  <w:footnote w:id="21">
    <w:p w14:paraId="11F9E3CB" w14:textId="77777777" w:rsidR="00161574" w:rsidRPr="004A0DFB" w:rsidRDefault="00C62FDC" w:rsidP="004A0DFB">
      <w:pPr>
        <w:spacing w:after="120" w:line="240" w:lineRule="auto"/>
        <w:jc w:val="both"/>
        <w:rPr>
          <w:rFonts w:ascii="Lato" w:eastAsia="Lato" w:hAnsi="Lato" w:cs="Lato"/>
          <w:sz w:val="20"/>
          <w:szCs w:val="20"/>
          <w:lang w:val="en-US"/>
        </w:rPr>
      </w:pPr>
      <w:r w:rsidRPr="004A0DFB">
        <w:rPr>
          <w:rFonts w:ascii="Lato" w:hAnsi="Lato"/>
          <w:vertAlign w:val="superscript"/>
        </w:rPr>
        <w:footnoteRef/>
      </w:r>
      <w:r w:rsidRPr="004A0DFB">
        <w:rPr>
          <w:rFonts w:ascii="Lato" w:eastAsia="Lato" w:hAnsi="Lato" w:cs="Lato"/>
          <w:sz w:val="20"/>
          <w:szCs w:val="20"/>
          <w:lang w:val="en-US"/>
        </w:rPr>
        <w:t xml:space="preserve"> U.S. EPA, Archive Document, </w:t>
      </w:r>
      <w:r w:rsidRPr="004A0DFB">
        <w:rPr>
          <w:rFonts w:ascii="Lato" w:eastAsia="Lato" w:hAnsi="Lato" w:cs="Lato"/>
          <w:i/>
          <w:sz w:val="20"/>
          <w:szCs w:val="20"/>
          <w:lang w:val="en-US"/>
        </w:rPr>
        <w:t>PSD Greenhouse Gas Permit Application Revision</w:t>
      </w:r>
      <w:r w:rsidRPr="004A0DFB">
        <w:rPr>
          <w:rFonts w:ascii="Lato" w:eastAsia="Lato" w:hAnsi="Lato" w:cs="Lato"/>
          <w:sz w:val="20"/>
          <w:szCs w:val="20"/>
          <w:lang w:val="en-US"/>
        </w:rPr>
        <w:t xml:space="preserve">, 2013, available at </w:t>
      </w:r>
      <w:hyperlink r:id="rId17">
        <w:r w:rsidRPr="004A0DFB">
          <w:rPr>
            <w:rFonts w:ascii="Lato" w:eastAsia="Lato" w:hAnsi="Lato" w:cs="Lato"/>
            <w:color w:val="1155CC"/>
            <w:sz w:val="20"/>
            <w:szCs w:val="20"/>
            <w:u w:val="single"/>
            <w:lang w:val="en-US"/>
          </w:rPr>
          <w:t>https://archive.epa.gov/region6/6pd/air/pd-r/ghg/web/pdf/dowchemical-lh9-app-09202013.pdf</w:t>
        </w:r>
      </w:hyperlink>
      <w:r w:rsidRPr="004A0DFB">
        <w:rPr>
          <w:rFonts w:ascii="Lato" w:eastAsia="Lato" w:hAnsi="Lato" w:cs="Lato"/>
          <w:sz w:val="20"/>
          <w:szCs w:val="20"/>
          <w:lang w:val="en-US"/>
        </w:rPr>
        <w:t xml:space="preserve">, </w:t>
      </w:r>
      <w:proofErr w:type="spellStart"/>
      <w:r w:rsidRPr="004A0DFB">
        <w:rPr>
          <w:rFonts w:ascii="Lato" w:eastAsia="Lato" w:hAnsi="Lato" w:cs="Lato"/>
          <w:sz w:val="20"/>
          <w:szCs w:val="20"/>
          <w:lang w:val="en-US"/>
        </w:rPr>
        <w:t>at</w:t>
      </w:r>
      <w:proofErr w:type="spellEnd"/>
      <w:r w:rsidRPr="004A0DFB">
        <w:rPr>
          <w:rFonts w:ascii="Lato" w:eastAsia="Lato" w:hAnsi="Lato" w:cs="Lato"/>
          <w:sz w:val="20"/>
          <w:szCs w:val="20"/>
          <w:lang w:val="en-US"/>
        </w:rPr>
        <w:t xml:space="preserve"> p. 37</w:t>
      </w:r>
    </w:p>
  </w:footnote>
  <w:footnote w:id="22">
    <w:p w14:paraId="3AA4ABE0" w14:textId="77777777" w:rsidR="00161574" w:rsidRPr="004A0DFB" w:rsidRDefault="00C62FDC" w:rsidP="004A0DFB">
      <w:pPr>
        <w:spacing w:after="120" w:line="240" w:lineRule="auto"/>
        <w:jc w:val="both"/>
        <w:rPr>
          <w:rFonts w:ascii="Lato" w:eastAsia="Lato" w:hAnsi="Lato" w:cs="Lato"/>
          <w:sz w:val="20"/>
          <w:szCs w:val="20"/>
          <w:lang w:val="en-US"/>
        </w:rPr>
      </w:pPr>
      <w:r w:rsidRPr="004A0DFB">
        <w:rPr>
          <w:rFonts w:ascii="Lato" w:hAnsi="Lato"/>
          <w:vertAlign w:val="superscript"/>
        </w:rPr>
        <w:footnoteRef/>
      </w:r>
      <w:r w:rsidRPr="004A0DFB">
        <w:rPr>
          <w:rFonts w:ascii="Lato" w:eastAsia="Lato" w:hAnsi="Lato" w:cs="Lato"/>
          <w:sz w:val="20"/>
          <w:szCs w:val="20"/>
          <w:lang w:val="en-US"/>
        </w:rPr>
        <w:t xml:space="preserve"> U.S. EPA, Archive Document, </w:t>
      </w:r>
      <w:r w:rsidRPr="004A0DFB">
        <w:rPr>
          <w:rFonts w:ascii="Lato" w:eastAsia="Lato" w:hAnsi="Lato" w:cs="Lato"/>
          <w:i/>
          <w:sz w:val="20"/>
          <w:szCs w:val="20"/>
          <w:lang w:val="en-US"/>
        </w:rPr>
        <w:t>Exxon Mobile Baytow</w:t>
      </w:r>
      <w:r w:rsidRPr="004A0DFB">
        <w:rPr>
          <w:rFonts w:ascii="Lato" w:eastAsia="Lato" w:hAnsi="Lato" w:cs="Lato"/>
          <w:i/>
          <w:sz w:val="20"/>
          <w:szCs w:val="20"/>
          <w:lang w:val="en-US"/>
        </w:rPr>
        <w:t>n Olefins Plant Response</w:t>
      </w:r>
      <w:r w:rsidRPr="004A0DFB">
        <w:rPr>
          <w:rFonts w:ascii="Lato" w:eastAsia="Lato" w:hAnsi="Lato" w:cs="Lato"/>
          <w:sz w:val="20"/>
          <w:szCs w:val="20"/>
          <w:lang w:val="en-US"/>
        </w:rPr>
        <w:t xml:space="preserve">, 2012, available at </w:t>
      </w:r>
      <w:hyperlink r:id="rId18">
        <w:r w:rsidRPr="004A0DFB">
          <w:rPr>
            <w:rFonts w:ascii="Lato" w:eastAsia="Lato" w:hAnsi="Lato" w:cs="Lato"/>
            <w:color w:val="1155CC"/>
            <w:sz w:val="20"/>
            <w:szCs w:val="20"/>
            <w:u w:val="single"/>
            <w:lang w:val="en-US"/>
          </w:rPr>
          <w:t>https://archive.epa.gov/region6/6pd/air/pd-r/ghg/web/pdf/exxonmobil-olefins-response.pdf</w:t>
        </w:r>
      </w:hyperlink>
      <w:r w:rsidRPr="004A0DFB">
        <w:rPr>
          <w:rFonts w:ascii="Lato" w:eastAsia="Lato" w:hAnsi="Lato" w:cs="Lato"/>
          <w:sz w:val="20"/>
          <w:szCs w:val="20"/>
          <w:lang w:val="en-US"/>
        </w:rPr>
        <w:t xml:space="preserve">, </w:t>
      </w:r>
      <w:proofErr w:type="spellStart"/>
      <w:r w:rsidRPr="004A0DFB">
        <w:rPr>
          <w:rFonts w:ascii="Lato" w:eastAsia="Lato" w:hAnsi="Lato" w:cs="Lato"/>
          <w:sz w:val="20"/>
          <w:szCs w:val="20"/>
          <w:lang w:val="en-US"/>
        </w:rPr>
        <w:t>at</w:t>
      </w:r>
      <w:proofErr w:type="spellEnd"/>
      <w:r w:rsidRPr="004A0DFB">
        <w:rPr>
          <w:rFonts w:ascii="Lato" w:eastAsia="Lato" w:hAnsi="Lato" w:cs="Lato"/>
          <w:sz w:val="20"/>
          <w:szCs w:val="20"/>
          <w:lang w:val="en-US"/>
        </w:rPr>
        <w:t xml:space="preserve"> p. 22</w:t>
      </w:r>
    </w:p>
  </w:footnote>
  <w:footnote w:id="23">
    <w:p w14:paraId="5A629501" w14:textId="77777777" w:rsidR="00161574" w:rsidRPr="004A0DFB" w:rsidRDefault="00C62FDC" w:rsidP="004A0DFB">
      <w:pPr>
        <w:spacing w:after="120" w:line="240" w:lineRule="auto"/>
        <w:jc w:val="both"/>
        <w:rPr>
          <w:rFonts w:ascii="Lato" w:eastAsia="Lato" w:hAnsi="Lato" w:cs="Lato"/>
          <w:sz w:val="20"/>
          <w:szCs w:val="20"/>
          <w:lang w:val="en-US"/>
        </w:rPr>
      </w:pPr>
      <w:r w:rsidRPr="004A0DFB">
        <w:rPr>
          <w:rFonts w:ascii="Lato" w:hAnsi="Lato"/>
          <w:vertAlign w:val="superscript"/>
        </w:rPr>
        <w:footnoteRef/>
      </w:r>
      <w:r w:rsidRPr="004A0DFB">
        <w:rPr>
          <w:rFonts w:ascii="Lato" w:eastAsia="Lato" w:hAnsi="Lato" w:cs="Lato"/>
          <w:sz w:val="20"/>
          <w:szCs w:val="20"/>
          <w:lang w:val="en-US"/>
        </w:rPr>
        <w:t xml:space="preserve"> Re</w:t>
      </w:r>
      <w:r w:rsidRPr="004A0DFB">
        <w:rPr>
          <w:rFonts w:ascii="Lato" w:eastAsia="Lato" w:hAnsi="Lato" w:cs="Lato"/>
          <w:sz w:val="20"/>
          <w:szCs w:val="20"/>
          <w:lang w:val="en-US"/>
        </w:rPr>
        <w:t xml:space="preserve">port of the Special Rapporteur on contemporary forms of racism, racial discrimination, xenophobia and related intolerance, E. </w:t>
      </w:r>
      <w:proofErr w:type="spellStart"/>
      <w:r w:rsidRPr="004A0DFB">
        <w:rPr>
          <w:rFonts w:ascii="Lato" w:eastAsia="Lato" w:hAnsi="Lato" w:cs="Lato"/>
          <w:sz w:val="20"/>
          <w:szCs w:val="20"/>
          <w:lang w:val="en-US"/>
        </w:rPr>
        <w:t>Tendayi</w:t>
      </w:r>
      <w:proofErr w:type="spellEnd"/>
      <w:r w:rsidRPr="004A0DFB">
        <w:rPr>
          <w:rFonts w:ascii="Lato" w:eastAsia="Lato" w:hAnsi="Lato" w:cs="Lato"/>
          <w:sz w:val="20"/>
          <w:szCs w:val="20"/>
          <w:lang w:val="en-US"/>
        </w:rPr>
        <w:t xml:space="preserve"> </w:t>
      </w:r>
      <w:proofErr w:type="spellStart"/>
      <w:r w:rsidRPr="004A0DFB">
        <w:rPr>
          <w:rFonts w:ascii="Lato" w:eastAsia="Lato" w:hAnsi="Lato" w:cs="Lato"/>
          <w:sz w:val="20"/>
          <w:szCs w:val="20"/>
          <w:lang w:val="en-US"/>
        </w:rPr>
        <w:t>Achiume</w:t>
      </w:r>
      <w:proofErr w:type="spellEnd"/>
      <w:r w:rsidRPr="004A0DFB">
        <w:rPr>
          <w:rFonts w:ascii="Lato" w:eastAsia="Lato" w:hAnsi="Lato" w:cs="Lato"/>
          <w:sz w:val="20"/>
          <w:szCs w:val="20"/>
          <w:lang w:val="en-US"/>
        </w:rPr>
        <w:t xml:space="preserve">, </w:t>
      </w:r>
      <w:r w:rsidRPr="004A0DFB">
        <w:rPr>
          <w:rFonts w:ascii="Lato" w:eastAsia="Lato" w:hAnsi="Lato" w:cs="Lato"/>
          <w:i/>
          <w:sz w:val="20"/>
          <w:szCs w:val="20"/>
          <w:lang w:val="en-US"/>
        </w:rPr>
        <w:t>Ecological crisis, climate justice and racial justice</w:t>
      </w:r>
      <w:r w:rsidRPr="004A0DFB">
        <w:rPr>
          <w:rFonts w:ascii="Lato" w:eastAsia="Lato" w:hAnsi="Lato" w:cs="Lato"/>
          <w:sz w:val="20"/>
          <w:szCs w:val="20"/>
          <w:lang w:val="en-US"/>
        </w:rPr>
        <w:t>, report no. A/55/749, 2022 available at</w:t>
      </w:r>
    </w:p>
    <w:p w14:paraId="12FB1F08" w14:textId="77777777" w:rsidR="00161574" w:rsidRPr="004A0DFB" w:rsidRDefault="00C62FDC" w:rsidP="004A0DFB">
      <w:pPr>
        <w:spacing w:after="120" w:line="240" w:lineRule="auto"/>
        <w:jc w:val="both"/>
        <w:rPr>
          <w:rFonts w:ascii="Lato" w:eastAsia="Lato" w:hAnsi="Lato" w:cs="Lato"/>
          <w:sz w:val="20"/>
          <w:szCs w:val="20"/>
          <w:lang w:val="en-US"/>
        </w:rPr>
      </w:pPr>
      <w:hyperlink r:id="rId19">
        <w:r w:rsidRPr="004A0DFB">
          <w:rPr>
            <w:rFonts w:ascii="Lato" w:eastAsia="Lato" w:hAnsi="Lato" w:cs="Lato"/>
            <w:color w:val="1155CC"/>
            <w:sz w:val="20"/>
            <w:szCs w:val="20"/>
            <w:u w:val="single"/>
            <w:lang w:val="en-US"/>
          </w:rPr>
          <w:t>https://www.ohchr.org/en/documents/thematic-reports/a77549-report-special-rapporteur-contemporary-forms-racism-racial</w:t>
        </w:r>
      </w:hyperlink>
      <w:r w:rsidRPr="004A0DFB">
        <w:rPr>
          <w:rFonts w:ascii="Lato" w:eastAsia="Lato" w:hAnsi="Lato" w:cs="Lato"/>
          <w:sz w:val="20"/>
          <w:szCs w:val="20"/>
          <w:lang w:val="en-US"/>
        </w:rPr>
        <w:t xml:space="preserve"> , at p. 20; see also</w:t>
      </w:r>
      <w:r w:rsidRPr="004A0DFB">
        <w:rPr>
          <w:rFonts w:ascii="Lato" w:eastAsia="Lato" w:hAnsi="Lato" w:cs="Lato"/>
          <w:sz w:val="20"/>
          <w:szCs w:val="20"/>
          <w:lang w:val="en-US"/>
        </w:rPr>
        <w:t xml:space="preserve"> Report of the Special Rapporteur on the implications for human rights of the environmentally sound management,</w:t>
      </w:r>
      <w:r w:rsidRPr="004A0DFB">
        <w:rPr>
          <w:rFonts w:ascii="Lato" w:eastAsia="Lato" w:hAnsi="Lato" w:cs="Lato"/>
          <w:i/>
          <w:sz w:val="20"/>
          <w:szCs w:val="20"/>
          <w:lang w:val="en-US"/>
        </w:rPr>
        <w:t xml:space="preserve"> Implications for human rights of the environmentally sound management and disposal of hazardous substances and waste</w:t>
      </w:r>
      <w:r w:rsidRPr="004A0DFB">
        <w:rPr>
          <w:rFonts w:ascii="Lato" w:eastAsia="Lato" w:hAnsi="Lato" w:cs="Lato"/>
          <w:sz w:val="20"/>
          <w:szCs w:val="20"/>
          <w:lang w:val="en-US"/>
        </w:rPr>
        <w:t>, report no. A775/290, 2020,</w:t>
      </w:r>
      <w:r w:rsidRPr="004A0DFB">
        <w:rPr>
          <w:rFonts w:ascii="Lato" w:eastAsia="Lato" w:hAnsi="Lato" w:cs="Lato"/>
          <w:sz w:val="20"/>
          <w:szCs w:val="20"/>
          <w:lang w:val="en-US"/>
        </w:rPr>
        <w:t xml:space="preserve"> available at</w:t>
      </w:r>
    </w:p>
    <w:p w14:paraId="46E23D50" w14:textId="77777777" w:rsidR="00161574" w:rsidRPr="004A0DFB" w:rsidRDefault="00C62FDC" w:rsidP="004A0DFB">
      <w:pPr>
        <w:spacing w:after="120" w:line="240" w:lineRule="auto"/>
        <w:jc w:val="both"/>
        <w:rPr>
          <w:rFonts w:ascii="Lato" w:eastAsia="Lato" w:hAnsi="Lato" w:cs="Lato"/>
          <w:sz w:val="20"/>
          <w:szCs w:val="20"/>
          <w:lang w:val="en-US"/>
        </w:rPr>
      </w:pPr>
      <w:r w:rsidRPr="004A0DFB">
        <w:rPr>
          <w:rFonts w:ascii="Lato" w:eastAsia="Lato" w:hAnsi="Lato" w:cs="Lato"/>
          <w:sz w:val="20"/>
          <w:szCs w:val="20"/>
          <w:lang w:val="en-US"/>
        </w:rPr>
        <w:t xml:space="preserve"> </w:t>
      </w:r>
      <w:hyperlink r:id="rId20">
        <w:r w:rsidRPr="004A0DFB">
          <w:rPr>
            <w:rFonts w:ascii="Lato" w:eastAsia="Lato" w:hAnsi="Lato" w:cs="Lato"/>
            <w:color w:val="1155CC"/>
            <w:sz w:val="20"/>
            <w:szCs w:val="20"/>
            <w:u w:val="single"/>
            <w:lang w:val="en-US"/>
          </w:rPr>
          <w:t>https://documents-dds-ny.un.org/doc/UNDOC/GEN/N20/205/17/PDF/N2020517.pdf?OpenElement</w:t>
        </w:r>
      </w:hyperlink>
    </w:p>
  </w:footnote>
  <w:footnote w:id="24">
    <w:p w14:paraId="705703DF" w14:textId="77777777" w:rsidR="00161574" w:rsidRPr="004A0DFB" w:rsidRDefault="00C62FDC" w:rsidP="004A0DFB">
      <w:pPr>
        <w:spacing w:after="120" w:line="240" w:lineRule="auto"/>
        <w:jc w:val="both"/>
        <w:rPr>
          <w:rFonts w:ascii="Lato" w:eastAsia="Lato" w:hAnsi="Lato" w:cs="Lato"/>
          <w:sz w:val="20"/>
          <w:szCs w:val="20"/>
          <w:lang w:val="en-US"/>
        </w:rPr>
      </w:pPr>
      <w:r w:rsidRPr="004A0DFB">
        <w:rPr>
          <w:rFonts w:ascii="Lato" w:hAnsi="Lato"/>
          <w:vertAlign w:val="superscript"/>
        </w:rPr>
        <w:footnoteRef/>
      </w:r>
      <w:r w:rsidRPr="004A0DFB">
        <w:rPr>
          <w:rFonts w:ascii="Lato" w:eastAsia="Lato" w:hAnsi="Lato" w:cs="Lato"/>
          <w:sz w:val="20"/>
          <w:szCs w:val="20"/>
          <w:lang w:val="en-US"/>
        </w:rPr>
        <w:t xml:space="preserve"> Center for International Environmental Law, </w:t>
      </w:r>
      <w:r w:rsidRPr="004A0DFB">
        <w:rPr>
          <w:rFonts w:ascii="Lato" w:eastAsia="Lato" w:hAnsi="Lato" w:cs="Lato"/>
          <w:i/>
          <w:sz w:val="20"/>
          <w:szCs w:val="20"/>
          <w:lang w:val="en-US"/>
        </w:rPr>
        <w:t>Fuel</w:t>
      </w:r>
      <w:r w:rsidRPr="004A0DFB">
        <w:rPr>
          <w:rFonts w:ascii="Lato" w:eastAsia="Lato" w:hAnsi="Lato" w:cs="Lato"/>
          <w:i/>
          <w:sz w:val="20"/>
          <w:szCs w:val="20"/>
          <w:lang w:val="en-US"/>
        </w:rPr>
        <w:t xml:space="preserve"> to the fire - How </w:t>
      </w:r>
      <w:proofErr w:type="spellStart"/>
      <w:r w:rsidRPr="004A0DFB">
        <w:rPr>
          <w:rFonts w:ascii="Lato" w:eastAsia="Lato" w:hAnsi="Lato" w:cs="Lato"/>
          <w:i/>
          <w:sz w:val="20"/>
          <w:szCs w:val="20"/>
          <w:lang w:val="en-US"/>
        </w:rPr>
        <w:t>goengineering</w:t>
      </w:r>
      <w:proofErr w:type="spellEnd"/>
      <w:r w:rsidRPr="004A0DFB">
        <w:rPr>
          <w:rFonts w:ascii="Lato" w:eastAsia="Lato" w:hAnsi="Lato" w:cs="Lato"/>
          <w:i/>
          <w:sz w:val="20"/>
          <w:szCs w:val="20"/>
          <w:lang w:val="en-US"/>
        </w:rPr>
        <w:t xml:space="preserve"> threatens to entrench fossil fuels and accelerate the climate crisis</w:t>
      </w:r>
      <w:r w:rsidRPr="004A0DFB">
        <w:rPr>
          <w:rFonts w:ascii="Lato" w:eastAsia="Lato" w:hAnsi="Lato" w:cs="Lato"/>
          <w:sz w:val="20"/>
          <w:szCs w:val="20"/>
          <w:lang w:val="en-US"/>
        </w:rPr>
        <w:t xml:space="preserve">, 2019, available at </w:t>
      </w:r>
      <w:hyperlink r:id="rId21">
        <w:r w:rsidRPr="004A0DFB">
          <w:rPr>
            <w:rFonts w:ascii="Lato" w:eastAsia="Lato" w:hAnsi="Lato" w:cs="Lato"/>
            <w:color w:val="1155CC"/>
            <w:sz w:val="20"/>
            <w:szCs w:val="20"/>
            <w:u w:val="single"/>
            <w:lang w:val="en-US"/>
          </w:rPr>
          <w:t>https://www.ciel.org/wp-content/uploads/2019/02/CIEL_FUEL-TO-THE-FIRE_How-Geoengineering-Threatens-to-Entrench-Fossil-Fuels-and-Accelerate-the-Climate-Crisis_February-2019.pdf</w:t>
        </w:r>
      </w:hyperlink>
      <w:r w:rsidRPr="004A0DFB">
        <w:rPr>
          <w:rFonts w:ascii="Lato" w:eastAsia="Lato" w:hAnsi="Lato" w:cs="Lato"/>
          <w:sz w:val="20"/>
          <w:szCs w:val="20"/>
          <w:lang w:val="en-US"/>
        </w:rPr>
        <w:t xml:space="preserve">, </w:t>
      </w:r>
      <w:proofErr w:type="spellStart"/>
      <w:r w:rsidRPr="004A0DFB">
        <w:rPr>
          <w:rFonts w:ascii="Lato" w:eastAsia="Lato" w:hAnsi="Lato" w:cs="Lato"/>
          <w:sz w:val="20"/>
          <w:szCs w:val="20"/>
          <w:lang w:val="en-US"/>
        </w:rPr>
        <w:t>at</w:t>
      </w:r>
      <w:proofErr w:type="spellEnd"/>
      <w:r w:rsidRPr="004A0DFB">
        <w:rPr>
          <w:rFonts w:ascii="Lato" w:eastAsia="Lato" w:hAnsi="Lato" w:cs="Lato"/>
          <w:sz w:val="20"/>
          <w:szCs w:val="20"/>
          <w:lang w:val="en-US"/>
        </w:rPr>
        <w:t xml:space="preserve"> p. 23</w:t>
      </w:r>
    </w:p>
  </w:footnote>
  <w:footnote w:id="25">
    <w:p w14:paraId="553C6BBC" w14:textId="77777777" w:rsidR="00161574" w:rsidRPr="004A0DFB" w:rsidRDefault="00C62FDC" w:rsidP="004A0DFB">
      <w:pPr>
        <w:spacing w:after="120" w:line="240" w:lineRule="auto"/>
        <w:jc w:val="both"/>
        <w:rPr>
          <w:rFonts w:ascii="Lato" w:eastAsia="Lato" w:hAnsi="Lato" w:cs="Lato"/>
          <w:sz w:val="20"/>
          <w:szCs w:val="20"/>
          <w:lang w:val="en-US"/>
        </w:rPr>
      </w:pPr>
      <w:r w:rsidRPr="004A0DFB">
        <w:rPr>
          <w:rFonts w:ascii="Lato" w:hAnsi="Lato"/>
          <w:vertAlign w:val="superscript"/>
        </w:rPr>
        <w:footnoteRef/>
      </w:r>
      <w:r w:rsidRPr="004A0DFB">
        <w:rPr>
          <w:rFonts w:ascii="Lato" w:eastAsia="Lato" w:hAnsi="Lato" w:cs="Lato"/>
          <w:sz w:val="20"/>
          <w:szCs w:val="20"/>
          <w:lang w:val="en-US"/>
        </w:rPr>
        <w:t xml:space="preserve"> </w:t>
      </w:r>
      <w:proofErr w:type="spellStart"/>
      <w:r w:rsidRPr="004A0DFB">
        <w:rPr>
          <w:rFonts w:ascii="Lato" w:eastAsia="Lato" w:hAnsi="Lato" w:cs="Lato"/>
          <w:sz w:val="20"/>
          <w:szCs w:val="20"/>
          <w:lang w:val="en-US"/>
        </w:rPr>
        <w:t>Realmon</w:t>
      </w:r>
      <w:r w:rsidRPr="004A0DFB">
        <w:rPr>
          <w:rFonts w:ascii="Lato" w:eastAsia="Lato" w:hAnsi="Lato" w:cs="Lato"/>
          <w:sz w:val="20"/>
          <w:szCs w:val="20"/>
          <w:lang w:val="en-US"/>
        </w:rPr>
        <w:t>te</w:t>
      </w:r>
      <w:proofErr w:type="spellEnd"/>
      <w:r w:rsidRPr="004A0DFB">
        <w:rPr>
          <w:rFonts w:ascii="Lato" w:eastAsia="Lato" w:hAnsi="Lato" w:cs="Lato"/>
          <w:sz w:val="20"/>
          <w:szCs w:val="20"/>
          <w:lang w:val="en-US"/>
        </w:rPr>
        <w:t xml:space="preserve"> G. et al.,</w:t>
      </w:r>
      <w:r w:rsidRPr="004A0DFB">
        <w:rPr>
          <w:rFonts w:ascii="Lato" w:eastAsia="Lato" w:hAnsi="Lato" w:cs="Lato"/>
          <w:i/>
          <w:sz w:val="20"/>
          <w:szCs w:val="20"/>
          <w:lang w:val="en-US"/>
        </w:rPr>
        <w:t xml:space="preserve"> An inter-model assessment of the role of direct air capture in deep mitigation pathways</w:t>
      </w:r>
      <w:r w:rsidRPr="004A0DFB">
        <w:rPr>
          <w:rFonts w:ascii="Lato" w:eastAsia="Lato" w:hAnsi="Lato" w:cs="Lato"/>
          <w:sz w:val="20"/>
          <w:szCs w:val="20"/>
          <w:lang w:val="en-US"/>
        </w:rPr>
        <w:t xml:space="preserve">, in </w:t>
      </w:r>
      <w:r w:rsidRPr="004A0DFB">
        <w:rPr>
          <w:rFonts w:ascii="Lato" w:eastAsia="Lato" w:hAnsi="Lato" w:cs="Lato"/>
          <w:sz w:val="20"/>
          <w:szCs w:val="20"/>
          <w:highlight w:val="white"/>
          <w:lang w:val="en-US"/>
        </w:rPr>
        <w:t xml:space="preserve">Nature Communications, 2019, 10(3277), available at </w:t>
      </w:r>
      <w:hyperlink r:id="rId22">
        <w:r w:rsidRPr="004A0DFB">
          <w:rPr>
            <w:rFonts w:ascii="Lato" w:eastAsia="Lato" w:hAnsi="Lato" w:cs="Lato"/>
            <w:color w:val="1155CC"/>
            <w:sz w:val="20"/>
            <w:szCs w:val="20"/>
            <w:highlight w:val="white"/>
            <w:u w:val="single"/>
            <w:lang w:val="en-US"/>
          </w:rPr>
          <w:t>https://doi.org/10.1038/s41467-019-10842-5</w:t>
        </w:r>
      </w:hyperlink>
      <w:r w:rsidRPr="004A0DFB">
        <w:rPr>
          <w:rFonts w:ascii="Lato" w:eastAsia="Lato" w:hAnsi="Lato" w:cs="Lato"/>
          <w:sz w:val="20"/>
          <w:szCs w:val="20"/>
          <w:lang w:val="en-US"/>
        </w:rPr>
        <w:t xml:space="preserve"> at p. 2</w:t>
      </w:r>
    </w:p>
  </w:footnote>
  <w:footnote w:id="26">
    <w:p w14:paraId="09FDF087" w14:textId="77777777" w:rsidR="00161574" w:rsidRPr="004A0DFB" w:rsidRDefault="00C62FDC" w:rsidP="004A0DFB">
      <w:pPr>
        <w:spacing w:after="120" w:line="240" w:lineRule="auto"/>
        <w:jc w:val="both"/>
        <w:rPr>
          <w:rFonts w:ascii="Lato" w:eastAsia="Lato" w:hAnsi="Lato" w:cs="Lato"/>
          <w:sz w:val="20"/>
          <w:szCs w:val="20"/>
          <w:lang w:val="en-US"/>
        </w:rPr>
      </w:pPr>
      <w:r w:rsidRPr="004A0DFB">
        <w:rPr>
          <w:rFonts w:ascii="Lato" w:hAnsi="Lato"/>
          <w:vertAlign w:val="superscript"/>
        </w:rPr>
        <w:footnoteRef/>
      </w:r>
      <w:r w:rsidRPr="004A0DFB">
        <w:rPr>
          <w:rFonts w:ascii="Lato" w:eastAsia="Lato" w:hAnsi="Lato" w:cs="Lato"/>
          <w:sz w:val="20"/>
          <w:szCs w:val="20"/>
          <w:lang w:val="en-US"/>
        </w:rPr>
        <w:t xml:space="preserve"> Chatterjee S., Huang K-W, </w:t>
      </w:r>
      <w:r w:rsidRPr="004A0DFB">
        <w:rPr>
          <w:rFonts w:ascii="Lato" w:eastAsia="Lato" w:hAnsi="Lato" w:cs="Lato"/>
          <w:i/>
          <w:sz w:val="20"/>
          <w:szCs w:val="20"/>
          <w:lang w:val="en-US"/>
        </w:rPr>
        <w:t>Unrealistic energy and materials requirement for direct air capture in deep mitigation pathways</w:t>
      </w:r>
      <w:r w:rsidRPr="004A0DFB">
        <w:rPr>
          <w:rFonts w:ascii="Lato" w:eastAsia="Lato" w:hAnsi="Lato" w:cs="Lato"/>
          <w:sz w:val="20"/>
          <w:szCs w:val="20"/>
          <w:lang w:val="en-US"/>
        </w:rPr>
        <w:t>, in Nature Communicat</w:t>
      </w:r>
      <w:r w:rsidRPr="004A0DFB">
        <w:rPr>
          <w:rFonts w:ascii="Lato" w:eastAsia="Lato" w:hAnsi="Lato" w:cs="Lato"/>
          <w:sz w:val="20"/>
          <w:szCs w:val="20"/>
          <w:lang w:val="en-US"/>
        </w:rPr>
        <w:t xml:space="preserve">ions, 2020, available at </w:t>
      </w:r>
      <w:r w:rsidRPr="004A0DFB">
        <w:rPr>
          <w:rFonts w:ascii="Lato" w:eastAsia="Lato" w:hAnsi="Lato" w:cs="Lato"/>
          <w:color w:val="0433FF"/>
          <w:sz w:val="20"/>
          <w:szCs w:val="20"/>
          <w:lang w:val="en-US"/>
        </w:rPr>
        <w:t>https://doi.org/10.1038/s41467-019-10842-5</w:t>
      </w:r>
    </w:p>
  </w:footnote>
  <w:footnote w:id="27">
    <w:p w14:paraId="6E012DBA" w14:textId="77777777" w:rsidR="00161574" w:rsidRPr="004A0DFB" w:rsidRDefault="00C62FDC" w:rsidP="004A0DFB">
      <w:pPr>
        <w:spacing w:after="120" w:line="240" w:lineRule="auto"/>
        <w:jc w:val="both"/>
        <w:rPr>
          <w:rFonts w:ascii="Lato" w:eastAsia="Lato" w:hAnsi="Lato" w:cs="Lato"/>
          <w:sz w:val="20"/>
          <w:szCs w:val="20"/>
          <w:lang w:val="en-US"/>
        </w:rPr>
      </w:pPr>
      <w:r w:rsidRPr="004A0DFB">
        <w:rPr>
          <w:rFonts w:ascii="Lato" w:hAnsi="Lato"/>
          <w:vertAlign w:val="superscript"/>
        </w:rPr>
        <w:footnoteRef/>
      </w:r>
      <w:r w:rsidRPr="004A0DFB">
        <w:rPr>
          <w:rFonts w:ascii="Lato" w:eastAsia="Lato" w:hAnsi="Lato" w:cs="Lato"/>
          <w:sz w:val="20"/>
          <w:szCs w:val="20"/>
          <w:lang w:val="en-US"/>
        </w:rPr>
        <w:t xml:space="preserve"> </w:t>
      </w:r>
      <w:proofErr w:type="spellStart"/>
      <w:r w:rsidRPr="004A0DFB">
        <w:rPr>
          <w:rFonts w:ascii="Lato" w:eastAsia="Lato" w:hAnsi="Lato" w:cs="Lato"/>
          <w:sz w:val="20"/>
          <w:szCs w:val="20"/>
          <w:lang w:val="en-US"/>
        </w:rPr>
        <w:t>Realmonte</w:t>
      </w:r>
      <w:proofErr w:type="spellEnd"/>
      <w:r w:rsidRPr="004A0DFB">
        <w:rPr>
          <w:rFonts w:ascii="Lato" w:eastAsia="Lato" w:hAnsi="Lato" w:cs="Lato"/>
          <w:sz w:val="20"/>
          <w:szCs w:val="20"/>
          <w:lang w:val="en-US"/>
        </w:rPr>
        <w:t xml:space="preserve"> G. et al., </w:t>
      </w:r>
      <w:r w:rsidRPr="004A0DFB">
        <w:rPr>
          <w:rFonts w:ascii="Lato" w:eastAsia="Lato" w:hAnsi="Lato" w:cs="Lato"/>
          <w:i/>
          <w:sz w:val="20"/>
          <w:szCs w:val="20"/>
          <w:lang w:val="en-US"/>
        </w:rPr>
        <w:t>An inter-model assessment of the role of direct air capture in deep mitigation pathways</w:t>
      </w:r>
      <w:r w:rsidRPr="004A0DFB">
        <w:rPr>
          <w:rFonts w:ascii="Lato" w:eastAsia="Lato" w:hAnsi="Lato" w:cs="Lato"/>
          <w:sz w:val="20"/>
          <w:szCs w:val="20"/>
          <w:lang w:val="en-US"/>
        </w:rPr>
        <w:t xml:space="preserve">, </w:t>
      </w:r>
      <w:r w:rsidRPr="004A0DFB">
        <w:rPr>
          <w:rFonts w:ascii="Lato" w:eastAsia="Lato" w:hAnsi="Lato" w:cs="Lato"/>
          <w:i/>
          <w:sz w:val="20"/>
          <w:szCs w:val="20"/>
          <w:lang w:val="en-US"/>
        </w:rPr>
        <w:t xml:space="preserve">supra </w:t>
      </w:r>
      <w:r w:rsidRPr="004A0DFB">
        <w:rPr>
          <w:rFonts w:ascii="Lato" w:eastAsia="Lato" w:hAnsi="Lato" w:cs="Lato"/>
          <w:sz w:val="20"/>
          <w:szCs w:val="20"/>
          <w:lang w:val="en-US"/>
        </w:rPr>
        <w:t>at footnote no. 25, at p. 10</w:t>
      </w:r>
    </w:p>
  </w:footnote>
  <w:footnote w:id="28">
    <w:p w14:paraId="3E442BBC" w14:textId="77777777" w:rsidR="00161574" w:rsidRPr="004A0DFB" w:rsidRDefault="00C62FDC" w:rsidP="004A0DFB">
      <w:pPr>
        <w:spacing w:after="120" w:line="240" w:lineRule="auto"/>
        <w:jc w:val="both"/>
        <w:rPr>
          <w:rFonts w:ascii="Lato" w:eastAsia="Lato" w:hAnsi="Lato" w:cs="Lato"/>
          <w:sz w:val="20"/>
          <w:szCs w:val="20"/>
          <w:lang w:val="en-US"/>
        </w:rPr>
      </w:pPr>
      <w:r w:rsidRPr="004A0DFB">
        <w:rPr>
          <w:rFonts w:ascii="Lato" w:hAnsi="Lato"/>
          <w:vertAlign w:val="superscript"/>
        </w:rPr>
        <w:footnoteRef/>
      </w:r>
      <w:r w:rsidRPr="004A0DFB">
        <w:rPr>
          <w:rFonts w:ascii="Lato" w:eastAsia="Lato" w:hAnsi="Lato" w:cs="Lato"/>
          <w:sz w:val="20"/>
          <w:szCs w:val="20"/>
          <w:lang w:val="en-US"/>
        </w:rPr>
        <w:t xml:space="preserve"> Chatterjee S., Huang K-W, </w:t>
      </w:r>
      <w:r w:rsidRPr="004A0DFB">
        <w:rPr>
          <w:rFonts w:ascii="Lato" w:eastAsia="Lato" w:hAnsi="Lato" w:cs="Lato"/>
          <w:i/>
          <w:sz w:val="20"/>
          <w:szCs w:val="20"/>
          <w:lang w:val="en-US"/>
        </w:rPr>
        <w:t>Unrealistic e</w:t>
      </w:r>
      <w:r w:rsidRPr="004A0DFB">
        <w:rPr>
          <w:rFonts w:ascii="Lato" w:eastAsia="Lato" w:hAnsi="Lato" w:cs="Lato"/>
          <w:i/>
          <w:sz w:val="20"/>
          <w:szCs w:val="20"/>
          <w:lang w:val="en-US"/>
        </w:rPr>
        <w:t>nergy and materials requirement for direct air capture in deep mitigation pathways</w:t>
      </w:r>
      <w:r w:rsidRPr="004A0DFB">
        <w:rPr>
          <w:rFonts w:ascii="Lato" w:eastAsia="Lato" w:hAnsi="Lato" w:cs="Lato"/>
          <w:sz w:val="20"/>
          <w:szCs w:val="20"/>
          <w:lang w:val="en-US"/>
        </w:rPr>
        <w:t xml:space="preserve">, </w:t>
      </w:r>
      <w:r w:rsidRPr="004A0DFB">
        <w:rPr>
          <w:rFonts w:ascii="Lato" w:eastAsia="Lato" w:hAnsi="Lato" w:cs="Lato"/>
          <w:i/>
          <w:sz w:val="20"/>
          <w:szCs w:val="20"/>
          <w:lang w:val="en-US"/>
        </w:rPr>
        <w:t>supra</w:t>
      </w:r>
      <w:r w:rsidRPr="004A0DFB">
        <w:rPr>
          <w:rFonts w:ascii="Lato" w:eastAsia="Lato" w:hAnsi="Lato" w:cs="Lato"/>
          <w:sz w:val="20"/>
          <w:szCs w:val="20"/>
          <w:lang w:val="en-US"/>
        </w:rPr>
        <w:t xml:space="preserve"> at </w:t>
      </w:r>
      <w:proofErr w:type="spellStart"/>
      <w:r w:rsidRPr="004A0DFB">
        <w:rPr>
          <w:rFonts w:ascii="Lato" w:eastAsia="Lato" w:hAnsi="Lato" w:cs="Lato"/>
          <w:sz w:val="20"/>
          <w:szCs w:val="20"/>
          <w:lang w:val="en-US"/>
        </w:rPr>
        <w:t>foote</w:t>
      </w:r>
      <w:proofErr w:type="spellEnd"/>
      <w:r w:rsidRPr="004A0DFB">
        <w:rPr>
          <w:rFonts w:ascii="Lato" w:eastAsia="Lato" w:hAnsi="Lato" w:cs="Lato"/>
          <w:sz w:val="20"/>
          <w:szCs w:val="20"/>
          <w:lang w:val="en-US"/>
        </w:rPr>
        <w:t xml:space="preserve"> no. 26, at p. 1</w:t>
      </w:r>
    </w:p>
  </w:footnote>
  <w:footnote w:id="29">
    <w:p w14:paraId="584EAC2E" w14:textId="77777777" w:rsidR="00161574" w:rsidRPr="004A0DFB" w:rsidRDefault="00C62FDC" w:rsidP="004A0DFB">
      <w:pPr>
        <w:spacing w:after="120" w:line="240" w:lineRule="auto"/>
        <w:jc w:val="both"/>
        <w:rPr>
          <w:rFonts w:ascii="Lato" w:eastAsia="Lato" w:hAnsi="Lato" w:cs="Lato"/>
          <w:sz w:val="20"/>
          <w:szCs w:val="20"/>
          <w:lang w:val="en-US"/>
        </w:rPr>
      </w:pPr>
      <w:r w:rsidRPr="004A0DFB">
        <w:rPr>
          <w:rFonts w:ascii="Lato" w:hAnsi="Lato"/>
          <w:vertAlign w:val="superscript"/>
        </w:rPr>
        <w:footnoteRef/>
      </w:r>
      <w:r w:rsidRPr="004A0DFB">
        <w:rPr>
          <w:rFonts w:ascii="Lato" w:eastAsia="Lato" w:hAnsi="Lato" w:cs="Lato"/>
          <w:sz w:val="20"/>
          <w:szCs w:val="20"/>
          <w:lang w:val="en-US"/>
        </w:rPr>
        <w:t xml:space="preserve"> </w:t>
      </w:r>
      <w:proofErr w:type="spellStart"/>
      <w:r w:rsidRPr="004A0DFB">
        <w:rPr>
          <w:rFonts w:ascii="Lato" w:eastAsia="Lato" w:hAnsi="Lato" w:cs="Lato"/>
          <w:sz w:val="20"/>
          <w:szCs w:val="20"/>
          <w:lang w:val="en-US"/>
        </w:rPr>
        <w:t>Realmonte</w:t>
      </w:r>
      <w:proofErr w:type="spellEnd"/>
      <w:r w:rsidRPr="004A0DFB">
        <w:rPr>
          <w:rFonts w:ascii="Lato" w:eastAsia="Lato" w:hAnsi="Lato" w:cs="Lato"/>
          <w:sz w:val="20"/>
          <w:szCs w:val="20"/>
          <w:lang w:val="en-US"/>
        </w:rPr>
        <w:t xml:space="preserve"> G. et al., </w:t>
      </w:r>
      <w:r w:rsidRPr="004A0DFB">
        <w:rPr>
          <w:rFonts w:ascii="Lato" w:eastAsia="Lato" w:hAnsi="Lato" w:cs="Lato"/>
          <w:i/>
          <w:sz w:val="20"/>
          <w:szCs w:val="20"/>
          <w:lang w:val="en-US"/>
        </w:rPr>
        <w:t>An inter-model assessment of the role of direct air capture in deep mitigation pathways</w:t>
      </w:r>
      <w:r w:rsidRPr="004A0DFB">
        <w:rPr>
          <w:rFonts w:ascii="Lato" w:eastAsia="Lato" w:hAnsi="Lato" w:cs="Lato"/>
          <w:sz w:val="20"/>
          <w:szCs w:val="20"/>
          <w:lang w:val="en-US"/>
        </w:rPr>
        <w:t xml:space="preserve">, </w:t>
      </w:r>
      <w:r w:rsidRPr="004A0DFB">
        <w:rPr>
          <w:rFonts w:ascii="Lato" w:eastAsia="Lato" w:hAnsi="Lato" w:cs="Lato"/>
          <w:i/>
          <w:sz w:val="20"/>
          <w:szCs w:val="20"/>
          <w:lang w:val="en-US"/>
        </w:rPr>
        <w:t xml:space="preserve">supra </w:t>
      </w:r>
      <w:r w:rsidRPr="004A0DFB">
        <w:rPr>
          <w:rFonts w:ascii="Lato" w:eastAsia="Lato" w:hAnsi="Lato" w:cs="Lato"/>
          <w:sz w:val="20"/>
          <w:szCs w:val="20"/>
          <w:lang w:val="en-US"/>
        </w:rPr>
        <w:t>at footnote no. 25 at p</w:t>
      </w:r>
      <w:r w:rsidRPr="004A0DFB">
        <w:rPr>
          <w:rFonts w:ascii="Lato" w:eastAsia="Lato" w:hAnsi="Lato" w:cs="Lato"/>
          <w:sz w:val="20"/>
          <w:szCs w:val="20"/>
          <w:lang w:val="en-US"/>
        </w:rPr>
        <w:t>. 10</w:t>
      </w:r>
    </w:p>
  </w:footnote>
  <w:footnote w:id="30">
    <w:p w14:paraId="5D30353B" w14:textId="77777777" w:rsidR="00161574" w:rsidRPr="004A0DFB" w:rsidRDefault="00C62FDC" w:rsidP="004A0DFB">
      <w:pPr>
        <w:spacing w:after="120" w:line="240" w:lineRule="auto"/>
        <w:jc w:val="both"/>
        <w:rPr>
          <w:rFonts w:ascii="Lato" w:eastAsia="Lato" w:hAnsi="Lato" w:cs="Lato"/>
          <w:sz w:val="20"/>
          <w:szCs w:val="20"/>
          <w:lang w:val="en-US"/>
        </w:rPr>
      </w:pPr>
      <w:r w:rsidRPr="004A0DFB">
        <w:rPr>
          <w:rFonts w:ascii="Lato" w:hAnsi="Lato"/>
          <w:vertAlign w:val="superscript"/>
        </w:rPr>
        <w:footnoteRef/>
      </w:r>
      <w:r w:rsidRPr="004A0DFB">
        <w:rPr>
          <w:rFonts w:ascii="Lato" w:eastAsia="Lato" w:hAnsi="Lato" w:cs="Lato"/>
          <w:sz w:val="20"/>
          <w:szCs w:val="20"/>
          <w:lang w:val="en-US"/>
        </w:rPr>
        <w:t xml:space="preserve"> </w:t>
      </w:r>
      <w:r w:rsidRPr="004A0DFB">
        <w:rPr>
          <w:rFonts w:ascii="Lato" w:eastAsia="Lato" w:hAnsi="Lato" w:cs="Lato"/>
          <w:i/>
          <w:sz w:val="20"/>
          <w:szCs w:val="20"/>
          <w:lang w:val="en-US"/>
        </w:rPr>
        <w:t>Ibidem</w:t>
      </w:r>
      <w:r w:rsidRPr="004A0DFB">
        <w:rPr>
          <w:rFonts w:ascii="Lato" w:eastAsia="Lato" w:hAnsi="Lato" w:cs="Lato"/>
          <w:sz w:val="20"/>
          <w:szCs w:val="20"/>
          <w:lang w:val="en-US"/>
        </w:rPr>
        <w:t>, at p. 8</w:t>
      </w:r>
    </w:p>
  </w:footnote>
  <w:footnote w:id="31">
    <w:p w14:paraId="1D76EE14" w14:textId="77777777" w:rsidR="00161574" w:rsidRPr="004A0DFB" w:rsidRDefault="00C62FDC" w:rsidP="004A0DFB">
      <w:pPr>
        <w:spacing w:after="120" w:line="240" w:lineRule="auto"/>
        <w:jc w:val="both"/>
        <w:rPr>
          <w:rFonts w:ascii="Lato" w:eastAsia="Lato" w:hAnsi="Lato" w:cs="Lato"/>
          <w:sz w:val="20"/>
          <w:szCs w:val="20"/>
          <w:lang w:val="en-US"/>
        </w:rPr>
      </w:pPr>
      <w:r w:rsidRPr="004A0DFB">
        <w:rPr>
          <w:rFonts w:ascii="Lato" w:hAnsi="Lato"/>
          <w:vertAlign w:val="superscript"/>
        </w:rPr>
        <w:footnoteRef/>
      </w:r>
      <w:r w:rsidRPr="004A0DFB">
        <w:rPr>
          <w:rFonts w:ascii="Lato" w:eastAsia="Lato" w:hAnsi="Lato" w:cs="Lato"/>
          <w:sz w:val="20"/>
          <w:szCs w:val="20"/>
          <w:lang w:val="en-US"/>
        </w:rPr>
        <w:t xml:space="preserve"> Fuss S. et al., </w:t>
      </w:r>
      <w:r w:rsidRPr="004A0DFB">
        <w:rPr>
          <w:rFonts w:ascii="Lato" w:eastAsia="Lato" w:hAnsi="Lato" w:cs="Lato"/>
          <w:i/>
          <w:sz w:val="20"/>
          <w:szCs w:val="20"/>
          <w:lang w:val="en-US"/>
        </w:rPr>
        <w:t>Negative emissions--Part 2: Costs, potentials, and side effects</w:t>
      </w:r>
      <w:r w:rsidRPr="004A0DFB">
        <w:rPr>
          <w:rFonts w:ascii="Lato" w:eastAsia="Lato" w:hAnsi="Lato" w:cs="Lato"/>
          <w:sz w:val="20"/>
          <w:szCs w:val="20"/>
          <w:lang w:val="en-US"/>
        </w:rPr>
        <w:t xml:space="preserve">, </w:t>
      </w:r>
      <w:r w:rsidRPr="004A0DFB">
        <w:rPr>
          <w:rFonts w:ascii="Lato" w:eastAsia="Lato" w:hAnsi="Lato" w:cs="Lato"/>
          <w:i/>
          <w:sz w:val="20"/>
          <w:szCs w:val="20"/>
          <w:lang w:val="en-US"/>
        </w:rPr>
        <w:t xml:space="preserve">supra </w:t>
      </w:r>
      <w:r w:rsidRPr="004A0DFB">
        <w:rPr>
          <w:rFonts w:ascii="Lato" w:eastAsia="Lato" w:hAnsi="Lato" w:cs="Lato"/>
          <w:sz w:val="20"/>
          <w:szCs w:val="20"/>
          <w:lang w:val="en-US"/>
        </w:rPr>
        <w:t>at footnote no. 13 at p. 19</w:t>
      </w:r>
    </w:p>
  </w:footnote>
  <w:footnote w:id="32">
    <w:p w14:paraId="76984057" w14:textId="77777777" w:rsidR="00161574" w:rsidRPr="004A0DFB" w:rsidRDefault="00C62FDC" w:rsidP="004A0DFB">
      <w:pPr>
        <w:spacing w:after="120" w:line="240" w:lineRule="auto"/>
        <w:rPr>
          <w:rFonts w:ascii="Lato" w:eastAsia="Lato" w:hAnsi="Lato" w:cs="Lato"/>
          <w:sz w:val="20"/>
          <w:szCs w:val="20"/>
          <w:lang w:val="en-US"/>
        </w:rPr>
      </w:pPr>
      <w:r w:rsidRPr="004A0DFB">
        <w:rPr>
          <w:rFonts w:ascii="Lato" w:hAnsi="Lato"/>
          <w:vertAlign w:val="superscript"/>
        </w:rPr>
        <w:footnoteRef/>
      </w:r>
      <w:r w:rsidRPr="004A0DFB">
        <w:rPr>
          <w:rFonts w:ascii="Lato" w:eastAsia="Lato" w:hAnsi="Lato" w:cs="Lato"/>
          <w:sz w:val="20"/>
          <w:szCs w:val="20"/>
          <w:lang w:val="en-US"/>
        </w:rPr>
        <w:t xml:space="preserve"> </w:t>
      </w:r>
      <w:r w:rsidRPr="004A0DFB">
        <w:rPr>
          <w:rFonts w:ascii="Lato" w:eastAsia="Lato" w:hAnsi="Lato" w:cs="Lato"/>
          <w:i/>
          <w:sz w:val="20"/>
          <w:szCs w:val="20"/>
          <w:lang w:val="en-US"/>
        </w:rPr>
        <w:t>Ibidem</w:t>
      </w:r>
      <w:r w:rsidRPr="004A0DFB">
        <w:rPr>
          <w:rFonts w:ascii="Lato" w:eastAsia="Lato" w:hAnsi="Lato" w:cs="Lato"/>
          <w:sz w:val="20"/>
          <w:szCs w:val="20"/>
          <w:lang w:val="en-US"/>
        </w:rPr>
        <w:t>,</w:t>
      </w:r>
      <w:r w:rsidRPr="004A0DFB">
        <w:rPr>
          <w:rFonts w:ascii="Lato" w:eastAsia="Lato" w:hAnsi="Lato" w:cs="Lato"/>
          <w:i/>
          <w:sz w:val="20"/>
          <w:szCs w:val="20"/>
          <w:lang w:val="en-US"/>
        </w:rPr>
        <w:t xml:space="preserve"> </w:t>
      </w:r>
      <w:r w:rsidRPr="004A0DFB">
        <w:rPr>
          <w:rFonts w:ascii="Lato" w:eastAsia="Lato" w:hAnsi="Lato" w:cs="Lato"/>
          <w:sz w:val="20"/>
          <w:szCs w:val="20"/>
          <w:lang w:val="en-US"/>
        </w:rPr>
        <w:t>at p. 19</w:t>
      </w:r>
    </w:p>
    <w:bookmarkStart w:id="0" w:name="_gjdgxs" w:colFirst="0" w:colLast="0"/>
    <w:bookmarkEnd w:id="0"/>
  </w:footnote>
  <w:footnote w:id="33">
    <w:p w14:paraId="49E949F5" w14:textId="77777777" w:rsidR="00161574" w:rsidRPr="004A0DFB" w:rsidRDefault="00C62FDC" w:rsidP="004A0DFB">
      <w:pPr>
        <w:spacing w:after="120" w:line="240" w:lineRule="auto"/>
        <w:jc w:val="both"/>
        <w:rPr>
          <w:rFonts w:ascii="Lato" w:eastAsia="Lato" w:hAnsi="Lato" w:cs="Lato"/>
          <w:sz w:val="20"/>
          <w:szCs w:val="20"/>
          <w:lang w:val="en-US"/>
        </w:rPr>
      </w:pPr>
      <w:bookmarkStart w:id="1" w:name="_gjdgxs" w:colFirst="0" w:colLast="0"/>
      <w:bookmarkEnd w:id="1"/>
      <w:r w:rsidRPr="004A0DFB">
        <w:rPr>
          <w:rFonts w:ascii="Lato" w:hAnsi="Lato"/>
          <w:vertAlign w:val="superscript"/>
        </w:rPr>
        <w:footnoteRef/>
      </w:r>
      <w:r w:rsidRPr="004A0DFB">
        <w:rPr>
          <w:rFonts w:ascii="Lato" w:eastAsia="Lato" w:hAnsi="Lato" w:cs="Lato"/>
          <w:i/>
          <w:sz w:val="20"/>
          <w:szCs w:val="20"/>
          <w:lang w:val="en-US"/>
        </w:rPr>
        <w:t xml:space="preserve"> Ibidem</w:t>
      </w:r>
      <w:r w:rsidRPr="004A0DFB">
        <w:rPr>
          <w:rFonts w:ascii="Lato" w:eastAsia="Lato" w:hAnsi="Lato" w:cs="Lato"/>
          <w:sz w:val="20"/>
          <w:szCs w:val="20"/>
          <w:lang w:val="en-US"/>
        </w:rPr>
        <w:t xml:space="preserve"> at p. 34</w:t>
      </w:r>
    </w:p>
  </w:footnote>
  <w:footnote w:id="34">
    <w:p w14:paraId="15C71BB1" w14:textId="77777777" w:rsidR="00161574" w:rsidRPr="004A0DFB" w:rsidRDefault="00C62FDC" w:rsidP="004A0DFB">
      <w:pPr>
        <w:spacing w:after="120" w:line="240" w:lineRule="auto"/>
        <w:jc w:val="both"/>
        <w:rPr>
          <w:rFonts w:ascii="Lato" w:hAnsi="Lato"/>
          <w:sz w:val="20"/>
          <w:szCs w:val="20"/>
          <w:lang w:val="en-US"/>
        </w:rPr>
      </w:pPr>
      <w:r w:rsidRPr="004A0DFB">
        <w:rPr>
          <w:rFonts w:ascii="Lato" w:hAnsi="Lato"/>
          <w:vertAlign w:val="superscript"/>
        </w:rPr>
        <w:footnoteRef/>
      </w:r>
      <w:r w:rsidRPr="004A0DFB">
        <w:rPr>
          <w:rFonts w:ascii="Lato" w:hAnsi="Lato"/>
          <w:sz w:val="20"/>
          <w:szCs w:val="20"/>
          <w:lang w:val="en-US"/>
        </w:rPr>
        <w:t xml:space="preserve"> </w:t>
      </w:r>
      <w:r w:rsidRPr="004A0DFB">
        <w:rPr>
          <w:rFonts w:ascii="Lato" w:eastAsia="Lato" w:hAnsi="Lato" w:cs="Lato"/>
          <w:sz w:val="20"/>
          <w:szCs w:val="20"/>
          <w:lang w:val="en-US"/>
        </w:rPr>
        <w:t xml:space="preserve">Center for International Environmental Law and Heinrich </w:t>
      </w:r>
      <w:proofErr w:type="spellStart"/>
      <w:r w:rsidRPr="004A0DFB">
        <w:rPr>
          <w:rFonts w:ascii="Lato" w:eastAsia="Lato" w:hAnsi="Lato" w:cs="Lato"/>
          <w:sz w:val="20"/>
          <w:szCs w:val="20"/>
          <w:lang w:val="en-US"/>
        </w:rPr>
        <w:t>Böll</w:t>
      </w:r>
      <w:proofErr w:type="spellEnd"/>
      <w:r w:rsidRPr="004A0DFB">
        <w:rPr>
          <w:rFonts w:ascii="Lato" w:eastAsia="Lato" w:hAnsi="Lato" w:cs="Lato"/>
          <w:sz w:val="20"/>
          <w:szCs w:val="20"/>
          <w:lang w:val="en-US"/>
        </w:rPr>
        <w:t xml:space="preserve"> Foundation, Lost in Translation: Lessons from the IPCC’s Sixth Assessment on the Urgent Transition from Fossil Fuels and the Risks of Misplaced Reliance on False Solutions, supra at footnote no. </w:t>
      </w:r>
      <w:r w:rsidRPr="004A0DFB">
        <w:rPr>
          <w:rFonts w:ascii="Lato" w:eastAsia="Lato" w:hAnsi="Lato" w:cs="Lato"/>
          <w:sz w:val="20"/>
          <w:szCs w:val="20"/>
          <w:lang w:val="en-US"/>
        </w:rPr>
        <w:t>1, at p.6</w:t>
      </w:r>
    </w:p>
  </w:footnote>
  <w:footnote w:id="35">
    <w:p w14:paraId="127E070E" w14:textId="77777777" w:rsidR="00161574" w:rsidRPr="004A0DFB" w:rsidRDefault="00C62FDC" w:rsidP="004A0DFB">
      <w:pPr>
        <w:spacing w:after="120" w:line="240" w:lineRule="auto"/>
        <w:jc w:val="both"/>
        <w:rPr>
          <w:rFonts w:ascii="Lato" w:eastAsia="Lato" w:hAnsi="Lato" w:cs="Lato"/>
          <w:sz w:val="20"/>
          <w:szCs w:val="20"/>
          <w:lang w:val="en-US"/>
        </w:rPr>
      </w:pPr>
      <w:r w:rsidRPr="004A0DFB">
        <w:rPr>
          <w:rFonts w:ascii="Lato" w:hAnsi="Lato"/>
          <w:vertAlign w:val="superscript"/>
        </w:rPr>
        <w:footnoteRef/>
      </w:r>
      <w:r w:rsidRPr="004A0DFB">
        <w:rPr>
          <w:rFonts w:ascii="Lato" w:eastAsia="Lato" w:hAnsi="Lato" w:cs="Lato"/>
          <w:sz w:val="20"/>
          <w:szCs w:val="20"/>
          <w:lang w:val="en-US"/>
        </w:rPr>
        <w:t xml:space="preserve"> IPCC, </w:t>
      </w:r>
      <w:r w:rsidRPr="004A0DFB">
        <w:rPr>
          <w:rFonts w:ascii="Lato" w:eastAsia="Lato" w:hAnsi="Lato" w:cs="Lato"/>
          <w:i/>
          <w:sz w:val="20"/>
          <w:szCs w:val="20"/>
          <w:lang w:val="en-US"/>
        </w:rPr>
        <w:t>Climate Change 2022: Mitigation of Climate Change. Contribution of Working Group III to the Sixth Assessment Report of the Intergovernmental Panel on Climate Change</w:t>
      </w:r>
      <w:r w:rsidRPr="004A0DFB">
        <w:rPr>
          <w:rFonts w:ascii="Lato" w:eastAsia="Lato" w:hAnsi="Lato" w:cs="Lato"/>
          <w:sz w:val="20"/>
          <w:szCs w:val="20"/>
          <w:lang w:val="en-US"/>
        </w:rPr>
        <w:t xml:space="preserve">, </w:t>
      </w:r>
      <w:r w:rsidRPr="004A0DFB">
        <w:rPr>
          <w:rFonts w:ascii="Lato" w:eastAsia="Lato" w:hAnsi="Lato" w:cs="Lato"/>
          <w:i/>
          <w:sz w:val="20"/>
          <w:szCs w:val="20"/>
          <w:lang w:val="en-US"/>
        </w:rPr>
        <w:t>supra</w:t>
      </w:r>
      <w:r w:rsidRPr="004A0DFB">
        <w:rPr>
          <w:rFonts w:ascii="Lato" w:eastAsia="Lato" w:hAnsi="Lato" w:cs="Lato"/>
          <w:sz w:val="20"/>
          <w:szCs w:val="20"/>
          <w:lang w:val="en-US"/>
        </w:rPr>
        <w:t xml:space="preserve"> at footnote no. 4, at pp. 1264-1265</w:t>
      </w:r>
    </w:p>
  </w:footnote>
  <w:footnote w:id="36">
    <w:p w14:paraId="07E16EF1" w14:textId="77777777" w:rsidR="00161574" w:rsidRPr="004A0DFB" w:rsidRDefault="00C62FDC" w:rsidP="004A0DFB">
      <w:pPr>
        <w:spacing w:after="120" w:line="240" w:lineRule="auto"/>
        <w:jc w:val="both"/>
        <w:rPr>
          <w:rFonts w:ascii="Lato" w:eastAsia="Lato" w:hAnsi="Lato" w:cs="Lato"/>
          <w:sz w:val="20"/>
          <w:szCs w:val="20"/>
          <w:lang w:val="en-US"/>
        </w:rPr>
      </w:pPr>
      <w:r w:rsidRPr="004A0DFB">
        <w:rPr>
          <w:rFonts w:ascii="Lato" w:hAnsi="Lato"/>
          <w:vertAlign w:val="superscript"/>
        </w:rPr>
        <w:footnoteRef/>
      </w:r>
      <w:r w:rsidRPr="004A0DFB">
        <w:rPr>
          <w:rFonts w:ascii="Lato" w:eastAsia="Lato" w:hAnsi="Lato" w:cs="Lato"/>
          <w:sz w:val="20"/>
          <w:szCs w:val="20"/>
          <w:lang w:val="en-US"/>
        </w:rPr>
        <w:t xml:space="preserve"> IPCC, </w:t>
      </w:r>
      <w:r w:rsidRPr="004A0DFB">
        <w:rPr>
          <w:rFonts w:ascii="Lato" w:eastAsia="Lato" w:hAnsi="Lato" w:cs="Lato"/>
          <w:i/>
          <w:sz w:val="20"/>
          <w:szCs w:val="20"/>
          <w:lang w:val="en-US"/>
        </w:rPr>
        <w:t>Climate Change 2022: M</w:t>
      </w:r>
      <w:r w:rsidRPr="004A0DFB">
        <w:rPr>
          <w:rFonts w:ascii="Lato" w:eastAsia="Lato" w:hAnsi="Lato" w:cs="Lato"/>
          <w:i/>
          <w:sz w:val="20"/>
          <w:szCs w:val="20"/>
          <w:lang w:val="en-US"/>
        </w:rPr>
        <w:t>itigation of Climate Change. Contribution of Working Group III to the Sixth Assessment Report of the Intergovernmental Panel on Climate Change</w:t>
      </w:r>
      <w:r w:rsidRPr="004A0DFB">
        <w:rPr>
          <w:rFonts w:ascii="Lato" w:eastAsia="Lato" w:hAnsi="Lato" w:cs="Lato"/>
          <w:sz w:val="20"/>
          <w:szCs w:val="20"/>
          <w:lang w:val="en-US"/>
        </w:rPr>
        <w:t xml:space="preserve">, </w:t>
      </w:r>
      <w:r w:rsidRPr="004A0DFB">
        <w:rPr>
          <w:rFonts w:ascii="Lato" w:eastAsia="Lato" w:hAnsi="Lato" w:cs="Lato"/>
          <w:i/>
          <w:sz w:val="20"/>
          <w:szCs w:val="20"/>
          <w:lang w:val="en-US"/>
        </w:rPr>
        <w:t xml:space="preserve">supra </w:t>
      </w:r>
      <w:r w:rsidRPr="004A0DFB">
        <w:rPr>
          <w:rFonts w:ascii="Lato" w:eastAsia="Lato" w:hAnsi="Lato" w:cs="Lato"/>
          <w:sz w:val="20"/>
          <w:szCs w:val="20"/>
          <w:lang w:val="en-US"/>
        </w:rPr>
        <w:t xml:space="preserve">at footnote no. 4 at p. 1266; IPCC, </w:t>
      </w:r>
      <w:r w:rsidRPr="004A0DFB">
        <w:rPr>
          <w:rFonts w:ascii="Lato" w:eastAsia="Lato" w:hAnsi="Lato" w:cs="Lato"/>
          <w:i/>
          <w:sz w:val="20"/>
          <w:szCs w:val="20"/>
          <w:lang w:val="en-US"/>
        </w:rPr>
        <w:t>Climate Change 2022: Impacts, Adaptation and Vulnerability. Contributi</w:t>
      </w:r>
      <w:r w:rsidRPr="004A0DFB">
        <w:rPr>
          <w:rFonts w:ascii="Lato" w:eastAsia="Lato" w:hAnsi="Lato" w:cs="Lato"/>
          <w:i/>
          <w:sz w:val="20"/>
          <w:szCs w:val="20"/>
          <w:lang w:val="en-US"/>
        </w:rPr>
        <w:t>on of Working Group II to the Sixth Assessment Report of the Intergovernmental Panel on Climate Change</w:t>
      </w:r>
      <w:r w:rsidRPr="004A0DFB">
        <w:rPr>
          <w:rFonts w:ascii="Lato" w:eastAsia="Lato" w:hAnsi="Lato" w:cs="Lato"/>
          <w:sz w:val="20"/>
          <w:szCs w:val="20"/>
          <w:lang w:val="en-US"/>
        </w:rPr>
        <w:t xml:space="preserve">, 2022, available at </w:t>
      </w:r>
      <w:hyperlink r:id="rId23">
        <w:r w:rsidRPr="004A0DFB">
          <w:rPr>
            <w:rFonts w:ascii="Lato" w:eastAsia="Lato" w:hAnsi="Lato" w:cs="Lato"/>
            <w:color w:val="1155CC"/>
            <w:sz w:val="20"/>
            <w:szCs w:val="20"/>
            <w:u w:val="single"/>
            <w:lang w:val="en-US"/>
          </w:rPr>
          <w:t>https://www.ipcc.ch/report/ar6/wg2/</w:t>
        </w:r>
      </w:hyperlink>
      <w:r w:rsidRPr="004A0DFB">
        <w:rPr>
          <w:rFonts w:ascii="Lato" w:eastAsia="Lato" w:hAnsi="Lato" w:cs="Lato"/>
          <w:sz w:val="20"/>
          <w:szCs w:val="20"/>
          <w:lang w:val="en-US"/>
        </w:rPr>
        <w:t>, at p. 654</w:t>
      </w:r>
    </w:p>
  </w:footnote>
  <w:footnote w:id="37">
    <w:p w14:paraId="6E69D8A2" w14:textId="77777777" w:rsidR="00161574" w:rsidRPr="004A0DFB" w:rsidRDefault="00C62FDC" w:rsidP="004A0DFB">
      <w:pPr>
        <w:spacing w:after="120" w:line="240" w:lineRule="auto"/>
        <w:jc w:val="both"/>
        <w:rPr>
          <w:rFonts w:ascii="Lato" w:eastAsia="Lato" w:hAnsi="Lato" w:cs="Lato"/>
          <w:sz w:val="20"/>
          <w:szCs w:val="20"/>
          <w:lang w:val="en-US"/>
        </w:rPr>
      </w:pPr>
      <w:r w:rsidRPr="004A0DFB">
        <w:rPr>
          <w:rFonts w:ascii="Lato" w:hAnsi="Lato"/>
          <w:vertAlign w:val="superscript"/>
        </w:rPr>
        <w:footnoteRef/>
      </w:r>
      <w:r w:rsidRPr="004A0DFB">
        <w:rPr>
          <w:rFonts w:ascii="Lato" w:eastAsia="Lato" w:hAnsi="Lato" w:cs="Lato"/>
          <w:sz w:val="20"/>
          <w:szCs w:val="20"/>
          <w:lang w:val="en-US"/>
        </w:rPr>
        <w:t xml:space="preserve"> Chatterjee S., Huang K-W, </w:t>
      </w:r>
      <w:r w:rsidRPr="004A0DFB">
        <w:rPr>
          <w:rFonts w:ascii="Lato" w:eastAsia="Lato" w:hAnsi="Lato" w:cs="Lato"/>
          <w:i/>
          <w:sz w:val="20"/>
          <w:szCs w:val="20"/>
          <w:lang w:val="en-US"/>
        </w:rPr>
        <w:t>Unr</w:t>
      </w:r>
      <w:r w:rsidRPr="004A0DFB">
        <w:rPr>
          <w:rFonts w:ascii="Lato" w:eastAsia="Lato" w:hAnsi="Lato" w:cs="Lato"/>
          <w:i/>
          <w:sz w:val="20"/>
          <w:szCs w:val="20"/>
          <w:lang w:val="en-US"/>
        </w:rPr>
        <w:t>ealistic energy and materials requirement for direct air capture in deep mitigation pathways</w:t>
      </w:r>
      <w:r w:rsidRPr="004A0DFB">
        <w:rPr>
          <w:rFonts w:ascii="Lato" w:eastAsia="Lato" w:hAnsi="Lato" w:cs="Lato"/>
          <w:sz w:val="20"/>
          <w:szCs w:val="20"/>
          <w:lang w:val="en-US"/>
        </w:rPr>
        <w:t xml:space="preserve">, </w:t>
      </w:r>
      <w:r w:rsidRPr="004A0DFB">
        <w:rPr>
          <w:rFonts w:ascii="Lato" w:eastAsia="Lato" w:hAnsi="Lato" w:cs="Lato"/>
          <w:i/>
          <w:sz w:val="20"/>
          <w:szCs w:val="20"/>
          <w:lang w:val="en-US"/>
        </w:rPr>
        <w:t>supra</w:t>
      </w:r>
      <w:r w:rsidRPr="004A0DFB">
        <w:rPr>
          <w:rFonts w:ascii="Lato" w:eastAsia="Lato" w:hAnsi="Lato" w:cs="Lato"/>
          <w:sz w:val="20"/>
          <w:szCs w:val="20"/>
          <w:lang w:val="en-US"/>
        </w:rPr>
        <w:t xml:space="preserve"> at </w:t>
      </w:r>
      <w:proofErr w:type="spellStart"/>
      <w:r w:rsidRPr="004A0DFB">
        <w:rPr>
          <w:rFonts w:ascii="Lato" w:eastAsia="Lato" w:hAnsi="Lato" w:cs="Lato"/>
          <w:sz w:val="20"/>
          <w:szCs w:val="20"/>
          <w:lang w:val="en-US"/>
        </w:rPr>
        <w:t>foote</w:t>
      </w:r>
      <w:proofErr w:type="spellEnd"/>
      <w:r w:rsidRPr="004A0DFB">
        <w:rPr>
          <w:rFonts w:ascii="Lato" w:eastAsia="Lato" w:hAnsi="Lato" w:cs="Lato"/>
          <w:sz w:val="20"/>
          <w:szCs w:val="20"/>
          <w:lang w:val="en-US"/>
        </w:rPr>
        <w:t xml:space="preserve"> no. 26 at p. 1</w:t>
      </w:r>
    </w:p>
  </w:footnote>
  <w:footnote w:id="38">
    <w:p w14:paraId="6DA8AAD2" w14:textId="0189E110" w:rsidR="00161574" w:rsidRPr="004A0DFB" w:rsidRDefault="00C62FDC" w:rsidP="004A0DFB">
      <w:pPr>
        <w:spacing w:after="120" w:line="240" w:lineRule="auto"/>
        <w:jc w:val="both"/>
        <w:rPr>
          <w:rFonts w:ascii="Lato" w:eastAsia="Lato" w:hAnsi="Lato" w:cs="Lato"/>
          <w:sz w:val="20"/>
          <w:szCs w:val="20"/>
          <w:lang w:val="en-US"/>
        </w:rPr>
      </w:pPr>
      <w:r w:rsidRPr="004A0DFB">
        <w:rPr>
          <w:rFonts w:ascii="Lato" w:hAnsi="Lato"/>
          <w:vertAlign w:val="superscript"/>
        </w:rPr>
        <w:footnoteRef/>
      </w:r>
      <w:r w:rsidRPr="004A0DFB">
        <w:rPr>
          <w:rFonts w:ascii="Lato" w:eastAsia="Lato" w:hAnsi="Lato" w:cs="Lato"/>
          <w:sz w:val="20"/>
          <w:szCs w:val="20"/>
          <w:lang w:val="en-US"/>
        </w:rPr>
        <w:t xml:space="preserve"> </w:t>
      </w:r>
      <w:r w:rsidR="00A22CEF" w:rsidRPr="00A22CEF">
        <w:rPr>
          <w:rFonts w:ascii="Lato" w:eastAsia="Lato" w:hAnsi="Lato" w:cs="Lato"/>
          <w:sz w:val="20"/>
          <w:szCs w:val="20"/>
          <w:lang w:val="en-US"/>
        </w:rPr>
        <w:t xml:space="preserve">Mark Z. Jacobson, </w:t>
      </w:r>
      <w:r w:rsidR="00A22CEF" w:rsidRPr="00A22CEF">
        <w:rPr>
          <w:rFonts w:ascii="Lato" w:eastAsia="Lato" w:hAnsi="Lato" w:cs="Lato"/>
          <w:i/>
          <w:iCs/>
          <w:sz w:val="20"/>
          <w:szCs w:val="20"/>
          <w:lang w:val="en-US"/>
        </w:rPr>
        <w:t>The health and climate impacts of carbon capture and direct air capture</w:t>
      </w:r>
      <w:r w:rsidR="00A22CEF" w:rsidRPr="00A22CEF">
        <w:rPr>
          <w:rFonts w:ascii="Lato" w:eastAsia="Lato" w:hAnsi="Lato" w:cs="Lato"/>
          <w:sz w:val="20"/>
          <w:szCs w:val="20"/>
          <w:lang w:val="en-US"/>
        </w:rPr>
        <w:t xml:space="preserve">, in Energy and Environmental Science, 2019, 12, available at </w:t>
      </w:r>
      <w:hyperlink r:id="rId24" w:history="1">
        <w:r w:rsidR="00A22CEF" w:rsidRPr="00A22CEF">
          <w:rPr>
            <w:rStyle w:val="Hyperlink"/>
            <w:rFonts w:ascii="Lato" w:eastAsia="Lato" w:hAnsi="Lato" w:cs="Lato"/>
            <w:sz w:val="20"/>
            <w:szCs w:val="20"/>
            <w:lang w:val="en-US"/>
          </w:rPr>
          <w:t>https://web.stanford.edu/group/efmh/jacobson/Articles/Others/19-CCS-DAC.pdf</w:t>
        </w:r>
      </w:hyperlink>
      <w:r w:rsidR="00A22CEF" w:rsidRPr="00A22CEF">
        <w:rPr>
          <w:rFonts w:ascii="Lato" w:eastAsia="Lato" w:hAnsi="Lato" w:cs="Lato"/>
          <w:sz w:val="20"/>
          <w:szCs w:val="20"/>
          <w:lang w:val="en-US"/>
        </w:rPr>
        <w:t xml:space="preserve">, at </w:t>
      </w:r>
      <w:r w:rsidRPr="004A0DFB">
        <w:rPr>
          <w:rFonts w:ascii="Lato" w:eastAsia="Lato" w:hAnsi="Lato" w:cs="Lato"/>
          <w:sz w:val="20"/>
          <w:szCs w:val="20"/>
          <w:lang w:val="en-US"/>
        </w:rPr>
        <w:t>p. 3571</w:t>
      </w:r>
    </w:p>
  </w:footnote>
  <w:footnote w:id="39">
    <w:p w14:paraId="7AAE30BF" w14:textId="77777777" w:rsidR="00161574" w:rsidRPr="004A0DFB" w:rsidRDefault="00C62FDC" w:rsidP="004A0DFB">
      <w:pPr>
        <w:spacing w:after="120" w:line="240" w:lineRule="auto"/>
        <w:jc w:val="both"/>
        <w:rPr>
          <w:rFonts w:ascii="Lato" w:eastAsia="Lato" w:hAnsi="Lato" w:cs="Lato"/>
          <w:i/>
          <w:sz w:val="20"/>
          <w:szCs w:val="20"/>
          <w:lang w:val="en-US"/>
        </w:rPr>
      </w:pPr>
      <w:r w:rsidRPr="004A0DFB">
        <w:rPr>
          <w:rFonts w:ascii="Lato" w:hAnsi="Lato"/>
          <w:vertAlign w:val="superscript"/>
        </w:rPr>
        <w:footnoteRef/>
      </w:r>
      <w:r w:rsidRPr="004A0DFB">
        <w:rPr>
          <w:rFonts w:ascii="Lato" w:eastAsia="Lato" w:hAnsi="Lato" w:cs="Lato"/>
          <w:sz w:val="20"/>
          <w:szCs w:val="20"/>
          <w:lang w:val="en-US"/>
        </w:rPr>
        <w:t xml:space="preserve"> </w:t>
      </w:r>
      <w:r w:rsidRPr="004A0DFB">
        <w:rPr>
          <w:rFonts w:ascii="Lato" w:eastAsia="Lato" w:hAnsi="Lato" w:cs="Lato"/>
          <w:i/>
          <w:sz w:val="20"/>
          <w:szCs w:val="20"/>
          <w:lang w:val="en-US"/>
        </w:rPr>
        <w:t>Ibidem</w:t>
      </w:r>
    </w:p>
  </w:footnote>
  <w:footnote w:id="40">
    <w:p w14:paraId="07911656" w14:textId="77777777" w:rsidR="00161574" w:rsidRPr="004A0DFB" w:rsidRDefault="00C62FDC" w:rsidP="004A0DFB">
      <w:pPr>
        <w:spacing w:after="120" w:line="240" w:lineRule="auto"/>
        <w:jc w:val="both"/>
        <w:rPr>
          <w:rFonts w:ascii="Lato" w:eastAsia="Lato" w:hAnsi="Lato" w:cs="Lato"/>
          <w:sz w:val="20"/>
          <w:szCs w:val="20"/>
          <w:lang w:val="en-US"/>
        </w:rPr>
      </w:pPr>
      <w:r w:rsidRPr="004A0DFB">
        <w:rPr>
          <w:rFonts w:ascii="Lato" w:hAnsi="Lato"/>
          <w:vertAlign w:val="superscript"/>
        </w:rPr>
        <w:footnoteRef/>
      </w:r>
      <w:r w:rsidRPr="004A0DFB">
        <w:rPr>
          <w:rFonts w:ascii="Lato" w:hAnsi="Lato"/>
          <w:sz w:val="20"/>
          <w:szCs w:val="20"/>
          <w:lang w:val="en-US"/>
        </w:rPr>
        <w:t xml:space="preserve"> </w:t>
      </w:r>
      <w:proofErr w:type="spellStart"/>
      <w:r w:rsidRPr="004A0DFB">
        <w:rPr>
          <w:rFonts w:ascii="Lato" w:eastAsia="Lato" w:hAnsi="Lato" w:cs="Lato"/>
          <w:sz w:val="20"/>
          <w:szCs w:val="20"/>
          <w:lang w:val="en-US"/>
        </w:rPr>
        <w:t>Rea</w:t>
      </w:r>
      <w:r w:rsidRPr="004A0DFB">
        <w:rPr>
          <w:rFonts w:ascii="Lato" w:eastAsia="Lato" w:hAnsi="Lato" w:cs="Lato"/>
          <w:sz w:val="20"/>
          <w:szCs w:val="20"/>
          <w:lang w:val="en-US"/>
        </w:rPr>
        <w:t>lmonte</w:t>
      </w:r>
      <w:proofErr w:type="spellEnd"/>
      <w:r w:rsidRPr="004A0DFB">
        <w:rPr>
          <w:rFonts w:ascii="Lato" w:eastAsia="Lato" w:hAnsi="Lato" w:cs="Lato"/>
          <w:sz w:val="20"/>
          <w:szCs w:val="20"/>
          <w:lang w:val="en-US"/>
        </w:rPr>
        <w:t xml:space="preserve"> G. et al., An inter-model assessment of the role of direct air capture in deep mitigation pathways, supra at footnote no. 25 at </w:t>
      </w:r>
      <w:proofErr w:type="gramStart"/>
      <w:r w:rsidRPr="004A0DFB">
        <w:rPr>
          <w:rFonts w:ascii="Lato" w:eastAsia="Lato" w:hAnsi="Lato" w:cs="Lato"/>
          <w:sz w:val="20"/>
          <w:szCs w:val="20"/>
          <w:lang w:val="en-US"/>
        </w:rPr>
        <w:t>p .</w:t>
      </w:r>
      <w:proofErr w:type="gramEnd"/>
      <w:r w:rsidRPr="004A0DFB">
        <w:rPr>
          <w:rFonts w:ascii="Lato" w:eastAsia="Lato" w:hAnsi="Lato" w:cs="Lato"/>
          <w:sz w:val="20"/>
          <w:szCs w:val="20"/>
          <w:lang w:val="en-US"/>
        </w:rPr>
        <w:t xml:space="preserve"> 7 (discussing the current scale of the chlorine market, and the energy intensity of sodium hydroxide production). </w:t>
      </w:r>
    </w:p>
  </w:footnote>
  <w:footnote w:id="41">
    <w:p w14:paraId="641299F6" w14:textId="77777777" w:rsidR="00161574" w:rsidRPr="004A0DFB" w:rsidRDefault="00C62FDC" w:rsidP="004A0DFB">
      <w:pPr>
        <w:spacing w:after="120" w:line="240" w:lineRule="auto"/>
        <w:jc w:val="both"/>
        <w:rPr>
          <w:rFonts w:ascii="Lato" w:hAnsi="Lato"/>
          <w:sz w:val="20"/>
          <w:szCs w:val="20"/>
          <w:lang w:val="en-US"/>
        </w:rPr>
      </w:pPr>
      <w:r w:rsidRPr="004A0DFB">
        <w:rPr>
          <w:rFonts w:ascii="Lato" w:hAnsi="Lato"/>
          <w:vertAlign w:val="superscript"/>
        </w:rPr>
        <w:footnoteRef/>
      </w:r>
      <w:r w:rsidRPr="004A0DFB">
        <w:rPr>
          <w:rFonts w:ascii="Lato" w:hAnsi="Lato"/>
          <w:sz w:val="20"/>
          <w:szCs w:val="20"/>
          <w:lang w:val="en-US"/>
        </w:rPr>
        <w:t xml:space="preserve"> </w:t>
      </w:r>
      <w:r w:rsidRPr="004A0DFB">
        <w:rPr>
          <w:rFonts w:ascii="Lato" w:hAnsi="Lato"/>
          <w:sz w:val="20"/>
          <w:szCs w:val="20"/>
          <w:lang w:val="en-US"/>
        </w:rPr>
        <w:t xml:space="preserve">Ibidem, at pp. 7-8 (indicating that markets for ammonia and ethylene oxide would have to increase </w:t>
      </w:r>
      <w:proofErr w:type="gramStart"/>
      <w:r w:rsidRPr="004A0DFB">
        <w:rPr>
          <w:rFonts w:ascii="Lato" w:hAnsi="Lato"/>
          <w:sz w:val="20"/>
          <w:szCs w:val="20"/>
          <w:lang w:val="en-US"/>
        </w:rPr>
        <w:t>from  177</w:t>
      </w:r>
      <w:proofErr w:type="gramEnd"/>
      <w:r w:rsidRPr="004A0DFB">
        <w:rPr>
          <w:rFonts w:ascii="Lato" w:hAnsi="Lato"/>
          <w:sz w:val="20"/>
          <w:szCs w:val="20"/>
          <w:lang w:val="en-US"/>
        </w:rPr>
        <w:t xml:space="preserve"> and 35 Mt/year to 15-26 Gt/year and 3-5Gt/year, respectively).</w:t>
      </w:r>
    </w:p>
  </w:footnote>
  <w:footnote w:id="42">
    <w:p w14:paraId="38A95F77" w14:textId="77777777" w:rsidR="00161574" w:rsidRPr="004A0DFB" w:rsidRDefault="00C62FDC" w:rsidP="004A0DFB">
      <w:pPr>
        <w:spacing w:after="120" w:line="240" w:lineRule="auto"/>
        <w:jc w:val="both"/>
        <w:rPr>
          <w:rFonts w:ascii="Lato" w:eastAsia="Lato" w:hAnsi="Lato" w:cs="Lato"/>
          <w:sz w:val="20"/>
          <w:szCs w:val="20"/>
          <w:lang w:val="en-US"/>
        </w:rPr>
      </w:pPr>
      <w:r w:rsidRPr="004A0DFB">
        <w:rPr>
          <w:rFonts w:ascii="Lato" w:hAnsi="Lato"/>
          <w:vertAlign w:val="superscript"/>
        </w:rPr>
        <w:footnoteRef/>
      </w:r>
      <w:r w:rsidRPr="004A0DFB">
        <w:rPr>
          <w:rFonts w:ascii="Lato" w:eastAsia="Lato" w:hAnsi="Lato" w:cs="Lato"/>
          <w:sz w:val="20"/>
          <w:szCs w:val="20"/>
          <w:lang w:val="en-US"/>
        </w:rPr>
        <w:t xml:space="preserve"> Chatterjee S., Huang K-W, </w:t>
      </w:r>
      <w:r w:rsidRPr="004A0DFB">
        <w:rPr>
          <w:rFonts w:ascii="Lato" w:eastAsia="Lato" w:hAnsi="Lato" w:cs="Lato"/>
          <w:i/>
          <w:sz w:val="20"/>
          <w:szCs w:val="20"/>
          <w:lang w:val="en-US"/>
        </w:rPr>
        <w:t>Unrealistic energy</w:t>
      </w:r>
      <w:r w:rsidRPr="004A0DFB">
        <w:rPr>
          <w:rFonts w:ascii="Lato" w:eastAsia="Lato" w:hAnsi="Lato" w:cs="Lato"/>
          <w:i/>
          <w:sz w:val="20"/>
          <w:szCs w:val="20"/>
          <w:lang w:val="en-US"/>
        </w:rPr>
        <w:t xml:space="preserve"> and materials requirement for direct air capture in deep mitigation pathways</w:t>
      </w:r>
      <w:r w:rsidRPr="004A0DFB">
        <w:rPr>
          <w:rFonts w:ascii="Lato" w:eastAsia="Lato" w:hAnsi="Lato" w:cs="Lato"/>
          <w:sz w:val="20"/>
          <w:szCs w:val="20"/>
          <w:lang w:val="en-US"/>
        </w:rPr>
        <w:t xml:space="preserve">, </w:t>
      </w:r>
      <w:r w:rsidRPr="004A0DFB">
        <w:rPr>
          <w:rFonts w:ascii="Lato" w:eastAsia="Lato" w:hAnsi="Lato" w:cs="Lato"/>
          <w:i/>
          <w:sz w:val="20"/>
          <w:szCs w:val="20"/>
          <w:lang w:val="en-US"/>
        </w:rPr>
        <w:t>supra</w:t>
      </w:r>
      <w:r w:rsidRPr="004A0DFB">
        <w:rPr>
          <w:rFonts w:ascii="Lato" w:eastAsia="Lato" w:hAnsi="Lato" w:cs="Lato"/>
          <w:sz w:val="20"/>
          <w:szCs w:val="20"/>
          <w:lang w:val="en-US"/>
        </w:rPr>
        <w:t xml:space="preserve"> at footnote no. 26 at p. 1</w:t>
      </w:r>
    </w:p>
  </w:footnote>
  <w:footnote w:id="43">
    <w:p w14:paraId="54C01DB0" w14:textId="77777777" w:rsidR="00161574" w:rsidRPr="004A0DFB" w:rsidRDefault="00C62FDC" w:rsidP="004A0DFB">
      <w:pPr>
        <w:spacing w:after="120" w:line="240" w:lineRule="auto"/>
        <w:rPr>
          <w:rFonts w:ascii="Lato" w:hAnsi="Lato"/>
          <w:sz w:val="20"/>
          <w:szCs w:val="20"/>
          <w:lang w:val="en-US"/>
        </w:rPr>
      </w:pPr>
      <w:r w:rsidRPr="004A0DFB">
        <w:rPr>
          <w:rFonts w:ascii="Lato" w:hAnsi="Lato"/>
          <w:vertAlign w:val="superscript"/>
        </w:rPr>
        <w:footnoteRef/>
      </w:r>
      <w:r w:rsidRPr="004A0DFB">
        <w:rPr>
          <w:rFonts w:ascii="Lato" w:hAnsi="Lato"/>
          <w:sz w:val="20"/>
          <w:szCs w:val="20"/>
          <w:lang w:val="en-US"/>
        </w:rPr>
        <w:t xml:space="preserve"> </w:t>
      </w:r>
      <w:r w:rsidRPr="004A0DFB">
        <w:rPr>
          <w:rFonts w:ascii="Lato" w:eastAsia="Lato" w:hAnsi="Lato" w:cs="Lato"/>
          <w:sz w:val="20"/>
          <w:szCs w:val="20"/>
          <w:lang w:val="en-US"/>
        </w:rPr>
        <w:t xml:space="preserve">Fuss S. et al., </w:t>
      </w:r>
      <w:r w:rsidRPr="004A0DFB">
        <w:rPr>
          <w:rFonts w:ascii="Lato" w:eastAsia="Lato" w:hAnsi="Lato" w:cs="Lato"/>
          <w:i/>
          <w:sz w:val="20"/>
          <w:szCs w:val="20"/>
          <w:lang w:val="en-US"/>
        </w:rPr>
        <w:t>Negative emissions--Part 2: Costs, potentials, and side effects</w:t>
      </w:r>
      <w:r w:rsidRPr="004A0DFB">
        <w:rPr>
          <w:rFonts w:ascii="Lato" w:eastAsia="Lato" w:hAnsi="Lato" w:cs="Lato"/>
          <w:sz w:val="20"/>
          <w:szCs w:val="20"/>
          <w:lang w:val="en-US"/>
        </w:rPr>
        <w:t xml:space="preserve">, </w:t>
      </w:r>
      <w:r w:rsidRPr="004A0DFB">
        <w:rPr>
          <w:rFonts w:ascii="Lato" w:eastAsia="Lato" w:hAnsi="Lato" w:cs="Lato"/>
          <w:i/>
          <w:sz w:val="20"/>
          <w:szCs w:val="20"/>
          <w:lang w:val="en-US"/>
        </w:rPr>
        <w:t xml:space="preserve">supra </w:t>
      </w:r>
      <w:r w:rsidRPr="004A0DFB">
        <w:rPr>
          <w:rFonts w:ascii="Lato" w:eastAsia="Lato" w:hAnsi="Lato" w:cs="Lato"/>
          <w:sz w:val="20"/>
          <w:szCs w:val="20"/>
          <w:lang w:val="en-US"/>
        </w:rPr>
        <w:t>at footnote no. 13 at p. 9</w:t>
      </w:r>
    </w:p>
  </w:footnote>
  <w:footnote w:id="44">
    <w:p w14:paraId="693FD163" w14:textId="77777777" w:rsidR="00161574" w:rsidRPr="004A0DFB" w:rsidRDefault="00C62FDC" w:rsidP="004A0DFB">
      <w:pPr>
        <w:spacing w:after="120" w:line="240" w:lineRule="auto"/>
        <w:jc w:val="both"/>
        <w:rPr>
          <w:rFonts w:ascii="Lato" w:eastAsia="Lato" w:hAnsi="Lato" w:cs="Lato"/>
          <w:sz w:val="20"/>
          <w:szCs w:val="20"/>
          <w:lang w:val="en-US"/>
        </w:rPr>
      </w:pPr>
      <w:r w:rsidRPr="004A0DFB">
        <w:rPr>
          <w:rFonts w:ascii="Lato" w:hAnsi="Lato"/>
          <w:vertAlign w:val="superscript"/>
        </w:rPr>
        <w:footnoteRef/>
      </w:r>
      <w:r w:rsidRPr="004A0DFB">
        <w:rPr>
          <w:rFonts w:ascii="Lato" w:eastAsia="Lato" w:hAnsi="Lato" w:cs="Lato"/>
          <w:sz w:val="20"/>
          <w:szCs w:val="20"/>
          <w:lang w:val="en-US"/>
        </w:rPr>
        <w:t xml:space="preserve"> IPCC, </w:t>
      </w:r>
      <w:r w:rsidRPr="004A0DFB">
        <w:rPr>
          <w:rFonts w:ascii="Lato" w:eastAsia="Lato" w:hAnsi="Lato" w:cs="Lato"/>
          <w:i/>
          <w:sz w:val="20"/>
          <w:szCs w:val="20"/>
          <w:lang w:val="en-US"/>
        </w:rPr>
        <w:t>Climate Change 2022:</w:t>
      </w:r>
      <w:r w:rsidRPr="004A0DFB">
        <w:rPr>
          <w:rFonts w:ascii="Lato" w:eastAsia="Lato" w:hAnsi="Lato" w:cs="Lato"/>
          <w:i/>
          <w:sz w:val="20"/>
          <w:szCs w:val="20"/>
          <w:lang w:val="en-US"/>
        </w:rPr>
        <w:t xml:space="preserve"> Mitigation of Climate Change. Contribution of Working Group III to the Sixth Assessment Report of the Intergovernmental Panel on Climate Change</w:t>
      </w:r>
      <w:r w:rsidRPr="004A0DFB">
        <w:rPr>
          <w:rFonts w:ascii="Lato" w:eastAsia="Lato" w:hAnsi="Lato" w:cs="Lato"/>
          <w:sz w:val="20"/>
          <w:szCs w:val="20"/>
          <w:lang w:val="en-US"/>
        </w:rPr>
        <w:t xml:space="preserve">, </w:t>
      </w:r>
      <w:r w:rsidRPr="004A0DFB">
        <w:rPr>
          <w:rFonts w:ascii="Lato" w:eastAsia="Lato" w:hAnsi="Lato" w:cs="Lato"/>
          <w:i/>
          <w:sz w:val="20"/>
          <w:szCs w:val="20"/>
          <w:lang w:val="en-US"/>
        </w:rPr>
        <w:t xml:space="preserve">supra </w:t>
      </w:r>
      <w:r w:rsidRPr="004A0DFB">
        <w:rPr>
          <w:rFonts w:ascii="Lato" w:eastAsia="Lato" w:hAnsi="Lato" w:cs="Lato"/>
          <w:sz w:val="20"/>
          <w:szCs w:val="20"/>
          <w:lang w:val="en-US"/>
        </w:rPr>
        <w:t>at footnote no. 4 at p. 645</w:t>
      </w:r>
    </w:p>
  </w:footnote>
  <w:footnote w:id="45">
    <w:p w14:paraId="5050A4BF" w14:textId="77777777" w:rsidR="00161574" w:rsidRPr="004A0DFB" w:rsidRDefault="00C62FDC" w:rsidP="004A0DFB">
      <w:pPr>
        <w:spacing w:after="120" w:line="240" w:lineRule="auto"/>
        <w:jc w:val="both"/>
        <w:rPr>
          <w:rFonts w:ascii="Lato" w:eastAsia="Lato" w:hAnsi="Lato" w:cs="Lato"/>
          <w:sz w:val="20"/>
          <w:szCs w:val="20"/>
          <w:lang w:val="en-US"/>
        </w:rPr>
      </w:pPr>
      <w:r w:rsidRPr="004A0DFB">
        <w:rPr>
          <w:rFonts w:ascii="Lato" w:hAnsi="Lato"/>
          <w:vertAlign w:val="superscript"/>
        </w:rPr>
        <w:footnoteRef/>
      </w:r>
      <w:r w:rsidRPr="004A0DFB">
        <w:rPr>
          <w:rFonts w:ascii="Lato" w:eastAsia="Lato" w:hAnsi="Lato" w:cs="Lato"/>
          <w:sz w:val="20"/>
          <w:szCs w:val="20"/>
          <w:lang w:val="en-US"/>
        </w:rPr>
        <w:t xml:space="preserve"> See also IPCC, </w:t>
      </w:r>
      <w:r w:rsidRPr="004A0DFB">
        <w:rPr>
          <w:rFonts w:ascii="Lato" w:eastAsia="Lato" w:hAnsi="Lato" w:cs="Lato"/>
          <w:i/>
          <w:sz w:val="20"/>
          <w:szCs w:val="20"/>
          <w:lang w:val="en-US"/>
        </w:rPr>
        <w:t>Climate Change 2022: Mitigation of Climate Change. Contribu</w:t>
      </w:r>
      <w:r w:rsidRPr="004A0DFB">
        <w:rPr>
          <w:rFonts w:ascii="Lato" w:eastAsia="Lato" w:hAnsi="Lato" w:cs="Lato"/>
          <w:i/>
          <w:sz w:val="20"/>
          <w:szCs w:val="20"/>
          <w:lang w:val="en-US"/>
        </w:rPr>
        <w:t>tion of Working Group III to the Sixth Assessment Report of the Intergovernmental Panel on Climate Change</w:t>
      </w:r>
      <w:r w:rsidRPr="004A0DFB">
        <w:rPr>
          <w:rFonts w:ascii="Lato" w:eastAsia="Lato" w:hAnsi="Lato" w:cs="Lato"/>
          <w:sz w:val="20"/>
          <w:szCs w:val="20"/>
          <w:lang w:val="en-US"/>
        </w:rPr>
        <w:t xml:space="preserve">, </w:t>
      </w:r>
      <w:r w:rsidRPr="004A0DFB">
        <w:rPr>
          <w:rFonts w:ascii="Lato" w:eastAsia="Lato" w:hAnsi="Lato" w:cs="Lato"/>
          <w:i/>
          <w:sz w:val="20"/>
          <w:szCs w:val="20"/>
          <w:lang w:val="en-US"/>
        </w:rPr>
        <w:t>supra</w:t>
      </w:r>
      <w:r w:rsidRPr="004A0DFB">
        <w:rPr>
          <w:rFonts w:ascii="Lato" w:eastAsia="Lato" w:hAnsi="Lato" w:cs="Lato"/>
          <w:sz w:val="20"/>
          <w:szCs w:val="20"/>
          <w:lang w:val="en-US"/>
        </w:rPr>
        <w:t xml:space="preserve"> at footnote no. 4, at p. 654, recognizing that diverting water to irrigate BECCS plantations could also “double the global area and population </w:t>
      </w:r>
      <w:r w:rsidRPr="004A0DFB">
        <w:rPr>
          <w:rFonts w:ascii="Lato" w:eastAsia="Lato" w:hAnsi="Lato" w:cs="Lato"/>
          <w:sz w:val="20"/>
          <w:szCs w:val="20"/>
          <w:lang w:val="en-US"/>
        </w:rPr>
        <w:t>living under severe water stress compared to the current baseline.”</w:t>
      </w:r>
    </w:p>
  </w:footnote>
  <w:footnote w:id="46">
    <w:p w14:paraId="40CD0ECD" w14:textId="77777777" w:rsidR="00161574" w:rsidRPr="004A0DFB" w:rsidRDefault="00C62FDC" w:rsidP="004A0DFB">
      <w:pPr>
        <w:spacing w:after="120" w:line="240" w:lineRule="auto"/>
        <w:rPr>
          <w:rFonts w:ascii="Lato" w:eastAsia="Lato" w:hAnsi="Lato" w:cs="Lato"/>
          <w:sz w:val="20"/>
          <w:szCs w:val="20"/>
          <w:lang w:val="en-US"/>
        </w:rPr>
      </w:pPr>
      <w:r w:rsidRPr="004A0DFB">
        <w:rPr>
          <w:rFonts w:ascii="Lato" w:hAnsi="Lato"/>
          <w:vertAlign w:val="superscript"/>
        </w:rPr>
        <w:footnoteRef/>
      </w:r>
      <w:r w:rsidRPr="004A0DFB">
        <w:rPr>
          <w:rFonts w:ascii="Lato" w:eastAsia="Lato" w:hAnsi="Lato" w:cs="Lato"/>
          <w:sz w:val="20"/>
          <w:szCs w:val="20"/>
          <w:lang w:val="en-US"/>
        </w:rPr>
        <w:t xml:space="preserve"> Committee on Economic, Social and Cultural Rights (CESCR), General comment No. 26 (2022) on land and economic, social and cultural rights, UN Doc. E/C.12/GC/26, at para. 56</w:t>
      </w:r>
    </w:p>
  </w:footnote>
  <w:footnote w:id="47">
    <w:p w14:paraId="15BD9907" w14:textId="77777777" w:rsidR="00161574" w:rsidRPr="004A0DFB" w:rsidRDefault="00C62FDC" w:rsidP="004A0DFB">
      <w:pPr>
        <w:spacing w:after="120" w:line="240" w:lineRule="auto"/>
        <w:jc w:val="both"/>
        <w:rPr>
          <w:rFonts w:ascii="Lato" w:eastAsia="Lato" w:hAnsi="Lato" w:cs="Lato"/>
          <w:sz w:val="20"/>
          <w:szCs w:val="20"/>
          <w:lang w:val="en-US"/>
        </w:rPr>
      </w:pPr>
      <w:r w:rsidRPr="004A0DFB">
        <w:rPr>
          <w:rFonts w:ascii="Lato" w:hAnsi="Lato"/>
          <w:vertAlign w:val="superscript"/>
        </w:rPr>
        <w:footnoteRef/>
      </w:r>
      <w:r w:rsidRPr="004A0DFB">
        <w:rPr>
          <w:rFonts w:ascii="Lato" w:eastAsia="Lato" w:hAnsi="Lato" w:cs="Lato"/>
          <w:sz w:val="20"/>
          <w:szCs w:val="20"/>
          <w:lang w:val="en-US"/>
        </w:rPr>
        <w:t xml:space="preserve"> Center for </w:t>
      </w:r>
      <w:r w:rsidRPr="004A0DFB">
        <w:rPr>
          <w:rFonts w:ascii="Lato" w:eastAsia="Lato" w:hAnsi="Lato" w:cs="Lato"/>
          <w:sz w:val="20"/>
          <w:szCs w:val="20"/>
          <w:lang w:val="en-US"/>
        </w:rPr>
        <w:t xml:space="preserve">International Environmental Law, </w:t>
      </w:r>
      <w:r w:rsidRPr="004A0DFB">
        <w:rPr>
          <w:rFonts w:ascii="Lato" w:eastAsia="Lato" w:hAnsi="Lato" w:cs="Lato"/>
          <w:i/>
          <w:sz w:val="20"/>
          <w:szCs w:val="20"/>
          <w:lang w:val="en-US"/>
        </w:rPr>
        <w:t>Fuel to the fire</w:t>
      </w:r>
      <w:r w:rsidRPr="004A0DFB">
        <w:rPr>
          <w:rFonts w:ascii="Lato" w:eastAsia="Lato" w:hAnsi="Lato" w:cs="Lato"/>
          <w:sz w:val="20"/>
          <w:szCs w:val="20"/>
          <w:lang w:val="en-US"/>
        </w:rPr>
        <w:t xml:space="preserve">, </w:t>
      </w:r>
      <w:r w:rsidRPr="004A0DFB">
        <w:rPr>
          <w:rFonts w:ascii="Lato" w:eastAsia="Lato" w:hAnsi="Lato" w:cs="Lato"/>
          <w:i/>
          <w:sz w:val="20"/>
          <w:szCs w:val="20"/>
          <w:lang w:val="en-US"/>
        </w:rPr>
        <w:t xml:space="preserve">supra </w:t>
      </w:r>
      <w:r w:rsidRPr="004A0DFB">
        <w:rPr>
          <w:rFonts w:ascii="Lato" w:eastAsia="Lato" w:hAnsi="Lato" w:cs="Lato"/>
          <w:sz w:val="20"/>
          <w:szCs w:val="20"/>
          <w:lang w:val="en-US"/>
        </w:rPr>
        <w:t>at footnote no. 24 at p. 14</w:t>
      </w:r>
    </w:p>
  </w:footnote>
  <w:footnote w:id="48">
    <w:p w14:paraId="25A4711E" w14:textId="77777777" w:rsidR="00161574" w:rsidRPr="004A0DFB" w:rsidRDefault="00C62FDC" w:rsidP="004A0DFB">
      <w:pPr>
        <w:spacing w:after="120" w:line="240" w:lineRule="auto"/>
        <w:jc w:val="both"/>
        <w:rPr>
          <w:rFonts w:ascii="Lato" w:eastAsia="Lato" w:hAnsi="Lato" w:cs="Lato"/>
          <w:sz w:val="20"/>
          <w:szCs w:val="20"/>
          <w:lang w:val="en-US"/>
        </w:rPr>
      </w:pPr>
      <w:r w:rsidRPr="004A0DFB">
        <w:rPr>
          <w:rFonts w:ascii="Lato" w:hAnsi="Lato"/>
          <w:vertAlign w:val="superscript"/>
        </w:rPr>
        <w:footnoteRef/>
      </w:r>
      <w:r w:rsidRPr="004A0DFB">
        <w:rPr>
          <w:rFonts w:ascii="Lato" w:eastAsia="Lato" w:hAnsi="Lato" w:cs="Lato"/>
          <w:sz w:val="20"/>
          <w:szCs w:val="20"/>
          <w:lang w:val="en-US"/>
        </w:rPr>
        <w:t xml:space="preserve"> Report of the Special Rapporteur on the implications for human rights of the environmentally sound management and disposal of hazardous substances and wastes, Marcos Ore</w:t>
      </w:r>
      <w:r w:rsidRPr="004A0DFB">
        <w:rPr>
          <w:rFonts w:ascii="Lato" w:eastAsia="Lato" w:hAnsi="Lato" w:cs="Lato"/>
          <w:sz w:val="20"/>
          <w:szCs w:val="20"/>
          <w:lang w:val="en-US"/>
        </w:rPr>
        <w:t xml:space="preserve">llana, </w:t>
      </w:r>
      <w:r w:rsidRPr="004A0DFB">
        <w:rPr>
          <w:rFonts w:ascii="Lato" w:eastAsia="Lato" w:hAnsi="Lato" w:cs="Lato"/>
          <w:i/>
          <w:sz w:val="20"/>
          <w:szCs w:val="20"/>
          <w:lang w:val="en-US"/>
        </w:rPr>
        <w:t>The impact of toxic substances on the human rights of indigenous peoples</w:t>
      </w:r>
      <w:r w:rsidRPr="004A0DFB">
        <w:rPr>
          <w:rFonts w:ascii="Lato" w:eastAsia="Lato" w:hAnsi="Lato" w:cs="Lato"/>
          <w:sz w:val="20"/>
          <w:szCs w:val="20"/>
          <w:lang w:val="en-US"/>
        </w:rPr>
        <w:t xml:space="preserve">, 2022, report no. A/77/183, available at </w:t>
      </w:r>
      <w:hyperlink r:id="rId25">
        <w:r w:rsidRPr="004A0DFB">
          <w:rPr>
            <w:rFonts w:ascii="Lato" w:eastAsia="Lato" w:hAnsi="Lato" w:cs="Lato"/>
            <w:color w:val="1155CC"/>
            <w:sz w:val="20"/>
            <w:szCs w:val="20"/>
            <w:u w:val="single"/>
            <w:lang w:val="en-US"/>
          </w:rPr>
          <w:t>https://www.ohchr.org/en/documents/thematic-reports/a77183-impact-toxic-substances-human-rights-indigenous-peoples-report</w:t>
        </w:r>
      </w:hyperlink>
      <w:r w:rsidRPr="004A0DFB">
        <w:rPr>
          <w:rFonts w:ascii="Lato" w:eastAsia="Lato" w:hAnsi="Lato" w:cs="Lato"/>
          <w:sz w:val="20"/>
          <w:szCs w:val="20"/>
          <w:lang w:val="en-US"/>
        </w:rPr>
        <w:t xml:space="preserve">, </w:t>
      </w:r>
      <w:proofErr w:type="spellStart"/>
      <w:r w:rsidRPr="004A0DFB">
        <w:rPr>
          <w:rFonts w:ascii="Lato" w:eastAsia="Lato" w:hAnsi="Lato" w:cs="Lato"/>
          <w:sz w:val="20"/>
          <w:szCs w:val="20"/>
          <w:lang w:val="en-US"/>
        </w:rPr>
        <w:t>at</w:t>
      </w:r>
      <w:proofErr w:type="spellEnd"/>
      <w:r w:rsidRPr="004A0DFB">
        <w:rPr>
          <w:rFonts w:ascii="Lato" w:eastAsia="Lato" w:hAnsi="Lato" w:cs="Lato"/>
          <w:sz w:val="20"/>
          <w:szCs w:val="20"/>
          <w:lang w:val="en-US"/>
        </w:rPr>
        <w:t xml:space="preserve"> pp. 9-10</w:t>
      </w:r>
    </w:p>
  </w:footnote>
  <w:footnote w:id="49">
    <w:p w14:paraId="309461FE" w14:textId="77777777" w:rsidR="00161574" w:rsidRPr="004A0DFB" w:rsidRDefault="00C62FDC" w:rsidP="004A0DFB">
      <w:pPr>
        <w:spacing w:after="120" w:line="240" w:lineRule="auto"/>
        <w:jc w:val="both"/>
        <w:rPr>
          <w:rFonts w:ascii="Lato" w:eastAsia="Lato" w:hAnsi="Lato" w:cs="Lato"/>
          <w:sz w:val="20"/>
          <w:szCs w:val="20"/>
          <w:lang w:val="en-US"/>
        </w:rPr>
      </w:pPr>
      <w:r w:rsidRPr="004A0DFB">
        <w:rPr>
          <w:rFonts w:ascii="Lato" w:hAnsi="Lato"/>
          <w:vertAlign w:val="superscript"/>
        </w:rPr>
        <w:footnoteRef/>
      </w:r>
      <w:r w:rsidRPr="004A0DFB">
        <w:rPr>
          <w:rFonts w:ascii="Lato" w:eastAsia="Lato" w:hAnsi="Lato" w:cs="Lato"/>
          <w:sz w:val="20"/>
          <w:szCs w:val="20"/>
          <w:lang w:val="en-US"/>
        </w:rPr>
        <w:t xml:space="preserve"> See respectively Committee on the Elimination of Discrimination against Women (CEDAW), Concluding Observations to Colombia (2016), CEDAW/C/HND/CO/7-8; Committee on the Rights of the Child (CRC), Concluding Observations to Brazil (2015), CRC/C/BRA/CO/2-4; </w:t>
      </w:r>
      <w:r w:rsidRPr="004A0DFB">
        <w:rPr>
          <w:rFonts w:ascii="Lato" w:eastAsia="Lato" w:hAnsi="Lato" w:cs="Lato"/>
          <w:sz w:val="20"/>
          <w:szCs w:val="20"/>
          <w:lang w:val="en-US"/>
        </w:rPr>
        <w:t>Committee on Economic, Social and Cultural Rights (CESCR), Concluding Observations to Sri Lanka (2017), E/C.12/LKA/CO5</w:t>
      </w:r>
    </w:p>
  </w:footnote>
  <w:footnote w:id="50">
    <w:p w14:paraId="47801BCC" w14:textId="77777777" w:rsidR="00161574" w:rsidRPr="004A0DFB" w:rsidRDefault="00C62FDC" w:rsidP="004A0DFB">
      <w:pPr>
        <w:spacing w:after="120" w:line="240" w:lineRule="auto"/>
        <w:rPr>
          <w:rFonts w:ascii="Lato" w:eastAsia="Lato" w:hAnsi="Lato" w:cs="Lato"/>
          <w:sz w:val="20"/>
          <w:szCs w:val="20"/>
          <w:lang w:val="en-US"/>
        </w:rPr>
      </w:pPr>
      <w:r w:rsidRPr="004A0DFB">
        <w:rPr>
          <w:rFonts w:ascii="Lato" w:hAnsi="Lato"/>
          <w:vertAlign w:val="superscript"/>
        </w:rPr>
        <w:footnoteRef/>
      </w:r>
      <w:r w:rsidRPr="004A0DFB">
        <w:rPr>
          <w:rFonts w:ascii="Lato" w:eastAsia="Lato" w:hAnsi="Lato" w:cs="Lato"/>
          <w:sz w:val="20"/>
          <w:szCs w:val="20"/>
          <w:lang w:val="en-US"/>
        </w:rPr>
        <w:t xml:space="preserve"> IPCC, Climate Change 2022: Mitigation of Climate Change. Contribution of Working Group III to the Sixth Assessment Report of the Interg</w:t>
      </w:r>
      <w:r w:rsidRPr="004A0DFB">
        <w:rPr>
          <w:rFonts w:ascii="Lato" w:eastAsia="Lato" w:hAnsi="Lato" w:cs="Lato"/>
          <w:sz w:val="20"/>
          <w:szCs w:val="20"/>
          <w:lang w:val="en-US"/>
        </w:rPr>
        <w:t>overnmental Panel on Climate Change, 2022, supra at footnote no. 4, at p. 654.</w:t>
      </w:r>
    </w:p>
  </w:footnote>
  <w:footnote w:id="51">
    <w:p w14:paraId="18B748BD" w14:textId="77777777" w:rsidR="00161574" w:rsidRPr="004A0DFB" w:rsidRDefault="00C62FDC" w:rsidP="004A0DFB">
      <w:pPr>
        <w:spacing w:after="120" w:line="240" w:lineRule="auto"/>
        <w:jc w:val="both"/>
        <w:rPr>
          <w:rFonts w:ascii="Lato" w:eastAsia="Lato" w:hAnsi="Lato" w:cs="Lato"/>
          <w:sz w:val="20"/>
          <w:szCs w:val="20"/>
          <w:lang w:val="en-US"/>
        </w:rPr>
      </w:pPr>
      <w:r w:rsidRPr="004A0DFB">
        <w:rPr>
          <w:rFonts w:ascii="Lato" w:hAnsi="Lato"/>
          <w:vertAlign w:val="superscript"/>
        </w:rPr>
        <w:footnoteRef/>
      </w:r>
      <w:r w:rsidRPr="004A0DFB">
        <w:rPr>
          <w:rFonts w:ascii="Lato" w:eastAsia="Lato" w:hAnsi="Lato" w:cs="Lato"/>
          <w:sz w:val="20"/>
          <w:szCs w:val="20"/>
          <w:lang w:val="en-US"/>
        </w:rPr>
        <w:t xml:space="preserve"> Fuss S. et al., </w:t>
      </w:r>
      <w:r w:rsidRPr="004A0DFB">
        <w:rPr>
          <w:rFonts w:ascii="Lato" w:eastAsia="Lato" w:hAnsi="Lato" w:cs="Lato"/>
          <w:i/>
          <w:sz w:val="20"/>
          <w:szCs w:val="20"/>
          <w:lang w:val="en-US"/>
        </w:rPr>
        <w:t>Negative emissions--Part 2: Costs, potentials, and side effects</w:t>
      </w:r>
      <w:r w:rsidRPr="004A0DFB">
        <w:rPr>
          <w:rFonts w:ascii="Lato" w:eastAsia="Lato" w:hAnsi="Lato" w:cs="Lato"/>
          <w:sz w:val="20"/>
          <w:szCs w:val="20"/>
          <w:lang w:val="en-US"/>
        </w:rPr>
        <w:t xml:space="preserve">, </w:t>
      </w:r>
      <w:r w:rsidRPr="004A0DFB">
        <w:rPr>
          <w:rFonts w:ascii="Lato" w:eastAsia="Lato" w:hAnsi="Lato" w:cs="Lato"/>
          <w:i/>
          <w:sz w:val="20"/>
          <w:szCs w:val="20"/>
          <w:lang w:val="en-US"/>
        </w:rPr>
        <w:t xml:space="preserve">supra </w:t>
      </w:r>
      <w:r w:rsidRPr="004A0DFB">
        <w:rPr>
          <w:rFonts w:ascii="Lato" w:eastAsia="Lato" w:hAnsi="Lato" w:cs="Lato"/>
          <w:sz w:val="20"/>
          <w:szCs w:val="20"/>
          <w:lang w:val="en-US"/>
        </w:rPr>
        <w:t>at footnote no. 13 at p. 14</w:t>
      </w:r>
    </w:p>
  </w:footnote>
  <w:footnote w:id="52">
    <w:p w14:paraId="4A6E3627" w14:textId="77777777" w:rsidR="00161574" w:rsidRPr="004A0DFB" w:rsidRDefault="00C62FDC" w:rsidP="004A0DFB">
      <w:pPr>
        <w:spacing w:after="120" w:line="240" w:lineRule="auto"/>
        <w:jc w:val="both"/>
        <w:rPr>
          <w:rFonts w:ascii="Lato" w:eastAsia="Lato" w:hAnsi="Lato" w:cs="Lato"/>
          <w:sz w:val="20"/>
          <w:szCs w:val="20"/>
          <w:lang w:val="en-US"/>
        </w:rPr>
      </w:pPr>
      <w:r w:rsidRPr="004A0DFB">
        <w:rPr>
          <w:rFonts w:ascii="Lato" w:hAnsi="Lato"/>
          <w:vertAlign w:val="superscript"/>
        </w:rPr>
        <w:footnoteRef/>
      </w:r>
      <w:r w:rsidRPr="004A0DFB">
        <w:rPr>
          <w:rFonts w:ascii="Lato" w:eastAsia="Lato" w:hAnsi="Lato" w:cs="Lato"/>
          <w:sz w:val="20"/>
          <w:szCs w:val="20"/>
          <w:lang w:val="en-US"/>
        </w:rPr>
        <w:t xml:space="preserve"> The IPCC notes the “modest role played by hydrogen” in int</w:t>
      </w:r>
      <w:r w:rsidRPr="004A0DFB">
        <w:rPr>
          <w:rFonts w:ascii="Lato" w:eastAsia="Lato" w:hAnsi="Lato" w:cs="Lato"/>
          <w:sz w:val="20"/>
          <w:szCs w:val="20"/>
          <w:lang w:val="en-US"/>
        </w:rPr>
        <w:t xml:space="preserve">egrated assessment model (IAM) scenarios, estimating that hydrogen will amount to only 2.1% of final energy consumption in 2050. IPCC, </w:t>
      </w:r>
      <w:r w:rsidRPr="004A0DFB">
        <w:rPr>
          <w:rFonts w:ascii="Lato" w:eastAsia="Lato" w:hAnsi="Lato" w:cs="Lato"/>
          <w:i/>
          <w:sz w:val="20"/>
          <w:szCs w:val="20"/>
          <w:lang w:val="en-US"/>
        </w:rPr>
        <w:t>Climate Change 2022: Mitigation of Climate Change. Contribution of Working Group III to the Sixth Assessment Report of th</w:t>
      </w:r>
      <w:r w:rsidRPr="004A0DFB">
        <w:rPr>
          <w:rFonts w:ascii="Lato" w:eastAsia="Lato" w:hAnsi="Lato" w:cs="Lato"/>
          <w:i/>
          <w:sz w:val="20"/>
          <w:szCs w:val="20"/>
          <w:lang w:val="en-US"/>
        </w:rPr>
        <w:t>e Intergovernmental Panel on Climate Change</w:t>
      </w:r>
      <w:r w:rsidRPr="004A0DFB">
        <w:rPr>
          <w:rFonts w:ascii="Lato" w:eastAsia="Lato" w:hAnsi="Lato" w:cs="Lato"/>
          <w:sz w:val="20"/>
          <w:szCs w:val="20"/>
          <w:lang w:val="en-US"/>
        </w:rPr>
        <w:t xml:space="preserve">, supra at footnote no. 3, at p. 1315. See also Earthjustice, </w:t>
      </w:r>
      <w:r w:rsidRPr="004A0DFB">
        <w:rPr>
          <w:rFonts w:ascii="Lato" w:eastAsia="Lato" w:hAnsi="Lato" w:cs="Lato"/>
          <w:i/>
          <w:color w:val="1155CC"/>
          <w:sz w:val="20"/>
          <w:szCs w:val="20"/>
          <w:u w:val="single"/>
          <w:lang w:val="en-US"/>
        </w:rPr>
        <w:t>Reclaiming Hydrogen for a Renewable Future: Distinguishing Oil &amp; Gas Industry Spin from Zero-Emission Solutions</w:t>
      </w:r>
      <w:r w:rsidRPr="004A0DFB">
        <w:rPr>
          <w:rFonts w:ascii="Lato" w:eastAsia="Lato" w:hAnsi="Lato" w:cs="Lato"/>
          <w:sz w:val="20"/>
          <w:szCs w:val="20"/>
          <w:lang w:val="en-US"/>
        </w:rPr>
        <w:t xml:space="preserve"> (Aug. 2021) (discussing limited applica</w:t>
      </w:r>
      <w:r w:rsidRPr="004A0DFB">
        <w:rPr>
          <w:rFonts w:ascii="Lato" w:eastAsia="Lato" w:hAnsi="Lato" w:cs="Lato"/>
          <w:sz w:val="20"/>
          <w:szCs w:val="20"/>
          <w:lang w:val="en-US"/>
        </w:rPr>
        <w:t>tions of green hydrogen).</w:t>
      </w:r>
    </w:p>
  </w:footnote>
  <w:footnote w:id="53">
    <w:p w14:paraId="0120588E" w14:textId="77777777" w:rsidR="00161574" w:rsidRPr="004A0DFB" w:rsidRDefault="00C62FDC" w:rsidP="004A0DFB">
      <w:pPr>
        <w:spacing w:after="120" w:line="240" w:lineRule="auto"/>
        <w:jc w:val="both"/>
        <w:rPr>
          <w:rFonts w:ascii="Lato" w:eastAsia="Lato" w:hAnsi="Lato" w:cs="Lato"/>
          <w:sz w:val="20"/>
          <w:szCs w:val="20"/>
          <w:lang w:val="en-US"/>
        </w:rPr>
      </w:pPr>
      <w:r w:rsidRPr="004A0DFB">
        <w:rPr>
          <w:rFonts w:ascii="Lato" w:hAnsi="Lato"/>
          <w:vertAlign w:val="superscript"/>
        </w:rPr>
        <w:footnoteRef/>
      </w:r>
      <w:r w:rsidRPr="004A0DFB">
        <w:rPr>
          <w:rFonts w:ascii="Lato" w:eastAsia="Lato" w:hAnsi="Lato" w:cs="Lato"/>
          <w:sz w:val="20"/>
          <w:szCs w:val="20"/>
          <w:lang w:val="en-US"/>
        </w:rPr>
        <w:t xml:space="preserve"> </w:t>
      </w:r>
      <w:proofErr w:type="spellStart"/>
      <w:r w:rsidRPr="004A0DFB">
        <w:rPr>
          <w:rFonts w:ascii="Lato" w:eastAsia="Lato" w:hAnsi="Lato" w:cs="Lato"/>
          <w:sz w:val="20"/>
          <w:szCs w:val="20"/>
          <w:lang w:val="en-US"/>
        </w:rPr>
        <w:t>Ghavam</w:t>
      </w:r>
      <w:proofErr w:type="spellEnd"/>
      <w:r w:rsidRPr="004A0DFB">
        <w:rPr>
          <w:rFonts w:ascii="Lato" w:eastAsia="Lato" w:hAnsi="Lato" w:cs="Lato"/>
          <w:sz w:val="20"/>
          <w:szCs w:val="20"/>
          <w:lang w:val="en-US"/>
        </w:rPr>
        <w:t xml:space="preserve"> S. et al., </w:t>
      </w:r>
      <w:r w:rsidRPr="004A0DFB">
        <w:rPr>
          <w:rFonts w:ascii="Lato" w:eastAsia="Lato" w:hAnsi="Lato" w:cs="Lato"/>
          <w:i/>
          <w:sz w:val="20"/>
          <w:szCs w:val="20"/>
          <w:lang w:val="en-US"/>
        </w:rPr>
        <w:t>Sustainable Ammonia Production Processes</w:t>
      </w:r>
      <w:r w:rsidRPr="004A0DFB">
        <w:rPr>
          <w:rFonts w:ascii="Lato" w:eastAsia="Lato" w:hAnsi="Lato" w:cs="Lato"/>
          <w:sz w:val="20"/>
          <w:szCs w:val="20"/>
          <w:lang w:val="en-US"/>
        </w:rPr>
        <w:t xml:space="preserve">, in Frontiers in Energy Research, 2021, 9(3), available at </w:t>
      </w:r>
      <w:hyperlink r:id="rId26">
        <w:r w:rsidRPr="004A0DFB">
          <w:rPr>
            <w:rFonts w:ascii="Lato" w:eastAsia="Lato" w:hAnsi="Lato" w:cs="Lato"/>
            <w:color w:val="1155CC"/>
            <w:sz w:val="20"/>
            <w:szCs w:val="20"/>
            <w:u w:val="single"/>
            <w:lang w:val="en-US"/>
          </w:rPr>
          <w:t>https://doi.org/10.3389/fenrg.2021.580808</w:t>
        </w:r>
      </w:hyperlink>
    </w:p>
  </w:footnote>
  <w:footnote w:id="54">
    <w:p w14:paraId="50F1DFA8" w14:textId="77777777" w:rsidR="00161574" w:rsidRPr="004A0DFB" w:rsidRDefault="00C62FDC" w:rsidP="004A0DFB">
      <w:pPr>
        <w:spacing w:after="120" w:line="240" w:lineRule="auto"/>
        <w:jc w:val="both"/>
        <w:rPr>
          <w:rFonts w:ascii="Lato" w:eastAsia="Lato" w:hAnsi="Lato" w:cs="Lato"/>
          <w:sz w:val="20"/>
          <w:szCs w:val="20"/>
          <w:lang w:val="en-US"/>
        </w:rPr>
      </w:pPr>
      <w:r w:rsidRPr="004A0DFB">
        <w:rPr>
          <w:rFonts w:ascii="Lato" w:hAnsi="Lato"/>
          <w:vertAlign w:val="superscript"/>
        </w:rPr>
        <w:footnoteRef/>
      </w:r>
      <w:r w:rsidRPr="004A0DFB">
        <w:rPr>
          <w:rFonts w:ascii="Lato" w:eastAsia="Lato" w:hAnsi="Lato" w:cs="Lato"/>
          <w:sz w:val="20"/>
          <w:szCs w:val="20"/>
          <w:lang w:val="en-US"/>
        </w:rPr>
        <w:t xml:space="preserve"> Cente</w:t>
      </w:r>
      <w:r w:rsidRPr="004A0DFB">
        <w:rPr>
          <w:rFonts w:ascii="Lato" w:eastAsia="Lato" w:hAnsi="Lato" w:cs="Lato"/>
          <w:sz w:val="20"/>
          <w:szCs w:val="20"/>
          <w:lang w:val="en-US"/>
        </w:rPr>
        <w:t xml:space="preserve">r for International Environmental Law, </w:t>
      </w:r>
      <w:r w:rsidRPr="004A0DFB">
        <w:rPr>
          <w:rFonts w:ascii="Lato" w:eastAsia="Lato" w:hAnsi="Lato" w:cs="Lato"/>
          <w:i/>
          <w:sz w:val="20"/>
          <w:szCs w:val="20"/>
          <w:lang w:val="en-US"/>
        </w:rPr>
        <w:t>Fuel to the fire</w:t>
      </w:r>
      <w:r w:rsidRPr="004A0DFB">
        <w:rPr>
          <w:rFonts w:ascii="Lato" w:eastAsia="Lato" w:hAnsi="Lato" w:cs="Lato"/>
          <w:sz w:val="20"/>
          <w:szCs w:val="20"/>
          <w:lang w:val="en-US"/>
        </w:rPr>
        <w:t xml:space="preserve">, </w:t>
      </w:r>
      <w:r w:rsidRPr="004A0DFB">
        <w:rPr>
          <w:rFonts w:ascii="Lato" w:eastAsia="Lato" w:hAnsi="Lato" w:cs="Lato"/>
          <w:i/>
          <w:sz w:val="20"/>
          <w:szCs w:val="20"/>
          <w:lang w:val="en-US"/>
        </w:rPr>
        <w:t xml:space="preserve">supra </w:t>
      </w:r>
      <w:r w:rsidRPr="004A0DFB">
        <w:rPr>
          <w:rFonts w:ascii="Lato" w:eastAsia="Lato" w:hAnsi="Lato" w:cs="Lato"/>
          <w:sz w:val="20"/>
          <w:szCs w:val="20"/>
          <w:lang w:val="en-US"/>
        </w:rPr>
        <w:t xml:space="preserve">at footnote no. 24 at p. 31; </w:t>
      </w:r>
      <w:r w:rsidRPr="004A0DFB">
        <w:rPr>
          <w:rFonts w:ascii="Lato" w:eastAsia="Lato" w:hAnsi="Lato" w:cs="Lato"/>
          <w:i/>
          <w:sz w:val="20"/>
          <w:szCs w:val="20"/>
          <w:lang w:val="en-US"/>
        </w:rPr>
        <w:t xml:space="preserve">see </w:t>
      </w:r>
      <w:r w:rsidRPr="004A0DFB">
        <w:rPr>
          <w:rFonts w:ascii="Lato" w:eastAsia="Lato" w:hAnsi="Lato" w:cs="Lato"/>
          <w:sz w:val="20"/>
          <w:szCs w:val="20"/>
          <w:lang w:val="en-US"/>
        </w:rPr>
        <w:t xml:space="preserve">Clean Energy Group, </w:t>
      </w:r>
      <w:hyperlink r:id="rId27">
        <w:r w:rsidRPr="004A0DFB">
          <w:rPr>
            <w:rFonts w:ascii="Lato" w:eastAsia="Lato" w:hAnsi="Lato" w:cs="Lato"/>
            <w:color w:val="1155CC"/>
            <w:sz w:val="20"/>
            <w:szCs w:val="20"/>
            <w:u w:val="single"/>
            <w:lang w:val="en-US"/>
          </w:rPr>
          <w:t>Five Reasons to Be C</w:t>
        </w:r>
        <w:r w:rsidRPr="004A0DFB">
          <w:rPr>
            <w:rFonts w:ascii="Lato" w:eastAsia="Lato" w:hAnsi="Lato" w:cs="Lato"/>
            <w:color w:val="1155CC"/>
            <w:sz w:val="20"/>
            <w:szCs w:val="20"/>
            <w:u w:val="single"/>
            <w:lang w:val="en-US"/>
          </w:rPr>
          <w:t>oncerned about Green Hydrogen</w:t>
        </w:r>
      </w:hyperlink>
      <w:r w:rsidRPr="004A0DFB">
        <w:rPr>
          <w:rFonts w:ascii="Lato" w:eastAsia="Lato" w:hAnsi="Lato" w:cs="Lato"/>
          <w:sz w:val="20"/>
          <w:szCs w:val="20"/>
          <w:lang w:val="en-US"/>
        </w:rPr>
        <w:t xml:space="preserve"> (Sept. 2021). </w:t>
      </w:r>
    </w:p>
  </w:footnote>
  <w:footnote w:id="55">
    <w:p w14:paraId="6A1DFFFB" w14:textId="77777777" w:rsidR="00161574" w:rsidRPr="004A0DFB" w:rsidRDefault="00C62FDC" w:rsidP="004A0DFB">
      <w:pPr>
        <w:spacing w:after="120" w:line="240" w:lineRule="auto"/>
        <w:rPr>
          <w:rFonts w:ascii="Lato" w:eastAsia="Lato" w:hAnsi="Lato" w:cs="Lato"/>
          <w:sz w:val="20"/>
          <w:szCs w:val="20"/>
          <w:lang w:val="en-US"/>
        </w:rPr>
      </w:pPr>
      <w:r w:rsidRPr="004A0DFB">
        <w:rPr>
          <w:rFonts w:ascii="Lato" w:hAnsi="Lato"/>
          <w:vertAlign w:val="superscript"/>
        </w:rPr>
        <w:footnoteRef/>
      </w:r>
      <w:r w:rsidRPr="004A0DFB">
        <w:rPr>
          <w:rFonts w:ascii="Lato" w:eastAsia="Lato" w:hAnsi="Lato" w:cs="Lato"/>
          <w:sz w:val="20"/>
          <w:szCs w:val="20"/>
          <w:lang w:val="en-US"/>
        </w:rPr>
        <w:t xml:space="preserve"> See International Energy Agency (IEA), Global hydrogen demand by sector in the Net Zero Scenario, 2019-</w:t>
      </w:r>
      <w:proofErr w:type="gramStart"/>
      <w:r w:rsidRPr="004A0DFB">
        <w:rPr>
          <w:rFonts w:ascii="Lato" w:eastAsia="Lato" w:hAnsi="Lato" w:cs="Lato"/>
          <w:sz w:val="20"/>
          <w:szCs w:val="20"/>
          <w:lang w:val="en-US"/>
        </w:rPr>
        <w:t>2030;  IEA</w:t>
      </w:r>
      <w:proofErr w:type="gramEnd"/>
      <w:r w:rsidRPr="004A0DFB">
        <w:rPr>
          <w:rFonts w:ascii="Lato" w:eastAsia="Lato" w:hAnsi="Lato" w:cs="Lato"/>
          <w:sz w:val="20"/>
          <w:szCs w:val="20"/>
          <w:lang w:val="en-US"/>
        </w:rPr>
        <w:t>, Global demand for pure hydrogen, 1975-2018. See also CIEL, Fossils, Fertilizers and False Solu</w:t>
      </w:r>
      <w:r w:rsidRPr="004A0DFB">
        <w:rPr>
          <w:rFonts w:ascii="Lato" w:eastAsia="Lato" w:hAnsi="Lato" w:cs="Lato"/>
          <w:sz w:val="20"/>
          <w:szCs w:val="20"/>
          <w:lang w:val="en-US"/>
        </w:rPr>
        <w:t xml:space="preserve">tions: How Laundering Agrochemicals Puts the Climate and Planet at Risk (2022) (discussing the use of hydrogen for ammonia-based fertilizer production, and, in Part </w:t>
      </w:r>
      <w:proofErr w:type="gramStart"/>
      <w:r w:rsidRPr="004A0DFB">
        <w:rPr>
          <w:rFonts w:ascii="Lato" w:eastAsia="Lato" w:hAnsi="Lato" w:cs="Lato"/>
          <w:sz w:val="20"/>
          <w:szCs w:val="20"/>
          <w:lang w:val="en-US"/>
        </w:rPr>
        <w:t>2,  hydrogen</w:t>
      </w:r>
      <w:proofErr w:type="gramEnd"/>
      <w:r w:rsidRPr="004A0DFB">
        <w:rPr>
          <w:rFonts w:ascii="Lato" w:eastAsia="Lato" w:hAnsi="Lato" w:cs="Lato"/>
          <w:sz w:val="20"/>
          <w:szCs w:val="20"/>
          <w:lang w:val="en-US"/>
        </w:rPr>
        <w:t xml:space="preserve"> and ammonia as risky, false climate solutions).</w:t>
      </w:r>
    </w:p>
  </w:footnote>
  <w:footnote w:id="56">
    <w:p w14:paraId="1BF21E39" w14:textId="77777777" w:rsidR="00161574" w:rsidRPr="004A0DFB" w:rsidRDefault="00C62FDC" w:rsidP="004A0DFB">
      <w:pPr>
        <w:spacing w:after="120" w:line="240" w:lineRule="auto"/>
        <w:jc w:val="both"/>
        <w:rPr>
          <w:rFonts w:ascii="Lato" w:eastAsia="Lato" w:hAnsi="Lato" w:cs="Lato"/>
          <w:sz w:val="20"/>
          <w:szCs w:val="20"/>
          <w:lang w:val="en-US"/>
        </w:rPr>
      </w:pPr>
      <w:r w:rsidRPr="004A0DFB">
        <w:rPr>
          <w:rFonts w:ascii="Lato" w:hAnsi="Lato"/>
          <w:vertAlign w:val="superscript"/>
        </w:rPr>
        <w:footnoteRef/>
      </w:r>
      <w:r w:rsidRPr="004A0DFB">
        <w:rPr>
          <w:rFonts w:ascii="Lato" w:eastAsia="Lato" w:hAnsi="Lato" w:cs="Lato"/>
          <w:sz w:val="20"/>
          <w:szCs w:val="20"/>
          <w:lang w:val="en-US"/>
        </w:rPr>
        <w:t xml:space="preserve"> The Fertilizer Institute, </w:t>
      </w:r>
      <w:r w:rsidRPr="004A0DFB">
        <w:rPr>
          <w:rFonts w:ascii="Lato" w:eastAsia="Lato" w:hAnsi="Lato" w:cs="Lato"/>
          <w:i/>
          <w:sz w:val="20"/>
          <w:szCs w:val="20"/>
          <w:lang w:val="en-US"/>
        </w:rPr>
        <w:t>He</w:t>
      </w:r>
      <w:r w:rsidRPr="004A0DFB">
        <w:rPr>
          <w:rFonts w:ascii="Lato" w:eastAsia="Lato" w:hAnsi="Lato" w:cs="Lato"/>
          <w:i/>
          <w:sz w:val="20"/>
          <w:szCs w:val="20"/>
          <w:lang w:val="en-US"/>
        </w:rPr>
        <w:t>alth Effects of Ammonia</w:t>
      </w:r>
      <w:r w:rsidRPr="004A0DFB">
        <w:rPr>
          <w:rFonts w:ascii="Lato" w:eastAsia="Lato" w:hAnsi="Lato" w:cs="Lato"/>
          <w:sz w:val="20"/>
          <w:szCs w:val="20"/>
          <w:lang w:val="en-US"/>
        </w:rPr>
        <w:t xml:space="preserve">, Washington DC: The Fertilizer Institute, 10, available at </w:t>
      </w:r>
      <w:hyperlink r:id="rId28">
        <w:r w:rsidRPr="004A0DFB">
          <w:rPr>
            <w:rFonts w:ascii="Lato" w:eastAsia="Lato" w:hAnsi="Lato" w:cs="Lato"/>
            <w:color w:val="1155CC"/>
            <w:sz w:val="20"/>
            <w:szCs w:val="20"/>
            <w:u w:val="single"/>
            <w:lang w:val="en-US"/>
          </w:rPr>
          <w:t>https://www.tfi.org/sites/default/files/documents/HealthAmmoniaFINAL.pdf</w:t>
        </w:r>
      </w:hyperlink>
    </w:p>
  </w:footnote>
  <w:footnote w:id="57">
    <w:p w14:paraId="327E229C" w14:textId="77777777" w:rsidR="00161574" w:rsidRPr="004A0DFB" w:rsidRDefault="00C62FDC" w:rsidP="004A0DFB">
      <w:pPr>
        <w:spacing w:after="120" w:line="240" w:lineRule="auto"/>
        <w:rPr>
          <w:rFonts w:ascii="Lato" w:eastAsia="Lato" w:hAnsi="Lato" w:cs="Lato"/>
          <w:i/>
          <w:sz w:val="20"/>
          <w:szCs w:val="20"/>
          <w:lang w:val="en-US"/>
        </w:rPr>
      </w:pPr>
      <w:r w:rsidRPr="004A0DFB">
        <w:rPr>
          <w:rFonts w:ascii="Lato" w:hAnsi="Lato"/>
          <w:vertAlign w:val="superscript"/>
        </w:rPr>
        <w:footnoteRef/>
      </w:r>
      <w:r w:rsidRPr="004A0DFB">
        <w:rPr>
          <w:rFonts w:ascii="Lato" w:eastAsia="Lato" w:hAnsi="Lato" w:cs="Lato"/>
          <w:sz w:val="20"/>
          <w:szCs w:val="20"/>
          <w:lang w:val="en-US"/>
        </w:rPr>
        <w:t xml:space="preserve"> See Agency for Toxic Substances and Disease Registry, </w:t>
      </w:r>
      <w:r w:rsidRPr="004A0DFB">
        <w:rPr>
          <w:rFonts w:ascii="Lato" w:eastAsia="Lato" w:hAnsi="Lato" w:cs="Lato"/>
          <w:i/>
          <w:sz w:val="20"/>
          <w:szCs w:val="20"/>
          <w:lang w:val="en-US"/>
        </w:rPr>
        <w:t>supra</w:t>
      </w:r>
      <w:r w:rsidRPr="004A0DFB">
        <w:rPr>
          <w:rFonts w:ascii="Lato" w:eastAsia="Lato" w:hAnsi="Lato" w:cs="Lato"/>
          <w:sz w:val="20"/>
          <w:szCs w:val="20"/>
          <w:lang w:val="en-US"/>
        </w:rPr>
        <w:t xml:space="preserve"> at footnote no. 10</w:t>
      </w:r>
    </w:p>
  </w:footnote>
  <w:footnote w:id="58">
    <w:p w14:paraId="2C029377" w14:textId="77777777" w:rsidR="00161574" w:rsidRPr="004A0DFB" w:rsidRDefault="00C62FDC" w:rsidP="004A0DFB">
      <w:pPr>
        <w:spacing w:after="120" w:line="240" w:lineRule="auto"/>
        <w:jc w:val="both"/>
        <w:rPr>
          <w:rFonts w:ascii="Lato" w:eastAsia="Lato" w:hAnsi="Lato" w:cs="Lato"/>
          <w:sz w:val="20"/>
          <w:szCs w:val="20"/>
          <w:lang w:val="en-US"/>
        </w:rPr>
      </w:pPr>
      <w:r w:rsidRPr="004A0DFB">
        <w:rPr>
          <w:rFonts w:ascii="Lato" w:hAnsi="Lato"/>
          <w:vertAlign w:val="superscript"/>
        </w:rPr>
        <w:footnoteRef/>
      </w:r>
      <w:r w:rsidRPr="004A0DFB">
        <w:rPr>
          <w:rFonts w:ascii="Lato" w:eastAsia="Lato" w:hAnsi="Lato" w:cs="Lato"/>
          <w:sz w:val="20"/>
          <w:szCs w:val="20"/>
          <w:lang w:val="en-US"/>
        </w:rPr>
        <w:t xml:space="preserve"> Center for International Environmental Law, </w:t>
      </w:r>
      <w:r w:rsidRPr="004A0DFB">
        <w:rPr>
          <w:rFonts w:ascii="Lato" w:eastAsia="Lato" w:hAnsi="Lato" w:cs="Lato"/>
          <w:i/>
          <w:sz w:val="20"/>
          <w:szCs w:val="20"/>
          <w:lang w:val="en-US"/>
        </w:rPr>
        <w:t>Fossils, Fertilizers, and False Solutions</w:t>
      </w:r>
      <w:r w:rsidRPr="004A0DFB">
        <w:rPr>
          <w:rFonts w:ascii="Lato" w:eastAsia="Lato" w:hAnsi="Lato" w:cs="Lato"/>
          <w:sz w:val="20"/>
          <w:szCs w:val="20"/>
          <w:lang w:val="en-US"/>
        </w:rPr>
        <w:t>, 2022, availab</w:t>
      </w:r>
      <w:r w:rsidRPr="004A0DFB">
        <w:rPr>
          <w:rFonts w:ascii="Lato" w:eastAsia="Lato" w:hAnsi="Lato" w:cs="Lato"/>
          <w:sz w:val="20"/>
          <w:szCs w:val="20"/>
          <w:lang w:val="en-US"/>
        </w:rPr>
        <w:t xml:space="preserve">le at </w:t>
      </w:r>
      <w:hyperlink r:id="rId29">
        <w:r w:rsidRPr="004A0DFB">
          <w:rPr>
            <w:rFonts w:ascii="Lato" w:eastAsia="Lato" w:hAnsi="Lato" w:cs="Lato"/>
            <w:color w:val="1155CC"/>
            <w:sz w:val="20"/>
            <w:szCs w:val="20"/>
            <w:u w:val="single"/>
            <w:lang w:val="en-US"/>
          </w:rPr>
          <w:t>https://www.ciel.org/reports/fossil-fertilizers/</w:t>
        </w:r>
      </w:hyperlink>
      <w:r w:rsidRPr="004A0DFB">
        <w:rPr>
          <w:rFonts w:ascii="Lato" w:eastAsia="Lato" w:hAnsi="Lato" w:cs="Lato"/>
          <w:sz w:val="20"/>
          <w:szCs w:val="20"/>
          <w:lang w:val="en-US"/>
        </w:rPr>
        <w:t xml:space="preserve">, at p. 34, citing Kobayashi H. et al., </w:t>
      </w:r>
      <w:r w:rsidRPr="004A0DFB">
        <w:rPr>
          <w:rFonts w:ascii="Lato" w:eastAsia="Lato" w:hAnsi="Lato" w:cs="Lato"/>
          <w:i/>
          <w:sz w:val="20"/>
          <w:szCs w:val="20"/>
          <w:lang w:val="en-US"/>
        </w:rPr>
        <w:t>Science and technology of ammonia combustion</w:t>
      </w:r>
      <w:r w:rsidRPr="004A0DFB">
        <w:rPr>
          <w:rFonts w:ascii="Lato" w:eastAsia="Lato" w:hAnsi="Lato" w:cs="Lato"/>
          <w:sz w:val="20"/>
          <w:szCs w:val="20"/>
          <w:lang w:val="en-US"/>
        </w:rPr>
        <w:t>, in Proceedings of the Combustion Institute, 2019</w:t>
      </w:r>
      <w:r w:rsidRPr="004A0DFB">
        <w:rPr>
          <w:rFonts w:ascii="Lato" w:eastAsia="Lato" w:hAnsi="Lato" w:cs="Lato"/>
          <w:sz w:val="20"/>
          <w:szCs w:val="20"/>
          <w:lang w:val="en-US"/>
        </w:rPr>
        <w:t xml:space="preserve">,37(1): 109–133, available at </w:t>
      </w:r>
      <w:hyperlink r:id="rId30">
        <w:r w:rsidRPr="004A0DFB">
          <w:rPr>
            <w:rFonts w:ascii="Lato" w:eastAsia="Lato" w:hAnsi="Lato" w:cs="Lato"/>
            <w:color w:val="1155CC"/>
            <w:sz w:val="20"/>
            <w:szCs w:val="20"/>
            <w:u w:val="single"/>
            <w:lang w:val="en-US"/>
          </w:rPr>
          <w:t>https://doi.org/10.1016/j.proci.2018.09.029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586AB" w14:textId="77777777" w:rsidR="00161574" w:rsidRDefault="00C62FDC">
    <w:pPr>
      <w:rPr>
        <w:color w:val="FF0000"/>
      </w:rPr>
    </w:pPr>
    <w:r>
      <w:rPr>
        <w:noProof/>
        <w:color w:val="FF0000"/>
      </w:rPr>
      <w:drawing>
        <wp:inline distT="114300" distB="114300" distL="114300" distR="114300" wp14:anchorId="490DADC5" wp14:editId="2CD02E37">
          <wp:extent cx="1578882" cy="8429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78882" cy="842963"/>
                  </a:xfrm>
                  <a:prstGeom prst="rect">
                    <a:avLst/>
                  </a:prstGeom>
                  <a:ln/>
                </pic:spPr>
              </pic:pic>
            </a:graphicData>
          </a:graphic>
        </wp:inline>
      </w:drawing>
    </w:r>
  </w:p>
  <w:p w14:paraId="72EC17EC" w14:textId="77777777" w:rsidR="00161574" w:rsidRDefault="00161574">
    <w:pP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A27F4"/>
    <w:multiLevelType w:val="multilevel"/>
    <w:tmpl w:val="F80228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D24563B"/>
    <w:multiLevelType w:val="multilevel"/>
    <w:tmpl w:val="990E5D9A"/>
    <w:lvl w:ilvl="0">
      <w:start w:val="1"/>
      <w:numFmt w:val="decimal"/>
      <w:lvlText w:val="%1."/>
      <w:lvlJc w:val="right"/>
      <w:pPr>
        <w:ind w:left="720" w:hanging="436"/>
      </w:pPr>
      <w:rPr>
        <w:u w:val="none"/>
      </w:rPr>
    </w:lvl>
    <w:lvl w:ilvl="1">
      <w:start w:val="1"/>
      <w:numFmt w:val="decimal"/>
      <w:lvlText w:val="%1.%2."/>
      <w:lvlJc w:val="right"/>
      <w:pPr>
        <w:ind w:left="850" w:hanging="359"/>
      </w:pPr>
      <w:rPr>
        <w:sz w:val="24"/>
        <w:szCs w:val="24"/>
        <w:u w:val="none"/>
      </w:rPr>
    </w:lvl>
    <w:lvl w:ilvl="2">
      <w:start w:val="1"/>
      <w:numFmt w:val="decimal"/>
      <w:lvlText w:val="%1.%2.%3."/>
      <w:lvlJc w:val="right"/>
      <w:pPr>
        <w:ind w:left="992"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16cid:durableId="1162889151">
    <w:abstractNumId w:val="1"/>
  </w:num>
  <w:num w:numId="2" w16cid:durableId="546911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574"/>
    <w:rsid w:val="00161574"/>
    <w:rsid w:val="00242996"/>
    <w:rsid w:val="004A0DFB"/>
    <w:rsid w:val="00A22CEF"/>
    <w:rsid w:val="00C27EDA"/>
    <w:rsid w:val="00C62FD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D1766"/>
  <w15:docId w15:val="{78C052AF-EF5E-DF4C-9D22-BBE2F9B6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4A0DFB"/>
    <w:pPr>
      <w:ind w:left="720"/>
      <w:contextualSpacing/>
    </w:pPr>
  </w:style>
  <w:style w:type="character" w:styleId="Hyperlink">
    <w:name w:val="Hyperlink"/>
    <w:basedOn w:val="DefaultParagraphFont"/>
    <w:uiPriority w:val="99"/>
    <w:unhideWhenUsed/>
    <w:rsid w:val="00A22CEF"/>
    <w:rPr>
      <w:color w:val="0000FF" w:themeColor="hyperlink"/>
      <w:u w:val="single"/>
    </w:rPr>
  </w:style>
  <w:style w:type="character" w:styleId="UnresolvedMention">
    <w:name w:val="Unresolved Mention"/>
    <w:basedOn w:val="DefaultParagraphFont"/>
    <w:uiPriority w:val="99"/>
    <w:semiHidden/>
    <w:unhideWhenUsed/>
    <w:rsid w:val="00A22CEF"/>
    <w:rPr>
      <w:color w:val="605E5C"/>
      <w:shd w:val="clear" w:color="auto" w:fill="E1DFDD"/>
    </w:rPr>
  </w:style>
  <w:style w:type="paragraph" w:styleId="Header">
    <w:name w:val="header"/>
    <w:basedOn w:val="Normal"/>
    <w:link w:val="HeaderChar"/>
    <w:uiPriority w:val="99"/>
    <w:unhideWhenUsed/>
    <w:rsid w:val="00A22CEF"/>
    <w:pPr>
      <w:tabs>
        <w:tab w:val="center" w:pos="4513"/>
        <w:tab w:val="right" w:pos="9026"/>
      </w:tabs>
      <w:spacing w:line="240" w:lineRule="auto"/>
    </w:pPr>
  </w:style>
  <w:style w:type="character" w:customStyle="1" w:styleId="HeaderChar">
    <w:name w:val="Header Char"/>
    <w:basedOn w:val="DefaultParagraphFont"/>
    <w:link w:val="Header"/>
    <w:uiPriority w:val="99"/>
    <w:rsid w:val="00A22CEF"/>
  </w:style>
  <w:style w:type="paragraph" w:styleId="Footer">
    <w:name w:val="footer"/>
    <w:basedOn w:val="Normal"/>
    <w:link w:val="FooterChar"/>
    <w:uiPriority w:val="99"/>
    <w:unhideWhenUsed/>
    <w:rsid w:val="00A22CEF"/>
    <w:pPr>
      <w:tabs>
        <w:tab w:val="center" w:pos="4513"/>
        <w:tab w:val="right" w:pos="9026"/>
      </w:tabs>
      <w:spacing w:line="240" w:lineRule="auto"/>
    </w:pPr>
  </w:style>
  <w:style w:type="character" w:customStyle="1" w:styleId="FooterChar">
    <w:name w:val="Footer Char"/>
    <w:basedOn w:val="DefaultParagraphFont"/>
    <w:link w:val="Footer"/>
    <w:uiPriority w:val="99"/>
    <w:rsid w:val="00A22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jamanetwork.com/journals/jama/article-abstract/185135" TargetMode="External"/><Relationship Id="rId13" Type="http://schemas.openxmlformats.org/officeDocument/2006/relationships/hyperlink" Target="https://iopscience.iop.org/article/10.1088/1748-9326/aabf9f/meta" TargetMode="External"/><Relationship Id="rId18" Type="http://schemas.openxmlformats.org/officeDocument/2006/relationships/hyperlink" Target="https://archive.epa.gov/region6/6pd/air/pd-r/ghg/web/pdf/exxonmobil-olefins-response.pdf" TargetMode="External"/><Relationship Id="rId26" Type="http://schemas.openxmlformats.org/officeDocument/2006/relationships/hyperlink" Target="https://doi.org/10.3389/fenrg.2021.580808" TargetMode="External"/><Relationship Id="rId3" Type="http://schemas.openxmlformats.org/officeDocument/2006/relationships/hyperlink" Target="https://www.ciel.org/reports/ipcc-wg3-briefing/" TargetMode="External"/><Relationship Id="rId21" Type="http://schemas.openxmlformats.org/officeDocument/2006/relationships/hyperlink" Target="https://www.ciel.org/wp-content/uploads/2019/02/CIEL_FUEL-TO-THE-FIRE_How-Geoengineering-Threatens-to-Entrench-Fossil-Fuels-and-Accelerate-the-Climate-Crisis_February-2019.pdf" TargetMode="External"/><Relationship Id="rId7" Type="http://schemas.openxmlformats.org/officeDocument/2006/relationships/hyperlink" Target="https://www.ipcc.ch/report/ar6/wg3/downloads/report/IPCC_AR6_WGIII_SummaryForPolicymakers.pdf" TargetMode="External"/><Relationship Id="rId12" Type="http://schemas.openxmlformats.org/officeDocument/2006/relationships/hyperlink" Target="https://undocs.org/Home/Mobile?FinalSymbol=A%2FHRC%2F9%2F22&amp;Language=E&amp;DeviceType=Desktop&amp;LangRequested=False" TargetMode="External"/><Relationship Id="rId17" Type="http://schemas.openxmlformats.org/officeDocument/2006/relationships/hyperlink" Target="https://archive.epa.gov/region6/6pd/air/pd-r/ghg/web/pdf/dowchemical-lh9-app-09202013.pdf" TargetMode="External"/><Relationship Id="rId25" Type="http://schemas.openxmlformats.org/officeDocument/2006/relationships/hyperlink" Target="https://www.ohchr.org/en/documents/thematic-reports/a77183-impact-toxic-substances-human-rights-indigenous-peoples-report" TargetMode="External"/><Relationship Id="rId2" Type="http://schemas.openxmlformats.org/officeDocument/2006/relationships/hyperlink" Target="https://www.ciel.org/reports/ipcc-wg3-briefing/" TargetMode="External"/><Relationship Id="rId16" Type="http://schemas.openxmlformats.org/officeDocument/2006/relationships/hyperlink" Target="https://archive.epa.gov/region6/6pd/air/pd-r/ghg/web/pdf/chevron_response031912.pdf" TargetMode="External"/><Relationship Id="rId20" Type="http://schemas.openxmlformats.org/officeDocument/2006/relationships/hyperlink" Target="https://documents-dds-ny.un.org/doc/UNDOC/GEN/N20/205/17/PDF/N2020517.pdf?OpenElement" TargetMode="External"/><Relationship Id="rId29" Type="http://schemas.openxmlformats.org/officeDocument/2006/relationships/hyperlink" Target="https://www.ciel.org/reports/fossil-fertilizers/" TargetMode="External"/><Relationship Id="rId1" Type="http://schemas.openxmlformats.org/officeDocument/2006/relationships/hyperlink" Target="https://www.ciel.org/reports/ipcc-wg2-briefing" TargetMode="External"/><Relationship Id="rId6" Type="http://schemas.openxmlformats.org/officeDocument/2006/relationships/hyperlink" Target="https://www.ciel.org/carbon-capture-and-storage-ccs-frequently-asked-questions/" TargetMode="External"/><Relationship Id="rId11" Type="http://schemas.openxmlformats.org/officeDocument/2006/relationships/hyperlink" Target="https://www.everycrsreport.com/reports/RL33971.html" TargetMode="External"/><Relationship Id="rId24" Type="http://schemas.openxmlformats.org/officeDocument/2006/relationships/hyperlink" Target="https://web.stanford.edu/group/efmh/jacobson/Articles/Others/19-CCS-DAC.pdf" TargetMode="External"/><Relationship Id="rId5" Type="http://schemas.openxmlformats.org/officeDocument/2006/relationships/hyperlink" Target="https://www.ciel.org/wp-content/uploads/2021/07/Confronting-the-Myth-of-Carbon-Free-Fossil-Fuels.pdf" TargetMode="External"/><Relationship Id="rId15" Type="http://schemas.openxmlformats.org/officeDocument/2006/relationships/hyperlink" Target="https://doi.org/10.1016/j.ijggc.2018.11.012" TargetMode="External"/><Relationship Id="rId23" Type="http://schemas.openxmlformats.org/officeDocument/2006/relationships/hyperlink" Target="https://www.ipcc.ch/report/ar6/wg2/" TargetMode="External"/><Relationship Id="rId28" Type="http://schemas.openxmlformats.org/officeDocument/2006/relationships/hyperlink" Target="https://www.tfi.org/sites/default/files/documents/HealthAmmoniaFINAL.pdf" TargetMode="External"/><Relationship Id="rId10" Type="http://schemas.openxmlformats.org/officeDocument/2006/relationships/hyperlink" Target="https://undocs.org/Home/Mobile?FinalSymbol=A%2FHRC%2F5%2F5&amp;Language=E&amp;DeviceType=Desktop&amp;LangRequested=False" TargetMode="External"/><Relationship Id="rId19" Type="http://schemas.openxmlformats.org/officeDocument/2006/relationships/hyperlink" Target="https://www.ohchr.org/en/documents/thematic-reports/a77549-report-special-rapporteur-contemporary-forms-racism-racial" TargetMode="External"/><Relationship Id="rId4" Type="http://schemas.openxmlformats.org/officeDocument/2006/relationships/hyperlink" Target="https://www.ciel.org/reports/lost-in-translation-lessons-from-the-ipcc-sixth-assessment/" TargetMode="External"/><Relationship Id="rId9" Type="http://schemas.openxmlformats.org/officeDocument/2006/relationships/hyperlink" Target="https://doi.org/10.1007/s41247-020-00080-5" TargetMode="External"/><Relationship Id="rId14" Type="http://schemas.openxmlformats.org/officeDocument/2006/relationships/hyperlink" Target="https://reader.elsevier.com/reader/sd/pii/S1876610214023807?token=1FF1E7D8B00E1C1098F3647F82BE3D278A7C4A405D299DB00FE50A249034FFBDCB8889BD47FFBBB5838B7C65B67EF18F&amp;originRegion=eu-west-1&amp;originCreation=20230308103928" TargetMode="External"/><Relationship Id="rId22" Type="http://schemas.openxmlformats.org/officeDocument/2006/relationships/hyperlink" Target="https://doi.org/10.1038/s41467-019-10842-5" TargetMode="External"/><Relationship Id="rId27" Type="http://schemas.openxmlformats.org/officeDocument/2006/relationships/hyperlink" Target="https://www.cleanegroup.org/wp-content/uploads/Five-Reasons-to-be-Concerned-About-Green-Hydrogen.pdf" TargetMode="External"/><Relationship Id="rId30" Type="http://schemas.openxmlformats.org/officeDocument/2006/relationships/hyperlink" Target="https://doi.org/10.1016/j.proci.2018.09.02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2707</Words>
  <Characters>15431</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ALZAID Noura Humoud</cp:lastModifiedBy>
  <cp:revision>2</cp:revision>
  <dcterms:created xsi:type="dcterms:W3CDTF">2023-03-10T11:43:00Z</dcterms:created>
  <dcterms:modified xsi:type="dcterms:W3CDTF">2023-03-10T11:43:00Z</dcterms:modified>
</cp:coreProperties>
</file>