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470F" w14:textId="7EB12B20" w:rsidR="009C59E0" w:rsidRDefault="00D6308A" w:rsidP="00CD64B4">
      <w:pPr>
        <w:jc w:val="center"/>
        <w:rPr>
          <w:b/>
          <w:bCs/>
          <w:sz w:val="24"/>
          <w:szCs w:val="24"/>
        </w:rPr>
      </w:pPr>
      <w:r w:rsidRPr="00D6308A">
        <w:rPr>
          <w:b/>
          <w:bCs/>
          <w:sz w:val="24"/>
          <w:szCs w:val="24"/>
        </w:rPr>
        <w:t xml:space="preserve">Input on the </w:t>
      </w:r>
      <w:r w:rsidR="00666ECA">
        <w:rPr>
          <w:b/>
          <w:bCs/>
          <w:sz w:val="24"/>
          <w:szCs w:val="24"/>
        </w:rPr>
        <w:t xml:space="preserve">impact of toxics on </w:t>
      </w:r>
      <w:r w:rsidR="001A22E6">
        <w:rPr>
          <w:b/>
          <w:bCs/>
          <w:sz w:val="24"/>
          <w:szCs w:val="24"/>
        </w:rPr>
        <w:t>I</w:t>
      </w:r>
      <w:r w:rsidR="00666ECA">
        <w:rPr>
          <w:b/>
          <w:bCs/>
          <w:sz w:val="24"/>
          <w:szCs w:val="24"/>
        </w:rPr>
        <w:t>ndigenous peoples:</w:t>
      </w:r>
    </w:p>
    <w:p w14:paraId="6DD06EB9" w14:textId="77777777" w:rsidR="00CD64B4" w:rsidRDefault="00CD64B4" w:rsidP="00CD64B4">
      <w:pPr>
        <w:jc w:val="center"/>
        <w:rPr>
          <w:b/>
          <w:bCs/>
          <w:sz w:val="24"/>
          <w:szCs w:val="24"/>
        </w:rPr>
      </w:pPr>
    </w:p>
    <w:p w14:paraId="1E4F6399" w14:textId="77777777" w:rsidR="00CD64B4" w:rsidRDefault="00CD64B4" w:rsidP="00CD64B4">
      <w:pPr>
        <w:jc w:val="center"/>
        <w:rPr>
          <w:b/>
          <w:bCs/>
          <w:sz w:val="24"/>
          <w:szCs w:val="24"/>
        </w:rPr>
      </w:pPr>
      <w:r>
        <w:rPr>
          <w:b/>
          <w:bCs/>
          <w:sz w:val="24"/>
          <w:szCs w:val="24"/>
        </w:rPr>
        <w:t xml:space="preserve">The impact of toxic contamination from the Lega </w:t>
      </w:r>
      <w:proofErr w:type="spellStart"/>
      <w:r>
        <w:rPr>
          <w:b/>
          <w:bCs/>
          <w:sz w:val="24"/>
          <w:szCs w:val="24"/>
        </w:rPr>
        <w:t>Dembi</w:t>
      </w:r>
      <w:proofErr w:type="spellEnd"/>
      <w:r>
        <w:rPr>
          <w:b/>
          <w:bCs/>
          <w:sz w:val="24"/>
          <w:szCs w:val="24"/>
        </w:rPr>
        <w:t xml:space="preserve"> gold mine</w:t>
      </w:r>
    </w:p>
    <w:p w14:paraId="30C0F26C" w14:textId="531DE766" w:rsidR="00D6308A" w:rsidRDefault="00CD64B4" w:rsidP="00CD64B4">
      <w:pPr>
        <w:jc w:val="center"/>
        <w:rPr>
          <w:b/>
          <w:bCs/>
          <w:sz w:val="24"/>
          <w:szCs w:val="24"/>
        </w:rPr>
      </w:pPr>
      <w:r>
        <w:rPr>
          <w:b/>
          <w:bCs/>
          <w:sz w:val="24"/>
          <w:szCs w:val="24"/>
        </w:rPr>
        <w:t xml:space="preserve">on the Indigenous </w:t>
      </w:r>
      <w:proofErr w:type="spellStart"/>
      <w:r>
        <w:rPr>
          <w:b/>
          <w:bCs/>
          <w:sz w:val="24"/>
          <w:szCs w:val="24"/>
        </w:rPr>
        <w:t>Guji</w:t>
      </w:r>
      <w:proofErr w:type="spellEnd"/>
      <w:r>
        <w:rPr>
          <w:b/>
          <w:bCs/>
          <w:sz w:val="24"/>
          <w:szCs w:val="24"/>
        </w:rPr>
        <w:t xml:space="preserve"> people in Ethiopia</w:t>
      </w:r>
    </w:p>
    <w:p w14:paraId="560A1437" w14:textId="77777777" w:rsidR="009C59E0" w:rsidRDefault="009C59E0" w:rsidP="009C59E0">
      <w:pPr>
        <w:spacing w:line="360" w:lineRule="auto"/>
        <w:jc w:val="center"/>
        <w:rPr>
          <w:sz w:val="24"/>
          <w:szCs w:val="24"/>
        </w:rPr>
      </w:pPr>
    </w:p>
    <w:p w14:paraId="0424012B" w14:textId="77777777" w:rsidR="006F55AF" w:rsidRPr="00B45894" w:rsidRDefault="006F55AF" w:rsidP="005E1A64">
      <w:pPr>
        <w:jc w:val="center"/>
        <w:rPr>
          <w:bCs/>
          <w:sz w:val="24"/>
          <w:szCs w:val="24"/>
        </w:rPr>
      </w:pPr>
      <w:r w:rsidRPr="00B45894">
        <w:rPr>
          <w:bCs/>
          <w:sz w:val="24"/>
          <w:szCs w:val="24"/>
        </w:rPr>
        <w:t>Submitted by:</w:t>
      </w:r>
    </w:p>
    <w:p w14:paraId="744D9068" w14:textId="77777777" w:rsidR="006F55AF" w:rsidRPr="00B45894" w:rsidRDefault="006F55AF" w:rsidP="005E1A64">
      <w:pPr>
        <w:jc w:val="center"/>
        <w:rPr>
          <w:bCs/>
          <w:sz w:val="24"/>
          <w:szCs w:val="24"/>
        </w:rPr>
      </w:pPr>
    </w:p>
    <w:p w14:paraId="5EA9D20D" w14:textId="33CEE7A4" w:rsidR="006F55AF" w:rsidRDefault="006F55AF" w:rsidP="005E1A64">
      <w:pPr>
        <w:jc w:val="center"/>
        <w:rPr>
          <w:bCs/>
          <w:sz w:val="24"/>
          <w:szCs w:val="24"/>
        </w:rPr>
      </w:pPr>
      <w:r w:rsidRPr="00B45894">
        <w:rPr>
          <w:bCs/>
          <w:sz w:val="24"/>
          <w:szCs w:val="24"/>
        </w:rPr>
        <w:t>Development by Unity and Brotherly Action for the Future (DUBAF)</w:t>
      </w:r>
    </w:p>
    <w:p w14:paraId="23995C51" w14:textId="77777777" w:rsidR="00D6308A" w:rsidRPr="00B45894" w:rsidRDefault="00D6308A" w:rsidP="005E1A64">
      <w:pPr>
        <w:jc w:val="center"/>
        <w:rPr>
          <w:bCs/>
          <w:sz w:val="24"/>
          <w:szCs w:val="24"/>
        </w:rPr>
      </w:pPr>
    </w:p>
    <w:p w14:paraId="33EC28B2" w14:textId="1CB66D8D" w:rsidR="006F55AF" w:rsidRPr="00B45894" w:rsidRDefault="006F55AF" w:rsidP="005E1A64">
      <w:pPr>
        <w:jc w:val="center"/>
        <w:rPr>
          <w:bCs/>
          <w:sz w:val="24"/>
          <w:szCs w:val="24"/>
        </w:rPr>
      </w:pPr>
      <w:proofErr w:type="spellStart"/>
      <w:r w:rsidRPr="00B45894">
        <w:rPr>
          <w:bCs/>
          <w:sz w:val="24"/>
          <w:szCs w:val="24"/>
        </w:rPr>
        <w:t>Center</w:t>
      </w:r>
      <w:proofErr w:type="spellEnd"/>
      <w:r w:rsidRPr="00B45894">
        <w:rPr>
          <w:bCs/>
          <w:sz w:val="24"/>
          <w:szCs w:val="24"/>
        </w:rPr>
        <w:t xml:space="preserve"> for International Human Rights (CIHR) of</w:t>
      </w:r>
      <w:r w:rsidR="005E1A64">
        <w:rPr>
          <w:bCs/>
          <w:sz w:val="24"/>
          <w:szCs w:val="24"/>
        </w:rPr>
        <w:t xml:space="preserve"> </w:t>
      </w:r>
    </w:p>
    <w:p w14:paraId="05E204B1" w14:textId="67601B30" w:rsidR="006F55AF" w:rsidRDefault="006F55AF" w:rsidP="005E1A64">
      <w:pPr>
        <w:jc w:val="center"/>
        <w:rPr>
          <w:bCs/>
          <w:sz w:val="24"/>
          <w:szCs w:val="24"/>
        </w:rPr>
      </w:pPr>
      <w:proofErr w:type="spellStart"/>
      <w:r w:rsidRPr="00B45894">
        <w:rPr>
          <w:bCs/>
          <w:sz w:val="24"/>
          <w:szCs w:val="24"/>
        </w:rPr>
        <w:t>Northwestern</w:t>
      </w:r>
      <w:proofErr w:type="spellEnd"/>
      <w:r w:rsidRPr="00B45894">
        <w:rPr>
          <w:bCs/>
          <w:sz w:val="24"/>
          <w:szCs w:val="24"/>
        </w:rPr>
        <w:t xml:space="preserve"> University Pritzker School of Law</w:t>
      </w:r>
    </w:p>
    <w:p w14:paraId="6CFFEDC1" w14:textId="77777777" w:rsidR="009352CD" w:rsidRDefault="009352CD" w:rsidP="005E1A64">
      <w:pPr>
        <w:jc w:val="center"/>
        <w:rPr>
          <w:bCs/>
          <w:sz w:val="24"/>
          <w:szCs w:val="24"/>
        </w:rPr>
      </w:pPr>
    </w:p>
    <w:p w14:paraId="2358F702" w14:textId="2708C71E" w:rsidR="00634B92" w:rsidRDefault="00634B92" w:rsidP="005E1A64">
      <w:pPr>
        <w:jc w:val="center"/>
        <w:rPr>
          <w:bCs/>
          <w:sz w:val="24"/>
          <w:szCs w:val="24"/>
        </w:rPr>
      </w:pPr>
    </w:p>
    <w:p w14:paraId="0E39F44C" w14:textId="1FAA567C" w:rsidR="00A22C14" w:rsidRDefault="00666ECA" w:rsidP="005E1A64">
      <w:pPr>
        <w:jc w:val="center"/>
        <w:rPr>
          <w:bCs/>
          <w:sz w:val="24"/>
          <w:szCs w:val="24"/>
        </w:rPr>
      </w:pPr>
      <w:r>
        <w:rPr>
          <w:bCs/>
          <w:sz w:val="24"/>
          <w:szCs w:val="24"/>
        </w:rPr>
        <w:t>25 April 2022</w:t>
      </w:r>
    </w:p>
    <w:p w14:paraId="64C4A7A4" w14:textId="77777777" w:rsidR="009352CD" w:rsidRDefault="009352CD" w:rsidP="005E1A64">
      <w:pPr>
        <w:jc w:val="center"/>
        <w:rPr>
          <w:bCs/>
          <w:sz w:val="24"/>
          <w:szCs w:val="24"/>
        </w:rPr>
      </w:pPr>
    </w:p>
    <w:p w14:paraId="7AF97C6E" w14:textId="00571C54" w:rsidR="00A22C14" w:rsidRPr="00D277BF" w:rsidRDefault="005B6386" w:rsidP="008853B8">
      <w:pPr>
        <w:jc w:val="both"/>
        <w:rPr>
          <w:bCs/>
          <w:sz w:val="24"/>
          <w:szCs w:val="24"/>
          <w:lang w:val="en-US"/>
        </w:rPr>
      </w:pPr>
      <w:r>
        <w:rPr>
          <w:bCs/>
          <w:sz w:val="24"/>
          <w:szCs w:val="24"/>
        </w:rPr>
        <w:t xml:space="preserve">Toxic contamination from the Lega </w:t>
      </w:r>
      <w:proofErr w:type="spellStart"/>
      <w:r>
        <w:rPr>
          <w:bCs/>
          <w:sz w:val="24"/>
          <w:szCs w:val="24"/>
        </w:rPr>
        <w:t>Dembi</w:t>
      </w:r>
      <w:proofErr w:type="spellEnd"/>
      <w:r>
        <w:rPr>
          <w:bCs/>
          <w:sz w:val="24"/>
          <w:szCs w:val="24"/>
        </w:rPr>
        <w:t xml:space="preserve"> gold mine has had a devastating impact on the </w:t>
      </w:r>
      <w:r w:rsidR="006A77DF">
        <w:rPr>
          <w:bCs/>
          <w:sz w:val="24"/>
          <w:szCs w:val="24"/>
        </w:rPr>
        <w:t xml:space="preserve">health and well-being of the </w:t>
      </w:r>
      <w:proofErr w:type="spellStart"/>
      <w:r>
        <w:rPr>
          <w:bCs/>
          <w:sz w:val="24"/>
          <w:szCs w:val="24"/>
        </w:rPr>
        <w:t>Guji</w:t>
      </w:r>
      <w:proofErr w:type="spellEnd"/>
      <w:r>
        <w:rPr>
          <w:bCs/>
          <w:sz w:val="24"/>
          <w:szCs w:val="24"/>
        </w:rPr>
        <w:t xml:space="preserve"> people, an </w:t>
      </w:r>
      <w:proofErr w:type="spellStart"/>
      <w:r>
        <w:rPr>
          <w:bCs/>
          <w:sz w:val="24"/>
          <w:szCs w:val="24"/>
        </w:rPr>
        <w:t>agro</w:t>
      </w:r>
      <w:proofErr w:type="spellEnd"/>
      <w:r>
        <w:rPr>
          <w:bCs/>
          <w:sz w:val="24"/>
          <w:szCs w:val="24"/>
        </w:rPr>
        <w:t xml:space="preserve">-pastoral </w:t>
      </w:r>
      <w:r w:rsidR="001A22E6">
        <w:rPr>
          <w:bCs/>
          <w:sz w:val="24"/>
          <w:szCs w:val="24"/>
        </w:rPr>
        <w:t>I</w:t>
      </w:r>
      <w:r w:rsidR="008853B8">
        <w:rPr>
          <w:bCs/>
          <w:sz w:val="24"/>
          <w:szCs w:val="24"/>
        </w:rPr>
        <w:t xml:space="preserve">ndigenous </w:t>
      </w:r>
      <w:r>
        <w:rPr>
          <w:bCs/>
          <w:sz w:val="24"/>
          <w:szCs w:val="24"/>
        </w:rPr>
        <w:t xml:space="preserve">people who have lived for centuries in </w:t>
      </w:r>
      <w:r w:rsidR="008853B8">
        <w:rPr>
          <w:bCs/>
          <w:sz w:val="24"/>
          <w:szCs w:val="24"/>
        </w:rPr>
        <w:t xml:space="preserve">Ethiopia’s </w:t>
      </w:r>
      <w:r>
        <w:rPr>
          <w:bCs/>
          <w:sz w:val="24"/>
          <w:szCs w:val="24"/>
        </w:rPr>
        <w:t xml:space="preserve">Oromia </w:t>
      </w:r>
      <w:r w:rsidR="008853B8">
        <w:rPr>
          <w:bCs/>
          <w:sz w:val="24"/>
          <w:szCs w:val="24"/>
        </w:rPr>
        <w:t>region</w:t>
      </w:r>
      <w:r w:rsidR="00872C12">
        <w:rPr>
          <w:bCs/>
          <w:sz w:val="24"/>
          <w:szCs w:val="24"/>
        </w:rPr>
        <w:t xml:space="preserve">. </w:t>
      </w:r>
      <w:r w:rsidR="00727A15">
        <w:rPr>
          <w:bCs/>
          <w:sz w:val="24"/>
          <w:szCs w:val="24"/>
        </w:rPr>
        <w:t>F</w:t>
      </w:r>
      <w:proofErr w:type="spellStart"/>
      <w:r w:rsidR="006A77DF">
        <w:rPr>
          <w:bCs/>
          <w:sz w:val="24"/>
          <w:szCs w:val="24"/>
          <w:lang w:val="en-US"/>
        </w:rPr>
        <w:t>ailures</w:t>
      </w:r>
      <w:proofErr w:type="spellEnd"/>
      <w:r w:rsidR="006A77DF">
        <w:rPr>
          <w:bCs/>
          <w:sz w:val="24"/>
          <w:szCs w:val="24"/>
          <w:lang w:val="en-US"/>
        </w:rPr>
        <w:t xml:space="preserve"> of </w:t>
      </w:r>
      <w:r w:rsidR="00A22C14" w:rsidRPr="00D277BF">
        <w:rPr>
          <w:bCs/>
          <w:sz w:val="24"/>
          <w:szCs w:val="24"/>
          <w:lang w:val="en-US"/>
        </w:rPr>
        <w:t xml:space="preserve">mine management and government regulatory oversight have </w:t>
      </w:r>
      <w:r w:rsidR="00872C12">
        <w:rPr>
          <w:bCs/>
          <w:sz w:val="24"/>
          <w:szCs w:val="24"/>
          <w:lang w:val="en-US"/>
        </w:rPr>
        <w:t xml:space="preserve">left their environment contaminated </w:t>
      </w:r>
      <w:r w:rsidR="00A22C14" w:rsidRPr="00D277BF">
        <w:rPr>
          <w:bCs/>
          <w:sz w:val="24"/>
          <w:szCs w:val="24"/>
          <w:lang w:val="en-US"/>
        </w:rPr>
        <w:t xml:space="preserve">with dangerous levels of </w:t>
      </w:r>
      <w:r w:rsidR="00DA1F13" w:rsidRPr="00D277BF">
        <w:rPr>
          <w:bCs/>
          <w:sz w:val="24"/>
          <w:szCs w:val="24"/>
          <w:lang w:val="en-US"/>
        </w:rPr>
        <w:t>cyanide</w:t>
      </w:r>
      <w:r w:rsidR="00872C12">
        <w:rPr>
          <w:bCs/>
          <w:sz w:val="24"/>
          <w:szCs w:val="24"/>
          <w:lang w:val="en-US"/>
        </w:rPr>
        <w:t xml:space="preserve"> and heavy metals, including mercury and arsenic</w:t>
      </w:r>
      <w:r w:rsidR="00DA1F13" w:rsidRPr="00D277BF">
        <w:rPr>
          <w:bCs/>
          <w:sz w:val="24"/>
          <w:szCs w:val="24"/>
          <w:lang w:val="en-US"/>
        </w:rPr>
        <w:t>.</w:t>
      </w:r>
      <w:r w:rsidR="008853B8">
        <w:rPr>
          <w:bCs/>
          <w:sz w:val="24"/>
          <w:szCs w:val="24"/>
          <w:lang w:val="en-US"/>
        </w:rPr>
        <w:t xml:space="preserve"> </w:t>
      </w:r>
      <w:r w:rsidR="00DA1F13" w:rsidRPr="00D277BF">
        <w:rPr>
          <w:bCs/>
          <w:sz w:val="24"/>
          <w:szCs w:val="24"/>
        </w:rPr>
        <w:t xml:space="preserve">The </w:t>
      </w:r>
      <w:proofErr w:type="spellStart"/>
      <w:r w:rsidR="00DA1F13" w:rsidRPr="00D277BF">
        <w:rPr>
          <w:bCs/>
          <w:sz w:val="24"/>
          <w:szCs w:val="24"/>
        </w:rPr>
        <w:t>Guji</w:t>
      </w:r>
      <w:proofErr w:type="spellEnd"/>
      <w:r w:rsidR="00DA1F13" w:rsidRPr="00D277BF">
        <w:rPr>
          <w:bCs/>
          <w:sz w:val="24"/>
          <w:szCs w:val="24"/>
        </w:rPr>
        <w:t xml:space="preserve"> have been denied their right to free, </w:t>
      </w:r>
      <w:proofErr w:type="gramStart"/>
      <w:r w:rsidR="00DA1F13" w:rsidRPr="00D277BF">
        <w:rPr>
          <w:bCs/>
          <w:sz w:val="24"/>
          <w:szCs w:val="24"/>
        </w:rPr>
        <w:t>prior</w:t>
      </w:r>
      <w:proofErr w:type="gramEnd"/>
      <w:r w:rsidR="00DA1F13" w:rsidRPr="00D277BF">
        <w:rPr>
          <w:bCs/>
          <w:sz w:val="24"/>
          <w:szCs w:val="24"/>
        </w:rPr>
        <w:t xml:space="preserve"> and informed consent, and their protests have been met with </w:t>
      </w:r>
      <w:r w:rsidR="00872C12">
        <w:rPr>
          <w:bCs/>
          <w:sz w:val="24"/>
          <w:szCs w:val="24"/>
        </w:rPr>
        <w:t>violence and repression.</w:t>
      </w:r>
    </w:p>
    <w:p w14:paraId="11A75BF2" w14:textId="77777777" w:rsidR="00A22C14" w:rsidRPr="00D277BF" w:rsidRDefault="00A22C14" w:rsidP="008853B8">
      <w:pPr>
        <w:jc w:val="both"/>
        <w:rPr>
          <w:bCs/>
          <w:sz w:val="24"/>
          <w:szCs w:val="24"/>
        </w:rPr>
      </w:pPr>
    </w:p>
    <w:p w14:paraId="5C7F08C9" w14:textId="2D5D5688" w:rsidR="0034582E" w:rsidRPr="00D277BF" w:rsidRDefault="00A22C14" w:rsidP="008853B8">
      <w:pPr>
        <w:jc w:val="both"/>
        <w:rPr>
          <w:bCs/>
          <w:sz w:val="24"/>
          <w:szCs w:val="24"/>
          <w:lang w:val="en-US"/>
        </w:rPr>
      </w:pPr>
      <w:r w:rsidRPr="00D277BF">
        <w:rPr>
          <w:bCs/>
          <w:sz w:val="24"/>
          <w:szCs w:val="24"/>
          <w:lang w:val="en-US"/>
        </w:rPr>
        <w:t xml:space="preserve">This submission is by DUBAF, an Ethiopian NGO whose members and leaders are </w:t>
      </w:r>
      <w:r w:rsidR="001A22E6">
        <w:rPr>
          <w:bCs/>
          <w:sz w:val="24"/>
          <w:szCs w:val="24"/>
          <w:lang w:val="en-US"/>
        </w:rPr>
        <w:t>I</w:t>
      </w:r>
      <w:r w:rsidRPr="00D277BF">
        <w:rPr>
          <w:bCs/>
          <w:sz w:val="24"/>
          <w:szCs w:val="24"/>
          <w:lang w:val="en-US"/>
        </w:rPr>
        <w:t xml:space="preserve">ndigenous </w:t>
      </w:r>
      <w:proofErr w:type="spellStart"/>
      <w:r w:rsidRPr="00D277BF">
        <w:rPr>
          <w:bCs/>
          <w:sz w:val="24"/>
          <w:szCs w:val="24"/>
          <w:lang w:val="en-US"/>
        </w:rPr>
        <w:t>Guji</w:t>
      </w:r>
      <w:proofErr w:type="spellEnd"/>
      <w:r w:rsidRPr="00D277BF">
        <w:rPr>
          <w:bCs/>
          <w:sz w:val="24"/>
          <w:szCs w:val="24"/>
          <w:lang w:val="en-US"/>
        </w:rPr>
        <w:t xml:space="preserve"> people, and CIHR, an academic and advocacy organization </w:t>
      </w:r>
      <w:r w:rsidR="00C80E25">
        <w:rPr>
          <w:bCs/>
          <w:sz w:val="24"/>
          <w:szCs w:val="24"/>
          <w:lang w:val="en-US"/>
        </w:rPr>
        <w:t xml:space="preserve">in special consultative status with ECOSOC </w:t>
      </w:r>
      <w:r w:rsidRPr="00D277BF">
        <w:rPr>
          <w:bCs/>
          <w:sz w:val="24"/>
          <w:szCs w:val="24"/>
          <w:lang w:val="en-US"/>
        </w:rPr>
        <w:t xml:space="preserve">that, since 2018, has worked with DUBAF in advocating for communities impacted by the Lega </w:t>
      </w:r>
      <w:proofErr w:type="spellStart"/>
      <w:r w:rsidRPr="00D277BF">
        <w:rPr>
          <w:bCs/>
          <w:sz w:val="24"/>
          <w:szCs w:val="24"/>
          <w:lang w:val="en-US"/>
        </w:rPr>
        <w:t>Dembi</w:t>
      </w:r>
      <w:proofErr w:type="spellEnd"/>
      <w:r w:rsidRPr="00D277BF">
        <w:rPr>
          <w:bCs/>
          <w:sz w:val="24"/>
          <w:szCs w:val="24"/>
          <w:lang w:val="en-US"/>
        </w:rPr>
        <w:t xml:space="preserve"> mine.</w:t>
      </w:r>
      <w:r w:rsidR="00DA1F13" w:rsidRPr="00D277BF">
        <w:rPr>
          <w:bCs/>
          <w:sz w:val="24"/>
          <w:szCs w:val="24"/>
          <w:lang w:val="en-US"/>
        </w:rPr>
        <w:t xml:space="preserve"> It will address the first five questions in the Questionnaire to Indigenous peoples and civil </w:t>
      </w:r>
      <w:r w:rsidR="007A4BC5" w:rsidRPr="00D277BF">
        <w:rPr>
          <w:bCs/>
          <w:sz w:val="24"/>
          <w:szCs w:val="24"/>
          <w:lang w:val="en-US"/>
        </w:rPr>
        <w:t>society</w:t>
      </w:r>
      <w:r w:rsidR="00F269BF">
        <w:rPr>
          <w:bCs/>
          <w:sz w:val="24"/>
          <w:szCs w:val="24"/>
          <w:lang w:val="en-US"/>
        </w:rPr>
        <w:t>.</w:t>
      </w:r>
      <w:r w:rsidR="0034582E" w:rsidRPr="00D277BF">
        <w:rPr>
          <w:rStyle w:val="EndnoteReference"/>
          <w:bCs/>
          <w:sz w:val="24"/>
          <w:szCs w:val="24"/>
          <w:lang w:val="en-US"/>
        </w:rPr>
        <w:endnoteReference w:id="1"/>
      </w:r>
    </w:p>
    <w:p w14:paraId="7A3D7ED8" w14:textId="3509541E" w:rsidR="0034582E" w:rsidRPr="00D277BF" w:rsidRDefault="0034582E" w:rsidP="00A22C14">
      <w:pPr>
        <w:rPr>
          <w:bCs/>
          <w:sz w:val="24"/>
          <w:szCs w:val="24"/>
          <w:lang w:val="en-US"/>
        </w:rPr>
      </w:pPr>
    </w:p>
    <w:p w14:paraId="41ECC91B" w14:textId="73BBA2DC" w:rsidR="0034582E" w:rsidRPr="00D277BF" w:rsidRDefault="0034582E" w:rsidP="00A22C14">
      <w:pPr>
        <w:rPr>
          <w:b/>
          <w:sz w:val="24"/>
          <w:szCs w:val="24"/>
          <w:lang w:val="en-US"/>
        </w:rPr>
      </w:pPr>
      <w:r w:rsidRPr="00D277BF">
        <w:rPr>
          <w:b/>
          <w:sz w:val="24"/>
          <w:szCs w:val="24"/>
          <w:lang w:val="en-US"/>
        </w:rPr>
        <w:t xml:space="preserve">1.  Description of the case and circumstances of toxic contamination </w:t>
      </w:r>
    </w:p>
    <w:p w14:paraId="0063CEFB" w14:textId="10082CCF" w:rsidR="0034582E" w:rsidRPr="00D277BF" w:rsidRDefault="0034582E" w:rsidP="00A22C14">
      <w:pPr>
        <w:rPr>
          <w:b/>
          <w:sz w:val="24"/>
          <w:szCs w:val="24"/>
          <w:lang w:val="en-US"/>
        </w:rPr>
      </w:pPr>
    </w:p>
    <w:p w14:paraId="6D547AD3" w14:textId="66039CCF" w:rsidR="0034582E" w:rsidRDefault="0034582E" w:rsidP="00463B51">
      <w:pPr>
        <w:jc w:val="both"/>
        <w:rPr>
          <w:sz w:val="24"/>
          <w:szCs w:val="24"/>
        </w:rPr>
      </w:pPr>
      <w:r w:rsidRPr="00D277BF">
        <w:rPr>
          <w:sz w:val="24"/>
          <w:szCs w:val="24"/>
        </w:rPr>
        <w:t xml:space="preserve">In 1998, the Ethiopian government granted a 20-year mining license for Lega </w:t>
      </w:r>
      <w:proofErr w:type="spellStart"/>
      <w:r w:rsidRPr="00D277BF">
        <w:rPr>
          <w:sz w:val="24"/>
          <w:szCs w:val="24"/>
        </w:rPr>
        <w:t>Dembi</w:t>
      </w:r>
      <w:proofErr w:type="spellEnd"/>
      <w:r w:rsidRPr="00D277BF">
        <w:rPr>
          <w:sz w:val="24"/>
          <w:szCs w:val="24"/>
        </w:rPr>
        <w:t xml:space="preserve"> to MIDROC, a private company owned by the largest private employer in Ethiopia. Despite widespread community opposition, in April 2018 Ethiopia renewed MIDROC’s license for </w:t>
      </w:r>
      <w:r>
        <w:rPr>
          <w:sz w:val="24"/>
          <w:szCs w:val="24"/>
        </w:rPr>
        <w:t xml:space="preserve">an additional </w:t>
      </w:r>
      <w:r w:rsidRPr="00D277BF">
        <w:rPr>
          <w:sz w:val="24"/>
          <w:szCs w:val="24"/>
        </w:rPr>
        <w:t>ten years. It did so although a</w:t>
      </w:r>
      <w:r>
        <w:rPr>
          <w:sz w:val="24"/>
          <w:szCs w:val="24"/>
        </w:rPr>
        <w:t xml:space="preserve"> March 2018</w:t>
      </w:r>
      <w:r w:rsidRPr="00D277BF">
        <w:rPr>
          <w:sz w:val="24"/>
          <w:szCs w:val="24"/>
        </w:rPr>
        <w:t xml:space="preserve"> environmental audit, commissioned by MIDROC</w:t>
      </w:r>
      <w:r w:rsidRPr="003E1DD0">
        <w:rPr>
          <w:sz w:val="24"/>
          <w:szCs w:val="24"/>
          <w:vertAlign w:val="superscript"/>
        </w:rPr>
        <w:endnoteReference w:id="2"/>
      </w:r>
      <w:r w:rsidRPr="00D277BF">
        <w:rPr>
          <w:sz w:val="24"/>
          <w:szCs w:val="24"/>
        </w:rPr>
        <w:t xml:space="preserve"> – and withheld from the public – had disclosed toxic contamination and serious failures of mine management and government oversight. </w:t>
      </w:r>
      <w:r>
        <w:rPr>
          <w:sz w:val="24"/>
          <w:szCs w:val="24"/>
        </w:rPr>
        <w:t xml:space="preserve">In May 2018, following widespread protests over the license renewal, MIDROC’s </w:t>
      </w:r>
      <w:r w:rsidRPr="00D277BF">
        <w:rPr>
          <w:sz w:val="24"/>
          <w:szCs w:val="24"/>
        </w:rPr>
        <w:t>license was suspended</w:t>
      </w:r>
      <w:r>
        <w:rPr>
          <w:sz w:val="24"/>
          <w:szCs w:val="24"/>
        </w:rPr>
        <w:t>.</w:t>
      </w:r>
      <w:r w:rsidRPr="00D277BF">
        <w:rPr>
          <w:sz w:val="24"/>
          <w:szCs w:val="24"/>
        </w:rPr>
        <w:t xml:space="preserve"> At the time, the Government promised there would be independent environmental and health impact studies and involvement of all stakeholders before any resumption of mining. But in early 2021, the mine was allowed to reopen without </w:t>
      </w:r>
      <w:r>
        <w:rPr>
          <w:sz w:val="24"/>
          <w:szCs w:val="24"/>
        </w:rPr>
        <w:t xml:space="preserve">an independent environmental impact study, without remedying the mine’s failings or the existing contamination, and without </w:t>
      </w:r>
      <w:r w:rsidRPr="00D277BF">
        <w:rPr>
          <w:sz w:val="24"/>
          <w:szCs w:val="24"/>
        </w:rPr>
        <w:t xml:space="preserve">the free, </w:t>
      </w:r>
      <w:proofErr w:type="gramStart"/>
      <w:r w:rsidRPr="00D277BF">
        <w:rPr>
          <w:sz w:val="24"/>
          <w:szCs w:val="24"/>
        </w:rPr>
        <w:t>prior</w:t>
      </w:r>
      <w:proofErr w:type="gramEnd"/>
      <w:r w:rsidRPr="00D277BF">
        <w:rPr>
          <w:sz w:val="24"/>
          <w:szCs w:val="24"/>
        </w:rPr>
        <w:t xml:space="preserve"> and informed consent of the </w:t>
      </w:r>
      <w:proofErr w:type="spellStart"/>
      <w:r w:rsidRPr="00D277BF">
        <w:rPr>
          <w:sz w:val="24"/>
          <w:szCs w:val="24"/>
        </w:rPr>
        <w:t>Guji</w:t>
      </w:r>
      <w:proofErr w:type="spellEnd"/>
      <w:r w:rsidRPr="00D277BF">
        <w:rPr>
          <w:sz w:val="24"/>
          <w:szCs w:val="24"/>
        </w:rPr>
        <w:t xml:space="preserve"> people.</w:t>
      </w:r>
    </w:p>
    <w:p w14:paraId="0C000E6B" w14:textId="7935C455" w:rsidR="0034582E" w:rsidRDefault="0034582E" w:rsidP="00463B51">
      <w:pPr>
        <w:jc w:val="both"/>
        <w:rPr>
          <w:sz w:val="24"/>
          <w:szCs w:val="24"/>
        </w:rPr>
      </w:pPr>
    </w:p>
    <w:p w14:paraId="1EB9EA31" w14:textId="5E37FC46" w:rsidR="0034582E" w:rsidRDefault="0034582E" w:rsidP="00463B51">
      <w:pPr>
        <w:jc w:val="both"/>
        <w:rPr>
          <w:b/>
          <w:bCs/>
          <w:i/>
          <w:iCs/>
          <w:sz w:val="24"/>
          <w:szCs w:val="24"/>
        </w:rPr>
      </w:pPr>
      <w:r>
        <w:rPr>
          <w:b/>
          <w:bCs/>
          <w:i/>
          <w:iCs/>
          <w:sz w:val="24"/>
          <w:szCs w:val="24"/>
        </w:rPr>
        <w:t>Source of toxic exposure</w:t>
      </w:r>
    </w:p>
    <w:p w14:paraId="24D5F58E" w14:textId="26D8F17E" w:rsidR="0034582E" w:rsidRDefault="0034582E" w:rsidP="00463B51">
      <w:pPr>
        <w:jc w:val="both"/>
        <w:rPr>
          <w:b/>
          <w:bCs/>
          <w:i/>
          <w:iCs/>
          <w:sz w:val="24"/>
          <w:szCs w:val="24"/>
        </w:rPr>
      </w:pPr>
    </w:p>
    <w:p w14:paraId="2000D6A3" w14:textId="7DA9596D" w:rsidR="0034582E" w:rsidRDefault="0034582E" w:rsidP="007F22AF">
      <w:pPr>
        <w:jc w:val="both"/>
        <w:rPr>
          <w:sz w:val="24"/>
          <w:szCs w:val="24"/>
        </w:rPr>
      </w:pPr>
      <w:r>
        <w:rPr>
          <w:sz w:val="24"/>
          <w:szCs w:val="24"/>
          <w:lang w:val="en-US"/>
        </w:rPr>
        <w:t>The t</w:t>
      </w:r>
      <w:proofErr w:type="spellStart"/>
      <w:r w:rsidRPr="00B45894">
        <w:rPr>
          <w:color w:val="000000"/>
          <w:sz w:val="24"/>
          <w:szCs w:val="24"/>
        </w:rPr>
        <w:t>oxic</w:t>
      </w:r>
      <w:proofErr w:type="spellEnd"/>
      <w:r w:rsidRPr="00B45894">
        <w:rPr>
          <w:color w:val="000000"/>
          <w:sz w:val="24"/>
          <w:szCs w:val="24"/>
        </w:rPr>
        <w:t xml:space="preserve"> waste produced </w:t>
      </w:r>
      <w:r>
        <w:rPr>
          <w:color w:val="000000"/>
          <w:sz w:val="24"/>
          <w:szCs w:val="24"/>
        </w:rPr>
        <w:t xml:space="preserve">at Lega </w:t>
      </w:r>
      <w:proofErr w:type="spellStart"/>
      <w:r>
        <w:rPr>
          <w:color w:val="000000"/>
          <w:sz w:val="24"/>
          <w:szCs w:val="24"/>
        </w:rPr>
        <w:t>Dembi</w:t>
      </w:r>
      <w:proofErr w:type="spellEnd"/>
      <w:r>
        <w:rPr>
          <w:color w:val="000000"/>
          <w:sz w:val="24"/>
          <w:szCs w:val="24"/>
        </w:rPr>
        <w:t xml:space="preserve"> </w:t>
      </w:r>
      <w:r w:rsidRPr="00B45894">
        <w:rPr>
          <w:color w:val="000000"/>
          <w:sz w:val="24"/>
          <w:szCs w:val="24"/>
        </w:rPr>
        <w:t>when gold is extracted from ore is channelled</w:t>
      </w:r>
      <w:r>
        <w:rPr>
          <w:color w:val="000000"/>
          <w:sz w:val="24"/>
          <w:szCs w:val="24"/>
        </w:rPr>
        <w:t xml:space="preserve"> </w:t>
      </w:r>
      <w:r w:rsidRPr="00B45894">
        <w:rPr>
          <w:color w:val="000000"/>
          <w:sz w:val="24"/>
          <w:szCs w:val="24"/>
        </w:rPr>
        <w:t xml:space="preserve">into </w:t>
      </w:r>
      <w:r>
        <w:rPr>
          <w:color w:val="000000"/>
          <w:sz w:val="24"/>
          <w:szCs w:val="24"/>
        </w:rPr>
        <w:t xml:space="preserve">a large pond restrained by the first of three tailing dams. This highly toxic water is supposed to be purified before it is released back into the environment below the third dam. However, due to management and oversight failures, contaminated water has been allowed to enter the water </w:t>
      </w:r>
      <w:r>
        <w:rPr>
          <w:color w:val="000000"/>
          <w:sz w:val="24"/>
          <w:szCs w:val="24"/>
        </w:rPr>
        <w:lastRenderedPageBreak/>
        <w:t xml:space="preserve">supply near and below the mine. </w:t>
      </w:r>
      <w:r>
        <w:rPr>
          <w:sz w:val="24"/>
          <w:szCs w:val="24"/>
        </w:rPr>
        <w:t xml:space="preserve">Soil has also been contaminated, due to windborne dust and run-off and seepage of contaminated water. </w:t>
      </w:r>
    </w:p>
    <w:p w14:paraId="49947DA2" w14:textId="60A47994" w:rsidR="0034582E" w:rsidRDefault="0034582E" w:rsidP="007F22AF">
      <w:pPr>
        <w:jc w:val="both"/>
        <w:rPr>
          <w:sz w:val="24"/>
          <w:szCs w:val="24"/>
        </w:rPr>
      </w:pPr>
    </w:p>
    <w:p w14:paraId="20D918C8" w14:textId="39008DBD" w:rsidR="0034582E" w:rsidRDefault="0034582E" w:rsidP="007F22AF">
      <w:pPr>
        <w:jc w:val="both"/>
        <w:rPr>
          <w:sz w:val="24"/>
          <w:szCs w:val="24"/>
        </w:rPr>
      </w:pPr>
      <w:r>
        <w:rPr>
          <w:sz w:val="24"/>
          <w:szCs w:val="24"/>
        </w:rPr>
        <w:t xml:space="preserve">The </w:t>
      </w:r>
      <w:r w:rsidRPr="006A77DF">
        <w:rPr>
          <w:sz w:val="24"/>
          <w:szCs w:val="24"/>
        </w:rPr>
        <w:t>March 2018 environmental audit</w:t>
      </w:r>
      <w:r>
        <w:rPr>
          <w:sz w:val="24"/>
          <w:szCs w:val="24"/>
        </w:rPr>
        <w:t xml:space="preserve"> disclosed many failures, including the following:</w:t>
      </w:r>
    </w:p>
    <w:p w14:paraId="7F1234E8" w14:textId="7884A243" w:rsidR="0034582E" w:rsidRDefault="0034582E" w:rsidP="007F22AF">
      <w:pPr>
        <w:jc w:val="both"/>
        <w:rPr>
          <w:sz w:val="24"/>
          <w:szCs w:val="24"/>
        </w:rPr>
      </w:pPr>
    </w:p>
    <w:p w14:paraId="46100D62" w14:textId="3F23DB9D" w:rsidR="0034582E" w:rsidRDefault="0034582E" w:rsidP="004726D3">
      <w:pPr>
        <w:jc w:val="both"/>
        <w:rPr>
          <w:sz w:val="24"/>
          <w:szCs w:val="24"/>
        </w:rPr>
      </w:pPr>
      <w:r>
        <w:rPr>
          <w:color w:val="000000"/>
          <w:sz w:val="24"/>
          <w:szCs w:val="24"/>
        </w:rPr>
        <w:t xml:space="preserve">Instead of leaving the </w:t>
      </w:r>
      <w:proofErr w:type="spellStart"/>
      <w:r>
        <w:rPr>
          <w:color w:val="000000"/>
          <w:sz w:val="24"/>
          <w:szCs w:val="24"/>
        </w:rPr>
        <w:t>Dembi</w:t>
      </w:r>
      <w:proofErr w:type="spellEnd"/>
      <w:r>
        <w:rPr>
          <w:color w:val="000000"/>
          <w:sz w:val="24"/>
          <w:szCs w:val="24"/>
        </w:rPr>
        <w:t xml:space="preserve"> River as a source of clean water for community use, MIDROC diverted the river through its tailing dams, contaminating the water.</w:t>
      </w:r>
      <w:r>
        <w:rPr>
          <w:rStyle w:val="EndnoteReference"/>
          <w:color w:val="000000"/>
          <w:sz w:val="24"/>
          <w:szCs w:val="24"/>
        </w:rPr>
        <w:endnoteReference w:id="3"/>
      </w:r>
      <w:r>
        <w:rPr>
          <w:color w:val="000000"/>
          <w:sz w:val="24"/>
          <w:szCs w:val="24"/>
        </w:rPr>
        <w:t xml:space="preserve"> MIDROC </w:t>
      </w:r>
      <w:r w:rsidRPr="00B45894">
        <w:rPr>
          <w:color w:val="000000"/>
          <w:sz w:val="24"/>
          <w:szCs w:val="24"/>
        </w:rPr>
        <w:t>failed to install impermeable liners at the base of the tailing ponds</w:t>
      </w:r>
      <w:r>
        <w:rPr>
          <w:color w:val="000000"/>
          <w:sz w:val="24"/>
          <w:szCs w:val="24"/>
        </w:rPr>
        <w:t>, allowing</w:t>
      </w:r>
      <w:r w:rsidRPr="00B45894">
        <w:rPr>
          <w:color w:val="000000"/>
          <w:sz w:val="24"/>
          <w:szCs w:val="24"/>
        </w:rPr>
        <w:t xml:space="preserve"> seepage into </w:t>
      </w:r>
      <w:r>
        <w:rPr>
          <w:color w:val="000000"/>
          <w:sz w:val="24"/>
          <w:szCs w:val="24"/>
        </w:rPr>
        <w:t xml:space="preserve">the </w:t>
      </w:r>
      <w:r w:rsidRPr="00B45894">
        <w:rPr>
          <w:color w:val="000000"/>
          <w:sz w:val="24"/>
          <w:szCs w:val="24"/>
        </w:rPr>
        <w:t>groundwater</w:t>
      </w:r>
      <w:r>
        <w:rPr>
          <w:color w:val="000000"/>
          <w:sz w:val="24"/>
          <w:szCs w:val="24"/>
        </w:rPr>
        <w:t>.</w:t>
      </w:r>
      <w:r>
        <w:rPr>
          <w:rStyle w:val="EndnoteReference"/>
          <w:color w:val="000000"/>
          <w:sz w:val="24"/>
          <w:szCs w:val="24"/>
        </w:rPr>
        <w:endnoteReference w:id="4"/>
      </w:r>
      <w:r>
        <w:rPr>
          <w:color w:val="000000"/>
          <w:sz w:val="24"/>
          <w:szCs w:val="24"/>
        </w:rPr>
        <w:t xml:space="preserve"> The </w:t>
      </w:r>
      <w:r w:rsidRPr="00BA3BE8">
        <w:rPr>
          <w:sz w:val="24"/>
          <w:szCs w:val="24"/>
        </w:rPr>
        <w:t>highly toxic</w:t>
      </w:r>
      <w:r>
        <w:rPr>
          <w:sz w:val="24"/>
          <w:szCs w:val="24"/>
        </w:rPr>
        <w:t xml:space="preserve"> tailing</w:t>
      </w:r>
      <w:r w:rsidRPr="00BA3BE8">
        <w:rPr>
          <w:sz w:val="24"/>
          <w:szCs w:val="24"/>
        </w:rPr>
        <w:t xml:space="preserve"> ponds </w:t>
      </w:r>
      <w:r>
        <w:rPr>
          <w:sz w:val="24"/>
          <w:szCs w:val="24"/>
        </w:rPr>
        <w:t>were</w:t>
      </w:r>
      <w:r w:rsidRPr="00BA3BE8">
        <w:rPr>
          <w:sz w:val="24"/>
          <w:szCs w:val="24"/>
        </w:rPr>
        <w:t xml:space="preserve"> </w:t>
      </w:r>
      <w:r>
        <w:rPr>
          <w:sz w:val="24"/>
          <w:szCs w:val="24"/>
        </w:rPr>
        <w:t xml:space="preserve">left </w:t>
      </w:r>
      <w:r w:rsidRPr="00BA3BE8">
        <w:rPr>
          <w:sz w:val="24"/>
          <w:szCs w:val="24"/>
        </w:rPr>
        <w:t>unfenced and accessible to the community</w:t>
      </w:r>
      <w:r>
        <w:rPr>
          <w:sz w:val="24"/>
          <w:szCs w:val="24"/>
        </w:rPr>
        <w:t xml:space="preserve"> as a water source.</w:t>
      </w:r>
      <w:r>
        <w:rPr>
          <w:rStyle w:val="EndnoteReference"/>
          <w:sz w:val="24"/>
          <w:szCs w:val="24"/>
        </w:rPr>
        <w:endnoteReference w:id="5"/>
      </w:r>
    </w:p>
    <w:p w14:paraId="70DE450F" w14:textId="77777777" w:rsidR="0034582E" w:rsidRDefault="0034582E" w:rsidP="004726D3">
      <w:pPr>
        <w:jc w:val="both"/>
        <w:rPr>
          <w:sz w:val="24"/>
          <w:szCs w:val="24"/>
        </w:rPr>
      </w:pPr>
    </w:p>
    <w:p w14:paraId="1A0C5633" w14:textId="11CF604A" w:rsidR="0034582E" w:rsidRDefault="0034582E" w:rsidP="004726D3">
      <w:pPr>
        <w:jc w:val="both"/>
        <w:rPr>
          <w:sz w:val="24"/>
          <w:szCs w:val="24"/>
          <w:lang w:val="en-US"/>
        </w:rPr>
      </w:pPr>
      <w:r>
        <w:rPr>
          <w:sz w:val="24"/>
          <w:szCs w:val="24"/>
        </w:rPr>
        <w:t xml:space="preserve">Lax </w:t>
      </w:r>
      <w:r w:rsidRPr="0000621A">
        <w:rPr>
          <w:sz w:val="24"/>
          <w:szCs w:val="24"/>
        </w:rPr>
        <w:t xml:space="preserve">monitoring </w:t>
      </w:r>
      <w:r w:rsidRPr="00D277BF">
        <w:rPr>
          <w:sz w:val="24"/>
          <w:szCs w:val="24"/>
          <w:lang w:val="en-US"/>
        </w:rPr>
        <w:t xml:space="preserve">and record-keeping </w:t>
      </w:r>
      <w:r>
        <w:rPr>
          <w:sz w:val="24"/>
          <w:szCs w:val="24"/>
          <w:lang w:val="en-US"/>
        </w:rPr>
        <w:t>were also faulted.</w:t>
      </w:r>
      <w:r w:rsidRPr="00D277BF">
        <w:rPr>
          <w:sz w:val="24"/>
          <w:szCs w:val="24"/>
          <w:lang w:val="en-US"/>
        </w:rPr>
        <w:t xml:space="preserve"> </w:t>
      </w:r>
      <w:r w:rsidR="00FD3014">
        <w:rPr>
          <w:sz w:val="24"/>
          <w:szCs w:val="24"/>
          <w:lang w:val="en-US"/>
        </w:rPr>
        <w:t xml:space="preserve">All boreholes </w:t>
      </w:r>
      <w:r>
        <w:rPr>
          <w:sz w:val="24"/>
          <w:szCs w:val="24"/>
          <w:lang w:val="en-US"/>
        </w:rPr>
        <w:t>for groundwater monitoring were dysfunctional,</w:t>
      </w:r>
      <w:r>
        <w:rPr>
          <w:rStyle w:val="EndnoteReference"/>
          <w:sz w:val="24"/>
          <w:szCs w:val="24"/>
          <w:lang w:val="en-US"/>
        </w:rPr>
        <w:endnoteReference w:id="6"/>
      </w:r>
      <w:r>
        <w:rPr>
          <w:sz w:val="24"/>
          <w:szCs w:val="24"/>
          <w:lang w:val="en-US"/>
        </w:rPr>
        <w:t xml:space="preserve"> and there was no evidence that twice-yearly audits called for by MIDROC’s written policy had been performed.</w:t>
      </w:r>
      <w:r w:rsidRPr="00D277BF">
        <w:rPr>
          <w:sz w:val="24"/>
          <w:szCs w:val="24"/>
          <w:vertAlign w:val="superscript"/>
          <w:lang w:val="en-US"/>
        </w:rPr>
        <w:endnoteReference w:id="7"/>
      </w:r>
      <w:r>
        <w:rPr>
          <w:sz w:val="24"/>
          <w:szCs w:val="24"/>
          <w:lang w:val="en-US"/>
        </w:rPr>
        <w:t xml:space="preserve"> The audit found “neglect” and “significant deficiencies” in Government oversight,</w:t>
      </w:r>
      <w:r>
        <w:rPr>
          <w:rStyle w:val="EndnoteReference"/>
          <w:sz w:val="24"/>
          <w:szCs w:val="24"/>
          <w:lang w:val="en-US"/>
        </w:rPr>
        <w:endnoteReference w:id="8"/>
      </w:r>
      <w:r>
        <w:rPr>
          <w:sz w:val="24"/>
          <w:szCs w:val="24"/>
          <w:lang w:val="en-US"/>
        </w:rPr>
        <w:t xml:space="preserve"> concluding: “The overall audit findings is that the [relevant ministries’] compliance and enforcement activities of the mine are inadequate to protect the area from significant health and environmental risks.”</w:t>
      </w:r>
      <w:r>
        <w:rPr>
          <w:rStyle w:val="EndnoteReference"/>
          <w:sz w:val="24"/>
          <w:szCs w:val="24"/>
          <w:lang w:val="en-US"/>
        </w:rPr>
        <w:endnoteReference w:id="9"/>
      </w:r>
    </w:p>
    <w:p w14:paraId="40224F6C" w14:textId="7F4DB660" w:rsidR="0034582E" w:rsidRDefault="0034582E" w:rsidP="004726D3">
      <w:pPr>
        <w:jc w:val="both"/>
        <w:rPr>
          <w:sz w:val="24"/>
          <w:szCs w:val="24"/>
          <w:lang w:val="en-US"/>
        </w:rPr>
      </w:pPr>
    </w:p>
    <w:p w14:paraId="42B4744E" w14:textId="642F9A17" w:rsidR="0034582E" w:rsidRDefault="0034582E" w:rsidP="007F22AF">
      <w:pPr>
        <w:jc w:val="both"/>
        <w:rPr>
          <w:sz w:val="24"/>
          <w:szCs w:val="24"/>
          <w:lang w:val="en-US"/>
        </w:rPr>
      </w:pPr>
      <w:r>
        <w:rPr>
          <w:sz w:val="24"/>
          <w:szCs w:val="24"/>
          <w:lang w:val="en-US"/>
        </w:rPr>
        <w:t xml:space="preserve">A </w:t>
      </w:r>
      <w:r w:rsidRPr="00472C75">
        <w:rPr>
          <w:sz w:val="24"/>
          <w:szCs w:val="24"/>
          <w:lang w:val="en-US"/>
        </w:rPr>
        <w:t>late-2018 desk audit of prior reports</w:t>
      </w:r>
      <w:r>
        <w:rPr>
          <w:sz w:val="24"/>
          <w:szCs w:val="24"/>
          <w:lang w:val="en-US"/>
        </w:rPr>
        <w:t xml:space="preserve"> on the mine’s environmental impact was also very critical. Instead of commissioning an independent environmental impact assessment, as promised when the mine’s license was suspended, the Government – without any consultation with the community – brought in Canadian consultants who merely conducted a desk review of prior assessment reports. They never visited the mine, and they never met with members of the </w:t>
      </w:r>
      <w:proofErr w:type="spellStart"/>
      <w:r>
        <w:rPr>
          <w:sz w:val="24"/>
          <w:szCs w:val="24"/>
          <w:lang w:val="en-US"/>
        </w:rPr>
        <w:t>Guji</w:t>
      </w:r>
      <w:proofErr w:type="spellEnd"/>
      <w:r>
        <w:rPr>
          <w:sz w:val="24"/>
          <w:szCs w:val="24"/>
          <w:lang w:val="en-US"/>
        </w:rPr>
        <w:t xml:space="preserve"> community. Still, their report</w:t>
      </w:r>
      <w:r>
        <w:rPr>
          <w:rStyle w:val="EndnoteReference"/>
          <w:sz w:val="24"/>
          <w:szCs w:val="24"/>
          <w:lang w:val="en-US"/>
        </w:rPr>
        <w:endnoteReference w:id="10"/>
      </w:r>
      <w:r>
        <w:rPr>
          <w:sz w:val="24"/>
          <w:szCs w:val="24"/>
          <w:lang w:val="en-US"/>
        </w:rPr>
        <w:t xml:space="preserve"> – which the Government has refused to make public – was very critical, finding:</w:t>
      </w:r>
    </w:p>
    <w:p w14:paraId="34A43618" w14:textId="77777777" w:rsidR="0034582E" w:rsidRPr="00DC7797" w:rsidRDefault="0034582E" w:rsidP="00DC7797">
      <w:pPr>
        <w:jc w:val="both"/>
        <w:rPr>
          <w:sz w:val="24"/>
          <w:szCs w:val="24"/>
          <w:lang w:val="en-US"/>
        </w:rPr>
      </w:pPr>
    </w:p>
    <w:p w14:paraId="6FEDEC2A" w14:textId="7DD4037E" w:rsidR="0034582E" w:rsidRDefault="0034582E" w:rsidP="00DC7797">
      <w:pPr>
        <w:jc w:val="both"/>
        <w:rPr>
          <w:sz w:val="24"/>
          <w:szCs w:val="24"/>
          <w:lang w:val="en-US"/>
        </w:rPr>
      </w:pPr>
      <w:proofErr w:type="gramStart"/>
      <w:r>
        <w:rPr>
          <w:sz w:val="24"/>
          <w:szCs w:val="24"/>
          <w:lang w:val="en-US"/>
        </w:rPr>
        <w:t xml:space="preserve">* </w:t>
      </w:r>
      <w:r w:rsidR="001A22E6">
        <w:rPr>
          <w:sz w:val="24"/>
          <w:szCs w:val="24"/>
          <w:lang w:val="en-US"/>
        </w:rPr>
        <w:t xml:space="preserve"> </w:t>
      </w:r>
      <w:r>
        <w:rPr>
          <w:sz w:val="24"/>
          <w:szCs w:val="24"/>
          <w:lang w:val="en-US"/>
        </w:rPr>
        <w:t>“</w:t>
      </w:r>
      <w:proofErr w:type="gramEnd"/>
      <w:r w:rsidRPr="00DC7797">
        <w:rPr>
          <w:sz w:val="24"/>
          <w:szCs w:val="24"/>
          <w:lang w:val="en-US"/>
        </w:rPr>
        <w:t>Potential exposure to heavy metals from current mine-site water runoff and discharge, as well as historical mining activities</w:t>
      </w:r>
      <w:r>
        <w:rPr>
          <w:sz w:val="24"/>
          <w:szCs w:val="24"/>
          <w:lang w:val="en-US"/>
        </w:rPr>
        <w:t>”</w:t>
      </w:r>
    </w:p>
    <w:p w14:paraId="67C67438" w14:textId="77777777" w:rsidR="0034582E" w:rsidRDefault="0034582E" w:rsidP="00DC7797">
      <w:pPr>
        <w:jc w:val="both"/>
        <w:rPr>
          <w:sz w:val="24"/>
          <w:szCs w:val="24"/>
          <w:lang w:val="en-US"/>
        </w:rPr>
      </w:pPr>
    </w:p>
    <w:p w14:paraId="3A80DEE2" w14:textId="4996F71A" w:rsidR="0034582E" w:rsidRDefault="0034582E" w:rsidP="00DC7797">
      <w:pPr>
        <w:jc w:val="both"/>
        <w:rPr>
          <w:sz w:val="24"/>
          <w:szCs w:val="24"/>
          <w:lang w:val="en-US"/>
        </w:rPr>
      </w:pPr>
      <w:proofErr w:type="gramStart"/>
      <w:r>
        <w:rPr>
          <w:sz w:val="24"/>
          <w:szCs w:val="24"/>
          <w:lang w:val="en-US"/>
        </w:rPr>
        <w:t xml:space="preserve">* </w:t>
      </w:r>
      <w:r w:rsidR="001A22E6">
        <w:rPr>
          <w:sz w:val="24"/>
          <w:szCs w:val="24"/>
          <w:lang w:val="en-US"/>
        </w:rPr>
        <w:t xml:space="preserve"> </w:t>
      </w:r>
      <w:r>
        <w:rPr>
          <w:sz w:val="24"/>
          <w:szCs w:val="24"/>
          <w:lang w:val="en-US"/>
        </w:rPr>
        <w:t>“</w:t>
      </w:r>
      <w:proofErr w:type="gramEnd"/>
      <w:r w:rsidRPr="00DC7797">
        <w:rPr>
          <w:sz w:val="24"/>
          <w:szCs w:val="24"/>
          <w:lang w:val="en-US"/>
        </w:rPr>
        <w:t>Poor chemical and waste management resulting in an increased risk of exposure to metals and other hazardous contaminants</w:t>
      </w:r>
      <w:r>
        <w:rPr>
          <w:sz w:val="24"/>
          <w:szCs w:val="24"/>
          <w:lang w:val="en-US"/>
        </w:rPr>
        <w:t>”</w:t>
      </w:r>
      <w:r w:rsidRPr="00DC7797">
        <w:rPr>
          <w:sz w:val="24"/>
          <w:szCs w:val="24"/>
          <w:lang w:val="en-US"/>
        </w:rPr>
        <w:t xml:space="preserve"> </w:t>
      </w:r>
    </w:p>
    <w:p w14:paraId="6A80A75B" w14:textId="3F9283E0" w:rsidR="0034582E" w:rsidRDefault="001A22E6" w:rsidP="00DC7797">
      <w:pPr>
        <w:jc w:val="both"/>
        <w:rPr>
          <w:sz w:val="24"/>
          <w:szCs w:val="24"/>
          <w:lang w:val="en-US"/>
        </w:rPr>
      </w:pPr>
      <w:r>
        <w:rPr>
          <w:sz w:val="24"/>
          <w:szCs w:val="24"/>
          <w:lang w:val="en-US"/>
        </w:rPr>
        <w:t xml:space="preserve"> </w:t>
      </w:r>
    </w:p>
    <w:p w14:paraId="7CF3510D" w14:textId="72DA03A3" w:rsidR="0034582E" w:rsidRDefault="0034582E" w:rsidP="00DC7797">
      <w:pPr>
        <w:jc w:val="both"/>
        <w:rPr>
          <w:sz w:val="24"/>
          <w:szCs w:val="24"/>
          <w:lang w:val="en-US"/>
        </w:rPr>
      </w:pPr>
      <w:proofErr w:type="gramStart"/>
      <w:r>
        <w:rPr>
          <w:sz w:val="24"/>
          <w:szCs w:val="24"/>
          <w:lang w:val="en-US"/>
        </w:rPr>
        <w:t xml:space="preserve">* </w:t>
      </w:r>
      <w:r w:rsidR="001A22E6">
        <w:rPr>
          <w:sz w:val="24"/>
          <w:szCs w:val="24"/>
          <w:lang w:val="en-US"/>
        </w:rPr>
        <w:t xml:space="preserve"> </w:t>
      </w:r>
      <w:r>
        <w:rPr>
          <w:sz w:val="24"/>
          <w:szCs w:val="24"/>
          <w:lang w:val="en-US"/>
        </w:rPr>
        <w:t>“</w:t>
      </w:r>
      <w:proofErr w:type="gramEnd"/>
      <w:r w:rsidRPr="00DC7797">
        <w:rPr>
          <w:sz w:val="24"/>
          <w:szCs w:val="24"/>
          <w:lang w:val="en-US"/>
        </w:rPr>
        <w:t>Dust generation</w:t>
      </w:r>
      <w:r>
        <w:rPr>
          <w:sz w:val="24"/>
          <w:szCs w:val="24"/>
          <w:lang w:val="en-US"/>
        </w:rPr>
        <w:t>”</w:t>
      </w:r>
    </w:p>
    <w:p w14:paraId="4AE10C2F" w14:textId="369D37FF" w:rsidR="0034582E" w:rsidRDefault="0034582E" w:rsidP="00DC7797">
      <w:pPr>
        <w:jc w:val="both"/>
        <w:rPr>
          <w:sz w:val="24"/>
          <w:szCs w:val="24"/>
          <w:lang w:val="en-US"/>
        </w:rPr>
      </w:pPr>
    </w:p>
    <w:p w14:paraId="2608F1BD" w14:textId="30CA6732" w:rsidR="0034582E" w:rsidRDefault="0034582E" w:rsidP="00DC7797">
      <w:pPr>
        <w:jc w:val="both"/>
        <w:rPr>
          <w:sz w:val="24"/>
          <w:szCs w:val="24"/>
          <w:lang w:val="en-US"/>
        </w:rPr>
      </w:pPr>
      <w:proofErr w:type="gramStart"/>
      <w:r>
        <w:rPr>
          <w:sz w:val="24"/>
          <w:szCs w:val="24"/>
          <w:lang w:val="en-US"/>
        </w:rPr>
        <w:t xml:space="preserve">* </w:t>
      </w:r>
      <w:r w:rsidR="001A22E6">
        <w:rPr>
          <w:sz w:val="24"/>
          <w:szCs w:val="24"/>
          <w:lang w:val="en-US"/>
        </w:rPr>
        <w:t xml:space="preserve"> </w:t>
      </w:r>
      <w:r>
        <w:rPr>
          <w:sz w:val="24"/>
          <w:szCs w:val="24"/>
          <w:lang w:val="en-US"/>
        </w:rPr>
        <w:t>“</w:t>
      </w:r>
      <w:proofErr w:type="gramEnd"/>
      <w:r w:rsidRPr="00DC7797">
        <w:rPr>
          <w:sz w:val="24"/>
          <w:szCs w:val="24"/>
          <w:lang w:val="en-US"/>
        </w:rPr>
        <w:t>Poor community engagement strategies, lack of appropriate grievance mechanisms, and no social performance systems in place by MIDROC</w:t>
      </w:r>
      <w:r>
        <w:rPr>
          <w:sz w:val="24"/>
          <w:szCs w:val="24"/>
          <w:lang w:val="en-US"/>
        </w:rPr>
        <w:t>”</w:t>
      </w:r>
    </w:p>
    <w:p w14:paraId="153A3080" w14:textId="74634982" w:rsidR="0034582E" w:rsidRDefault="0034582E" w:rsidP="00DC7797">
      <w:pPr>
        <w:jc w:val="both"/>
        <w:rPr>
          <w:sz w:val="24"/>
          <w:szCs w:val="24"/>
          <w:lang w:val="en-US"/>
        </w:rPr>
      </w:pPr>
    </w:p>
    <w:p w14:paraId="2007E41C" w14:textId="5FE5C10E" w:rsidR="0034582E" w:rsidRDefault="0034582E" w:rsidP="00DC7797">
      <w:pPr>
        <w:jc w:val="both"/>
        <w:rPr>
          <w:sz w:val="24"/>
          <w:szCs w:val="24"/>
          <w:lang w:val="en-US"/>
        </w:rPr>
      </w:pPr>
      <w:proofErr w:type="gramStart"/>
      <w:r>
        <w:rPr>
          <w:sz w:val="24"/>
          <w:szCs w:val="24"/>
          <w:lang w:val="en-US"/>
        </w:rPr>
        <w:t xml:space="preserve">* </w:t>
      </w:r>
      <w:r w:rsidR="001A22E6">
        <w:rPr>
          <w:sz w:val="24"/>
          <w:szCs w:val="24"/>
          <w:lang w:val="en-US"/>
        </w:rPr>
        <w:t xml:space="preserve"> </w:t>
      </w:r>
      <w:r>
        <w:rPr>
          <w:sz w:val="24"/>
          <w:szCs w:val="24"/>
          <w:lang w:val="en-US"/>
        </w:rPr>
        <w:t>“</w:t>
      </w:r>
      <w:proofErr w:type="gramEnd"/>
      <w:r>
        <w:rPr>
          <w:sz w:val="24"/>
          <w:szCs w:val="24"/>
          <w:lang w:val="en-US"/>
        </w:rPr>
        <w:t xml:space="preserve">Historical use of mercury in the </w:t>
      </w:r>
      <w:proofErr w:type="spellStart"/>
      <w:r>
        <w:rPr>
          <w:sz w:val="24"/>
          <w:szCs w:val="24"/>
          <w:lang w:val="en-US"/>
        </w:rPr>
        <w:t>Legadembi</w:t>
      </w:r>
      <w:proofErr w:type="spellEnd"/>
      <w:r>
        <w:rPr>
          <w:sz w:val="24"/>
          <w:szCs w:val="24"/>
          <w:lang w:val="en-US"/>
        </w:rPr>
        <w:t xml:space="preserve"> Mining area”</w:t>
      </w:r>
      <w:r w:rsidRPr="00EC3F10">
        <w:rPr>
          <w:rStyle w:val="EndnoteReference"/>
          <w:sz w:val="24"/>
          <w:szCs w:val="24"/>
          <w:lang w:val="en-US"/>
        </w:rPr>
        <w:t xml:space="preserve"> </w:t>
      </w:r>
      <w:r>
        <w:rPr>
          <w:rStyle w:val="EndnoteReference"/>
          <w:sz w:val="24"/>
          <w:szCs w:val="24"/>
          <w:lang w:val="en-US"/>
        </w:rPr>
        <w:endnoteReference w:id="11"/>
      </w:r>
    </w:p>
    <w:p w14:paraId="56E36AF8" w14:textId="77777777" w:rsidR="0034582E" w:rsidRDefault="0034582E" w:rsidP="00DC7797">
      <w:pPr>
        <w:jc w:val="both"/>
        <w:rPr>
          <w:sz w:val="24"/>
          <w:szCs w:val="24"/>
          <w:lang w:val="en-US"/>
        </w:rPr>
      </w:pPr>
    </w:p>
    <w:p w14:paraId="29137D5F" w14:textId="178DC373" w:rsidR="0034582E" w:rsidRPr="00216B85" w:rsidRDefault="0034582E" w:rsidP="00463B51">
      <w:pPr>
        <w:jc w:val="both"/>
        <w:rPr>
          <w:b/>
          <w:bCs/>
          <w:i/>
          <w:iCs/>
          <w:sz w:val="24"/>
          <w:szCs w:val="24"/>
        </w:rPr>
      </w:pPr>
      <w:r w:rsidRPr="00216B85">
        <w:rPr>
          <w:b/>
          <w:bCs/>
          <w:i/>
          <w:iCs/>
          <w:sz w:val="24"/>
          <w:szCs w:val="24"/>
        </w:rPr>
        <w:t>Types of hazardous substances</w:t>
      </w:r>
    </w:p>
    <w:p w14:paraId="305E89A2" w14:textId="35D2CE2A" w:rsidR="0034582E" w:rsidRDefault="0034582E" w:rsidP="00463B51">
      <w:pPr>
        <w:jc w:val="both"/>
        <w:rPr>
          <w:sz w:val="24"/>
          <w:szCs w:val="24"/>
        </w:rPr>
      </w:pPr>
    </w:p>
    <w:p w14:paraId="4196E8F4" w14:textId="3B73C394" w:rsidR="0034582E" w:rsidRDefault="0034582E" w:rsidP="00AF343A">
      <w:pPr>
        <w:jc w:val="both"/>
        <w:rPr>
          <w:sz w:val="24"/>
          <w:szCs w:val="24"/>
        </w:rPr>
      </w:pPr>
      <w:r>
        <w:rPr>
          <w:sz w:val="24"/>
          <w:szCs w:val="24"/>
        </w:rPr>
        <w:t xml:space="preserve">Studies have documented dangerous levels of cyanide and heavy metals, including arsenic and mercury, in the water and soil near and downstream from Lega </w:t>
      </w:r>
      <w:proofErr w:type="spellStart"/>
      <w:r>
        <w:rPr>
          <w:sz w:val="24"/>
          <w:szCs w:val="24"/>
        </w:rPr>
        <w:t>Dembi</w:t>
      </w:r>
      <w:proofErr w:type="spellEnd"/>
      <w:r>
        <w:rPr>
          <w:sz w:val="24"/>
          <w:szCs w:val="24"/>
        </w:rPr>
        <w:t>.</w:t>
      </w:r>
    </w:p>
    <w:p w14:paraId="5573B207" w14:textId="77777777" w:rsidR="0034582E" w:rsidRDefault="0034582E" w:rsidP="00AF343A">
      <w:pPr>
        <w:jc w:val="both"/>
        <w:rPr>
          <w:sz w:val="24"/>
          <w:szCs w:val="24"/>
        </w:rPr>
      </w:pPr>
    </w:p>
    <w:p w14:paraId="5281AB21" w14:textId="1137617D" w:rsidR="0034582E" w:rsidRDefault="0034582E" w:rsidP="00AF343A">
      <w:pPr>
        <w:jc w:val="both"/>
        <w:rPr>
          <w:sz w:val="24"/>
          <w:szCs w:val="24"/>
        </w:rPr>
      </w:pPr>
      <w:r w:rsidRPr="00A10CF1">
        <w:rPr>
          <w:b/>
          <w:bCs/>
          <w:sz w:val="24"/>
          <w:szCs w:val="24"/>
        </w:rPr>
        <w:t>Cyanide.</w:t>
      </w:r>
      <w:r>
        <w:rPr>
          <w:sz w:val="24"/>
          <w:szCs w:val="24"/>
        </w:rPr>
        <w:t xml:space="preserve"> The March 2018 environmental audit concluded: </w:t>
      </w:r>
      <w:r w:rsidRPr="00D277BF">
        <w:rPr>
          <w:bCs/>
          <w:sz w:val="24"/>
          <w:szCs w:val="24"/>
          <w:lang w:val="en-US"/>
        </w:rPr>
        <w:t>“[C]</w:t>
      </w:r>
      <w:proofErr w:type="spellStart"/>
      <w:r w:rsidRPr="00D277BF">
        <w:rPr>
          <w:bCs/>
          <w:sz w:val="24"/>
          <w:szCs w:val="24"/>
          <w:lang w:val="en-US"/>
        </w:rPr>
        <w:t>yanide</w:t>
      </w:r>
      <w:proofErr w:type="spellEnd"/>
      <w:r w:rsidRPr="00D277BF">
        <w:rPr>
          <w:bCs/>
          <w:sz w:val="24"/>
          <w:szCs w:val="24"/>
          <w:lang w:val="en-US"/>
        </w:rPr>
        <w:t xml:space="preserve"> is </w:t>
      </w:r>
      <w:r w:rsidRPr="00D277BF">
        <w:rPr>
          <w:sz w:val="24"/>
          <w:szCs w:val="24"/>
          <w:lang w:val="en-US"/>
        </w:rPr>
        <w:t xml:space="preserve">present in considerable amount both in water and soil samples . . . at this specific site. </w:t>
      </w:r>
      <w:r>
        <w:rPr>
          <w:sz w:val="24"/>
          <w:szCs w:val="24"/>
          <w:lang w:val="en-US"/>
        </w:rPr>
        <w:t>“</w:t>
      </w:r>
      <w:r w:rsidRPr="00D277BF">
        <w:rPr>
          <w:sz w:val="24"/>
          <w:szCs w:val="24"/>
          <w:lang w:val="en-US"/>
        </w:rPr>
        <w:t xml:space="preserve">The fact that </w:t>
      </w:r>
      <w:r w:rsidRPr="00EA0908">
        <w:rPr>
          <w:b/>
          <w:bCs/>
          <w:sz w:val="24"/>
          <w:szCs w:val="24"/>
          <w:lang w:val="en-US"/>
        </w:rPr>
        <w:t>cyanide enters the areas outside the tailings dam</w:t>
      </w:r>
      <w:r w:rsidRPr="00D277BF">
        <w:rPr>
          <w:sz w:val="24"/>
          <w:szCs w:val="24"/>
          <w:lang w:val="en-US"/>
        </w:rPr>
        <w:t xml:space="preserve"> . . . </w:t>
      </w:r>
      <w:r w:rsidRPr="00EA0908">
        <w:rPr>
          <w:b/>
          <w:bCs/>
          <w:sz w:val="24"/>
          <w:szCs w:val="24"/>
          <w:lang w:val="en-US"/>
        </w:rPr>
        <w:t xml:space="preserve">creates a health threat because the people and animals are using the water </w:t>
      </w:r>
      <w:r w:rsidRPr="00D277BF">
        <w:rPr>
          <w:sz w:val="24"/>
          <w:szCs w:val="24"/>
          <w:lang w:val="en-US"/>
        </w:rPr>
        <w:t>. . ..”</w:t>
      </w:r>
      <w:r>
        <w:rPr>
          <w:rStyle w:val="EndnoteReference"/>
          <w:sz w:val="24"/>
          <w:szCs w:val="24"/>
          <w:lang w:val="en-US"/>
        </w:rPr>
        <w:endnoteReference w:id="12"/>
      </w:r>
    </w:p>
    <w:p w14:paraId="538F031A" w14:textId="77777777" w:rsidR="0034582E" w:rsidRDefault="0034582E" w:rsidP="00AF343A">
      <w:pPr>
        <w:jc w:val="both"/>
        <w:rPr>
          <w:sz w:val="24"/>
          <w:szCs w:val="24"/>
        </w:rPr>
      </w:pPr>
    </w:p>
    <w:p w14:paraId="3076EECA" w14:textId="01761215" w:rsidR="0034582E" w:rsidRPr="00EA0908" w:rsidRDefault="0034582E" w:rsidP="00AF343A">
      <w:pPr>
        <w:jc w:val="both"/>
        <w:rPr>
          <w:b/>
          <w:bCs/>
          <w:sz w:val="24"/>
          <w:szCs w:val="24"/>
          <w:lang w:val="en-US"/>
        </w:rPr>
      </w:pPr>
      <w:r w:rsidRPr="00D277BF">
        <w:rPr>
          <w:b/>
          <w:sz w:val="24"/>
          <w:szCs w:val="24"/>
          <w:lang w:val="en-US"/>
        </w:rPr>
        <w:lastRenderedPageBreak/>
        <w:t>Arsenic.</w:t>
      </w:r>
      <w:r w:rsidR="003C617E">
        <w:rPr>
          <w:sz w:val="24"/>
          <w:szCs w:val="24"/>
          <w:lang w:val="en-US"/>
        </w:rPr>
        <w:t xml:space="preserve"> </w:t>
      </w:r>
      <w:r w:rsidRPr="00D277BF">
        <w:rPr>
          <w:sz w:val="24"/>
          <w:szCs w:val="24"/>
          <w:lang w:val="en-US"/>
        </w:rPr>
        <w:t xml:space="preserve">The same audit found concentrations of </w:t>
      </w:r>
      <w:r w:rsidRPr="00EC3F10">
        <w:rPr>
          <w:sz w:val="24"/>
          <w:szCs w:val="24"/>
          <w:lang w:val="en-US"/>
        </w:rPr>
        <w:t xml:space="preserve">arsenic substantially exceeding recommended limits in soil and water </w:t>
      </w:r>
      <w:r w:rsidRPr="00D277BF">
        <w:rPr>
          <w:sz w:val="24"/>
          <w:szCs w:val="24"/>
          <w:lang w:val="en-US"/>
        </w:rPr>
        <w:t xml:space="preserve">samples within and downstream from Lega </w:t>
      </w:r>
      <w:proofErr w:type="spellStart"/>
      <w:r w:rsidRPr="00D277BF">
        <w:rPr>
          <w:sz w:val="24"/>
          <w:szCs w:val="24"/>
          <w:lang w:val="en-US"/>
        </w:rPr>
        <w:t>Dembi</w:t>
      </w:r>
      <w:proofErr w:type="spellEnd"/>
      <w:r w:rsidRPr="00D277BF">
        <w:rPr>
          <w:sz w:val="24"/>
          <w:szCs w:val="24"/>
          <w:lang w:val="en-US"/>
        </w:rPr>
        <w:t>.  For example, water taken at the point of “[d]</w:t>
      </w:r>
      <w:proofErr w:type="spellStart"/>
      <w:r w:rsidRPr="00D277BF">
        <w:rPr>
          <w:sz w:val="24"/>
          <w:szCs w:val="24"/>
          <w:lang w:val="en-US"/>
        </w:rPr>
        <w:t>ischarge</w:t>
      </w:r>
      <w:proofErr w:type="spellEnd"/>
      <w:r w:rsidRPr="00D277BF">
        <w:rPr>
          <w:sz w:val="24"/>
          <w:szCs w:val="24"/>
          <w:lang w:val="en-US"/>
        </w:rPr>
        <w:t xml:space="preserve"> from the third dam to the </w:t>
      </w:r>
      <w:r>
        <w:rPr>
          <w:sz w:val="24"/>
          <w:szCs w:val="24"/>
          <w:lang w:val="en-US"/>
        </w:rPr>
        <w:t>E</w:t>
      </w:r>
      <w:r w:rsidRPr="00D277BF">
        <w:rPr>
          <w:sz w:val="24"/>
          <w:szCs w:val="24"/>
          <w:lang w:val="en-US"/>
        </w:rPr>
        <w:t xml:space="preserve">nvironment” showed a concentration of </w:t>
      </w:r>
      <w:r w:rsidRPr="00EA0908">
        <w:rPr>
          <w:b/>
          <w:bCs/>
          <w:sz w:val="24"/>
          <w:szCs w:val="24"/>
          <w:lang w:val="en-US"/>
        </w:rPr>
        <w:t>arsenic nearly 10 times the World Health Organization (WHO) standard.</w:t>
      </w:r>
      <w:r w:rsidRPr="005A61B2">
        <w:rPr>
          <w:rStyle w:val="EndnoteReference"/>
          <w:sz w:val="24"/>
          <w:szCs w:val="24"/>
          <w:lang w:val="en-US"/>
        </w:rPr>
        <w:endnoteReference w:id="13"/>
      </w:r>
    </w:p>
    <w:p w14:paraId="5DB375E6" w14:textId="77777777" w:rsidR="0034582E" w:rsidRPr="00D277BF" w:rsidRDefault="0034582E" w:rsidP="00AF343A">
      <w:pPr>
        <w:jc w:val="both"/>
        <w:rPr>
          <w:sz w:val="24"/>
          <w:szCs w:val="24"/>
          <w:lang w:val="en-US"/>
        </w:rPr>
      </w:pPr>
    </w:p>
    <w:p w14:paraId="48BEF370" w14:textId="2FD3D06B" w:rsidR="0034582E" w:rsidRDefault="0034582E" w:rsidP="00F835F2">
      <w:pPr>
        <w:jc w:val="both"/>
        <w:rPr>
          <w:sz w:val="24"/>
          <w:szCs w:val="24"/>
          <w:lang w:val="en-US"/>
        </w:rPr>
      </w:pPr>
      <w:r w:rsidRPr="00D277BF">
        <w:rPr>
          <w:b/>
          <w:sz w:val="24"/>
          <w:szCs w:val="24"/>
          <w:lang w:val="en-US"/>
        </w:rPr>
        <w:t xml:space="preserve">Mercury. </w:t>
      </w:r>
      <w:r w:rsidR="003C617E">
        <w:rPr>
          <w:b/>
          <w:sz w:val="24"/>
          <w:szCs w:val="24"/>
          <w:lang w:val="en-US"/>
        </w:rPr>
        <w:t xml:space="preserve"> </w:t>
      </w:r>
      <w:r w:rsidRPr="00945278">
        <w:rPr>
          <w:bCs/>
          <w:sz w:val="24"/>
          <w:szCs w:val="24"/>
          <w:lang w:val="en-US"/>
        </w:rPr>
        <w:t>Extremely dangerous levels of mercury contamination were found by</w:t>
      </w:r>
      <w:r>
        <w:rPr>
          <w:b/>
          <w:sz w:val="24"/>
          <w:szCs w:val="24"/>
          <w:lang w:val="en-US"/>
        </w:rPr>
        <w:t xml:space="preserve"> </w:t>
      </w:r>
      <w:r w:rsidRPr="00945278">
        <w:rPr>
          <w:bCs/>
          <w:sz w:val="24"/>
          <w:szCs w:val="24"/>
          <w:lang w:val="en-US"/>
        </w:rPr>
        <w:t>r</w:t>
      </w:r>
      <w:proofErr w:type="spellStart"/>
      <w:r w:rsidRPr="00945278">
        <w:rPr>
          <w:bCs/>
          <w:sz w:val="24"/>
          <w:szCs w:val="24"/>
        </w:rPr>
        <w:t>esearchers</w:t>
      </w:r>
      <w:proofErr w:type="spellEnd"/>
      <w:r w:rsidRPr="00945278">
        <w:rPr>
          <w:bCs/>
          <w:sz w:val="24"/>
          <w:szCs w:val="24"/>
        </w:rPr>
        <w:t xml:space="preserve"> </w:t>
      </w:r>
      <w:r w:rsidR="001A22E6">
        <w:rPr>
          <w:bCs/>
          <w:sz w:val="24"/>
          <w:szCs w:val="24"/>
        </w:rPr>
        <w:t>from</w:t>
      </w:r>
      <w:r w:rsidRPr="00945278">
        <w:rPr>
          <w:bCs/>
          <w:sz w:val="24"/>
          <w:szCs w:val="24"/>
        </w:rPr>
        <w:t xml:space="preserve"> Dilla and Bula Hore Universities</w:t>
      </w:r>
      <w:r>
        <w:rPr>
          <w:bCs/>
          <w:sz w:val="24"/>
          <w:szCs w:val="24"/>
        </w:rPr>
        <w:t>, who in 2019</w:t>
      </w:r>
      <w:r w:rsidRPr="00945278">
        <w:rPr>
          <w:bCs/>
          <w:sz w:val="24"/>
          <w:szCs w:val="24"/>
        </w:rPr>
        <w:t xml:space="preserve"> conducted sampling and analysis of water</w:t>
      </w:r>
      <w:r>
        <w:rPr>
          <w:bCs/>
          <w:sz w:val="24"/>
          <w:szCs w:val="24"/>
        </w:rPr>
        <w:t xml:space="preserve"> and</w:t>
      </w:r>
      <w:r w:rsidRPr="00945278">
        <w:rPr>
          <w:bCs/>
          <w:sz w:val="24"/>
          <w:szCs w:val="24"/>
        </w:rPr>
        <w:t xml:space="preserve"> soil </w:t>
      </w:r>
      <w:r>
        <w:rPr>
          <w:bCs/>
          <w:sz w:val="24"/>
          <w:szCs w:val="24"/>
        </w:rPr>
        <w:t xml:space="preserve">in the </w:t>
      </w:r>
      <w:r w:rsidRPr="00945278">
        <w:rPr>
          <w:bCs/>
          <w:sz w:val="24"/>
          <w:szCs w:val="24"/>
        </w:rPr>
        <w:t xml:space="preserve">Lega </w:t>
      </w:r>
      <w:proofErr w:type="spellStart"/>
      <w:r w:rsidRPr="00945278">
        <w:rPr>
          <w:bCs/>
          <w:sz w:val="24"/>
          <w:szCs w:val="24"/>
        </w:rPr>
        <w:t>Dembi</w:t>
      </w:r>
      <w:proofErr w:type="spellEnd"/>
      <w:r w:rsidRPr="00945278">
        <w:rPr>
          <w:bCs/>
          <w:sz w:val="24"/>
          <w:szCs w:val="24"/>
        </w:rPr>
        <w:t xml:space="preserve"> </w:t>
      </w:r>
      <w:r>
        <w:rPr>
          <w:bCs/>
          <w:sz w:val="24"/>
          <w:szCs w:val="24"/>
        </w:rPr>
        <w:t>area</w:t>
      </w:r>
      <w:r w:rsidRPr="00945278">
        <w:rPr>
          <w:bCs/>
          <w:sz w:val="24"/>
          <w:szCs w:val="24"/>
        </w:rPr>
        <w:t>. Samples taken at control site</w:t>
      </w:r>
      <w:r>
        <w:rPr>
          <w:bCs/>
          <w:sz w:val="24"/>
          <w:szCs w:val="24"/>
        </w:rPr>
        <w:t>s</w:t>
      </w:r>
      <w:r w:rsidRPr="00945278">
        <w:rPr>
          <w:bCs/>
          <w:sz w:val="24"/>
          <w:szCs w:val="24"/>
        </w:rPr>
        <w:t xml:space="preserve"> above the mine showed no observable mercury at a site with no mining, and a very low level of mercury – within WHO guidelines </w:t>
      </w:r>
      <w:r>
        <w:rPr>
          <w:bCs/>
          <w:sz w:val="24"/>
          <w:szCs w:val="24"/>
        </w:rPr>
        <w:t xml:space="preserve">– at </w:t>
      </w:r>
      <w:r w:rsidRPr="00945278">
        <w:rPr>
          <w:bCs/>
          <w:sz w:val="24"/>
          <w:szCs w:val="24"/>
        </w:rPr>
        <w:t>a site with artisanal mining. B</w:t>
      </w:r>
      <w:r>
        <w:rPr>
          <w:bCs/>
          <w:sz w:val="24"/>
          <w:szCs w:val="24"/>
        </w:rPr>
        <w:t>ut</w:t>
      </w:r>
      <w:r w:rsidRPr="00945278">
        <w:rPr>
          <w:bCs/>
          <w:sz w:val="24"/>
          <w:szCs w:val="24"/>
        </w:rPr>
        <w:t xml:space="preserve"> just below Lega </w:t>
      </w:r>
      <w:proofErr w:type="spellStart"/>
      <w:r w:rsidRPr="00945278">
        <w:rPr>
          <w:bCs/>
          <w:sz w:val="24"/>
          <w:szCs w:val="24"/>
        </w:rPr>
        <w:t>Dembi</w:t>
      </w:r>
      <w:proofErr w:type="spellEnd"/>
      <w:r w:rsidRPr="00945278">
        <w:rPr>
          <w:bCs/>
          <w:sz w:val="24"/>
          <w:szCs w:val="24"/>
        </w:rPr>
        <w:t xml:space="preserve">, </w:t>
      </w:r>
      <w:r>
        <w:rPr>
          <w:bCs/>
          <w:sz w:val="24"/>
          <w:szCs w:val="24"/>
        </w:rPr>
        <w:t>the researchers found mercury levels in water and soil exceeding WHO standards.</w:t>
      </w:r>
      <w:r w:rsidRPr="0055561B">
        <w:rPr>
          <w:bCs/>
          <w:sz w:val="24"/>
          <w:szCs w:val="24"/>
          <w:lang w:val="en-US"/>
        </w:rPr>
        <w:t xml:space="preserve"> </w:t>
      </w:r>
      <w:r>
        <w:rPr>
          <w:bCs/>
          <w:sz w:val="24"/>
          <w:szCs w:val="24"/>
          <w:lang w:val="en-US"/>
        </w:rPr>
        <w:t>C</w:t>
      </w:r>
      <w:r w:rsidRPr="0055561B">
        <w:rPr>
          <w:bCs/>
          <w:sz w:val="24"/>
          <w:szCs w:val="24"/>
          <w:lang w:val="en-US"/>
        </w:rPr>
        <w:t xml:space="preserve">oncentrations of </w:t>
      </w:r>
      <w:r w:rsidRPr="00EA0908">
        <w:rPr>
          <w:b/>
          <w:sz w:val="24"/>
          <w:szCs w:val="24"/>
          <w:lang w:val="en-US"/>
        </w:rPr>
        <w:t>mercury</w:t>
      </w:r>
      <w:r w:rsidRPr="0055561B">
        <w:rPr>
          <w:bCs/>
          <w:sz w:val="24"/>
          <w:szCs w:val="24"/>
          <w:lang w:val="en-US"/>
        </w:rPr>
        <w:t xml:space="preserve"> observed in the water </w:t>
      </w:r>
      <w:r>
        <w:rPr>
          <w:bCs/>
          <w:sz w:val="24"/>
          <w:szCs w:val="24"/>
          <w:lang w:val="en-US"/>
        </w:rPr>
        <w:t xml:space="preserve">at sampling points below Lega </w:t>
      </w:r>
      <w:proofErr w:type="spellStart"/>
      <w:r>
        <w:rPr>
          <w:bCs/>
          <w:sz w:val="24"/>
          <w:szCs w:val="24"/>
          <w:lang w:val="en-US"/>
        </w:rPr>
        <w:t>Dembi</w:t>
      </w:r>
      <w:proofErr w:type="spellEnd"/>
      <w:r>
        <w:rPr>
          <w:bCs/>
          <w:sz w:val="24"/>
          <w:szCs w:val="24"/>
          <w:lang w:val="en-US"/>
        </w:rPr>
        <w:t xml:space="preserve"> were</w:t>
      </w:r>
      <w:r w:rsidRPr="0055561B">
        <w:rPr>
          <w:bCs/>
          <w:sz w:val="24"/>
          <w:szCs w:val="24"/>
          <w:lang w:val="en-US"/>
        </w:rPr>
        <w:t> </w:t>
      </w:r>
      <w:r w:rsidRPr="00EA0908">
        <w:rPr>
          <w:b/>
          <w:sz w:val="24"/>
          <w:szCs w:val="24"/>
          <w:lang w:val="en-US"/>
        </w:rPr>
        <w:t>12-80 times higher than the WHO standard</w:t>
      </w:r>
      <w:r w:rsidRPr="00EA0908">
        <w:rPr>
          <w:bCs/>
          <w:sz w:val="24"/>
          <w:szCs w:val="24"/>
          <w:lang w:val="en-US"/>
        </w:rPr>
        <w:t>.</w:t>
      </w:r>
      <w:r w:rsidRPr="0055561B">
        <w:rPr>
          <w:bCs/>
          <w:sz w:val="24"/>
          <w:szCs w:val="24"/>
          <w:vertAlign w:val="superscript"/>
          <w:lang w:val="en-US"/>
        </w:rPr>
        <w:endnoteReference w:id="14"/>
      </w:r>
    </w:p>
    <w:p w14:paraId="65CE46A0" w14:textId="35785C6A" w:rsidR="0034582E" w:rsidRDefault="0034582E" w:rsidP="00AF343A">
      <w:pPr>
        <w:jc w:val="both"/>
        <w:rPr>
          <w:sz w:val="24"/>
          <w:szCs w:val="24"/>
          <w:lang w:val="en-US"/>
        </w:rPr>
      </w:pPr>
    </w:p>
    <w:p w14:paraId="657E24C0" w14:textId="75E5D034" w:rsidR="0034582E" w:rsidRDefault="0034582E" w:rsidP="00AF343A">
      <w:pPr>
        <w:jc w:val="both"/>
        <w:rPr>
          <w:b/>
          <w:bCs/>
          <w:i/>
          <w:iCs/>
          <w:sz w:val="24"/>
          <w:szCs w:val="24"/>
          <w:lang w:val="en-US"/>
        </w:rPr>
      </w:pPr>
      <w:r>
        <w:rPr>
          <w:b/>
          <w:bCs/>
          <w:i/>
          <w:iCs/>
          <w:sz w:val="24"/>
          <w:szCs w:val="24"/>
          <w:lang w:val="en-US"/>
        </w:rPr>
        <w:t xml:space="preserve">Absence of consultations, </w:t>
      </w:r>
      <w:proofErr w:type="gramStart"/>
      <w:r>
        <w:rPr>
          <w:b/>
          <w:bCs/>
          <w:i/>
          <w:iCs/>
          <w:sz w:val="24"/>
          <w:szCs w:val="24"/>
          <w:lang w:val="en-US"/>
        </w:rPr>
        <w:t>consent</w:t>
      </w:r>
      <w:proofErr w:type="gramEnd"/>
      <w:r>
        <w:rPr>
          <w:b/>
          <w:bCs/>
          <w:i/>
          <w:iCs/>
          <w:sz w:val="24"/>
          <w:szCs w:val="24"/>
          <w:lang w:val="en-US"/>
        </w:rPr>
        <w:t xml:space="preserve"> and remedies</w:t>
      </w:r>
    </w:p>
    <w:p w14:paraId="0C71461E" w14:textId="709B9DAD" w:rsidR="0034582E" w:rsidRDefault="0034582E" w:rsidP="00AF343A">
      <w:pPr>
        <w:jc w:val="both"/>
        <w:rPr>
          <w:b/>
          <w:bCs/>
          <w:i/>
          <w:iCs/>
          <w:sz w:val="24"/>
          <w:szCs w:val="24"/>
          <w:lang w:val="en-US"/>
        </w:rPr>
      </w:pPr>
    </w:p>
    <w:p w14:paraId="09793B5C" w14:textId="3190E047" w:rsidR="0034582E" w:rsidRDefault="0034582E" w:rsidP="00E61A71">
      <w:pPr>
        <w:jc w:val="both"/>
        <w:rPr>
          <w:sz w:val="24"/>
          <w:szCs w:val="24"/>
          <w:lang w:val="en-US"/>
        </w:rPr>
      </w:pPr>
      <w:r>
        <w:rPr>
          <w:sz w:val="24"/>
          <w:szCs w:val="24"/>
          <w:lang w:val="en-US"/>
        </w:rPr>
        <w:t>See below.</w:t>
      </w:r>
    </w:p>
    <w:p w14:paraId="1E9ABB3A" w14:textId="77777777" w:rsidR="0034582E" w:rsidRPr="00BC3A7F" w:rsidRDefault="0034582E" w:rsidP="00D277BF">
      <w:pPr>
        <w:jc w:val="both"/>
        <w:rPr>
          <w:sz w:val="24"/>
          <w:szCs w:val="24"/>
          <w:lang w:val="en"/>
        </w:rPr>
      </w:pPr>
    </w:p>
    <w:p w14:paraId="69225E52" w14:textId="675F73D3" w:rsidR="0034582E" w:rsidRDefault="0034582E" w:rsidP="00D277BF">
      <w:pPr>
        <w:jc w:val="both"/>
        <w:rPr>
          <w:b/>
          <w:bCs/>
          <w:sz w:val="24"/>
          <w:szCs w:val="24"/>
          <w:lang w:val="en"/>
        </w:rPr>
      </w:pPr>
      <w:bookmarkStart w:id="0" w:name="_Hlk101367135"/>
      <w:r w:rsidRPr="00AA30FC">
        <w:rPr>
          <w:b/>
          <w:bCs/>
          <w:sz w:val="24"/>
          <w:szCs w:val="24"/>
          <w:lang w:val="en"/>
        </w:rPr>
        <w:t xml:space="preserve">2.  Impact of the toxic contamination on the </w:t>
      </w:r>
      <w:proofErr w:type="spellStart"/>
      <w:r w:rsidRPr="00AA30FC">
        <w:rPr>
          <w:b/>
          <w:bCs/>
          <w:sz w:val="24"/>
          <w:szCs w:val="24"/>
          <w:lang w:val="en"/>
        </w:rPr>
        <w:t>Guji</w:t>
      </w:r>
      <w:proofErr w:type="spellEnd"/>
      <w:r w:rsidRPr="00AA30FC">
        <w:rPr>
          <w:b/>
          <w:bCs/>
          <w:sz w:val="24"/>
          <w:szCs w:val="24"/>
          <w:lang w:val="en"/>
        </w:rPr>
        <w:t xml:space="preserve"> peopl</w:t>
      </w:r>
      <w:r>
        <w:rPr>
          <w:b/>
          <w:bCs/>
          <w:sz w:val="24"/>
          <w:szCs w:val="24"/>
          <w:lang w:val="en"/>
        </w:rPr>
        <w:t>e</w:t>
      </w:r>
    </w:p>
    <w:p w14:paraId="53EB5598" w14:textId="4D2A54E0" w:rsidR="0034582E" w:rsidRDefault="0034582E" w:rsidP="00D277BF">
      <w:pPr>
        <w:jc w:val="both"/>
        <w:rPr>
          <w:b/>
          <w:bCs/>
          <w:sz w:val="24"/>
          <w:szCs w:val="24"/>
          <w:lang w:val="en"/>
        </w:rPr>
      </w:pPr>
    </w:p>
    <w:p w14:paraId="40E768EE" w14:textId="2C87F059" w:rsidR="0034582E" w:rsidRDefault="0034582E" w:rsidP="008D3201">
      <w:pPr>
        <w:jc w:val="both"/>
        <w:rPr>
          <w:sz w:val="24"/>
          <w:szCs w:val="24"/>
          <w:lang w:val="en-US"/>
        </w:rPr>
      </w:pPr>
      <w:r w:rsidRPr="00B45894">
        <w:rPr>
          <w:sz w:val="24"/>
          <w:szCs w:val="24"/>
          <w:lang w:val="en-US"/>
        </w:rPr>
        <w:t xml:space="preserve">The </w:t>
      </w:r>
      <w:proofErr w:type="spellStart"/>
      <w:r w:rsidRPr="00B45894">
        <w:rPr>
          <w:sz w:val="24"/>
          <w:szCs w:val="24"/>
          <w:lang w:val="en-US"/>
        </w:rPr>
        <w:t>Guji</w:t>
      </w:r>
      <w:proofErr w:type="spellEnd"/>
      <w:r w:rsidRPr="00B45894">
        <w:rPr>
          <w:sz w:val="24"/>
          <w:szCs w:val="24"/>
          <w:lang w:val="en-US"/>
        </w:rPr>
        <w:t xml:space="preserve"> community has suffered the predictable consequences of exposure to </w:t>
      </w:r>
      <w:r>
        <w:rPr>
          <w:sz w:val="24"/>
          <w:szCs w:val="24"/>
          <w:lang w:val="en-US"/>
        </w:rPr>
        <w:t xml:space="preserve">mercury, arsenic and </w:t>
      </w:r>
      <w:proofErr w:type="spellStart"/>
      <w:r>
        <w:rPr>
          <w:sz w:val="24"/>
          <w:szCs w:val="24"/>
          <w:lang w:val="en-US"/>
        </w:rPr>
        <w:t>cynide</w:t>
      </w:r>
      <w:proofErr w:type="spellEnd"/>
      <w:r>
        <w:rPr>
          <w:sz w:val="24"/>
          <w:szCs w:val="24"/>
          <w:lang w:val="en-US"/>
        </w:rPr>
        <w:t>, denying them their rights to life, health, clean water, food, livelihood, education, and culture, among other interconnected rights. W</w:t>
      </w:r>
      <w:r w:rsidRPr="00B45894">
        <w:rPr>
          <w:sz w:val="24"/>
          <w:szCs w:val="24"/>
          <w:lang w:val="en-US"/>
        </w:rPr>
        <w:t>omen have suffered uncommonly high rates of miscarriage</w:t>
      </w:r>
      <w:r>
        <w:rPr>
          <w:sz w:val="24"/>
          <w:szCs w:val="24"/>
          <w:lang w:val="en-US"/>
        </w:rPr>
        <w:t xml:space="preserve">, </w:t>
      </w:r>
      <w:proofErr w:type="gramStart"/>
      <w:r w:rsidRPr="00B45894">
        <w:rPr>
          <w:sz w:val="24"/>
          <w:szCs w:val="24"/>
          <w:lang w:val="en-US"/>
        </w:rPr>
        <w:t>stillbirt</w:t>
      </w:r>
      <w:r>
        <w:rPr>
          <w:sz w:val="24"/>
          <w:szCs w:val="24"/>
          <w:lang w:val="en-US"/>
        </w:rPr>
        <w:t>h</w:t>
      </w:r>
      <w:proofErr w:type="gramEnd"/>
      <w:r>
        <w:rPr>
          <w:sz w:val="24"/>
          <w:szCs w:val="24"/>
          <w:lang w:val="en-US"/>
        </w:rPr>
        <w:t xml:space="preserve"> and infant mortality. Many babies are born with severe </w:t>
      </w:r>
      <w:r w:rsidRPr="00B45894">
        <w:rPr>
          <w:sz w:val="24"/>
          <w:szCs w:val="24"/>
          <w:lang w:val="en-US"/>
        </w:rPr>
        <w:t>disabilities</w:t>
      </w:r>
      <w:r>
        <w:rPr>
          <w:sz w:val="24"/>
          <w:szCs w:val="24"/>
          <w:lang w:val="en-US"/>
        </w:rPr>
        <w:t>,</w:t>
      </w:r>
      <w:r w:rsidRPr="00B45894">
        <w:rPr>
          <w:sz w:val="24"/>
          <w:szCs w:val="24"/>
          <w:lang w:val="en-US"/>
        </w:rPr>
        <w:t xml:space="preserve"> including deformed limbs, </w:t>
      </w:r>
      <w:proofErr w:type="gramStart"/>
      <w:r w:rsidRPr="00B45894">
        <w:rPr>
          <w:sz w:val="24"/>
          <w:szCs w:val="24"/>
          <w:lang w:val="en-US"/>
        </w:rPr>
        <w:t>paralysis</w:t>
      </w:r>
      <w:proofErr w:type="gramEnd"/>
      <w:r w:rsidRPr="00B45894">
        <w:rPr>
          <w:sz w:val="24"/>
          <w:szCs w:val="24"/>
          <w:lang w:val="en-US"/>
        </w:rPr>
        <w:t xml:space="preserve"> and mental incapacity.</w:t>
      </w:r>
      <w:r>
        <w:rPr>
          <w:sz w:val="24"/>
          <w:szCs w:val="24"/>
          <w:lang w:val="en-US"/>
        </w:rPr>
        <w:t xml:space="preserve"> Those who survive have sharply compromised quality of life, including loss of education, as some cannot walk the long distance to school and schools lack resources to educate severely disabled children. D</w:t>
      </w:r>
      <w:r w:rsidRPr="003A6231">
        <w:rPr>
          <w:sz w:val="24"/>
          <w:szCs w:val="24"/>
          <w:lang w:val="en-US"/>
        </w:rPr>
        <w:t xml:space="preserve">ebilitating health </w:t>
      </w:r>
      <w:r>
        <w:rPr>
          <w:sz w:val="24"/>
          <w:szCs w:val="24"/>
          <w:lang w:val="en-US"/>
        </w:rPr>
        <w:t>problems</w:t>
      </w:r>
      <w:r w:rsidRPr="003A6231">
        <w:rPr>
          <w:sz w:val="24"/>
          <w:szCs w:val="24"/>
          <w:lang w:val="en-US"/>
        </w:rPr>
        <w:t>, including tumors, headaches, skin conditions, and vision problems</w:t>
      </w:r>
      <w:r>
        <w:rPr>
          <w:sz w:val="24"/>
          <w:szCs w:val="24"/>
          <w:lang w:val="en-US"/>
        </w:rPr>
        <w:t>, are widespread among the local people</w:t>
      </w:r>
      <w:r w:rsidRPr="003A6231">
        <w:rPr>
          <w:sz w:val="24"/>
          <w:szCs w:val="24"/>
          <w:lang w:val="en-US"/>
        </w:rPr>
        <w:t xml:space="preserve">. </w:t>
      </w:r>
      <w:r>
        <w:rPr>
          <w:sz w:val="24"/>
          <w:szCs w:val="24"/>
          <w:lang w:val="en-US"/>
        </w:rPr>
        <w:t>L</w:t>
      </w:r>
      <w:r w:rsidRPr="003A6231">
        <w:rPr>
          <w:sz w:val="24"/>
          <w:szCs w:val="24"/>
          <w:lang w:val="en-US"/>
        </w:rPr>
        <w:t>ivestock have died</w:t>
      </w:r>
      <w:r>
        <w:rPr>
          <w:sz w:val="24"/>
          <w:szCs w:val="24"/>
          <w:lang w:val="en-US"/>
        </w:rPr>
        <w:t>,</w:t>
      </w:r>
      <w:r w:rsidRPr="003A6231">
        <w:rPr>
          <w:sz w:val="24"/>
          <w:szCs w:val="24"/>
          <w:lang w:val="en-US"/>
        </w:rPr>
        <w:t xml:space="preserve"> crops have produced smaller yields, and people have become ill from eating the food </w:t>
      </w:r>
      <w:r>
        <w:rPr>
          <w:sz w:val="24"/>
          <w:szCs w:val="24"/>
          <w:lang w:val="en-US"/>
        </w:rPr>
        <w:t xml:space="preserve">they </w:t>
      </w:r>
      <w:r w:rsidRPr="003A6231">
        <w:rPr>
          <w:sz w:val="24"/>
          <w:szCs w:val="24"/>
          <w:lang w:val="en-US"/>
        </w:rPr>
        <w:t>grow.</w:t>
      </w:r>
      <w:r>
        <w:rPr>
          <w:sz w:val="24"/>
          <w:szCs w:val="24"/>
          <w:lang w:val="en-US"/>
        </w:rPr>
        <w:t xml:space="preserve"> Deforestation has destroyed trees of high cultural value to the </w:t>
      </w:r>
      <w:proofErr w:type="spellStart"/>
      <w:r>
        <w:rPr>
          <w:sz w:val="24"/>
          <w:szCs w:val="24"/>
          <w:lang w:val="en-US"/>
        </w:rPr>
        <w:t>Guji</w:t>
      </w:r>
      <w:proofErr w:type="spellEnd"/>
      <w:r>
        <w:rPr>
          <w:sz w:val="24"/>
          <w:szCs w:val="24"/>
          <w:lang w:val="en-US"/>
        </w:rPr>
        <w:t xml:space="preserve">. </w:t>
      </w:r>
    </w:p>
    <w:p w14:paraId="08B13AEC" w14:textId="77777777" w:rsidR="0034582E" w:rsidRDefault="0034582E" w:rsidP="008D3201">
      <w:pPr>
        <w:jc w:val="both"/>
        <w:rPr>
          <w:sz w:val="24"/>
          <w:szCs w:val="24"/>
          <w:lang w:val="en-US"/>
        </w:rPr>
      </w:pPr>
    </w:p>
    <w:p w14:paraId="122E15A7" w14:textId="6A45D7AA" w:rsidR="0034582E" w:rsidRPr="00A45FA7" w:rsidRDefault="0034582E" w:rsidP="008D3201">
      <w:pPr>
        <w:jc w:val="both"/>
        <w:rPr>
          <w:sz w:val="24"/>
          <w:szCs w:val="24"/>
        </w:rPr>
      </w:pPr>
      <w:r>
        <w:rPr>
          <w:sz w:val="24"/>
          <w:szCs w:val="24"/>
          <w:lang w:val="en-US"/>
        </w:rPr>
        <w:t xml:space="preserve">The </w:t>
      </w:r>
      <w:proofErr w:type="spellStart"/>
      <w:r>
        <w:rPr>
          <w:sz w:val="24"/>
          <w:szCs w:val="24"/>
          <w:lang w:val="en-US"/>
        </w:rPr>
        <w:t>Guji</w:t>
      </w:r>
      <w:proofErr w:type="spellEnd"/>
      <w:r>
        <w:rPr>
          <w:sz w:val="24"/>
          <w:szCs w:val="24"/>
          <w:lang w:val="en-US"/>
        </w:rPr>
        <w:t xml:space="preserve"> have complained and protested these impacts for years, to no avail.</w:t>
      </w:r>
      <w:r w:rsidR="003C617E">
        <w:rPr>
          <w:sz w:val="24"/>
          <w:szCs w:val="24"/>
          <w:lang w:val="en-US"/>
        </w:rPr>
        <w:t xml:space="preserve"> </w:t>
      </w:r>
      <w:r>
        <w:rPr>
          <w:sz w:val="24"/>
          <w:szCs w:val="24"/>
          <w:lang w:val="en-US"/>
        </w:rPr>
        <w:t xml:space="preserve">But their complaints have now been corroborated by the damning report </w:t>
      </w:r>
      <w:r w:rsidRPr="00A45FA7">
        <w:rPr>
          <w:sz w:val="24"/>
          <w:szCs w:val="24"/>
          <w:lang w:val="en-US"/>
        </w:rPr>
        <w:t xml:space="preserve">of </w:t>
      </w:r>
      <w:r>
        <w:rPr>
          <w:sz w:val="24"/>
          <w:szCs w:val="24"/>
          <w:lang w:val="en-US"/>
        </w:rPr>
        <w:t>a</w:t>
      </w:r>
      <w:r w:rsidRPr="00A45FA7">
        <w:rPr>
          <w:sz w:val="24"/>
          <w:szCs w:val="24"/>
          <w:lang w:val="en-US"/>
        </w:rPr>
        <w:t xml:space="preserve"> community health survey </w:t>
      </w:r>
      <w:r>
        <w:rPr>
          <w:sz w:val="24"/>
          <w:szCs w:val="24"/>
          <w:lang w:val="en-US"/>
        </w:rPr>
        <w:t xml:space="preserve">of nearly 3000 households in the Lega </w:t>
      </w:r>
      <w:proofErr w:type="spellStart"/>
      <w:r>
        <w:rPr>
          <w:sz w:val="24"/>
          <w:szCs w:val="24"/>
          <w:lang w:val="en-US"/>
        </w:rPr>
        <w:t>Dembi</w:t>
      </w:r>
      <w:proofErr w:type="spellEnd"/>
      <w:r>
        <w:rPr>
          <w:sz w:val="24"/>
          <w:szCs w:val="24"/>
          <w:lang w:val="en-US"/>
        </w:rPr>
        <w:t xml:space="preserve"> area, </w:t>
      </w:r>
      <w:r w:rsidRPr="00A45FA7">
        <w:rPr>
          <w:sz w:val="24"/>
          <w:szCs w:val="24"/>
          <w:lang w:val="en-US"/>
        </w:rPr>
        <w:t xml:space="preserve">conducted in late 2018 by the Ethiopian Public Health Institute </w:t>
      </w:r>
      <w:r w:rsidRPr="00A45FA7">
        <w:rPr>
          <w:sz w:val="24"/>
          <w:szCs w:val="24"/>
        </w:rPr>
        <w:t>in consultation with Canadian consultants</w:t>
      </w:r>
      <w:r>
        <w:rPr>
          <w:sz w:val="24"/>
          <w:szCs w:val="24"/>
        </w:rPr>
        <w:t>. The Government has refused to make this report public, but a leaked copy reveals the following:</w:t>
      </w:r>
    </w:p>
    <w:p w14:paraId="0D0157B3" w14:textId="77777777" w:rsidR="0034582E" w:rsidRPr="00A45FA7" w:rsidRDefault="0034582E" w:rsidP="008D3201">
      <w:pPr>
        <w:jc w:val="both"/>
        <w:rPr>
          <w:sz w:val="24"/>
          <w:szCs w:val="24"/>
        </w:rPr>
      </w:pPr>
    </w:p>
    <w:p w14:paraId="078E3211" w14:textId="0C2C1267" w:rsidR="0034582E" w:rsidRDefault="0034582E" w:rsidP="008D3201">
      <w:pPr>
        <w:jc w:val="both"/>
        <w:rPr>
          <w:sz w:val="24"/>
          <w:szCs w:val="24"/>
          <w:lang w:val="en-US"/>
        </w:rPr>
      </w:pPr>
      <w:proofErr w:type="gramStart"/>
      <w:r>
        <w:rPr>
          <w:sz w:val="24"/>
          <w:szCs w:val="24"/>
          <w:lang w:val="en-US"/>
        </w:rPr>
        <w:t>*</w:t>
      </w:r>
      <w:r w:rsidR="001A22E6">
        <w:rPr>
          <w:sz w:val="24"/>
          <w:szCs w:val="24"/>
          <w:lang w:val="en-US"/>
        </w:rPr>
        <w:t xml:space="preserve"> </w:t>
      </w:r>
      <w:r w:rsidR="003C617E">
        <w:rPr>
          <w:sz w:val="24"/>
          <w:szCs w:val="24"/>
          <w:lang w:val="en-US"/>
        </w:rPr>
        <w:t xml:space="preserve"> </w:t>
      </w:r>
      <w:r>
        <w:rPr>
          <w:sz w:val="24"/>
          <w:szCs w:val="24"/>
          <w:lang w:val="en-US"/>
        </w:rPr>
        <w:t>“</w:t>
      </w:r>
      <w:proofErr w:type="gramEnd"/>
      <w:r>
        <w:rPr>
          <w:sz w:val="24"/>
          <w:szCs w:val="24"/>
          <w:lang w:val="en-US"/>
        </w:rPr>
        <w:t xml:space="preserve">The proportion of </w:t>
      </w:r>
      <w:r w:rsidRPr="00CF5E93">
        <w:rPr>
          <w:b/>
          <w:bCs/>
          <w:sz w:val="24"/>
          <w:szCs w:val="24"/>
          <w:lang w:val="en-US"/>
        </w:rPr>
        <w:t>congenital malformation</w:t>
      </w:r>
      <w:r>
        <w:rPr>
          <w:sz w:val="24"/>
          <w:szCs w:val="24"/>
          <w:lang w:val="en-US"/>
        </w:rPr>
        <w:t xml:space="preserve"> in the five Gotts (villages), when compared to national figures </w:t>
      </w:r>
      <w:r w:rsidRPr="00CF5E93">
        <w:rPr>
          <w:b/>
          <w:bCs/>
          <w:sz w:val="24"/>
          <w:szCs w:val="24"/>
          <w:lang w:val="en-US"/>
        </w:rPr>
        <w:t>is exceedingly higher</w:t>
      </w:r>
      <w:r>
        <w:rPr>
          <w:sz w:val="24"/>
          <w:szCs w:val="24"/>
          <w:lang w:val="en-US"/>
        </w:rPr>
        <w:t>.”</w:t>
      </w:r>
      <w:r>
        <w:rPr>
          <w:rStyle w:val="EndnoteReference"/>
          <w:sz w:val="24"/>
          <w:szCs w:val="24"/>
          <w:lang w:val="en-US"/>
        </w:rPr>
        <w:endnoteReference w:id="15"/>
      </w:r>
      <w:r>
        <w:rPr>
          <w:sz w:val="24"/>
          <w:szCs w:val="24"/>
          <w:lang w:val="en-US"/>
        </w:rPr>
        <w:t xml:space="preserve"> Elsewhere in Ethiopia, the rate (per 1000 live births) was less than 2%; in the Lega </w:t>
      </w:r>
      <w:proofErr w:type="spellStart"/>
      <w:r>
        <w:rPr>
          <w:sz w:val="24"/>
          <w:szCs w:val="24"/>
          <w:lang w:val="en-US"/>
        </w:rPr>
        <w:t>Dembi</w:t>
      </w:r>
      <w:proofErr w:type="spellEnd"/>
      <w:r>
        <w:rPr>
          <w:sz w:val="24"/>
          <w:szCs w:val="24"/>
          <w:lang w:val="en-US"/>
        </w:rPr>
        <w:t xml:space="preserve"> area, the rate was found to be slightly </w:t>
      </w:r>
      <w:r w:rsidRPr="00EC2F4D">
        <w:rPr>
          <w:b/>
          <w:bCs/>
          <w:sz w:val="24"/>
          <w:szCs w:val="24"/>
          <w:lang w:val="en-US"/>
        </w:rPr>
        <w:t>over 17%</w:t>
      </w:r>
      <w:r>
        <w:rPr>
          <w:sz w:val="24"/>
          <w:szCs w:val="24"/>
          <w:lang w:val="en-US"/>
        </w:rPr>
        <w:t>.</w:t>
      </w:r>
      <w:r>
        <w:rPr>
          <w:rStyle w:val="EndnoteReference"/>
          <w:sz w:val="24"/>
          <w:szCs w:val="24"/>
          <w:lang w:val="en-US"/>
        </w:rPr>
        <w:endnoteReference w:id="16"/>
      </w:r>
    </w:p>
    <w:p w14:paraId="752366F4" w14:textId="77777777" w:rsidR="0034582E" w:rsidRDefault="0034582E" w:rsidP="008D3201">
      <w:pPr>
        <w:jc w:val="both"/>
        <w:rPr>
          <w:sz w:val="24"/>
          <w:szCs w:val="24"/>
          <w:lang w:val="en-US"/>
        </w:rPr>
      </w:pPr>
    </w:p>
    <w:p w14:paraId="6A3181FE" w14:textId="11CAA481" w:rsidR="0034582E" w:rsidRDefault="0034582E" w:rsidP="008D3201">
      <w:pPr>
        <w:jc w:val="both"/>
        <w:rPr>
          <w:sz w:val="24"/>
          <w:szCs w:val="24"/>
          <w:lang w:val="en-US"/>
        </w:rPr>
      </w:pPr>
      <w:proofErr w:type="gramStart"/>
      <w:r>
        <w:rPr>
          <w:sz w:val="24"/>
          <w:szCs w:val="24"/>
          <w:lang w:val="en-US"/>
        </w:rPr>
        <w:t xml:space="preserve">* </w:t>
      </w:r>
      <w:r w:rsidR="001A22E6">
        <w:rPr>
          <w:sz w:val="24"/>
          <w:szCs w:val="24"/>
          <w:lang w:val="en-US"/>
        </w:rPr>
        <w:t xml:space="preserve"> </w:t>
      </w:r>
      <w:r>
        <w:rPr>
          <w:sz w:val="24"/>
          <w:szCs w:val="24"/>
          <w:lang w:val="en-US"/>
        </w:rPr>
        <w:t>“</w:t>
      </w:r>
      <w:proofErr w:type="gramEnd"/>
      <w:r>
        <w:rPr>
          <w:sz w:val="24"/>
          <w:szCs w:val="24"/>
          <w:lang w:val="en-US"/>
        </w:rPr>
        <w:t xml:space="preserve">Birth complications such as </w:t>
      </w:r>
      <w:r w:rsidRPr="00CF5E93">
        <w:rPr>
          <w:b/>
          <w:bCs/>
          <w:sz w:val="24"/>
          <w:szCs w:val="24"/>
          <w:lang w:val="en-US"/>
        </w:rPr>
        <w:t>miscarriage and stillbirth are also exceptionally high</w:t>
      </w:r>
      <w:r>
        <w:rPr>
          <w:sz w:val="24"/>
          <w:szCs w:val="24"/>
          <w:lang w:val="en-US"/>
        </w:rPr>
        <w:t xml:space="preserve"> when compared to national figures.”</w:t>
      </w:r>
      <w:r>
        <w:rPr>
          <w:rStyle w:val="EndnoteReference"/>
          <w:sz w:val="24"/>
          <w:szCs w:val="24"/>
          <w:lang w:val="en-US"/>
        </w:rPr>
        <w:endnoteReference w:id="17"/>
      </w:r>
      <w:r>
        <w:rPr>
          <w:sz w:val="24"/>
          <w:szCs w:val="24"/>
          <w:lang w:val="en-US"/>
        </w:rPr>
        <w:t xml:space="preserve"> The study showed 169 households reporting one or more stillbirths over the past five years and 383 reporting one or more miscarriages.</w:t>
      </w:r>
      <w:r>
        <w:rPr>
          <w:rStyle w:val="EndnoteReference"/>
          <w:sz w:val="24"/>
          <w:szCs w:val="24"/>
          <w:lang w:val="en-US"/>
        </w:rPr>
        <w:endnoteReference w:id="18"/>
      </w:r>
    </w:p>
    <w:p w14:paraId="0854E816" w14:textId="77777777" w:rsidR="0034582E" w:rsidRDefault="0034582E" w:rsidP="008D3201">
      <w:pPr>
        <w:jc w:val="both"/>
        <w:rPr>
          <w:sz w:val="24"/>
          <w:szCs w:val="24"/>
          <w:lang w:val="en-US"/>
        </w:rPr>
      </w:pPr>
    </w:p>
    <w:p w14:paraId="3C583C4E" w14:textId="2615AD5A" w:rsidR="0034582E" w:rsidRDefault="0034582E" w:rsidP="008D3201">
      <w:pPr>
        <w:jc w:val="both"/>
        <w:rPr>
          <w:sz w:val="24"/>
          <w:szCs w:val="24"/>
          <w:lang w:val="en-US"/>
        </w:rPr>
      </w:pPr>
      <w:r>
        <w:rPr>
          <w:sz w:val="24"/>
          <w:szCs w:val="24"/>
          <w:lang w:val="en-US"/>
        </w:rPr>
        <w:t xml:space="preserve">* </w:t>
      </w:r>
      <w:r w:rsidR="001A22E6">
        <w:rPr>
          <w:sz w:val="24"/>
          <w:szCs w:val="24"/>
          <w:lang w:val="en-US"/>
        </w:rPr>
        <w:t xml:space="preserve"> </w:t>
      </w:r>
      <w:r>
        <w:rPr>
          <w:sz w:val="24"/>
          <w:szCs w:val="24"/>
          <w:lang w:val="en-US"/>
        </w:rPr>
        <w:t xml:space="preserve">“Communities [in the mining area] are affected by different kinds of </w:t>
      </w:r>
      <w:r w:rsidRPr="00CF5E93">
        <w:rPr>
          <w:b/>
          <w:bCs/>
          <w:sz w:val="24"/>
          <w:szCs w:val="24"/>
          <w:lang w:val="en-US"/>
        </w:rPr>
        <w:t>chronic illnesses and disabilities</w:t>
      </w:r>
      <w:r>
        <w:rPr>
          <w:sz w:val="24"/>
          <w:szCs w:val="24"/>
          <w:lang w:val="en-US"/>
        </w:rPr>
        <w:t>.”</w:t>
      </w:r>
      <w:r>
        <w:rPr>
          <w:rStyle w:val="EndnoteReference"/>
          <w:sz w:val="24"/>
          <w:szCs w:val="24"/>
          <w:lang w:val="en-US"/>
        </w:rPr>
        <w:endnoteReference w:id="19"/>
      </w:r>
      <w:r>
        <w:rPr>
          <w:sz w:val="24"/>
          <w:szCs w:val="24"/>
          <w:lang w:val="en-US"/>
        </w:rPr>
        <w:t xml:space="preserve"> Thirteen percent “were observed with chronic illness and disability.”</w:t>
      </w:r>
      <w:r>
        <w:rPr>
          <w:rStyle w:val="EndnoteReference"/>
          <w:sz w:val="24"/>
          <w:szCs w:val="24"/>
          <w:lang w:val="en-US"/>
        </w:rPr>
        <w:endnoteReference w:id="20"/>
      </w:r>
      <w:r>
        <w:rPr>
          <w:sz w:val="24"/>
          <w:szCs w:val="24"/>
          <w:lang w:val="en-US"/>
        </w:rPr>
        <w:t xml:space="preserve"> More than half of the households “reported </w:t>
      </w:r>
      <w:r w:rsidRPr="00CF5E93">
        <w:rPr>
          <w:b/>
          <w:bCs/>
          <w:sz w:val="24"/>
          <w:szCs w:val="24"/>
          <w:lang w:val="en-US"/>
        </w:rPr>
        <w:t xml:space="preserve">persistent coughs, wheezing, and </w:t>
      </w:r>
      <w:proofErr w:type="spellStart"/>
      <w:r w:rsidRPr="00CF5E93">
        <w:rPr>
          <w:b/>
          <w:bCs/>
          <w:sz w:val="24"/>
          <w:szCs w:val="24"/>
          <w:lang w:val="en-US"/>
        </w:rPr>
        <w:t>phleghm</w:t>
      </w:r>
      <w:proofErr w:type="spellEnd"/>
      <w:r>
        <w:rPr>
          <w:sz w:val="24"/>
          <w:szCs w:val="24"/>
          <w:lang w:val="en-US"/>
        </w:rPr>
        <w:t>,”</w:t>
      </w:r>
      <w:r>
        <w:rPr>
          <w:rStyle w:val="EndnoteReference"/>
          <w:sz w:val="24"/>
          <w:szCs w:val="24"/>
          <w:lang w:val="en-US"/>
        </w:rPr>
        <w:endnoteReference w:id="21"/>
      </w:r>
      <w:r>
        <w:rPr>
          <w:sz w:val="24"/>
          <w:szCs w:val="24"/>
          <w:lang w:val="en-US"/>
        </w:rPr>
        <w:t xml:space="preserve"> and 49% </w:t>
      </w:r>
      <w:r>
        <w:rPr>
          <w:sz w:val="24"/>
          <w:szCs w:val="24"/>
          <w:lang w:val="en-US"/>
        </w:rPr>
        <w:lastRenderedPageBreak/>
        <w:t xml:space="preserve">“experienced </w:t>
      </w:r>
      <w:r w:rsidRPr="00AD3F25">
        <w:rPr>
          <w:b/>
          <w:bCs/>
          <w:sz w:val="24"/>
          <w:szCs w:val="24"/>
          <w:lang w:val="en-US"/>
        </w:rPr>
        <w:t>shortness of breath</w:t>
      </w:r>
      <w:r>
        <w:rPr>
          <w:sz w:val="24"/>
          <w:szCs w:val="24"/>
          <w:lang w:val="en-US"/>
        </w:rPr>
        <w:t>.”</w:t>
      </w:r>
      <w:r>
        <w:rPr>
          <w:rStyle w:val="EndnoteReference"/>
          <w:sz w:val="24"/>
          <w:szCs w:val="24"/>
          <w:lang w:val="en-US"/>
        </w:rPr>
        <w:endnoteReference w:id="22"/>
      </w:r>
      <w:r>
        <w:rPr>
          <w:sz w:val="24"/>
          <w:szCs w:val="24"/>
          <w:lang w:val="en-US"/>
        </w:rPr>
        <w:t xml:space="preserve"> </w:t>
      </w:r>
      <w:r w:rsidRPr="00CF5E93">
        <w:rPr>
          <w:b/>
          <w:bCs/>
          <w:sz w:val="24"/>
          <w:szCs w:val="24"/>
          <w:lang w:val="en-US"/>
        </w:rPr>
        <w:t>“[D]</w:t>
      </w:r>
      <w:proofErr w:type="spellStart"/>
      <w:r w:rsidRPr="00CF5E93">
        <w:rPr>
          <w:b/>
          <w:bCs/>
          <w:sz w:val="24"/>
          <w:szCs w:val="24"/>
          <w:lang w:val="en-US"/>
        </w:rPr>
        <w:t>iseases</w:t>
      </w:r>
      <w:proofErr w:type="spellEnd"/>
      <w:r w:rsidRPr="00CF5E93">
        <w:rPr>
          <w:b/>
          <w:bCs/>
          <w:sz w:val="24"/>
          <w:szCs w:val="24"/>
          <w:lang w:val="en-US"/>
        </w:rPr>
        <w:t xml:space="preserve"> of the skin and subcutaneous tissue . . . are abnormally higher </w:t>
      </w:r>
      <w:r>
        <w:rPr>
          <w:sz w:val="24"/>
          <w:szCs w:val="24"/>
          <w:lang w:val="en-US"/>
        </w:rPr>
        <w:t>when compared to studies from different parts of the country.”</w:t>
      </w:r>
      <w:r>
        <w:rPr>
          <w:rStyle w:val="EndnoteReference"/>
          <w:sz w:val="24"/>
          <w:szCs w:val="24"/>
          <w:lang w:val="en-US"/>
        </w:rPr>
        <w:endnoteReference w:id="23"/>
      </w:r>
      <w:r>
        <w:rPr>
          <w:sz w:val="24"/>
          <w:szCs w:val="24"/>
          <w:lang w:val="en-US"/>
        </w:rPr>
        <w:t xml:space="preserve"> Roughly one third (32.6%) of respondents “experienced </w:t>
      </w:r>
      <w:r w:rsidRPr="00673A5E">
        <w:rPr>
          <w:b/>
          <w:bCs/>
          <w:sz w:val="24"/>
          <w:szCs w:val="24"/>
          <w:lang w:val="en-US"/>
        </w:rPr>
        <w:t>headaches at least once a week</w:t>
      </w:r>
      <w:r>
        <w:rPr>
          <w:sz w:val="24"/>
          <w:szCs w:val="24"/>
          <w:lang w:val="en-US"/>
        </w:rPr>
        <w:t>.”</w:t>
      </w:r>
      <w:r>
        <w:rPr>
          <w:rStyle w:val="EndnoteReference"/>
          <w:sz w:val="24"/>
          <w:szCs w:val="24"/>
          <w:lang w:val="en-US"/>
        </w:rPr>
        <w:endnoteReference w:id="24"/>
      </w:r>
    </w:p>
    <w:p w14:paraId="200E4B8A" w14:textId="77777777" w:rsidR="0034582E" w:rsidRDefault="0034582E" w:rsidP="008D3201">
      <w:pPr>
        <w:jc w:val="both"/>
        <w:rPr>
          <w:sz w:val="24"/>
          <w:szCs w:val="24"/>
          <w:lang w:val="en-US"/>
        </w:rPr>
      </w:pPr>
    </w:p>
    <w:p w14:paraId="5F74A062" w14:textId="28A809EC" w:rsidR="0034582E" w:rsidRDefault="0034582E" w:rsidP="008D3201">
      <w:pPr>
        <w:jc w:val="both"/>
        <w:rPr>
          <w:sz w:val="24"/>
          <w:szCs w:val="24"/>
          <w:lang w:val="en-US"/>
        </w:rPr>
      </w:pPr>
      <w:r>
        <w:rPr>
          <w:sz w:val="24"/>
          <w:szCs w:val="24"/>
          <w:lang w:val="en-US"/>
        </w:rPr>
        <w:t xml:space="preserve">* </w:t>
      </w:r>
      <w:r w:rsidR="001A22E6">
        <w:rPr>
          <w:sz w:val="24"/>
          <w:szCs w:val="24"/>
          <w:lang w:val="en-US"/>
        </w:rPr>
        <w:t xml:space="preserve"> </w:t>
      </w:r>
      <w:r>
        <w:rPr>
          <w:sz w:val="24"/>
          <w:szCs w:val="24"/>
          <w:lang w:val="en-US"/>
        </w:rPr>
        <w:t xml:space="preserve">Among households with </w:t>
      </w:r>
      <w:r w:rsidRPr="00673A5E">
        <w:rPr>
          <w:b/>
          <w:bCs/>
          <w:sz w:val="24"/>
          <w:szCs w:val="24"/>
          <w:lang w:val="en-US"/>
        </w:rPr>
        <w:t>livestock</w:t>
      </w:r>
      <w:r>
        <w:rPr>
          <w:sz w:val="24"/>
          <w:szCs w:val="24"/>
          <w:lang w:val="en-US"/>
        </w:rPr>
        <w:t xml:space="preserve">, “40% . . . reported the occurrence of the </w:t>
      </w:r>
      <w:r w:rsidRPr="00673A5E">
        <w:rPr>
          <w:b/>
          <w:bCs/>
          <w:sz w:val="24"/>
          <w:szCs w:val="24"/>
          <w:lang w:val="en-US"/>
        </w:rPr>
        <w:t>unusual or new disease</w:t>
      </w:r>
      <w:r>
        <w:rPr>
          <w:sz w:val="24"/>
          <w:szCs w:val="24"/>
          <w:lang w:val="en-US"/>
        </w:rPr>
        <w:t>,”</w:t>
      </w:r>
      <w:r>
        <w:rPr>
          <w:rStyle w:val="EndnoteReference"/>
          <w:sz w:val="24"/>
          <w:szCs w:val="24"/>
          <w:lang w:val="en-US"/>
        </w:rPr>
        <w:endnoteReference w:id="25"/>
      </w:r>
      <w:r>
        <w:rPr>
          <w:sz w:val="24"/>
          <w:szCs w:val="24"/>
          <w:lang w:val="en-US"/>
        </w:rPr>
        <w:t xml:space="preserve"> and 91% of the diseased animals drank from the tailing dam ponds.</w:t>
      </w:r>
      <w:r>
        <w:rPr>
          <w:rStyle w:val="EndnoteReference"/>
          <w:sz w:val="24"/>
          <w:szCs w:val="24"/>
          <w:lang w:val="en-US"/>
        </w:rPr>
        <w:endnoteReference w:id="26"/>
      </w:r>
      <w:r>
        <w:rPr>
          <w:sz w:val="24"/>
          <w:szCs w:val="24"/>
          <w:lang w:val="en-US"/>
        </w:rPr>
        <w:t xml:space="preserve"> </w:t>
      </w:r>
    </w:p>
    <w:p w14:paraId="1839B2BC" w14:textId="77777777" w:rsidR="0034582E" w:rsidRDefault="0034582E" w:rsidP="008D3201">
      <w:pPr>
        <w:jc w:val="both"/>
        <w:rPr>
          <w:sz w:val="24"/>
          <w:szCs w:val="24"/>
          <w:lang w:val="en-US"/>
        </w:rPr>
      </w:pPr>
    </w:p>
    <w:p w14:paraId="788A95AF" w14:textId="51916D5D" w:rsidR="0034582E" w:rsidRDefault="0034582E" w:rsidP="008D3201">
      <w:pPr>
        <w:jc w:val="both"/>
        <w:rPr>
          <w:sz w:val="24"/>
          <w:szCs w:val="24"/>
          <w:lang w:val="en-US"/>
        </w:rPr>
      </w:pPr>
      <w:r>
        <w:rPr>
          <w:sz w:val="24"/>
          <w:szCs w:val="24"/>
          <w:lang w:val="en-US"/>
        </w:rPr>
        <w:t xml:space="preserve">* </w:t>
      </w:r>
      <w:r w:rsidR="001A22E6">
        <w:rPr>
          <w:sz w:val="24"/>
          <w:szCs w:val="24"/>
          <w:lang w:val="en-US"/>
        </w:rPr>
        <w:t xml:space="preserve"> </w:t>
      </w:r>
      <w:r w:rsidRPr="00673A5E">
        <w:rPr>
          <w:b/>
          <w:bCs/>
          <w:sz w:val="24"/>
          <w:szCs w:val="24"/>
          <w:lang w:val="en-US"/>
        </w:rPr>
        <w:t>19.9%</w:t>
      </w:r>
      <w:r>
        <w:rPr>
          <w:sz w:val="24"/>
          <w:szCs w:val="24"/>
          <w:lang w:val="en-US"/>
        </w:rPr>
        <w:t xml:space="preserve"> of households “were </w:t>
      </w:r>
      <w:r w:rsidRPr="00673A5E">
        <w:rPr>
          <w:b/>
          <w:bCs/>
          <w:sz w:val="24"/>
          <w:szCs w:val="24"/>
          <w:lang w:val="en-US"/>
        </w:rPr>
        <w:t>accessing retention dams to collect water for HH [household] use,</w:t>
      </w:r>
      <w:r>
        <w:rPr>
          <w:b/>
          <w:bCs/>
          <w:sz w:val="24"/>
          <w:szCs w:val="24"/>
          <w:lang w:val="en-US"/>
        </w:rPr>
        <w:t>”</w:t>
      </w:r>
      <w:r w:rsidRPr="00673A5E">
        <w:rPr>
          <w:b/>
          <w:bCs/>
          <w:sz w:val="24"/>
          <w:szCs w:val="24"/>
          <w:lang w:val="en-US"/>
        </w:rPr>
        <w:t xml:space="preserve"> including drinking</w:t>
      </w:r>
      <w:r>
        <w:rPr>
          <w:sz w:val="24"/>
          <w:szCs w:val="24"/>
          <w:lang w:val="en-US"/>
        </w:rPr>
        <w:t>.</w:t>
      </w:r>
      <w:r>
        <w:rPr>
          <w:rStyle w:val="EndnoteReference"/>
          <w:sz w:val="24"/>
          <w:szCs w:val="24"/>
          <w:lang w:val="en-US"/>
        </w:rPr>
        <w:endnoteReference w:id="27"/>
      </w:r>
      <w:r>
        <w:rPr>
          <w:sz w:val="24"/>
          <w:szCs w:val="24"/>
          <w:lang w:val="en-US"/>
        </w:rPr>
        <w:t xml:space="preserve"> More than 80% said that the “</w:t>
      </w:r>
      <w:r w:rsidRPr="004E544A">
        <w:rPr>
          <w:sz w:val="24"/>
          <w:szCs w:val="24"/>
          <w:lang w:val="en-US"/>
        </w:rPr>
        <w:t>main reason</w:t>
      </w:r>
      <w:r>
        <w:rPr>
          <w:sz w:val="24"/>
          <w:szCs w:val="24"/>
          <w:lang w:val="en-US"/>
        </w:rPr>
        <w:t xml:space="preserve"> . . . to use water from retention dams for domestic purposes was the </w:t>
      </w:r>
      <w:r w:rsidRPr="004E544A">
        <w:rPr>
          <w:sz w:val="24"/>
          <w:szCs w:val="24"/>
          <w:lang w:val="en-US"/>
        </w:rPr>
        <w:t>absence of a community water supply</w:t>
      </w:r>
      <w:r>
        <w:rPr>
          <w:sz w:val="24"/>
          <w:szCs w:val="24"/>
          <w:lang w:val="en-US"/>
        </w:rPr>
        <w:t>.”</w:t>
      </w:r>
      <w:r>
        <w:rPr>
          <w:rStyle w:val="EndnoteReference"/>
          <w:sz w:val="24"/>
          <w:szCs w:val="24"/>
          <w:lang w:val="en-US"/>
        </w:rPr>
        <w:endnoteReference w:id="28"/>
      </w:r>
    </w:p>
    <w:p w14:paraId="779D4E09" w14:textId="77777777" w:rsidR="0034582E" w:rsidRDefault="0034582E" w:rsidP="008D3201">
      <w:pPr>
        <w:jc w:val="both"/>
        <w:rPr>
          <w:sz w:val="24"/>
          <w:szCs w:val="24"/>
          <w:lang w:val="en-US"/>
        </w:rPr>
      </w:pPr>
    </w:p>
    <w:p w14:paraId="68C7AC06" w14:textId="531D5F54" w:rsidR="0034582E" w:rsidRDefault="0034582E" w:rsidP="008D3201">
      <w:pPr>
        <w:jc w:val="both"/>
        <w:rPr>
          <w:sz w:val="24"/>
          <w:szCs w:val="24"/>
          <w:lang w:val="en-US"/>
        </w:rPr>
      </w:pPr>
      <w:r>
        <w:rPr>
          <w:sz w:val="24"/>
          <w:szCs w:val="24"/>
          <w:lang w:val="en-US"/>
        </w:rPr>
        <w:t xml:space="preserve">* </w:t>
      </w:r>
      <w:r w:rsidR="001A22E6">
        <w:rPr>
          <w:sz w:val="24"/>
          <w:szCs w:val="24"/>
          <w:lang w:val="en-US"/>
        </w:rPr>
        <w:t xml:space="preserve"> </w:t>
      </w:r>
      <w:r w:rsidRPr="008D3201">
        <w:rPr>
          <w:b/>
          <w:bCs/>
          <w:sz w:val="24"/>
          <w:szCs w:val="24"/>
          <w:lang w:val="en-US"/>
        </w:rPr>
        <w:t>94%</w:t>
      </w:r>
      <w:r>
        <w:rPr>
          <w:sz w:val="24"/>
          <w:szCs w:val="24"/>
          <w:lang w:val="en-US"/>
        </w:rPr>
        <w:t xml:space="preserve"> of respondents said they had “</w:t>
      </w:r>
      <w:r w:rsidRPr="00673A5E">
        <w:rPr>
          <w:b/>
          <w:bCs/>
          <w:sz w:val="24"/>
          <w:szCs w:val="24"/>
          <w:lang w:val="en-US"/>
        </w:rPr>
        <w:t>never received notification warning of the danger</w:t>
      </w:r>
      <w:r>
        <w:rPr>
          <w:sz w:val="24"/>
          <w:szCs w:val="24"/>
          <w:lang w:val="en-US"/>
        </w:rPr>
        <w:t xml:space="preserve"> of accessing any of the TDF [Tailing Dam Facility] ponds.”</w:t>
      </w:r>
      <w:r>
        <w:rPr>
          <w:rStyle w:val="EndnoteReference"/>
          <w:sz w:val="24"/>
          <w:szCs w:val="24"/>
          <w:lang w:val="en-US"/>
        </w:rPr>
        <w:endnoteReference w:id="29"/>
      </w:r>
      <w:r>
        <w:rPr>
          <w:sz w:val="24"/>
          <w:szCs w:val="24"/>
          <w:lang w:val="en-US"/>
        </w:rPr>
        <w:t xml:space="preserve"> </w:t>
      </w:r>
    </w:p>
    <w:p w14:paraId="4F1F4CA7" w14:textId="77777777" w:rsidR="0034582E" w:rsidRDefault="0034582E" w:rsidP="008D3201">
      <w:pPr>
        <w:jc w:val="both"/>
        <w:rPr>
          <w:sz w:val="24"/>
          <w:szCs w:val="24"/>
          <w:lang w:val="en-US"/>
        </w:rPr>
      </w:pPr>
    </w:p>
    <w:p w14:paraId="7ECC80C6" w14:textId="28DEEB7D" w:rsidR="0034582E" w:rsidRDefault="0034582E" w:rsidP="008D3201">
      <w:pPr>
        <w:jc w:val="both"/>
        <w:rPr>
          <w:sz w:val="24"/>
          <w:szCs w:val="24"/>
          <w:lang w:val="en-US"/>
        </w:rPr>
      </w:pPr>
      <w:r>
        <w:rPr>
          <w:sz w:val="24"/>
          <w:szCs w:val="24"/>
          <w:lang w:val="en-US"/>
        </w:rPr>
        <w:t xml:space="preserve">* </w:t>
      </w:r>
      <w:r w:rsidR="001A22E6">
        <w:rPr>
          <w:sz w:val="24"/>
          <w:szCs w:val="24"/>
          <w:lang w:val="en-US"/>
        </w:rPr>
        <w:t xml:space="preserve"> </w:t>
      </w:r>
      <w:r>
        <w:rPr>
          <w:sz w:val="24"/>
          <w:szCs w:val="24"/>
          <w:lang w:val="en-US"/>
        </w:rPr>
        <w:t xml:space="preserve">“[A]bout </w:t>
      </w:r>
      <w:r w:rsidRPr="00951559">
        <w:rPr>
          <w:b/>
          <w:bCs/>
          <w:sz w:val="24"/>
          <w:szCs w:val="24"/>
          <w:lang w:val="en-US"/>
        </w:rPr>
        <w:t>61.4%</w:t>
      </w:r>
      <w:r>
        <w:rPr>
          <w:sz w:val="24"/>
          <w:szCs w:val="24"/>
          <w:lang w:val="en-US"/>
        </w:rPr>
        <w:t xml:space="preserve"> of the HHs </w:t>
      </w:r>
      <w:r w:rsidRPr="00951559">
        <w:rPr>
          <w:b/>
          <w:bCs/>
          <w:sz w:val="24"/>
          <w:szCs w:val="24"/>
          <w:lang w:val="en-US"/>
        </w:rPr>
        <w:t>rely on river water</w:t>
      </w:r>
      <w:r>
        <w:rPr>
          <w:sz w:val="24"/>
          <w:szCs w:val="24"/>
          <w:lang w:val="en-US"/>
        </w:rPr>
        <w:t xml:space="preserve"> for domestic use such as drinking and cooking,” </w:t>
      </w:r>
      <w:r w:rsidRPr="00951559">
        <w:rPr>
          <w:b/>
          <w:bCs/>
          <w:sz w:val="24"/>
          <w:szCs w:val="24"/>
          <w:lang w:val="en-US"/>
        </w:rPr>
        <w:t>even though</w:t>
      </w:r>
      <w:r>
        <w:rPr>
          <w:sz w:val="24"/>
          <w:szCs w:val="24"/>
          <w:lang w:val="en-US"/>
        </w:rPr>
        <w:t xml:space="preserve"> “[p]</w:t>
      </w:r>
      <w:proofErr w:type="spellStart"/>
      <w:r>
        <w:rPr>
          <w:sz w:val="24"/>
          <w:szCs w:val="24"/>
          <w:lang w:val="en-US"/>
        </w:rPr>
        <w:t>revious</w:t>
      </w:r>
      <w:proofErr w:type="spellEnd"/>
      <w:r>
        <w:rPr>
          <w:sz w:val="24"/>
          <w:szCs w:val="24"/>
          <w:lang w:val="en-US"/>
        </w:rPr>
        <w:t xml:space="preserve"> reports have shown that </w:t>
      </w:r>
      <w:r w:rsidRPr="00951559">
        <w:rPr>
          <w:b/>
          <w:bCs/>
          <w:sz w:val="24"/>
          <w:szCs w:val="24"/>
          <w:lang w:val="en-US"/>
        </w:rPr>
        <w:t xml:space="preserve">rivers adjoining [Lega </w:t>
      </w:r>
      <w:proofErr w:type="spellStart"/>
      <w:r w:rsidRPr="00951559">
        <w:rPr>
          <w:b/>
          <w:bCs/>
          <w:sz w:val="24"/>
          <w:szCs w:val="24"/>
          <w:lang w:val="en-US"/>
        </w:rPr>
        <w:t>Dembi</w:t>
      </w:r>
      <w:proofErr w:type="spellEnd"/>
      <w:r w:rsidRPr="00951559">
        <w:rPr>
          <w:b/>
          <w:bCs/>
          <w:sz w:val="24"/>
          <w:szCs w:val="24"/>
          <w:lang w:val="en-US"/>
        </w:rPr>
        <w:t>] . . . are contaminated with pollutants</w:t>
      </w:r>
      <w:r>
        <w:rPr>
          <w:sz w:val="24"/>
          <w:szCs w:val="24"/>
          <w:lang w:val="en-US"/>
        </w:rPr>
        <w:t xml:space="preserve"> released from the mining plants.”</w:t>
      </w:r>
      <w:r>
        <w:rPr>
          <w:rStyle w:val="EndnoteReference"/>
          <w:sz w:val="24"/>
          <w:szCs w:val="24"/>
          <w:lang w:val="en-US"/>
        </w:rPr>
        <w:endnoteReference w:id="30"/>
      </w:r>
      <w:r>
        <w:rPr>
          <w:sz w:val="24"/>
          <w:szCs w:val="24"/>
          <w:lang w:val="en-US"/>
        </w:rPr>
        <w:t xml:space="preserve"> River water was used due to “limited access to improved water utilities” and “lack of official notification that river water may be contaminated with pollutants from </w:t>
      </w:r>
      <w:proofErr w:type="spellStart"/>
      <w:r>
        <w:rPr>
          <w:sz w:val="24"/>
          <w:szCs w:val="24"/>
          <w:lang w:val="en-US"/>
        </w:rPr>
        <w:t>Legadembi</w:t>
      </w:r>
      <w:proofErr w:type="spellEnd"/>
      <w:r>
        <w:rPr>
          <w:sz w:val="24"/>
          <w:szCs w:val="24"/>
          <w:lang w:val="en-US"/>
        </w:rPr>
        <w:t>.”</w:t>
      </w:r>
      <w:r>
        <w:rPr>
          <w:rStyle w:val="EndnoteReference"/>
          <w:sz w:val="24"/>
          <w:szCs w:val="24"/>
          <w:lang w:val="en-US"/>
        </w:rPr>
        <w:endnoteReference w:id="31"/>
      </w:r>
    </w:p>
    <w:p w14:paraId="06753188" w14:textId="77777777" w:rsidR="0034582E" w:rsidRDefault="0034582E" w:rsidP="008D3201">
      <w:pPr>
        <w:jc w:val="both"/>
        <w:rPr>
          <w:sz w:val="24"/>
          <w:szCs w:val="24"/>
          <w:lang w:val="en-US"/>
        </w:rPr>
      </w:pPr>
    </w:p>
    <w:p w14:paraId="58F9DCC9" w14:textId="0AFCE950" w:rsidR="0034582E" w:rsidRDefault="0034582E" w:rsidP="008D3201">
      <w:pPr>
        <w:jc w:val="both"/>
        <w:rPr>
          <w:sz w:val="24"/>
          <w:szCs w:val="24"/>
          <w:lang w:val="en-US"/>
        </w:rPr>
      </w:pPr>
      <w:proofErr w:type="gramStart"/>
      <w:r>
        <w:rPr>
          <w:sz w:val="24"/>
          <w:szCs w:val="24"/>
          <w:lang w:val="en-US"/>
        </w:rPr>
        <w:t xml:space="preserve">* </w:t>
      </w:r>
      <w:r w:rsidR="001A22E6">
        <w:rPr>
          <w:sz w:val="24"/>
          <w:szCs w:val="24"/>
          <w:lang w:val="en-US"/>
        </w:rPr>
        <w:t xml:space="preserve"> </w:t>
      </w:r>
      <w:r>
        <w:rPr>
          <w:sz w:val="24"/>
          <w:szCs w:val="24"/>
          <w:lang w:val="en-US"/>
        </w:rPr>
        <w:t>“</w:t>
      </w:r>
      <w:proofErr w:type="gramEnd"/>
      <w:r>
        <w:rPr>
          <w:sz w:val="24"/>
          <w:szCs w:val="24"/>
          <w:lang w:val="en-US"/>
        </w:rPr>
        <w:t xml:space="preserve">Community members are also </w:t>
      </w:r>
      <w:r w:rsidRPr="00951559">
        <w:rPr>
          <w:b/>
          <w:bCs/>
          <w:sz w:val="24"/>
          <w:szCs w:val="24"/>
          <w:lang w:val="en-US"/>
        </w:rPr>
        <w:t>frequently exposed to high dust levels</w:t>
      </w:r>
      <w:r>
        <w:rPr>
          <w:sz w:val="24"/>
          <w:szCs w:val="24"/>
          <w:lang w:val="en-US"/>
        </w:rPr>
        <w:t xml:space="preserve">,” as there are “high levels of dust </w:t>
      </w:r>
      <w:r w:rsidRPr="008D3201">
        <w:rPr>
          <w:b/>
          <w:bCs/>
          <w:sz w:val="24"/>
          <w:szCs w:val="24"/>
          <w:lang w:val="en-US"/>
        </w:rPr>
        <w:t>emanating from the [tailing] dam</w:t>
      </w:r>
      <w:r>
        <w:rPr>
          <w:sz w:val="24"/>
          <w:szCs w:val="24"/>
          <w:lang w:val="en-US"/>
        </w:rPr>
        <w:t>.”</w:t>
      </w:r>
      <w:r>
        <w:rPr>
          <w:rStyle w:val="EndnoteReference"/>
          <w:sz w:val="24"/>
          <w:szCs w:val="24"/>
          <w:lang w:val="en-US"/>
        </w:rPr>
        <w:endnoteReference w:id="32"/>
      </w:r>
      <w:r>
        <w:rPr>
          <w:sz w:val="24"/>
          <w:szCs w:val="24"/>
          <w:lang w:val="en-US"/>
        </w:rPr>
        <w:t xml:space="preserve"> </w:t>
      </w:r>
    </w:p>
    <w:p w14:paraId="0497F592" w14:textId="77777777" w:rsidR="0034582E" w:rsidRDefault="0034582E" w:rsidP="008D3201">
      <w:pPr>
        <w:jc w:val="both"/>
        <w:rPr>
          <w:sz w:val="24"/>
          <w:szCs w:val="24"/>
          <w:lang w:val="en-US"/>
        </w:rPr>
      </w:pPr>
    </w:p>
    <w:p w14:paraId="54B4A0C1" w14:textId="238F5FCE" w:rsidR="0034582E" w:rsidRDefault="0034582E" w:rsidP="008D3201">
      <w:pPr>
        <w:jc w:val="both"/>
        <w:rPr>
          <w:sz w:val="24"/>
          <w:szCs w:val="24"/>
          <w:lang w:val="en-US"/>
        </w:rPr>
      </w:pPr>
      <w:proofErr w:type="gramStart"/>
      <w:r>
        <w:rPr>
          <w:sz w:val="24"/>
          <w:szCs w:val="24"/>
          <w:lang w:val="en-US"/>
        </w:rPr>
        <w:t>*</w:t>
      </w:r>
      <w:r w:rsidR="003C617E">
        <w:rPr>
          <w:sz w:val="24"/>
          <w:szCs w:val="24"/>
          <w:lang w:val="en-US"/>
        </w:rPr>
        <w:t xml:space="preserve"> </w:t>
      </w:r>
      <w:r w:rsidR="001A22E6">
        <w:rPr>
          <w:sz w:val="24"/>
          <w:szCs w:val="24"/>
          <w:lang w:val="en-US"/>
        </w:rPr>
        <w:t xml:space="preserve"> </w:t>
      </w:r>
      <w:r>
        <w:rPr>
          <w:sz w:val="24"/>
          <w:szCs w:val="24"/>
          <w:lang w:val="en-US"/>
        </w:rPr>
        <w:t>“</w:t>
      </w:r>
      <w:proofErr w:type="gramEnd"/>
      <w:r>
        <w:rPr>
          <w:sz w:val="24"/>
          <w:szCs w:val="24"/>
          <w:lang w:val="en-US"/>
        </w:rPr>
        <w:t xml:space="preserve">According to interviews and [focus group] discussion, the local communities have experienced the following effects as the </w:t>
      </w:r>
      <w:r w:rsidRPr="00951559">
        <w:rPr>
          <w:b/>
          <w:bCs/>
          <w:sz w:val="24"/>
          <w:szCs w:val="24"/>
          <w:lang w:val="en-US"/>
        </w:rPr>
        <w:t>direct results of MIDROC’s operations</w:t>
      </w:r>
      <w:r>
        <w:rPr>
          <w:sz w:val="24"/>
          <w:szCs w:val="24"/>
          <w:lang w:val="en-US"/>
        </w:rPr>
        <w:t>:</w:t>
      </w:r>
    </w:p>
    <w:p w14:paraId="3087E73A" w14:textId="77777777" w:rsidR="0034582E" w:rsidRPr="00041C4B" w:rsidRDefault="0034582E" w:rsidP="008D3201">
      <w:pPr>
        <w:jc w:val="both"/>
        <w:rPr>
          <w:sz w:val="24"/>
          <w:szCs w:val="24"/>
          <w:lang w:val="en-US"/>
        </w:rPr>
      </w:pPr>
      <w:r>
        <w:rPr>
          <w:sz w:val="24"/>
          <w:szCs w:val="24"/>
          <w:lang w:val="en-US"/>
        </w:rPr>
        <w:tab/>
      </w:r>
    </w:p>
    <w:p w14:paraId="68BE711D" w14:textId="77777777" w:rsidR="0034582E" w:rsidRPr="008D3201" w:rsidRDefault="0034582E" w:rsidP="008D3201">
      <w:pPr>
        <w:pStyle w:val="ListParagraph"/>
        <w:numPr>
          <w:ilvl w:val="0"/>
          <w:numId w:val="1"/>
        </w:numPr>
        <w:spacing w:line="360" w:lineRule="auto"/>
        <w:jc w:val="both"/>
        <w:rPr>
          <w:b/>
          <w:bCs/>
          <w:sz w:val="24"/>
          <w:szCs w:val="24"/>
          <w:lang w:val="en-US"/>
        </w:rPr>
      </w:pPr>
      <w:r w:rsidRPr="008D3201">
        <w:rPr>
          <w:b/>
          <w:bCs/>
          <w:sz w:val="24"/>
          <w:szCs w:val="24"/>
          <w:lang w:val="en-US"/>
        </w:rPr>
        <w:t>deformities (especially children</w:t>
      </w:r>
      <w:proofErr w:type="gramStart"/>
      <w:r w:rsidRPr="008D3201">
        <w:rPr>
          <w:b/>
          <w:bCs/>
          <w:sz w:val="24"/>
          <w:szCs w:val="24"/>
          <w:lang w:val="en-US"/>
        </w:rPr>
        <w:t>);</w:t>
      </w:r>
      <w:proofErr w:type="gramEnd"/>
      <w:r w:rsidRPr="008D3201">
        <w:rPr>
          <w:b/>
          <w:bCs/>
          <w:sz w:val="24"/>
          <w:szCs w:val="24"/>
          <w:lang w:val="en-US"/>
        </w:rPr>
        <w:t xml:space="preserve"> </w:t>
      </w:r>
    </w:p>
    <w:p w14:paraId="6D064597" w14:textId="77777777" w:rsidR="0034582E" w:rsidRPr="008D3201" w:rsidRDefault="0034582E" w:rsidP="008D3201">
      <w:pPr>
        <w:pStyle w:val="ListParagraph"/>
        <w:numPr>
          <w:ilvl w:val="0"/>
          <w:numId w:val="1"/>
        </w:numPr>
        <w:spacing w:line="360" w:lineRule="auto"/>
        <w:jc w:val="both"/>
        <w:rPr>
          <w:b/>
          <w:bCs/>
          <w:sz w:val="24"/>
          <w:szCs w:val="24"/>
          <w:lang w:val="en-US"/>
        </w:rPr>
      </w:pPr>
      <w:r w:rsidRPr="008D3201">
        <w:rPr>
          <w:b/>
          <w:bCs/>
          <w:sz w:val="24"/>
          <w:szCs w:val="24"/>
          <w:lang w:val="en-US"/>
        </w:rPr>
        <w:t xml:space="preserve">infertility, birth complication, and </w:t>
      </w:r>
      <w:proofErr w:type="gramStart"/>
      <w:r w:rsidRPr="008D3201">
        <w:rPr>
          <w:b/>
          <w:bCs/>
          <w:sz w:val="24"/>
          <w:szCs w:val="24"/>
          <w:lang w:val="en-US"/>
        </w:rPr>
        <w:t>stillbirths;</w:t>
      </w:r>
      <w:proofErr w:type="gramEnd"/>
      <w:r w:rsidRPr="008D3201">
        <w:rPr>
          <w:b/>
          <w:bCs/>
          <w:sz w:val="24"/>
          <w:szCs w:val="24"/>
          <w:lang w:val="en-US"/>
        </w:rPr>
        <w:t xml:space="preserve"> </w:t>
      </w:r>
    </w:p>
    <w:p w14:paraId="24A8ACD1" w14:textId="77777777" w:rsidR="0034582E" w:rsidRPr="00951559" w:rsidRDefault="0034582E" w:rsidP="008D3201">
      <w:pPr>
        <w:pStyle w:val="ListParagraph"/>
        <w:numPr>
          <w:ilvl w:val="0"/>
          <w:numId w:val="1"/>
        </w:numPr>
        <w:spacing w:line="360" w:lineRule="auto"/>
        <w:jc w:val="both"/>
        <w:rPr>
          <w:sz w:val="24"/>
          <w:szCs w:val="24"/>
          <w:lang w:val="en-US"/>
        </w:rPr>
      </w:pPr>
      <w:r w:rsidRPr="008D3201">
        <w:rPr>
          <w:b/>
          <w:bCs/>
          <w:sz w:val="24"/>
          <w:szCs w:val="24"/>
          <w:lang w:val="en-US"/>
        </w:rPr>
        <w:t>deformities, stillbirths, miscarriage, and death of animals/</w:t>
      </w:r>
      <w:proofErr w:type="gramStart"/>
      <w:r w:rsidRPr="008D3201">
        <w:rPr>
          <w:b/>
          <w:bCs/>
          <w:sz w:val="24"/>
          <w:szCs w:val="24"/>
          <w:lang w:val="en-US"/>
        </w:rPr>
        <w:t>livestock</w:t>
      </w:r>
      <w:r w:rsidRPr="00951559">
        <w:rPr>
          <w:sz w:val="24"/>
          <w:szCs w:val="24"/>
          <w:lang w:val="en-US"/>
        </w:rPr>
        <w:t>;</w:t>
      </w:r>
      <w:proofErr w:type="gramEnd"/>
      <w:r w:rsidRPr="00951559">
        <w:rPr>
          <w:sz w:val="24"/>
          <w:szCs w:val="24"/>
          <w:lang w:val="en-US"/>
        </w:rPr>
        <w:t xml:space="preserve"> </w:t>
      </w:r>
    </w:p>
    <w:p w14:paraId="75FA843F" w14:textId="77777777" w:rsidR="0034582E" w:rsidRPr="00951559" w:rsidRDefault="0034582E" w:rsidP="008D3201">
      <w:pPr>
        <w:pStyle w:val="ListParagraph"/>
        <w:numPr>
          <w:ilvl w:val="0"/>
          <w:numId w:val="1"/>
        </w:numPr>
        <w:spacing w:line="360" w:lineRule="auto"/>
        <w:jc w:val="both"/>
        <w:rPr>
          <w:sz w:val="24"/>
          <w:szCs w:val="24"/>
          <w:lang w:val="en-US"/>
        </w:rPr>
      </w:pPr>
      <w:r w:rsidRPr="008D3201">
        <w:rPr>
          <w:b/>
          <w:bCs/>
          <w:sz w:val="24"/>
          <w:szCs w:val="24"/>
          <w:lang w:val="en-US"/>
        </w:rPr>
        <w:t>land degradation</w:t>
      </w:r>
      <w:r w:rsidRPr="00951559">
        <w:rPr>
          <w:sz w:val="24"/>
          <w:szCs w:val="24"/>
          <w:lang w:val="en-US"/>
        </w:rPr>
        <w:t xml:space="preserve"> (road and mining purpose result in loss of productivity</w:t>
      </w:r>
      <w:proofErr w:type="gramStart"/>
      <w:r w:rsidRPr="00951559">
        <w:rPr>
          <w:sz w:val="24"/>
          <w:szCs w:val="24"/>
          <w:lang w:val="en-US"/>
        </w:rPr>
        <w:t>);</w:t>
      </w:r>
      <w:proofErr w:type="gramEnd"/>
      <w:r w:rsidRPr="00951559">
        <w:rPr>
          <w:sz w:val="24"/>
          <w:szCs w:val="24"/>
          <w:lang w:val="en-US"/>
        </w:rPr>
        <w:t xml:space="preserve"> </w:t>
      </w:r>
    </w:p>
    <w:p w14:paraId="26B0592D" w14:textId="77777777" w:rsidR="0034582E" w:rsidRPr="008D3201" w:rsidRDefault="0034582E" w:rsidP="008D3201">
      <w:pPr>
        <w:pStyle w:val="ListParagraph"/>
        <w:numPr>
          <w:ilvl w:val="0"/>
          <w:numId w:val="1"/>
        </w:numPr>
        <w:spacing w:line="360" w:lineRule="auto"/>
        <w:jc w:val="both"/>
        <w:rPr>
          <w:b/>
          <w:bCs/>
          <w:sz w:val="24"/>
          <w:szCs w:val="24"/>
          <w:lang w:val="en-US"/>
        </w:rPr>
      </w:pPr>
      <w:proofErr w:type="gramStart"/>
      <w:r w:rsidRPr="008D3201">
        <w:rPr>
          <w:b/>
          <w:bCs/>
          <w:sz w:val="24"/>
          <w:szCs w:val="24"/>
          <w:lang w:val="en-US"/>
        </w:rPr>
        <w:t>deforestation;</w:t>
      </w:r>
      <w:proofErr w:type="gramEnd"/>
      <w:r w:rsidRPr="008D3201">
        <w:rPr>
          <w:b/>
          <w:bCs/>
          <w:sz w:val="24"/>
          <w:szCs w:val="24"/>
          <w:lang w:val="en-US"/>
        </w:rPr>
        <w:t xml:space="preserve"> </w:t>
      </w:r>
    </w:p>
    <w:p w14:paraId="5659E997" w14:textId="77777777" w:rsidR="0034582E" w:rsidRPr="00951559" w:rsidRDefault="0034582E" w:rsidP="008D3201">
      <w:pPr>
        <w:pStyle w:val="ListParagraph"/>
        <w:numPr>
          <w:ilvl w:val="0"/>
          <w:numId w:val="1"/>
        </w:numPr>
        <w:spacing w:line="360" w:lineRule="auto"/>
        <w:jc w:val="both"/>
        <w:rPr>
          <w:sz w:val="24"/>
          <w:szCs w:val="24"/>
          <w:lang w:val="en-US"/>
        </w:rPr>
      </w:pPr>
      <w:r w:rsidRPr="008D3201">
        <w:rPr>
          <w:b/>
          <w:bCs/>
          <w:sz w:val="24"/>
          <w:szCs w:val="24"/>
          <w:lang w:val="en-US"/>
        </w:rPr>
        <w:t>Loss of biodiversity</w:t>
      </w:r>
      <w:r w:rsidRPr="00951559">
        <w:rPr>
          <w:sz w:val="24"/>
          <w:szCs w:val="24"/>
          <w:lang w:val="en-US"/>
        </w:rPr>
        <w:t xml:space="preserve"> (animals like lion, elephant, etc.</w:t>
      </w:r>
      <w:proofErr w:type="gramStart"/>
      <w:r w:rsidRPr="00951559">
        <w:rPr>
          <w:sz w:val="24"/>
          <w:szCs w:val="24"/>
          <w:lang w:val="en-US"/>
        </w:rPr>
        <w:t>);</w:t>
      </w:r>
      <w:proofErr w:type="gramEnd"/>
      <w:r w:rsidRPr="00951559">
        <w:rPr>
          <w:sz w:val="24"/>
          <w:szCs w:val="24"/>
          <w:lang w:val="en-US"/>
        </w:rPr>
        <w:t xml:space="preserve"> </w:t>
      </w:r>
    </w:p>
    <w:p w14:paraId="52632251" w14:textId="77777777" w:rsidR="0034582E" w:rsidRPr="00951559" w:rsidRDefault="0034582E" w:rsidP="008D3201">
      <w:pPr>
        <w:pStyle w:val="ListParagraph"/>
        <w:numPr>
          <w:ilvl w:val="0"/>
          <w:numId w:val="1"/>
        </w:numPr>
        <w:spacing w:line="360" w:lineRule="auto"/>
        <w:jc w:val="both"/>
        <w:rPr>
          <w:sz w:val="24"/>
          <w:szCs w:val="24"/>
          <w:lang w:val="en-US"/>
        </w:rPr>
      </w:pPr>
      <w:r w:rsidRPr="008D3201">
        <w:rPr>
          <w:b/>
          <w:bCs/>
          <w:sz w:val="24"/>
          <w:szCs w:val="24"/>
          <w:lang w:val="en-US"/>
        </w:rPr>
        <w:t>death</w:t>
      </w:r>
      <w:r w:rsidRPr="00951559">
        <w:rPr>
          <w:sz w:val="24"/>
          <w:szCs w:val="24"/>
          <w:lang w:val="en-US"/>
        </w:rPr>
        <w:t xml:space="preserve"> as a result of </w:t>
      </w:r>
      <w:r w:rsidRPr="008D3201">
        <w:rPr>
          <w:b/>
          <w:bCs/>
          <w:sz w:val="24"/>
          <w:szCs w:val="24"/>
          <w:lang w:val="en-US"/>
        </w:rPr>
        <w:t>conflict with security forces</w:t>
      </w:r>
      <w:r w:rsidRPr="00951559">
        <w:rPr>
          <w:sz w:val="24"/>
          <w:szCs w:val="24"/>
          <w:lang w:val="en-US"/>
        </w:rPr>
        <w:t xml:space="preserve"> employed to protect the mine </w:t>
      </w:r>
      <w:proofErr w:type="gramStart"/>
      <w:r w:rsidRPr="00951559">
        <w:rPr>
          <w:sz w:val="24"/>
          <w:szCs w:val="24"/>
          <w:lang w:val="en-US"/>
        </w:rPr>
        <w:t>site;</w:t>
      </w:r>
      <w:proofErr w:type="gramEnd"/>
      <w:r w:rsidRPr="00951559">
        <w:rPr>
          <w:sz w:val="24"/>
          <w:szCs w:val="24"/>
          <w:lang w:val="en-US"/>
        </w:rPr>
        <w:t xml:space="preserve"> </w:t>
      </w:r>
    </w:p>
    <w:p w14:paraId="40285CCF" w14:textId="77777777" w:rsidR="0034582E" w:rsidRPr="00951559" w:rsidRDefault="0034582E" w:rsidP="008D3201">
      <w:pPr>
        <w:pStyle w:val="ListParagraph"/>
        <w:numPr>
          <w:ilvl w:val="0"/>
          <w:numId w:val="1"/>
        </w:numPr>
        <w:spacing w:line="360" w:lineRule="auto"/>
        <w:jc w:val="both"/>
        <w:rPr>
          <w:sz w:val="24"/>
          <w:szCs w:val="24"/>
          <w:lang w:val="en-US"/>
        </w:rPr>
      </w:pPr>
      <w:r w:rsidRPr="008D3201">
        <w:rPr>
          <w:b/>
          <w:bCs/>
          <w:sz w:val="24"/>
          <w:szCs w:val="24"/>
          <w:lang w:val="en-US"/>
        </w:rPr>
        <w:t>impact on livelihoods</w:t>
      </w:r>
      <w:r w:rsidRPr="00951559">
        <w:rPr>
          <w:sz w:val="24"/>
          <w:szCs w:val="24"/>
          <w:lang w:val="en-US"/>
        </w:rPr>
        <w:t xml:space="preserve"> and </w:t>
      </w:r>
      <w:r w:rsidRPr="008D3201">
        <w:rPr>
          <w:b/>
          <w:bCs/>
          <w:sz w:val="24"/>
          <w:szCs w:val="24"/>
          <w:lang w:val="en-US"/>
        </w:rPr>
        <w:t>low employment opportunity</w:t>
      </w:r>
      <w:r w:rsidRPr="00951559">
        <w:rPr>
          <w:sz w:val="24"/>
          <w:szCs w:val="24"/>
          <w:lang w:val="en-US"/>
        </w:rPr>
        <w:t xml:space="preserve"> </w:t>
      </w:r>
      <w:proofErr w:type="gramStart"/>
      <w:r w:rsidRPr="00951559">
        <w:rPr>
          <w:sz w:val="24"/>
          <w:szCs w:val="24"/>
          <w:lang w:val="en-US"/>
        </w:rPr>
        <w:t>. . . ;</w:t>
      </w:r>
      <w:proofErr w:type="gramEnd"/>
      <w:r w:rsidRPr="00951559">
        <w:rPr>
          <w:sz w:val="24"/>
          <w:szCs w:val="24"/>
          <w:lang w:val="en-US"/>
        </w:rPr>
        <w:t xml:space="preserve"> and </w:t>
      </w:r>
    </w:p>
    <w:p w14:paraId="4E04E12C" w14:textId="770C01D1" w:rsidR="0034582E" w:rsidRPr="00C80E25" w:rsidRDefault="0034582E" w:rsidP="000447D4">
      <w:pPr>
        <w:pStyle w:val="ListParagraph"/>
        <w:numPr>
          <w:ilvl w:val="0"/>
          <w:numId w:val="1"/>
        </w:numPr>
        <w:spacing w:line="360" w:lineRule="auto"/>
        <w:jc w:val="both"/>
        <w:rPr>
          <w:sz w:val="24"/>
          <w:szCs w:val="24"/>
          <w:lang w:val="en-US"/>
        </w:rPr>
      </w:pPr>
      <w:r w:rsidRPr="00C80E25">
        <w:rPr>
          <w:b/>
          <w:bCs/>
          <w:sz w:val="24"/>
          <w:szCs w:val="24"/>
          <w:lang w:val="en-US"/>
        </w:rPr>
        <w:t>Loss of culture</w:t>
      </w:r>
      <w:r w:rsidRPr="00C80E25">
        <w:rPr>
          <w:sz w:val="24"/>
          <w:szCs w:val="24"/>
          <w:lang w:val="en-US"/>
        </w:rPr>
        <w:t>.”</w:t>
      </w:r>
      <w:r>
        <w:rPr>
          <w:rStyle w:val="EndnoteReference"/>
          <w:sz w:val="24"/>
          <w:szCs w:val="24"/>
          <w:lang w:val="en-US"/>
        </w:rPr>
        <w:endnoteReference w:id="33"/>
      </w:r>
      <w:r w:rsidRPr="00C80E25">
        <w:rPr>
          <w:sz w:val="24"/>
          <w:szCs w:val="24"/>
          <w:lang w:val="en-US"/>
        </w:rPr>
        <w:t xml:space="preserve"> </w:t>
      </w:r>
    </w:p>
    <w:bookmarkEnd w:id="0"/>
    <w:p w14:paraId="3389D301" w14:textId="77777777" w:rsidR="0034582E" w:rsidRDefault="0034582E" w:rsidP="00463B51">
      <w:pPr>
        <w:jc w:val="both"/>
        <w:rPr>
          <w:b/>
          <w:bCs/>
          <w:sz w:val="24"/>
          <w:szCs w:val="24"/>
        </w:rPr>
      </w:pPr>
    </w:p>
    <w:p w14:paraId="2E234102" w14:textId="50724035" w:rsidR="0034582E" w:rsidRDefault="0034582E" w:rsidP="00463B51">
      <w:pPr>
        <w:jc w:val="both"/>
        <w:rPr>
          <w:b/>
          <w:bCs/>
          <w:sz w:val="24"/>
          <w:szCs w:val="24"/>
        </w:rPr>
      </w:pPr>
      <w:r>
        <w:rPr>
          <w:b/>
          <w:bCs/>
          <w:sz w:val="24"/>
          <w:szCs w:val="24"/>
        </w:rPr>
        <w:t xml:space="preserve">3.  Government failure to respect the right to free, </w:t>
      </w:r>
      <w:proofErr w:type="gramStart"/>
      <w:r>
        <w:rPr>
          <w:b/>
          <w:bCs/>
          <w:sz w:val="24"/>
          <w:szCs w:val="24"/>
        </w:rPr>
        <w:t>prior</w:t>
      </w:r>
      <w:proofErr w:type="gramEnd"/>
      <w:r>
        <w:rPr>
          <w:b/>
          <w:bCs/>
          <w:sz w:val="24"/>
          <w:szCs w:val="24"/>
        </w:rPr>
        <w:t xml:space="preserve"> and informed consent</w:t>
      </w:r>
    </w:p>
    <w:p w14:paraId="012D2EAE" w14:textId="3D6478B7" w:rsidR="0034582E" w:rsidRDefault="0034582E" w:rsidP="00463B51">
      <w:pPr>
        <w:jc w:val="both"/>
        <w:rPr>
          <w:b/>
          <w:bCs/>
          <w:sz w:val="24"/>
          <w:szCs w:val="24"/>
        </w:rPr>
      </w:pPr>
    </w:p>
    <w:p w14:paraId="05FD9492" w14:textId="3A6D0273" w:rsidR="0034582E" w:rsidRDefault="0034582E" w:rsidP="00463B51">
      <w:pPr>
        <w:jc w:val="both"/>
        <w:rPr>
          <w:b/>
          <w:bCs/>
          <w:sz w:val="24"/>
          <w:szCs w:val="24"/>
        </w:rPr>
      </w:pPr>
      <w:r>
        <w:rPr>
          <w:sz w:val="24"/>
          <w:szCs w:val="24"/>
        </w:rPr>
        <w:t xml:space="preserve">The Government has ignored its obligation to implement the </w:t>
      </w:r>
      <w:proofErr w:type="spellStart"/>
      <w:r>
        <w:rPr>
          <w:sz w:val="24"/>
          <w:szCs w:val="24"/>
        </w:rPr>
        <w:t>Guji</w:t>
      </w:r>
      <w:proofErr w:type="spellEnd"/>
      <w:r>
        <w:rPr>
          <w:sz w:val="24"/>
          <w:szCs w:val="24"/>
        </w:rPr>
        <w:t xml:space="preserve"> people’s right to free, </w:t>
      </w:r>
      <w:proofErr w:type="gramStart"/>
      <w:r>
        <w:rPr>
          <w:sz w:val="24"/>
          <w:szCs w:val="24"/>
        </w:rPr>
        <w:t>prior</w:t>
      </w:r>
      <w:proofErr w:type="gramEnd"/>
      <w:r>
        <w:rPr>
          <w:sz w:val="24"/>
          <w:szCs w:val="24"/>
        </w:rPr>
        <w:t xml:space="preserve"> and informed consent. T</w:t>
      </w:r>
      <w:r w:rsidRPr="00B45894">
        <w:rPr>
          <w:sz w:val="24"/>
          <w:szCs w:val="24"/>
        </w:rPr>
        <w:t xml:space="preserve">he </w:t>
      </w:r>
      <w:proofErr w:type="spellStart"/>
      <w:r w:rsidRPr="00B45894">
        <w:rPr>
          <w:sz w:val="24"/>
          <w:szCs w:val="24"/>
        </w:rPr>
        <w:t>Guji</w:t>
      </w:r>
      <w:proofErr w:type="spellEnd"/>
      <w:r w:rsidRPr="00B45894">
        <w:rPr>
          <w:sz w:val="24"/>
          <w:szCs w:val="24"/>
        </w:rPr>
        <w:t xml:space="preserve"> people </w:t>
      </w:r>
      <w:r>
        <w:rPr>
          <w:sz w:val="24"/>
          <w:szCs w:val="24"/>
        </w:rPr>
        <w:t xml:space="preserve">have </w:t>
      </w:r>
      <w:r w:rsidRPr="00B45894">
        <w:rPr>
          <w:sz w:val="24"/>
          <w:szCs w:val="24"/>
        </w:rPr>
        <w:t xml:space="preserve">had no voice in the original decision to license the mine, the 2018 decision to renew the license, or </w:t>
      </w:r>
      <w:r>
        <w:rPr>
          <w:sz w:val="24"/>
          <w:szCs w:val="24"/>
        </w:rPr>
        <w:t xml:space="preserve">the </w:t>
      </w:r>
      <w:r w:rsidRPr="00B45894">
        <w:rPr>
          <w:sz w:val="24"/>
          <w:szCs w:val="24"/>
        </w:rPr>
        <w:t>decision to allow the mine to reopen</w:t>
      </w:r>
      <w:r>
        <w:rPr>
          <w:sz w:val="24"/>
          <w:szCs w:val="24"/>
        </w:rPr>
        <w:t xml:space="preserve"> in 2021</w:t>
      </w:r>
      <w:r w:rsidRPr="00B45894">
        <w:rPr>
          <w:sz w:val="24"/>
          <w:szCs w:val="24"/>
        </w:rPr>
        <w:t xml:space="preserve">. They </w:t>
      </w:r>
      <w:r>
        <w:rPr>
          <w:sz w:val="24"/>
          <w:szCs w:val="24"/>
        </w:rPr>
        <w:t>have been excluded from decision-making on mine oversight, impact assessments, identification of r</w:t>
      </w:r>
      <w:r w:rsidRPr="00B45894">
        <w:rPr>
          <w:sz w:val="24"/>
          <w:szCs w:val="24"/>
        </w:rPr>
        <w:t xml:space="preserve">emedial measures </w:t>
      </w:r>
      <w:r>
        <w:rPr>
          <w:sz w:val="24"/>
          <w:szCs w:val="24"/>
        </w:rPr>
        <w:t xml:space="preserve">necessary </w:t>
      </w:r>
      <w:r w:rsidRPr="00B45894">
        <w:rPr>
          <w:sz w:val="24"/>
          <w:szCs w:val="24"/>
        </w:rPr>
        <w:t xml:space="preserve">to </w:t>
      </w:r>
      <w:r>
        <w:rPr>
          <w:sz w:val="24"/>
          <w:szCs w:val="24"/>
        </w:rPr>
        <w:t xml:space="preserve">restore the environment and </w:t>
      </w:r>
      <w:r w:rsidRPr="00B45894">
        <w:rPr>
          <w:sz w:val="24"/>
          <w:szCs w:val="24"/>
        </w:rPr>
        <w:t xml:space="preserve">prevent </w:t>
      </w:r>
      <w:r>
        <w:rPr>
          <w:sz w:val="24"/>
          <w:szCs w:val="24"/>
        </w:rPr>
        <w:t xml:space="preserve">further </w:t>
      </w:r>
      <w:r w:rsidRPr="00B45894">
        <w:rPr>
          <w:sz w:val="24"/>
          <w:szCs w:val="24"/>
        </w:rPr>
        <w:t>contamina</w:t>
      </w:r>
      <w:r>
        <w:rPr>
          <w:sz w:val="24"/>
          <w:szCs w:val="24"/>
        </w:rPr>
        <w:t>tion,</w:t>
      </w:r>
      <w:r w:rsidRPr="00B45894">
        <w:rPr>
          <w:sz w:val="24"/>
          <w:szCs w:val="24"/>
        </w:rPr>
        <w:t xml:space="preserve"> </w:t>
      </w:r>
      <w:r>
        <w:rPr>
          <w:sz w:val="24"/>
          <w:szCs w:val="24"/>
        </w:rPr>
        <w:t>and determination</w:t>
      </w:r>
      <w:r w:rsidRPr="00B45894">
        <w:rPr>
          <w:sz w:val="24"/>
          <w:szCs w:val="24"/>
        </w:rPr>
        <w:t xml:space="preserve"> of just </w:t>
      </w:r>
      <w:r>
        <w:rPr>
          <w:sz w:val="24"/>
          <w:szCs w:val="24"/>
        </w:rPr>
        <w:t>reparations</w:t>
      </w:r>
      <w:r w:rsidR="001A22E6">
        <w:rPr>
          <w:sz w:val="24"/>
          <w:szCs w:val="24"/>
        </w:rPr>
        <w:t xml:space="preserve"> and compensation</w:t>
      </w:r>
      <w:r>
        <w:rPr>
          <w:sz w:val="24"/>
          <w:szCs w:val="24"/>
        </w:rPr>
        <w:t>.</w:t>
      </w:r>
    </w:p>
    <w:p w14:paraId="3BD166AF" w14:textId="77777777" w:rsidR="0034582E" w:rsidRDefault="0034582E" w:rsidP="00487C86">
      <w:pPr>
        <w:jc w:val="both"/>
        <w:rPr>
          <w:b/>
          <w:bCs/>
          <w:sz w:val="24"/>
          <w:szCs w:val="24"/>
        </w:rPr>
      </w:pPr>
    </w:p>
    <w:p w14:paraId="769281A0" w14:textId="42DE91D0" w:rsidR="0034582E" w:rsidRDefault="0034582E" w:rsidP="00487C86">
      <w:pPr>
        <w:jc w:val="both"/>
        <w:rPr>
          <w:i/>
          <w:iCs/>
          <w:sz w:val="24"/>
          <w:szCs w:val="24"/>
        </w:rPr>
      </w:pPr>
      <w:r w:rsidRPr="001F5090">
        <w:rPr>
          <w:b/>
          <w:bCs/>
          <w:i/>
          <w:iCs/>
          <w:sz w:val="24"/>
          <w:szCs w:val="24"/>
        </w:rPr>
        <w:lastRenderedPageBreak/>
        <w:t xml:space="preserve">Denial </w:t>
      </w:r>
      <w:r>
        <w:rPr>
          <w:b/>
          <w:bCs/>
          <w:i/>
          <w:iCs/>
          <w:sz w:val="24"/>
          <w:szCs w:val="24"/>
        </w:rPr>
        <w:t xml:space="preserve">of </w:t>
      </w:r>
      <w:r w:rsidRPr="001F5090">
        <w:rPr>
          <w:b/>
          <w:bCs/>
          <w:i/>
          <w:iCs/>
          <w:sz w:val="24"/>
          <w:szCs w:val="24"/>
        </w:rPr>
        <w:t xml:space="preserve">access </w:t>
      </w:r>
      <w:r>
        <w:rPr>
          <w:b/>
          <w:bCs/>
          <w:i/>
          <w:iCs/>
          <w:sz w:val="24"/>
          <w:szCs w:val="24"/>
        </w:rPr>
        <w:t xml:space="preserve">to </w:t>
      </w:r>
      <w:r w:rsidRPr="001F5090">
        <w:rPr>
          <w:b/>
          <w:bCs/>
          <w:i/>
          <w:iCs/>
          <w:sz w:val="24"/>
          <w:szCs w:val="24"/>
        </w:rPr>
        <w:t>information</w:t>
      </w:r>
    </w:p>
    <w:p w14:paraId="75C604D0" w14:textId="77777777" w:rsidR="0034582E" w:rsidRDefault="0034582E" w:rsidP="00487C86">
      <w:pPr>
        <w:jc w:val="both"/>
        <w:rPr>
          <w:i/>
          <w:iCs/>
          <w:sz w:val="24"/>
          <w:szCs w:val="24"/>
        </w:rPr>
      </w:pPr>
    </w:p>
    <w:p w14:paraId="395ECB29" w14:textId="15FBF433" w:rsidR="0034582E" w:rsidRDefault="0034582E" w:rsidP="00487C86">
      <w:pPr>
        <w:jc w:val="both"/>
        <w:rPr>
          <w:sz w:val="24"/>
          <w:szCs w:val="24"/>
        </w:rPr>
      </w:pPr>
      <w:r w:rsidRPr="00B45894">
        <w:rPr>
          <w:sz w:val="24"/>
          <w:szCs w:val="24"/>
        </w:rPr>
        <w:t xml:space="preserve">For free, </w:t>
      </w:r>
      <w:proofErr w:type="gramStart"/>
      <w:r w:rsidRPr="00B45894">
        <w:rPr>
          <w:sz w:val="24"/>
          <w:szCs w:val="24"/>
        </w:rPr>
        <w:t>prior</w:t>
      </w:r>
      <w:proofErr w:type="gramEnd"/>
      <w:r w:rsidRPr="00B45894">
        <w:rPr>
          <w:sz w:val="24"/>
          <w:szCs w:val="24"/>
        </w:rPr>
        <w:t xml:space="preserve"> and informed consent and effective consultation to take place, </w:t>
      </w:r>
      <w:r w:rsidR="001A22E6">
        <w:rPr>
          <w:sz w:val="24"/>
          <w:szCs w:val="24"/>
        </w:rPr>
        <w:t>I</w:t>
      </w:r>
      <w:r w:rsidRPr="00B45894">
        <w:rPr>
          <w:sz w:val="24"/>
          <w:szCs w:val="24"/>
        </w:rPr>
        <w:t xml:space="preserve">ndigenous </w:t>
      </w:r>
      <w:r>
        <w:rPr>
          <w:sz w:val="24"/>
          <w:szCs w:val="24"/>
        </w:rPr>
        <w:t>peoples</w:t>
      </w:r>
      <w:r w:rsidRPr="00B45894">
        <w:rPr>
          <w:sz w:val="24"/>
          <w:szCs w:val="24"/>
        </w:rPr>
        <w:t xml:space="preserve"> must be provided with all the information required to make informed decision</w:t>
      </w:r>
      <w:r>
        <w:rPr>
          <w:sz w:val="24"/>
          <w:szCs w:val="24"/>
        </w:rPr>
        <w:t>s</w:t>
      </w:r>
      <w:r w:rsidRPr="00B45894">
        <w:rPr>
          <w:sz w:val="24"/>
          <w:szCs w:val="24"/>
        </w:rPr>
        <w:t xml:space="preserve">. </w:t>
      </w:r>
      <w:r>
        <w:rPr>
          <w:sz w:val="24"/>
          <w:szCs w:val="24"/>
        </w:rPr>
        <w:t xml:space="preserve">The Government, however, has refused to make public the reports of Lega </w:t>
      </w:r>
      <w:proofErr w:type="spellStart"/>
      <w:r>
        <w:rPr>
          <w:sz w:val="24"/>
          <w:szCs w:val="24"/>
        </w:rPr>
        <w:t>Dembi’s</w:t>
      </w:r>
      <w:proofErr w:type="spellEnd"/>
      <w:r>
        <w:rPr>
          <w:sz w:val="24"/>
          <w:szCs w:val="24"/>
        </w:rPr>
        <w:t xml:space="preserve"> environmental and health impacts, including: </w:t>
      </w:r>
    </w:p>
    <w:p w14:paraId="04A4A828" w14:textId="77777777" w:rsidR="0034582E" w:rsidRDefault="0034582E" w:rsidP="00487C86">
      <w:pPr>
        <w:jc w:val="both"/>
        <w:rPr>
          <w:sz w:val="24"/>
          <w:szCs w:val="24"/>
        </w:rPr>
      </w:pPr>
    </w:p>
    <w:p w14:paraId="3BD3CC37" w14:textId="4E5B2F16" w:rsidR="0034582E" w:rsidRDefault="0034582E" w:rsidP="00487C86">
      <w:pPr>
        <w:jc w:val="both"/>
        <w:rPr>
          <w:sz w:val="24"/>
          <w:szCs w:val="24"/>
        </w:rPr>
      </w:pPr>
      <w:bookmarkStart w:id="1" w:name="_Hlk101362422"/>
      <w:r>
        <w:rPr>
          <w:sz w:val="24"/>
          <w:szCs w:val="24"/>
        </w:rPr>
        <w:t xml:space="preserve">* </w:t>
      </w:r>
      <w:r w:rsidR="001A22E6">
        <w:rPr>
          <w:sz w:val="24"/>
          <w:szCs w:val="24"/>
        </w:rPr>
        <w:t xml:space="preserve"> </w:t>
      </w:r>
      <w:r>
        <w:rPr>
          <w:sz w:val="24"/>
          <w:szCs w:val="24"/>
        </w:rPr>
        <w:t xml:space="preserve">Environmental audit commissioned by </w:t>
      </w:r>
      <w:proofErr w:type="gramStart"/>
      <w:r>
        <w:rPr>
          <w:sz w:val="24"/>
          <w:szCs w:val="24"/>
        </w:rPr>
        <w:t>MIDROC;</w:t>
      </w:r>
      <w:proofErr w:type="gramEnd"/>
      <w:r>
        <w:rPr>
          <w:sz w:val="24"/>
          <w:szCs w:val="24"/>
        </w:rPr>
        <w:t xml:space="preserve"> </w:t>
      </w:r>
    </w:p>
    <w:p w14:paraId="1082FF21" w14:textId="0C825641" w:rsidR="0034582E" w:rsidRDefault="0034582E" w:rsidP="00487C86">
      <w:pPr>
        <w:jc w:val="both"/>
        <w:rPr>
          <w:sz w:val="24"/>
          <w:szCs w:val="24"/>
        </w:rPr>
      </w:pPr>
    </w:p>
    <w:p w14:paraId="7F33B71A" w14:textId="1B2A4340" w:rsidR="0034582E" w:rsidRDefault="0034582E" w:rsidP="00487C86">
      <w:pPr>
        <w:jc w:val="both"/>
        <w:rPr>
          <w:sz w:val="24"/>
          <w:szCs w:val="24"/>
        </w:rPr>
      </w:pPr>
      <w:r>
        <w:rPr>
          <w:sz w:val="24"/>
          <w:szCs w:val="24"/>
        </w:rPr>
        <w:t xml:space="preserve">* </w:t>
      </w:r>
      <w:r w:rsidR="001A22E6">
        <w:rPr>
          <w:sz w:val="24"/>
          <w:szCs w:val="24"/>
        </w:rPr>
        <w:t xml:space="preserve"> </w:t>
      </w:r>
      <w:r>
        <w:rPr>
          <w:sz w:val="24"/>
          <w:szCs w:val="24"/>
        </w:rPr>
        <w:t xml:space="preserve">Report of the Canadian consultants’ environmental desk </w:t>
      </w:r>
      <w:proofErr w:type="gramStart"/>
      <w:r>
        <w:rPr>
          <w:sz w:val="24"/>
          <w:szCs w:val="24"/>
        </w:rPr>
        <w:t>audit;</w:t>
      </w:r>
      <w:proofErr w:type="gramEnd"/>
    </w:p>
    <w:p w14:paraId="6B7C1D48" w14:textId="137C511D" w:rsidR="0034582E" w:rsidRDefault="0034582E" w:rsidP="00487C86">
      <w:pPr>
        <w:jc w:val="both"/>
        <w:rPr>
          <w:sz w:val="24"/>
          <w:szCs w:val="24"/>
        </w:rPr>
      </w:pPr>
    </w:p>
    <w:p w14:paraId="03AAC48D" w14:textId="3F62A313" w:rsidR="0034582E" w:rsidRDefault="0034582E" w:rsidP="00463B51">
      <w:pPr>
        <w:jc w:val="both"/>
        <w:rPr>
          <w:sz w:val="24"/>
          <w:szCs w:val="24"/>
        </w:rPr>
      </w:pPr>
      <w:r>
        <w:rPr>
          <w:sz w:val="24"/>
          <w:szCs w:val="24"/>
        </w:rPr>
        <w:t xml:space="preserve">* </w:t>
      </w:r>
      <w:r w:rsidR="001A22E6">
        <w:rPr>
          <w:sz w:val="24"/>
          <w:szCs w:val="24"/>
        </w:rPr>
        <w:t xml:space="preserve"> </w:t>
      </w:r>
      <w:r>
        <w:rPr>
          <w:sz w:val="24"/>
          <w:szCs w:val="24"/>
        </w:rPr>
        <w:t>C</w:t>
      </w:r>
      <w:proofErr w:type="spellStart"/>
      <w:r>
        <w:rPr>
          <w:sz w:val="24"/>
          <w:szCs w:val="24"/>
          <w:lang w:val="en-US"/>
        </w:rPr>
        <w:t>ommunity</w:t>
      </w:r>
      <w:proofErr w:type="spellEnd"/>
      <w:r>
        <w:rPr>
          <w:sz w:val="24"/>
          <w:szCs w:val="24"/>
          <w:lang w:val="en-US"/>
        </w:rPr>
        <w:t xml:space="preserve"> health survey report.</w:t>
      </w:r>
      <w:r>
        <w:rPr>
          <w:sz w:val="24"/>
          <w:szCs w:val="24"/>
        </w:rPr>
        <w:t xml:space="preserve"> </w:t>
      </w:r>
    </w:p>
    <w:p w14:paraId="28F7231F" w14:textId="77777777" w:rsidR="0034582E" w:rsidRDefault="0034582E" w:rsidP="00463B51">
      <w:pPr>
        <w:jc w:val="both"/>
        <w:rPr>
          <w:sz w:val="24"/>
          <w:szCs w:val="24"/>
        </w:rPr>
      </w:pPr>
    </w:p>
    <w:p w14:paraId="297D2731" w14:textId="06ECB72A" w:rsidR="0034582E" w:rsidRDefault="0034582E" w:rsidP="00463B51">
      <w:pPr>
        <w:jc w:val="both"/>
        <w:rPr>
          <w:sz w:val="24"/>
          <w:szCs w:val="24"/>
          <w:lang w:val="en-US"/>
        </w:rPr>
      </w:pPr>
      <w:r>
        <w:rPr>
          <w:sz w:val="24"/>
          <w:szCs w:val="24"/>
        </w:rPr>
        <w:t>Households were persuaded to pa</w:t>
      </w:r>
      <w:proofErr w:type="spellStart"/>
      <w:r>
        <w:rPr>
          <w:sz w:val="24"/>
          <w:szCs w:val="24"/>
          <w:lang w:val="en-US"/>
        </w:rPr>
        <w:t>rticipate</w:t>
      </w:r>
      <w:proofErr w:type="spellEnd"/>
      <w:r>
        <w:rPr>
          <w:sz w:val="24"/>
          <w:szCs w:val="24"/>
          <w:lang w:val="en-US"/>
        </w:rPr>
        <w:t xml:space="preserve"> in the health survey by promises that the results would be shared</w:t>
      </w:r>
      <w:r w:rsidR="005C0090">
        <w:rPr>
          <w:sz w:val="24"/>
          <w:szCs w:val="24"/>
          <w:lang w:val="en-US"/>
        </w:rPr>
        <w:t xml:space="preserve"> with the community</w:t>
      </w:r>
      <w:r>
        <w:rPr>
          <w:sz w:val="24"/>
          <w:szCs w:val="24"/>
          <w:lang w:val="en-US"/>
        </w:rPr>
        <w:t xml:space="preserve">. But those who conducted the study were prohibited from sharing the results until the Government made the report public, and to this day, the Government has refused to do so. </w:t>
      </w:r>
      <w:r w:rsidRPr="00B45894">
        <w:rPr>
          <w:sz w:val="24"/>
          <w:szCs w:val="24"/>
          <w:lang w:val="en-US"/>
        </w:rPr>
        <w:t>A</w:t>
      </w:r>
      <w:r>
        <w:rPr>
          <w:sz w:val="24"/>
          <w:szCs w:val="24"/>
          <w:lang w:val="en-US"/>
        </w:rPr>
        <w:t>t a meeting to announce the reopening of the mine, a</w:t>
      </w:r>
      <w:r w:rsidRPr="00B45894">
        <w:rPr>
          <w:sz w:val="24"/>
          <w:szCs w:val="24"/>
          <w:lang w:val="en-US"/>
        </w:rPr>
        <w:t xml:space="preserve"> </w:t>
      </w:r>
      <w:r>
        <w:rPr>
          <w:sz w:val="24"/>
          <w:szCs w:val="24"/>
          <w:lang w:val="en-US"/>
        </w:rPr>
        <w:t>g</w:t>
      </w:r>
      <w:r w:rsidRPr="00B45894">
        <w:rPr>
          <w:sz w:val="24"/>
          <w:szCs w:val="24"/>
          <w:lang w:val="en-US"/>
        </w:rPr>
        <w:t xml:space="preserve">overnment official </w:t>
      </w:r>
      <w:r>
        <w:rPr>
          <w:sz w:val="24"/>
          <w:szCs w:val="24"/>
          <w:lang w:val="en-US"/>
        </w:rPr>
        <w:t>dismissed the idea of making the report public, disdainfully claiming it was</w:t>
      </w:r>
      <w:r w:rsidRPr="00B45894">
        <w:rPr>
          <w:sz w:val="24"/>
          <w:szCs w:val="24"/>
          <w:lang w:val="en-US"/>
        </w:rPr>
        <w:t xml:space="preserve"> </w:t>
      </w:r>
      <w:r>
        <w:rPr>
          <w:sz w:val="24"/>
          <w:szCs w:val="24"/>
          <w:lang w:val="en-US"/>
        </w:rPr>
        <w:t xml:space="preserve">too </w:t>
      </w:r>
      <w:r w:rsidRPr="00B45894">
        <w:rPr>
          <w:sz w:val="24"/>
          <w:szCs w:val="24"/>
          <w:lang w:val="en-US"/>
        </w:rPr>
        <w:t xml:space="preserve">complex </w:t>
      </w:r>
      <w:r>
        <w:rPr>
          <w:sz w:val="24"/>
          <w:szCs w:val="24"/>
          <w:lang w:val="en-US"/>
        </w:rPr>
        <w:t xml:space="preserve">to be understood by the </w:t>
      </w:r>
      <w:proofErr w:type="spellStart"/>
      <w:r>
        <w:rPr>
          <w:sz w:val="24"/>
          <w:szCs w:val="24"/>
          <w:lang w:val="en-US"/>
        </w:rPr>
        <w:t>Guji</w:t>
      </w:r>
      <w:proofErr w:type="spellEnd"/>
      <w:r>
        <w:rPr>
          <w:sz w:val="24"/>
          <w:szCs w:val="24"/>
          <w:lang w:val="en-US"/>
        </w:rPr>
        <w:t>. This ignores the State’s obligation to provide full access to impact assessments,</w:t>
      </w:r>
      <w:r>
        <w:rPr>
          <w:rStyle w:val="EndnoteReference"/>
          <w:sz w:val="24"/>
          <w:szCs w:val="24"/>
          <w:lang w:val="en-US"/>
        </w:rPr>
        <w:endnoteReference w:id="34"/>
      </w:r>
      <w:r>
        <w:rPr>
          <w:sz w:val="24"/>
          <w:szCs w:val="24"/>
          <w:lang w:val="en-US"/>
        </w:rPr>
        <w:t xml:space="preserve"> “</w:t>
      </w:r>
      <w:r w:rsidRPr="006057F0">
        <w:rPr>
          <w:sz w:val="24"/>
          <w:szCs w:val="24"/>
          <w:lang w:val="en-US"/>
        </w:rPr>
        <w:t>in a manner and form understandable to indigenous peoples</w:t>
      </w:r>
      <w:r>
        <w:rPr>
          <w:sz w:val="24"/>
          <w:szCs w:val="24"/>
          <w:lang w:val="en-US"/>
        </w:rPr>
        <w:t>.</w:t>
      </w:r>
      <w:r w:rsidRPr="006057F0">
        <w:rPr>
          <w:sz w:val="24"/>
          <w:szCs w:val="24"/>
          <w:lang w:val="en-US"/>
        </w:rPr>
        <w:t>”</w:t>
      </w:r>
      <w:r>
        <w:rPr>
          <w:rStyle w:val="EndnoteReference"/>
          <w:sz w:val="24"/>
          <w:szCs w:val="24"/>
          <w:lang w:val="en-US"/>
        </w:rPr>
        <w:endnoteReference w:id="35"/>
      </w:r>
    </w:p>
    <w:p w14:paraId="7440AF67" w14:textId="7095E758" w:rsidR="0034582E" w:rsidRDefault="0034582E" w:rsidP="00463B51">
      <w:pPr>
        <w:jc w:val="both"/>
        <w:rPr>
          <w:sz w:val="24"/>
          <w:szCs w:val="24"/>
          <w:lang w:val="en-US"/>
        </w:rPr>
      </w:pPr>
    </w:p>
    <w:p w14:paraId="61454A6F" w14:textId="5132FD13" w:rsidR="0034582E" w:rsidRDefault="0034582E" w:rsidP="00463B51">
      <w:pPr>
        <w:jc w:val="both"/>
        <w:rPr>
          <w:b/>
          <w:bCs/>
          <w:i/>
          <w:iCs/>
          <w:sz w:val="24"/>
          <w:szCs w:val="24"/>
          <w:lang w:val="en-US"/>
        </w:rPr>
      </w:pPr>
      <w:r>
        <w:rPr>
          <w:sz w:val="24"/>
          <w:szCs w:val="24"/>
          <w:lang w:val="en-US"/>
        </w:rPr>
        <w:t xml:space="preserve">CIHR has acquired leaked copies of these reports, allowing them to be referenced here. But in the climate of extreme repression and intimidation prevailing in Ethiopia (see below), possession of a leaked copy is very different from public access to information. Given the Government’s determination to withhold these reports from the public, the reports </w:t>
      </w:r>
      <w:r>
        <w:rPr>
          <w:sz w:val="24"/>
          <w:szCs w:val="24"/>
        </w:rPr>
        <w:t xml:space="preserve">cannot be safely shared with or discussed within the </w:t>
      </w:r>
      <w:proofErr w:type="spellStart"/>
      <w:r>
        <w:rPr>
          <w:sz w:val="24"/>
          <w:szCs w:val="24"/>
        </w:rPr>
        <w:t>Guji</w:t>
      </w:r>
      <w:proofErr w:type="spellEnd"/>
      <w:r>
        <w:rPr>
          <w:sz w:val="24"/>
          <w:szCs w:val="24"/>
        </w:rPr>
        <w:t xml:space="preserve"> community.</w:t>
      </w:r>
      <w:bookmarkEnd w:id="1"/>
    </w:p>
    <w:p w14:paraId="16C38EAF" w14:textId="77777777" w:rsidR="0034582E" w:rsidRDefault="0034582E" w:rsidP="00463B51">
      <w:pPr>
        <w:jc w:val="both"/>
        <w:rPr>
          <w:b/>
          <w:bCs/>
          <w:i/>
          <w:iCs/>
          <w:sz w:val="24"/>
          <w:szCs w:val="24"/>
          <w:lang w:val="en-US"/>
        </w:rPr>
      </w:pPr>
    </w:p>
    <w:p w14:paraId="118C9078" w14:textId="3A457C6F" w:rsidR="0034582E" w:rsidRDefault="0034582E" w:rsidP="00463B51">
      <w:pPr>
        <w:jc w:val="both"/>
        <w:rPr>
          <w:b/>
          <w:bCs/>
          <w:i/>
          <w:iCs/>
          <w:sz w:val="24"/>
          <w:szCs w:val="24"/>
          <w:lang w:val="en-US"/>
        </w:rPr>
      </w:pPr>
      <w:r>
        <w:rPr>
          <w:b/>
          <w:bCs/>
          <w:i/>
          <w:iCs/>
          <w:sz w:val="24"/>
          <w:szCs w:val="24"/>
          <w:lang w:val="en-US"/>
        </w:rPr>
        <w:t xml:space="preserve">Failure to engage in free, </w:t>
      </w:r>
      <w:proofErr w:type="gramStart"/>
      <w:r>
        <w:rPr>
          <w:b/>
          <w:bCs/>
          <w:i/>
          <w:iCs/>
          <w:sz w:val="24"/>
          <w:szCs w:val="24"/>
          <w:lang w:val="en-US"/>
        </w:rPr>
        <w:t>prior</w:t>
      </w:r>
      <w:proofErr w:type="gramEnd"/>
      <w:r>
        <w:rPr>
          <w:b/>
          <w:bCs/>
          <w:i/>
          <w:iCs/>
          <w:sz w:val="24"/>
          <w:szCs w:val="24"/>
          <w:lang w:val="en-US"/>
        </w:rPr>
        <w:t xml:space="preserve"> and informed consultations</w:t>
      </w:r>
    </w:p>
    <w:p w14:paraId="65709637" w14:textId="2B3FA8C7" w:rsidR="0034582E" w:rsidRDefault="0034582E" w:rsidP="00463B51">
      <w:pPr>
        <w:jc w:val="both"/>
        <w:rPr>
          <w:b/>
          <w:bCs/>
          <w:i/>
          <w:iCs/>
          <w:sz w:val="24"/>
          <w:szCs w:val="24"/>
          <w:lang w:val="en-US"/>
        </w:rPr>
      </w:pPr>
    </w:p>
    <w:p w14:paraId="0E5C9125" w14:textId="5D7171D3" w:rsidR="0034582E" w:rsidRDefault="0034582E" w:rsidP="003D64AA">
      <w:pPr>
        <w:jc w:val="both"/>
        <w:rPr>
          <w:sz w:val="24"/>
          <w:szCs w:val="24"/>
        </w:rPr>
      </w:pPr>
      <w:r>
        <w:rPr>
          <w:sz w:val="24"/>
          <w:szCs w:val="24"/>
        </w:rPr>
        <w:t xml:space="preserve">The Ethiopian Government has never engaged the </w:t>
      </w:r>
      <w:proofErr w:type="spellStart"/>
      <w:r>
        <w:rPr>
          <w:sz w:val="24"/>
          <w:szCs w:val="24"/>
        </w:rPr>
        <w:t>Guji</w:t>
      </w:r>
      <w:proofErr w:type="spellEnd"/>
      <w:r>
        <w:rPr>
          <w:sz w:val="24"/>
          <w:szCs w:val="24"/>
        </w:rPr>
        <w:t xml:space="preserve"> community in consultations consistent with the right to free, </w:t>
      </w:r>
      <w:proofErr w:type="gramStart"/>
      <w:r>
        <w:rPr>
          <w:sz w:val="24"/>
          <w:szCs w:val="24"/>
        </w:rPr>
        <w:t>prior</w:t>
      </w:r>
      <w:proofErr w:type="gramEnd"/>
      <w:r>
        <w:rPr>
          <w:sz w:val="24"/>
          <w:szCs w:val="24"/>
        </w:rPr>
        <w:t xml:space="preserve"> and informed consent.</w:t>
      </w:r>
    </w:p>
    <w:p w14:paraId="71E21200" w14:textId="77777777" w:rsidR="0034582E" w:rsidRDefault="0034582E" w:rsidP="003D64AA">
      <w:pPr>
        <w:jc w:val="both"/>
        <w:rPr>
          <w:sz w:val="24"/>
          <w:szCs w:val="24"/>
        </w:rPr>
      </w:pPr>
    </w:p>
    <w:p w14:paraId="63F8C51A" w14:textId="51C7D72B" w:rsidR="0034582E" w:rsidRDefault="0034582E" w:rsidP="003D64AA">
      <w:pPr>
        <w:jc w:val="both"/>
        <w:rPr>
          <w:sz w:val="24"/>
          <w:szCs w:val="24"/>
        </w:rPr>
      </w:pPr>
      <w:r w:rsidRPr="00B45894">
        <w:rPr>
          <w:sz w:val="24"/>
          <w:szCs w:val="24"/>
        </w:rPr>
        <w:t xml:space="preserve">In 2020, the </w:t>
      </w:r>
      <w:r>
        <w:rPr>
          <w:sz w:val="24"/>
          <w:szCs w:val="24"/>
        </w:rPr>
        <w:t>G</w:t>
      </w:r>
      <w:r w:rsidRPr="00B45894">
        <w:rPr>
          <w:sz w:val="24"/>
          <w:szCs w:val="24"/>
        </w:rPr>
        <w:t xml:space="preserve">overnment began to hold meetings </w:t>
      </w:r>
      <w:r>
        <w:rPr>
          <w:sz w:val="24"/>
          <w:szCs w:val="24"/>
        </w:rPr>
        <w:t xml:space="preserve">about the reopening </w:t>
      </w:r>
      <w:r w:rsidRPr="00B45894">
        <w:rPr>
          <w:sz w:val="24"/>
          <w:szCs w:val="24"/>
        </w:rPr>
        <w:t xml:space="preserve">with certain </w:t>
      </w:r>
      <w:r>
        <w:rPr>
          <w:sz w:val="24"/>
          <w:szCs w:val="24"/>
        </w:rPr>
        <w:t>local people, and thus claims to have held community consultations. B</w:t>
      </w:r>
      <w:r w:rsidRPr="00B45894">
        <w:rPr>
          <w:sz w:val="24"/>
          <w:szCs w:val="24"/>
        </w:rPr>
        <w:t xml:space="preserve">ut these were not true consultations within the meaning of free, </w:t>
      </w:r>
      <w:proofErr w:type="gramStart"/>
      <w:r w:rsidRPr="00B45894">
        <w:rPr>
          <w:sz w:val="24"/>
          <w:szCs w:val="24"/>
        </w:rPr>
        <w:t>prior</w:t>
      </w:r>
      <w:proofErr w:type="gramEnd"/>
      <w:r w:rsidRPr="00B45894">
        <w:rPr>
          <w:sz w:val="24"/>
          <w:szCs w:val="24"/>
        </w:rPr>
        <w:t xml:space="preserve"> and informed consent</w:t>
      </w:r>
      <w:r>
        <w:rPr>
          <w:sz w:val="24"/>
          <w:szCs w:val="24"/>
        </w:rPr>
        <w:t xml:space="preserve">. </w:t>
      </w:r>
    </w:p>
    <w:p w14:paraId="10396776" w14:textId="77777777" w:rsidR="0034582E" w:rsidRDefault="0034582E" w:rsidP="003D64AA">
      <w:pPr>
        <w:jc w:val="both"/>
        <w:rPr>
          <w:sz w:val="24"/>
          <w:szCs w:val="24"/>
        </w:rPr>
      </w:pPr>
    </w:p>
    <w:p w14:paraId="5CADFD36" w14:textId="79AAC54A" w:rsidR="0034582E" w:rsidRDefault="0034582E" w:rsidP="003D64AA">
      <w:pPr>
        <w:jc w:val="both"/>
        <w:rPr>
          <w:sz w:val="24"/>
          <w:szCs w:val="24"/>
        </w:rPr>
      </w:pPr>
      <w:r>
        <w:rPr>
          <w:sz w:val="24"/>
          <w:szCs w:val="24"/>
        </w:rPr>
        <w:t xml:space="preserve">* </w:t>
      </w:r>
      <w:r w:rsidR="001A22E6">
        <w:rPr>
          <w:sz w:val="24"/>
          <w:szCs w:val="24"/>
        </w:rPr>
        <w:t xml:space="preserve"> </w:t>
      </w:r>
      <w:r>
        <w:rPr>
          <w:sz w:val="24"/>
          <w:szCs w:val="24"/>
        </w:rPr>
        <w:t xml:space="preserve">Only persons </w:t>
      </w:r>
      <w:r w:rsidRPr="00B45894">
        <w:rPr>
          <w:sz w:val="24"/>
          <w:szCs w:val="24"/>
        </w:rPr>
        <w:t>selected by the Government</w:t>
      </w:r>
      <w:r>
        <w:rPr>
          <w:sz w:val="24"/>
          <w:szCs w:val="24"/>
        </w:rPr>
        <w:t xml:space="preserve"> were allowed to attend</w:t>
      </w:r>
      <w:r w:rsidRPr="00B45894">
        <w:rPr>
          <w:sz w:val="24"/>
          <w:szCs w:val="24"/>
        </w:rPr>
        <w:t xml:space="preserve">. </w:t>
      </w:r>
      <w:r>
        <w:rPr>
          <w:sz w:val="24"/>
          <w:szCs w:val="24"/>
        </w:rPr>
        <w:t xml:space="preserve">Reportedly, most were members of the governing party, and some were promised rewards for supporting the </w:t>
      </w:r>
      <w:r w:rsidR="00214807">
        <w:rPr>
          <w:sz w:val="24"/>
          <w:szCs w:val="24"/>
        </w:rPr>
        <w:t>mine.</w:t>
      </w:r>
    </w:p>
    <w:p w14:paraId="0C6B58D1" w14:textId="0D3B08B8" w:rsidR="0034582E" w:rsidRDefault="0034582E" w:rsidP="003D64AA">
      <w:pPr>
        <w:jc w:val="both"/>
        <w:rPr>
          <w:sz w:val="24"/>
          <w:szCs w:val="24"/>
        </w:rPr>
      </w:pPr>
    </w:p>
    <w:p w14:paraId="58C13BEF" w14:textId="78654BF1" w:rsidR="0034582E" w:rsidRDefault="0034582E" w:rsidP="00F45987">
      <w:pPr>
        <w:jc w:val="both"/>
        <w:rPr>
          <w:sz w:val="24"/>
          <w:szCs w:val="24"/>
        </w:rPr>
      </w:pPr>
      <w:r>
        <w:rPr>
          <w:sz w:val="24"/>
          <w:szCs w:val="24"/>
        </w:rPr>
        <w:t>*</w:t>
      </w:r>
      <w:r w:rsidR="003C617E">
        <w:rPr>
          <w:sz w:val="24"/>
          <w:szCs w:val="24"/>
        </w:rPr>
        <w:t xml:space="preserve"> </w:t>
      </w:r>
      <w:r w:rsidR="001A22E6">
        <w:rPr>
          <w:sz w:val="24"/>
          <w:szCs w:val="24"/>
        </w:rPr>
        <w:t xml:space="preserve"> </w:t>
      </w:r>
      <w:r>
        <w:rPr>
          <w:sz w:val="24"/>
          <w:szCs w:val="24"/>
        </w:rPr>
        <w:t xml:space="preserve">These meetings were held in a context of extreme repression and intimidation against opponents of the mine. See below. </w:t>
      </w:r>
    </w:p>
    <w:p w14:paraId="23018008" w14:textId="77777777" w:rsidR="0034582E" w:rsidRDefault="0034582E" w:rsidP="00F45987">
      <w:pPr>
        <w:jc w:val="both"/>
        <w:rPr>
          <w:sz w:val="24"/>
          <w:szCs w:val="24"/>
        </w:rPr>
      </w:pPr>
    </w:p>
    <w:p w14:paraId="0452F54D" w14:textId="611F57E2" w:rsidR="0034582E" w:rsidRDefault="0034582E" w:rsidP="003D64AA">
      <w:pPr>
        <w:jc w:val="both"/>
        <w:rPr>
          <w:sz w:val="24"/>
          <w:szCs w:val="24"/>
        </w:rPr>
      </w:pPr>
      <w:r>
        <w:rPr>
          <w:sz w:val="24"/>
          <w:szCs w:val="24"/>
        </w:rPr>
        <w:t xml:space="preserve">* </w:t>
      </w:r>
      <w:r w:rsidR="001A22E6">
        <w:rPr>
          <w:sz w:val="24"/>
          <w:szCs w:val="24"/>
        </w:rPr>
        <w:t xml:space="preserve"> </w:t>
      </w:r>
      <w:r>
        <w:rPr>
          <w:sz w:val="24"/>
          <w:szCs w:val="24"/>
        </w:rPr>
        <w:t>These were not meetings to discuss whether, and on what terms, the mine should be allowed to reopen. T</w:t>
      </w:r>
      <w:r w:rsidRPr="00B45894">
        <w:rPr>
          <w:sz w:val="24"/>
          <w:szCs w:val="24"/>
        </w:rPr>
        <w:t xml:space="preserve">he Government </w:t>
      </w:r>
      <w:r>
        <w:rPr>
          <w:sz w:val="24"/>
          <w:szCs w:val="24"/>
        </w:rPr>
        <w:t xml:space="preserve">simply </w:t>
      </w:r>
      <w:r w:rsidRPr="00B45894">
        <w:rPr>
          <w:sz w:val="24"/>
          <w:szCs w:val="24"/>
        </w:rPr>
        <w:t>announce</w:t>
      </w:r>
      <w:r>
        <w:rPr>
          <w:sz w:val="24"/>
          <w:szCs w:val="24"/>
        </w:rPr>
        <w:t>d</w:t>
      </w:r>
      <w:r w:rsidRPr="00B45894">
        <w:rPr>
          <w:sz w:val="24"/>
          <w:szCs w:val="24"/>
        </w:rPr>
        <w:t xml:space="preserve"> the reopening and the remedial measures </w:t>
      </w:r>
      <w:r>
        <w:rPr>
          <w:sz w:val="24"/>
          <w:szCs w:val="24"/>
        </w:rPr>
        <w:t>it said would be taken</w:t>
      </w:r>
      <w:r w:rsidRPr="00B45894">
        <w:rPr>
          <w:sz w:val="24"/>
          <w:szCs w:val="24"/>
        </w:rPr>
        <w:t xml:space="preserve">. While </w:t>
      </w:r>
      <w:r>
        <w:rPr>
          <w:sz w:val="24"/>
          <w:szCs w:val="24"/>
        </w:rPr>
        <w:t xml:space="preserve">some of </w:t>
      </w:r>
      <w:r w:rsidRPr="00B45894">
        <w:rPr>
          <w:sz w:val="24"/>
          <w:szCs w:val="24"/>
        </w:rPr>
        <w:t xml:space="preserve">these measures, if implemented, would be positive </w:t>
      </w:r>
      <w:r>
        <w:rPr>
          <w:sz w:val="24"/>
          <w:szCs w:val="24"/>
        </w:rPr>
        <w:t>(though insufficient),</w:t>
      </w:r>
      <w:r w:rsidRPr="00B45894">
        <w:rPr>
          <w:sz w:val="24"/>
          <w:szCs w:val="24"/>
        </w:rPr>
        <w:t xml:space="preserve"> </w:t>
      </w:r>
      <w:r>
        <w:rPr>
          <w:sz w:val="24"/>
          <w:szCs w:val="24"/>
        </w:rPr>
        <w:t>local people strongly doubted that the promises would be kept – and to date, more than a year later, the measures have not been implemented in any significant respect.</w:t>
      </w:r>
    </w:p>
    <w:p w14:paraId="7BA44BF2" w14:textId="77777777" w:rsidR="0034582E" w:rsidRDefault="0034582E" w:rsidP="003D64AA">
      <w:pPr>
        <w:jc w:val="both"/>
        <w:rPr>
          <w:sz w:val="24"/>
          <w:szCs w:val="24"/>
        </w:rPr>
      </w:pPr>
    </w:p>
    <w:p w14:paraId="1F80667D" w14:textId="0A7B5258" w:rsidR="0034582E" w:rsidRDefault="0034582E" w:rsidP="003D64AA">
      <w:pPr>
        <w:jc w:val="both"/>
        <w:rPr>
          <w:sz w:val="24"/>
          <w:szCs w:val="24"/>
        </w:rPr>
      </w:pPr>
      <w:r>
        <w:rPr>
          <w:sz w:val="24"/>
          <w:szCs w:val="24"/>
        </w:rPr>
        <w:t xml:space="preserve">* </w:t>
      </w:r>
      <w:r w:rsidR="001A22E6">
        <w:rPr>
          <w:sz w:val="24"/>
          <w:szCs w:val="24"/>
        </w:rPr>
        <w:t xml:space="preserve"> </w:t>
      </w:r>
      <w:r>
        <w:rPr>
          <w:sz w:val="24"/>
          <w:szCs w:val="24"/>
        </w:rPr>
        <w:t>The environmental and health impact reports were withheld from the public.</w:t>
      </w:r>
    </w:p>
    <w:p w14:paraId="0028D6F0" w14:textId="39CA673E" w:rsidR="0034582E" w:rsidRDefault="0034582E" w:rsidP="00463B51">
      <w:pPr>
        <w:jc w:val="both"/>
        <w:rPr>
          <w:b/>
          <w:bCs/>
          <w:sz w:val="24"/>
          <w:szCs w:val="24"/>
        </w:rPr>
      </w:pPr>
    </w:p>
    <w:p w14:paraId="24E775E4" w14:textId="7993A6A5" w:rsidR="0034582E" w:rsidRDefault="0034582E" w:rsidP="00463B51">
      <w:pPr>
        <w:jc w:val="both"/>
        <w:rPr>
          <w:b/>
          <w:bCs/>
          <w:sz w:val="24"/>
          <w:szCs w:val="24"/>
        </w:rPr>
      </w:pPr>
      <w:r>
        <w:rPr>
          <w:b/>
          <w:bCs/>
          <w:sz w:val="24"/>
          <w:szCs w:val="24"/>
        </w:rPr>
        <w:t xml:space="preserve">4.  MIDROC’s failure to engage in dialogue with the </w:t>
      </w:r>
      <w:proofErr w:type="spellStart"/>
      <w:r>
        <w:rPr>
          <w:b/>
          <w:bCs/>
          <w:sz w:val="24"/>
          <w:szCs w:val="24"/>
        </w:rPr>
        <w:t>Guji</w:t>
      </w:r>
      <w:proofErr w:type="spellEnd"/>
      <w:r>
        <w:rPr>
          <w:b/>
          <w:bCs/>
          <w:sz w:val="24"/>
          <w:szCs w:val="24"/>
        </w:rPr>
        <w:t xml:space="preserve"> community</w:t>
      </w:r>
    </w:p>
    <w:p w14:paraId="729231E4" w14:textId="6D90FC60" w:rsidR="0034582E" w:rsidRDefault="0034582E" w:rsidP="00463B51">
      <w:pPr>
        <w:jc w:val="both"/>
        <w:rPr>
          <w:b/>
          <w:bCs/>
          <w:sz w:val="24"/>
          <w:szCs w:val="24"/>
        </w:rPr>
      </w:pPr>
    </w:p>
    <w:p w14:paraId="55C46680" w14:textId="2FBE2628" w:rsidR="0034582E" w:rsidRDefault="0034582E" w:rsidP="00463B51">
      <w:pPr>
        <w:jc w:val="both"/>
        <w:rPr>
          <w:b/>
          <w:bCs/>
          <w:sz w:val="24"/>
          <w:szCs w:val="24"/>
        </w:rPr>
      </w:pPr>
      <w:r w:rsidRPr="00E70487">
        <w:rPr>
          <w:sz w:val="24"/>
          <w:szCs w:val="24"/>
        </w:rPr>
        <w:t xml:space="preserve">MIDROC </w:t>
      </w:r>
      <w:r>
        <w:rPr>
          <w:sz w:val="24"/>
          <w:szCs w:val="24"/>
        </w:rPr>
        <w:t xml:space="preserve">has not engaged in consultations or dialogue with the </w:t>
      </w:r>
      <w:proofErr w:type="spellStart"/>
      <w:r>
        <w:rPr>
          <w:sz w:val="24"/>
          <w:szCs w:val="24"/>
        </w:rPr>
        <w:t>Guji</w:t>
      </w:r>
      <w:proofErr w:type="spellEnd"/>
      <w:r>
        <w:rPr>
          <w:sz w:val="24"/>
          <w:szCs w:val="24"/>
        </w:rPr>
        <w:t xml:space="preserve"> community regarding the operation of the mine.</w:t>
      </w:r>
      <w:r w:rsidR="003C617E">
        <w:rPr>
          <w:sz w:val="24"/>
          <w:szCs w:val="24"/>
        </w:rPr>
        <w:t xml:space="preserve"> </w:t>
      </w:r>
      <w:r>
        <w:rPr>
          <w:sz w:val="24"/>
          <w:szCs w:val="24"/>
        </w:rPr>
        <w:t>The Government’s own report found that there were “no social performance systems in place by MIDROC.”</w:t>
      </w:r>
      <w:r>
        <w:rPr>
          <w:rStyle w:val="EndnoteReference"/>
          <w:sz w:val="24"/>
          <w:szCs w:val="24"/>
        </w:rPr>
        <w:endnoteReference w:id="36"/>
      </w:r>
      <w:r>
        <w:rPr>
          <w:sz w:val="24"/>
          <w:szCs w:val="24"/>
        </w:rPr>
        <w:t xml:space="preserve"> Similarly, a 2019 socio-economic impact study by researchers at Dilla and Bule Hora Universities found, on the basis of extensive interviews and focus group discussions with local people, that “neither local government authorities nor MIDROC sought any consent and they also never involved local communities” in decisions about MIDROC’s operations and its impacts on local people.</w:t>
      </w:r>
      <w:r>
        <w:rPr>
          <w:rStyle w:val="EndnoteReference"/>
          <w:sz w:val="24"/>
          <w:szCs w:val="24"/>
        </w:rPr>
        <w:endnoteReference w:id="37"/>
      </w:r>
      <w:r>
        <w:rPr>
          <w:sz w:val="24"/>
          <w:szCs w:val="24"/>
        </w:rPr>
        <w:t xml:space="preserve"> A local </w:t>
      </w:r>
      <w:proofErr w:type="spellStart"/>
      <w:r>
        <w:rPr>
          <w:sz w:val="24"/>
          <w:szCs w:val="24"/>
        </w:rPr>
        <w:t>Guji</w:t>
      </w:r>
      <w:proofErr w:type="spellEnd"/>
      <w:r>
        <w:rPr>
          <w:sz w:val="24"/>
          <w:szCs w:val="24"/>
        </w:rPr>
        <w:t xml:space="preserve"> elder lamented that “government and MIDROC authorities never listen to complaints from the people let alone involve them in decisions.”</w:t>
      </w:r>
      <w:r>
        <w:rPr>
          <w:rStyle w:val="EndnoteReference"/>
          <w:sz w:val="24"/>
          <w:szCs w:val="24"/>
        </w:rPr>
        <w:endnoteReference w:id="38"/>
      </w:r>
    </w:p>
    <w:p w14:paraId="2742B5F9" w14:textId="454BDF62" w:rsidR="0034582E" w:rsidRDefault="0034582E" w:rsidP="00463B51">
      <w:pPr>
        <w:jc w:val="both"/>
        <w:rPr>
          <w:b/>
          <w:bCs/>
          <w:sz w:val="24"/>
          <w:szCs w:val="24"/>
        </w:rPr>
      </w:pPr>
    </w:p>
    <w:p w14:paraId="0AC588D9" w14:textId="646F2CF8" w:rsidR="0034582E" w:rsidRDefault="0034582E" w:rsidP="00463B51">
      <w:pPr>
        <w:jc w:val="both"/>
        <w:rPr>
          <w:b/>
          <w:bCs/>
          <w:sz w:val="24"/>
          <w:szCs w:val="24"/>
        </w:rPr>
      </w:pPr>
      <w:r>
        <w:rPr>
          <w:b/>
          <w:bCs/>
          <w:sz w:val="24"/>
          <w:szCs w:val="24"/>
        </w:rPr>
        <w:t xml:space="preserve">5.  Efforts to protest the mine and demand compensation have been unsuccessful </w:t>
      </w:r>
    </w:p>
    <w:p w14:paraId="0E2FD992" w14:textId="6E5EE782" w:rsidR="0034582E" w:rsidRDefault="0034582E" w:rsidP="00463B51">
      <w:pPr>
        <w:jc w:val="both"/>
        <w:rPr>
          <w:b/>
          <w:bCs/>
          <w:sz w:val="24"/>
          <w:szCs w:val="24"/>
        </w:rPr>
      </w:pPr>
    </w:p>
    <w:p w14:paraId="3ACA5803" w14:textId="424806FA" w:rsidR="0034582E" w:rsidRDefault="0034582E" w:rsidP="00463B51">
      <w:pPr>
        <w:jc w:val="both"/>
        <w:rPr>
          <w:sz w:val="24"/>
          <w:szCs w:val="24"/>
        </w:rPr>
      </w:pPr>
      <w:r>
        <w:rPr>
          <w:sz w:val="24"/>
          <w:szCs w:val="24"/>
        </w:rPr>
        <w:t xml:space="preserve">The </w:t>
      </w:r>
      <w:proofErr w:type="spellStart"/>
      <w:r>
        <w:rPr>
          <w:sz w:val="24"/>
          <w:szCs w:val="24"/>
        </w:rPr>
        <w:t>Guji</w:t>
      </w:r>
      <w:proofErr w:type="spellEnd"/>
      <w:r>
        <w:rPr>
          <w:sz w:val="24"/>
          <w:szCs w:val="24"/>
        </w:rPr>
        <w:t xml:space="preserve"> have repeatedly tried to obtain redress, all to no avail.</w:t>
      </w:r>
      <w:r w:rsidR="003C617E">
        <w:rPr>
          <w:sz w:val="24"/>
          <w:szCs w:val="24"/>
        </w:rPr>
        <w:t xml:space="preserve"> </w:t>
      </w:r>
      <w:r>
        <w:rPr>
          <w:sz w:val="24"/>
          <w:szCs w:val="24"/>
        </w:rPr>
        <w:t xml:space="preserve">Demands to stop the contamination and provide fair compensation to victims have been ignored, and community protests have repeatedly been met with violence and intimidation. Shortly after Prime Minister Abiy Ahmed came to power, </w:t>
      </w:r>
      <w:proofErr w:type="gramStart"/>
      <w:r>
        <w:rPr>
          <w:sz w:val="24"/>
          <w:szCs w:val="24"/>
        </w:rPr>
        <w:t>protests against</w:t>
      </w:r>
      <w:proofErr w:type="gramEnd"/>
      <w:r>
        <w:rPr>
          <w:sz w:val="24"/>
          <w:szCs w:val="24"/>
        </w:rPr>
        <w:t xml:space="preserve"> the license renewal led to a temporary suspension, but MIDROC ultimately was allowed to resume mining as before – without implementing measures to mitigate existing environmental contamination or prevent further contamination, and without paying just compensation to the victims.</w:t>
      </w:r>
    </w:p>
    <w:p w14:paraId="118621F4" w14:textId="61D135BA" w:rsidR="0034582E" w:rsidRDefault="0034582E" w:rsidP="00463B51">
      <w:pPr>
        <w:jc w:val="both"/>
        <w:rPr>
          <w:sz w:val="24"/>
          <w:szCs w:val="24"/>
        </w:rPr>
      </w:pPr>
    </w:p>
    <w:p w14:paraId="3207013B" w14:textId="3A93F43A" w:rsidR="0034582E" w:rsidRDefault="0034582E" w:rsidP="00463B51">
      <w:pPr>
        <w:jc w:val="both"/>
        <w:rPr>
          <w:sz w:val="24"/>
          <w:szCs w:val="24"/>
        </w:rPr>
      </w:pPr>
      <w:r>
        <w:rPr>
          <w:sz w:val="24"/>
          <w:szCs w:val="24"/>
        </w:rPr>
        <w:t>This flies in the face of recommendations made by CEDAW in 2019:</w:t>
      </w:r>
    </w:p>
    <w:p w14:paraId="590D2ADD" w14:textId="6932394C" w:rsidR="0034582E" w:rsidRDefault="0034582E" w:rsidP="00463B51">
      <w:pPr>
        <w:jc w:val="both"/>
        <w:rPr>
          <w:sz w:val="24"/>
          <w:szCs w:val="24"/>
        </w:rPr>
      </w:pPr>
    </w:p>
    <w:p w14:paraId="46CD10B8" w14:textId="5328B55E" w:rsidR="0034582E" w:rsidRDefault="0034582E" w:rsidP="00463B51">
      <w:pPr>
        <w:jc w:val="both"/>
        <w:rPr>
          <w:b/>
          <w:bCs/>
          <w:sz w:val="24"/>
          <w:szCs w:val="24"/>
          <w:lang w:val="en-US"/>
        </w:rPr>
      </w:pPr>
      <w:r w:rsidRPr="00A11E75">
        <w:rPr>
          <w:b/>
          <w:bCs/>
          <w:sz w:val="24"/>
          <w:szCs w:val="24"/>
          <w:lang w:val="en-US"/>
        </w:rPr>
        <w:t xml:space="preserve">The Committee recommends that the State party ensure full transparency and independence during the assessment process, including by publishing the results and sharing them with the </w:t>
      </w:r>
      <w:proofErr w:type="spellStart"/>
      <w:r w:rsidRPr="00A11E75">
        <w:rPr>
          <w:b/>
          <w:bCs/>
          <w:sz w:val="24"/>
          <w:szCs w:val="24"/>
          <w:lang w:val="en-US"/>
        </w:rPr>
        <w:t>Guji</w:t>
      </w:r>
      <w:proofErr w:type="spellEnd"/>
      <w:r w:rsidRPr="00A11E75">
        <w:rPr>
          <w:b/>
          <w:bCs/>
          <w:sz w:val="24"/>
          <w:szCs w:val="24"/>
          <w:lang w:val="en-US"/>
        </w:rPr>
        <w:t xml:space="preserve"> people, address the environmental and health damage caused and provide adequate reparations and compensation to the victims.</w:t>
      </w:r>
      <w:r w:rsidRPr="00B72EB2">
        <w:rPr>
          <w:rStyle w:val="EndnoteReference"/>
          <w:sz w:val="24"/>
          <w:szCs w:val="24"/>
          <w:lang w:val="en-US"/>
        </w:rPr>
        <w:endnoteReference w:id="39"/>
      </w:r>
    </w:p>
    <w:p w14:paraId="418D9570" w14:textId="6FAAD2E2" w:rsidR="0034582E" w:rsidRDefault="0034582E" w:rsidP="00463B51">
      <w:pPr>
        <w:jc w:val="both"/>
        <w:rPr>
          <w:b/>
          <w:bCs/>
          <w:sz w:val="24"/>
          <w:szCs w:val="24"/>
          <w:lang w:val="en-US"/>
        </w:rPr>
      </w:pPr>
    </w:p>
    <w:p w14:paraId="37D40112" w14:textId="1B81A9C0" w:rsidR="0034582E" w:rsidRDefault="0034582E" w:rsidP="00253EBA">
      <w:pPr>
        <w:jc w:val="both"/>
        <w:rPr>
          <w:sz w:val="24"/>
          <w:szCs w:val="24"/>
        </w:rPr>
      </w:pPr>
      <w:r>
        <w:rPr>
          <w:sz w:val="24"/>
          <w:szCs w:val="24"/>
        </w:rPr>
        <w:t xml:space="preserve">None of these recommendations have been complied with. Assessment results have not been published and shared, environmental and health damage has not been addressed, and the victims have not received adequate reparations and compensation. </w:t>
      </w:r>
      <w:r>
        <w:rPr>
          <w:sz w:val="24"/>
          <w:szCs w:val="24"/>
        </w:rPr>
        <w:t>Although the Government promised compensation when the mine was allowed to reopen, most victims have received nothing. The only payments have been to a few of the people who lost family members, and they have received at most only 20,000 birr – an amount less than $400 USD. Other victims – including the children born with profound disabilities and the families that care for them – have received nothing.</w:t>
      </w:r>
    </w:p>
    <w:p w14:paraId="47FB8CF3" w14:textId="185B1F38" w:rsidR="0034582E" w:rsidRDefault="0034582E" w:rsidP="00463B51">
      <w:pPr>
        <w:jc w:val="both"/>
        <w:rPr>
          <w:sz w:val="24"/>
          <w:szCs w:val="24"/>
        </w:rPr>
      </w:pPr>
    </w:p>
    <w:p w14:paraId="6C992E23" w14:textId="43816C5A" w:rsidR="0034582E" w:rsidRDefault="0034582E" w:rsidP="000C7B29">
      <w:pPr>
        <w:jc w:val="both"/>
        <w:rPr>
          <w:sz w:val="24"/>
          <w:szCs w:val="24"/>
          <w:lang w:val="en-US"/>
        </w:rPr>
      </w:pPr>
      <w:r>
        <w:rPr>
          <w:sz w:val="24"/>
          <w:szCs w:val="24"/>
        </w:rPr>
        <w:t xml:space="preserve">Over the years, the </w:t>
      </w:r>
      <w:r>
        <w:rPr>
          <w:sz w:val="24"/>
          <w:szCs w:val="24"/>
          <w:lang w:val="en-US"/>
        </w:rPr>
        <w:t xml:space="preserve">Government has responded to protests with brutality. A 2016 HRW report on protests in Oromia, </w:t>
      </w:r>
      <w:r w:rsidRPr="00D45646">
        <w:rPr>
          <w:sz w:val="24"/>
          <w:szCs w:val="24"/>
          <w:lang w:val="en-US"/>
        </w:rPr>
        <w:t xml:space="preserve">including </w:t>
      </w:r>
      <w:proofErr w:type="gramStart"/>
      <w:r w:rsidRPr="00D45646">
        <w:rPr>
          <w:sz w:val="24"/>
          <w:szCs w:val="24"/>
          <w:lang w:val="en-US"/>
        </w:rPr>
        <w:t>protests against</w:t>
      </w:r>
      <w:proofErr w:type="gramEnd"/>
      <w:r w:rsidRPr="00D45646">
        <w:rPr>
          <w:sz w:val="24"/>
          <w:szCs w:val="24"/>
          <w:lang w:val="en-US"/>
        </w:rPr>
        <w:t xml:space="preserve"> Lega </w:t>
      </w:r>
      <w:proofErr w:type="spellStart"/>
      <w:r w:rsidRPr="00D45646">
        <w:rPr>
          <w:sz w:val="24"/>
          <w:szCs w:val="24"/>
          <w:lang w:val="en-US"/>
        </w:rPr>
        <w:t>Dembi</w:t>
      </w:r>
      <w:proofErr w:type="spellEnd"/>
      <w:r>
        <w:rPr>
          <w:sz w:val="24"/>
          <w:szCs w:val="24"/>
          <w:lang w:val="en-US"/>
        </w:rPr>
        <w:t>, found:</w:t>
      </w:r>
      <w:r w:rsidRPr="00D45646">
        <w:rPr>
          <w:sz w:val="24"/>
          <w:szCs w:val="24"/>
          <w:lang w:val="en-US"/>
        </w:rPr>
        <w:t xml:space="preserve"> “Security forces committed numerous human rights violations in response to the protests, including arbitrary arrest and detention, killings and other uses of excessive force, torture and ill-treatment in detention, and enforced disappearances.”</w:t>
      </w:r>
      <w:r>
        <w:rPr>
          <w:rStyle w:val="EndnoteReference"/>
          <w:sz w:val="24"/>
          <w:szCs w:val="24"/>
          <w:lang w:val="en-US"/>
        </w:rPr>
        <w:endnoteReference w:id="40"/>
      </w:r>
    </w:p>
    <w:p w14:paraId="4B8BF4B1" w14:textId="77777777" w:rsidR="0034582E" w:rsidRPr="00D45646" w:rsidRDefault="0034582E" w:rsidP="00835EF3">
      <w:pPr>
        <w:jc w:val="both"/>
        <w:rPr>
          <w:sz w:val="24"/>
          <w:szCs w:val="24"/>
          <w:lang w:val="en-US"/>
        </w:rPr>
      </w:pPr>
    </w:p>
    <w:p w14:paraId="504DC9AA" w14:textId="01375920" w:rsidR="00AA1F5B" w:rsidRDefault="0034582E" w:rsidP="00835EF3">
      <w:pPr>
        <w:jc w:val="both"/>
        <w:rPr>
          <w:sz w:val="24"/>
          <w:szCs w:val="24"/>
          <w:lang w:val="en-US"/>
        </w:rPr>
      </w:pPr>
      <w:r w:rsidRPr="00D45646">
        <w:rPr>
          <w:sz w:val="24"/>
          <w:szCs w:val="24"/>
          <w:lang w:val="en-US"/>
        </w:rPr>
        <w:t xml:space="preserve">These tactics have been used </w:t>
      </w:r>
      <w:r>
        <w:rPr>
          <w:sz w:val="24"/>
          <w:szCs w:val="24"/>
          <w:lang w:val="en-US"/>
        </w:rPr>
        <w:t xml:space="preserve">repeatedly </w:t>
      </w:r>
      <w:r w:rsidRPr="00D45646">
        <w:rPr>
          <w:sz w:val="24"/>
          <w:szCs w:val="24"/>
          <w:lang w:val="en-US"/>
        </w:rPr>
        <w:t xml:space="preserve">against activists and community members </w:t>
      </w:r>
      <w:r>
        <w:rPr>
          <w:sz w:val="24"/>
          <w:szCs w:val="24"/>
          <w:lang w:val="en-US"/>
        </w:rPr>
        <w:t>protesting</w:t>
      </w:r>
      <w:r w:rsidRPr="00D45646">
        <w:rPr>
          <w:sz w:val="24"/>
          <w:szCs w:val="24"/>
          <w:lang w:val="en-US"/>
        </w:rPr>
        <w:t xml:space="preserve"> Lega </w:t>
      </w:r>
      <w:proofErr w:type="spellStart"/>
      <w:r w:rsidRPr="00D45646">
        <w:rPr>
          <w:sz w:val="24"/>
          <w:szCs w:val="24"/>
          <w:lang w:val="en-US"/>
        </w:rPr>
        <w:t>Dembi</w:t>
      </w:r>
      <w:proofErr w:type="spellEnd"/>
      <w:r w:rsidRPr="00D45646">
        <w:rPr>
          <w:sz w:val="24"/>
          <w:szCs w:val="24"/>
          <w:lang w:val="en-US"/>
        </w:rPr>
        <w:t>. Anti-mine protests in 2009 led to beatings and mass arrests, including the arrests of some fifteen protest leaders.</w:t>
      </w:r>
      <w:r>
        <w:rPr>
          <w:rStyle w:val="EndnoteReference"/>
          <w:sz w:val="24"/>
          <w:szCs w:val="24"/>
          <w:lang w:val="en-US"/>
        </w:rPr>
        <w:endnoteReference w:id="41"/>
      </w:r>
      <w:r w:rsidRPr="00D45646">
        <w:rPr>
          <w:sz w:val="24"/>
          <w:szCs w:val="24"/>
          <w:lang w:val="en-US"/>
        </w:rPr>
        <w:t xml:space="preserve"> Protests in 2014 and 2016 were likewise suppressed by security forces. For example, in April 2016, security forces came to the home of a protest participant, accused him of having organized the protests, and killed him.</w:t>
      </w:r>
      <w:r>
        <w:rPr>
          <w:rStyle w:val="EndnoteReference"/>
          <w:sz w:val="24"/>
          <w:szCs w:val="24"/>
          <w:lang w:val="en-US"/>
        </w:rPr>
        <w:endnoteReference w:id="42"/>
      </w:r>
      <w:r w:rsidRPr="00D45646">
        <w:rPr>
          <w:sz w:val="24"/>
          <w:szCs w:val="24"/>
          <w:lang w:val="en-US"/>
        </w:rPr>
        <w:t xml:space="preserve"> </w:t>
      </w:r>
      <w:r>
        <w:rPr>
          <w:sz w:val="24"/>
          <w:szCs w:val="24"/>
          <w:lang w:val="en-US"/>
        </w:rPr>
        <w:t xml:space="preserve">During protests in </w:t>
      </w:r>
      <w:r>
        <w:rPr>
          <w:sz w:val="24"/>
          <w:szCs w:val="24"/>
          <w:lang w:val="en-US"/>
        </w:rPr>
        <w:lastRenderedPageBreak/>
        <w:t>2018 against the renewal of MIDROC’s license, a</w:t>
      </w:r>
      <w:r w:rsidRPr="00D45646">
        <w:rPr>
          <w:sz w:val="24"/>
          <w:szCs w:val="24"/>
          <w:lang w:val="en-US"/>
        </w:rPr>
        <w:t xml:space="preserve">t least five protesters were </w:t>
      </w:r>
      <w:proofErr w:type="gramStart"/>
      <w:r w:rsidRPr="00D45646">
        <w:rPr>
          <w:sz w:val="24"/>
          <w:szCs w:val="24"/>
          <w:lang w:val="en-US"/>
        </w:rPr>
        <w:t>killed</w:t>
      </w:r>
      <w:proofErr w:type="gramEnd"/>
      <w:r w:rsidRPr="00D45646">
        <w:rPr>
          <w:sz w:val="24"/>
          <w:szCs w:val="24"/>
          <w:lang w:val="en-US"/>
        </w:rPr>
        <w:t xml:space="preserve"> and others were injured</w:t>
      </w:r>
      <w:r>
        <w:rPr>
          <w:sz w:val="24"/>
          <w:szCs w:val="24"/>
          <w:lang w:val="en-US"/>
        </w:rPr>
        <w:t xml:space="preserve"> </w:t>
      </w:r>
      <w:r w:rsidRPr="00D45646">
        <w:rPr>
          <w:sz w:val="24"/>
          <w:szCs w:val="24"/>
          <w:lang w:val="en-US"/>
        </w:rPr>
        <w:t>when security forces opened fire on the demonstrators with live ammunition.</w:t>
      </w:r>
      <w:r>
        <w:rPr>
          <w:rStyle w:val="EndnoteReference"/>
          <w:sz w:val="24"/>
          <w:szCs w:val="24"/>
          <w:lang w:val="en-US"/>
        </w:rPr>
        <w:endnoteReference w:id="43"/>
      </w:r>
      <w:r w:rsidRPr="00D45646">
        <w:rPr>
          <w:sz w:val="24"/>
          <w:szCs w:val="24"/>
          <w:lang w:val="en-US"/>
        </w:rPr>
        <w:t xml:space="preserve"> </w:t>
      </w:r>
      <w:bookmarkStart w:id="2" w:name="_Hlk101611274"/>
    </w:p>
    <w:p w14:paraId="020B1AB8" w14:textId="77777777" w:rsidR="00835EF3" w:rsidRPr="00D45646" w:rsidRDefault="00835EF3" w:rsidP="00835EF3">
      <w:pPr>
        <w:jc w:val="both"/>
        <w:rPr>
          <w:sz w:val="24"/>
          <w:szCs w:val="24"/>
          <w:lang w:val="en-US"/>
        </w:rPr>
      </w:pPr>
    </w:p>
    <w:p w14:paraId="7F0CAB94" w14:textId="77777777" w:rsidR="00835EF3" w:rsidRDefault="00835EF3" w:rsidP="00835EF3">
      <w:pPr>
        <w:jc w:val="both"/>
        <w:rPr>
          <w:sz w:val="24"/>
          <w:szCs w:val="24"/>
          <w:lang w:val="en-US"/>
        </w:rPr>
      </w:pPr>
      <w:r w:rsidRPr="00D45646">
        <w:rPr>
          <w:sz w:val="24"/>
          <w:szCs w:val="24"/>
          <w:lang w:val="en-US"/>
        </w:rPr>
        <w:t>MIDROC’s private security force has also brutalized local people, shooting those viewed as coming too close to the mining site. In one incident, a local man was forced at gunpoint into the most toxic tailing pond, where he immediately perished. It has been reported, including by a former MIDROC worker, that MIDROC has maintained its own private jail within the mining complex.</w:t>
      </w:r>
    </w:p>
    <w:p w14:paraId="241F4973" w14:textId="77777777" w:rsidR="00835EF3" w:rsidRPr="00D45646" w:rsidRDefault="00835EF3" w:rsidP="00835EF3">
      <w:pPr>
        <w:jc w:val="both"/>
        <w:rPr>
          <w:sz w:val="24"/>
          <w:szCs w:val="24"/>
          <w:lang w:val="en-US"/>
        </w:rPr>
      </w:pPr>
    </w:p>
    <w:p w14:paraId="5F5194EC" w14:textId="4F03C36A" w:rsidR="00835EF3" w:rsidRDefault="00835EF3" w:rsidP="00835EF3">
      <w:pPr>
        <w:jc w:val="both"/>
        <w:rPr>
          <w:sz w:val="24"/>
          <w:szCs w:val="24"/>
          <w:lang w:val="en-US"/>
        </w:rPr>
      </w:pPr>
      <w:r w:rsidRPr="00D45646">
        <w:rPr>
          <w:sz w:val="24"/>
          <w:szCs w:val="24"/>
          <w:lang w:val="en-US"/>
        </w:rPr>
        <w:t>The resulting climate of fear and intimidation has been intensified by the militarization of the area near the mine. Since at least autumn 2019, the Government has imposed a “command post” regime in the area, under which the military takes lead responsibility for security. Under this regime, no meetings of any kind can be held without prior government approval.</w:t>
      </w:r>
      <w:r>
        <w:rPr>
          <w:sz w:val="24"/>
          <w:szCs w:val="24"/>
          <w:lang w:val="en-US"/>
        </w:rPr>
        <w:t xml:space="preserve"> </w:t>
      </w:r>
      <w:r w:rsidRPr="00D45646">
        <w:rPr>
          <w:sz w:val="24"/>
          <w:szCs w:val="24"/>
          <w:lang w:val="en-US"/>
        </w:rPr>
        <w:t xml:space="preserve">This has effectively prevented the </w:t>
      </w:r>
      <w:proofErr w:type="spellStart"/>
      <w:r w:rsidRPr="00D45646">
        <w:rPr>
          <w:sz w:val="24"/>
          <w:szCs w:val="24"/>
          <w:lang w:val="en-US"/>
        </w:rPr>
        <w:t>Guji</w:t>
      </w:r>
      <w:proofErr w:type="spellEnd"/>
      <w:r w:rsidRPr="00D45646">
        <w:rPr>
          <w:sz w:val="24"/>
          <w:szCs w:val="24"/>
          <w:lang w:val="en-US"/>
        </w:rPr>
        <w:t xml:space="preserve"> from coming together – before or since the reopening of the mine – to discuss their grievances or express their opposition</w:t>
      </w:r>
      <w:r w:rsidR="003A7563">
        <w:rPr>
          <w:sz w:val="24"/>
          <w:szCs w:val="24"/>
          <w:lang w:val="en-US"/>
        </w:rPr>
        <w:t xml:space="preserve"> to the </w:t>
      </w:r>
      <w:r w:rsidR="00A50838">
        <w:rPr>
          <w:sz w:val="24"/>
          <w:szCs w:val="24"/>
          <w:lang w:val="en-US"/>
        </w:rPr>
        <w:t>mine.</w:t>
      </w:r>
      <w:r w:rsidR="003A7563">
        <w:rPr>
          <w:sz w:val="24"/>
          <w:szCs w:val="24"/>
          <w:lang w:val="en-US"/>
        </w:rPr>
        <w:t xml:space="preserve"> </w:t>
      </w:r>
    </w:p>
    <w:p w14:paraId="57CAFAE6" w14:textId="77777777" w:rsidR="00835EF3" w:rsidRPr="00D45646" w:rsidRDefault="00835EF3" w:rsidP="00835EF3">
      <w:pPr>
        <w:jc w:val="both"/>
        <w:rPr>
          <w:sz w:val="24"/>
          <w:szCs w:val="24"/>
          <w:lang w:val="en-US"/>
        </w:rPr>
      </w:pPr>
    </w:p>
    <w:p w14:paraId="2108293E" w14:textId="5859DAEE" w:rsidR="00835EF3" w:rsidRDefault="00835EF3" w:rsidP="00835EF3">
      <w:pPr>
        <w:jc w:val="both"/>
        <w:rPr>
          <w:sz w:val="24"/>
          <w:szCs w:val="24"/>
          <w:lang w:val="en-US"/>
        </w:rPr>
      </w:pPr>
      <w:r w:rsidRPr="00D45646">
        <w:rPr>
          <w:sz w:val="24"/>
          <w:szCs w:val="24"/>
          <w:lang w:val="en-US"/>
        </w:rPr>
        <w:t>Under these circumstances, it is not surprising that there have been no public protests in response to the resumption of mining. Local people who have voiced opposition have suffered consequences. Some have been detained</w:t>
      </w:r>
      <w:r w:rsidR="00C71192">
        <w:rPr>
          <w:sz w:val="24"/>
          <w:szCs w:val="24"/>
          <w:lang w:val="en-US"/>
        </w:rPr>
        <w:t xml:space="preserve">, and others </w:t>
      </w:r>
      <w:r w:rsidRPr="00D45646">
        <w:rPr>
          <w:sz w:val="24"/>
          <w:szCs w:val="24"/>
          <w:lang w:val="en-US"/>
        </w:rPr>
        <w:t xml:space="preserve">have been threatened and forced to flee the area. </w:t>
      </w:r>
      <w:r w:rsidR="00A50838">
        <w:rPr>
          <w:sz w:val="24"/>
          <w:szCs w:val="24"/>
          <w:lang w:val="en-US"/>
        </w:rPr>
        <w:t xml:space="preserve">In the eyes of the Government, opposition to Lega </w:t>
      </w:r>
      <w:proofErr w:type="spellStart"/>
      <w:r w:rsidR="00A50838">
        <w:rPr>
          <w:sz w:val="24"/>
          <w:szCs w:val="24"/>
          <w:lang w:val="en-US"/>
        </w:rPr>
        <w:t>Dembi</w:t>
      </w:r>
      <w:proofErr w:type="spellEnd"/>
      <w:r w:rsidR="00A50838">
        <w:rPr>
          <w:sz w:val="24"/>
          <w:szCs w:val="24"/>
          <w:lang w:val="en-US"/>
        </w:rPr>
        <w:t xml:space="preserve"> is synonymous with support for the armed combatants of the Oromo Liberation Army (OLA, or “Shene”). Thus, at least for now, </w:t>
      </w:r>
      <w:r w:rsidRPr="00D45646">
        <w:rPr>
          <w:sz w:val="24"/>
          <w:szCs w:val="24"/>
          <w:lang w:val="en-US"/>
        </w:rPr>
        <w:t xml:space="preserve">the Government has largely succeeded in suppressing any </w:t>
      </w:r>
      <w:r>
        <w:rPr>
          <w:sz w:val="24"/>
          <w:szCs w:val="24"/>
          <w:lang w:val="en-US"/>
        </w:rPr>
        <w:t xml:space="preserve">public </w:t>
      </w:r>
      <w:r w:rsidRPr="00D45646">
        <w:rPr>
          <w:sz w:val="24"/>
          <w:szCs w:val="24"/>
          <w:lang w:val="en-US"/>
        </w:rPr>
        <w:t>expression of opposition to the mine.</w:t>
      </w:r>
    </w:p>
    <w:bookmarkEnd w:id="2"/>
    <w:p w14:paraId="5E6E3E54" w14:textId="465A045E" w:rsidR="00B72EB2" w:rsidRDefault="00B72EB2" w:rsidP="00835EF3">
      <w:pPr>
        <w:jc w:val="both"/>
        <w:rPr>
          <w:sz w:val="24"/>
          <w:szCs w:val="24"/>
          <w:lang w:val="en-US"/>
        </w:rPr>
      </w:pPr>
    </w:p>
    <w:p w14:paraId="06B230A0" w14:textId="77777777" w:rsidR="0015612E" w:rsidRDefault="0015612E" w:rsidP="005E1A64">
      <w:pPr>
        <w:jc w:val="both"/>
        <w:rPr>
          <w:sz w:val="24"/>
          <w:szCs w:val="24"/>
          <w:lang w:val="en-US"/>
        </w:rPr>
      </w:pPr>
    </w:p>
    <w:p w14:paraId="2FA4B7DA" w14:textId="77777777" w:rsidR="0015612E" w:rsidRDefault="0015612E" w:rsidP="005E1A64">
      <w:pPr>
        <w:jc w:val="both"/>
        <w:rPr>
          <w:b/>
          <w:bCs/>
          <w:sz w:val="24"/>
          <w:szCs w:val="24"/>
        </w:rPr>
      </w:pPr>
      <w:bookmarkStart w:id="3" w:name="_Hlk101366897"/>
      <w:bookmarkEnd w:id="3"/>
    </w:p>
    <w:sectPr w:rsidR="0015612E" w:rsidSect="0034582E">
      <w:footerReference w:type="default" r:id="rId8"/>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3F81" w14:textId="77777777" w:rsidR="001647E7" w:rsidRDefault="001647E7" w:rsidP="006F55AF">
      <w:r>
        <w:separator/>
      </w:r>
    </w:p>
  </w:endnote>
  <w:endnote w:type="continuationSeparator" w:id="0">
    <w:p w14:paraId="21040152" w14:textId="77777777" w:rsidR="001647E7" w:rsidRDefault="001647E7" w:rsidP="006F55AF">
      <w:r>
        <w:continuationSeparator/>
      </w:r>
    </w:p>
  </w:endnote>
  <w:endnote w:id="1">
    <w:p w14:paraId="0BE5648C" w14:textId="0A30AE70" w:rsidR="0034582E" w:rsidRPr="007A4BC5" w:rsidRDefault="0034582E">
      <w:pPr>
        <w:pStyle w:val="EndnoteText"/>
        <w:rPr>
          <w:lang w:val="en-US"/>
        </w:rPr>
      </w:pPr>
      <w:r>
        <w:rPr>
          <w:rStyle w:val="EndnoteReference"/>
        </w:rPr>
        <w:endnoteRef/>
      </w:r>
      <w:r>
        <w:t xml:space="preserve"> </w:t>
      </w:r>
      <w:r>
        <w:rPr>
          <w:lang w:val="en-US"/>
        </w:rPr>
        <w:t>Due to the requested word limit, it is not possible to address the remaining questions. DUBAF and CIHR would be happy to provide further information, upon request.</w:t>
      </w:r>
    </w:p>
  </w:endnote>
  <w:endnote w:id="2">
    <w:p w14:paraId="33A3AFE7" w14:textId="77777777" w:rsidR="0034582E" w:rsidRPr="003E1DD0" w:rsidRDefault="0034582E" w:rsidP="003E1DD0">
      <w:pPr>
        <w:pStyle w:val="EndnoteText"/>
        <w:rPr>
          <w:lang w:val="en-US"/>
        </w:rPr>
      </w:pPr>
      <w:r>
        <w:rPr>
          <w:rStyle w:val="EndnoteReference"/>
        </w:rPr>
        <w:endnoteRef/>
      </w:r>
      <w:r>
        <w:t xml:space="preserve"> </w:t>
      </w:r>
      <w:r w:rsidRPr="003E1DD0">
        <w:rPr>
          <w:i/>
          <w:iCs/>
          <w:lang w:val="en-US"/>
        </w:rPr>
        <w:t xml:space="preserve">Compliance audit in chemical management on MIDROC Gold Mine PLC’s </w:t>
      </w:r>
      <w:proofErr w:type="spellStart"/>
      <w:r w:rsidRPr="003E1DD0">
        <w:rPr>
          <w:i/>
          <w:iCs/>
          <w:lang w:val="en-US"/>
        </w:rPr>
        <w:t>Legadembi</w:t>
      </w:r>
      <w:proofErr w:type="spellEnd"/>
      <w:r w:rsidRPr="003E1DD0">
        <w:rPr>
          <w:i/>
          <w:iCs/>
          <w:lang w:val="en-US"/>
        </w:rPr>
        <w:t xml:space="preserve"> and </w:t>
      </w:r>
      <w:proofErr w:type="spellStart"/>
      <w:r w:rsidRPr="003E1DD0">
        <w:rPr>
          <w:i/>
          <w:iCs/>
          <w:lang w:val="en-US"/>
        </w:rPr>
        <w:t>Sakaro</w:t>
      </w:r>
      <w:proofErr w:type="spellEnd"/>
      <w:r w:rsidRPr="003E1DD0">
        <w:rPr>
          <w:i/>
          <w:iCs/>
          <w:lang w:val="en-US"/>
        </w:rPr>
        <w:t xml:space="preserve"> Mining Operations</w:t>
      </w:r>
      <w:r w:rsidRPr="003E1DD0">
        <w:rPr>
          <w:lang w:val="en-US"/>
        </w:rPr>
        <w:t xml:space="preserve">, Addis Ababa University Business Enterprise PLC (March 2018) [hereinafter </w:t>
      </w:r>
      <w:r w:rsidRPr="005511D5">
        <w:rPr>
          <w:i/>
          <w:iCs/>
          <w:lang w:val="en-US"/>
        </w:rPr>
        <w:t>March 2018 Audit</w:t>
      </w:r>
      <w:r w:rsidRPr="003E1DD0">
        <w:rPr>
          <w:lang w:val="en-US"/>
        </w:rPr>
        <w:t>].</w:t>
      </w:r>
    </w:p>
  </w:endnote>
  <w:endnote w:id="3">
    <w:p w14:paraId="0A20303F" w14:textId="63F7E931" w:rsidR="0034582E" w:rsidRPr="006A77DF" w:rsidRDefault="0034582E">
      <w:pPr>
        <w:pStyle w:val="EndnoteText"/>
        <w:rPr>
          <w:lang w:val="en-US"/>
        </w:rPr>
      </w:pPr>
      <w:r>
        <w:rPr>
          <w:rStyle w:val="EndnoteReference"/>
        </w:rPr>
        <w:endnoteRef/>
      </w:r>
      <w:r>
        <w:t xml:space="preserve"> </w:t>
      </w:r>
      <w:r w:rsidRPr="003E1DD0">
        <w:rPr>
          <w:i/>
          <w:iCs/>
          <w:lang w:val="en-US"/>
        </w:rPr>
        <w:t>Id.</w:t>
      </w:r>
      <w:r w:rsidRPr="003E1DD0">
        <w:rPr>
          <w:lang w:val="en-US"/>
        </w:rPr>
        <w:t xml:space="preserve"> pp. 65, 118, 121.</w:t>
      </w:r>
    </w:p>
  </w:endnote>
  <w:endnote w:id="4">
    <w:p w14:paraId="7F71E5C8" w14:textId="12360847" w:rsidR="0034582E" w:rsidRPr="006A77DF" w:rsidRDefault="0034582E">
      <w:pPr>
        <w:pStyle w:val="EndnoteText"/>
        <w:rPr>
          <w:lang w:val="en-US"/>
        </w:rPr>
      </w:pPr>
      <w:r>
        <w:rPr>
          <w:rStyle w:val="EndnoteReference"/>
        </w:rPr>
        <w:endnoteRef/>
      </w:r>
      <w:r>
        <w:t xml:space="preserve"> </w:t>
      </w:r>
      <w:r w:rsidRPr="007A5675">
        <w:rPr>
          <w:rFonts w:cstheme="minorHAnsi"/>
          <w:i/>
          <w:iCs/>
          <w:color w:val="000000" w:themeColor="text1"/>
        </w:rPr>
        <w:t>Id.</w:t>
      </w:r>
      <w:r w:rsidRPr="007A5675">
        <w:rPr>
          <w:rFonts w:cstheme="minorHAnsi"/>
          <w:color w:val="000000" w:themeColor="text1"/>
        </w:rPr>
        <w:t xml:space="preserve"> </w:t>
      </w:r>
      <w:r w:rsidRPr="007A5675">
        <w:rPr>
          <w:rFonts w:cstheme="minorHAnsi"/>
          <w:color w:val="000000"/>
        </w:rPr>
        <w:t xml:space="preserve">p. </w:t>
      </w:r>
      <w:r w:rsidRPr="007A5675">
        <w:rPr>
          <w:rFonts w:cstheme="minorHAnsi"/>
          <w:color w:val="000000" w:themeColor="text1"/>
        </w:rPr>
        <w:t>102.</w:t>
      </w:r>
    </w:p>
  </w:endnote>
  <w:endnote w:id="5">
    <w:p w14:paraId="5DACFC63" w14:textId="35DF56AF" w:rsidR="0034582E" w:rsidRPr="00BF35FA" w:rsidRDefault="0034582E">
      <w:pPr>
        <w:pStyle w:val="EndnoteText"/>
        <w:rPr>
          <w:lang w:val="en-US"/>
        </w:rPr>
      </w:pPr>
      <w:r>
        <w:rPr>
          <w:rStyle w:val="EndnoteReference"/>
        </w:rPr>
        <w:endnoteRef/>
      </w:r>
      <w:r>
        <w:t xml:space="preserve"> </w:t>
      </w:r>
      <w:r>
        <w:rPr>
          <w:i/>
          <w:iCs/>
        </w:rPr>
        <w:t>Id.</w:t>
      </w:r>
      <w:r>
        <w:t xml:space="preserve"> </w:t>
      </w:r>
      <w:r w:rsidRPr="00BF35FA">
        <w:rPr>
          <w:lang w:val="en-US"/>
        </w:rPr>
        <w:t>pp. 84, 103, 107, 117, 123.</w:t>
      </w:r>
    </w:p>
  </w:endnote>
  <w:endnote w:id="6">
    <w:p w14:paraId="66539ED8" w14:textId="68481F43" w:rsidR="0034582E" w:rsidRPr="0036701A" w:rsidRDefault="0034582E" w:rsidP="004726D3">
      <w:pPr>
        <w:pStyle w:val="EndnoteText"/>
        <w:rPr>
          <w:lang w:val="en-US"/>
        </w:rPr>
      </w:pPr>
      <w:r>
        <w:rPr>
          <w:rStyle w:val="EndnoteReference"/>
        </w:rPr>
        <w:endnoteRef/>
      </w:r>
      <w:r>
        <w:t xml:space="preserve"> </w:t>
      </w:r>
      <w:r w:rsidR="00FD3014" w:rsidRPr="007A5675">
        <w:rPr>
          <w:rFonts w:cstheme="minorHAnsi"/>
          <w:i/>
          <w:iCs/>
          <w:color w:val="000000" w:themeColor="text1"/>
        </w:rPr>
        <w:t>Id.</w:t>
      </w:r>
      <w:r w:rsidR="00FD3014" w:rsidRPr="007A5675">
        <w:rPr>
          <w:rFonts w:cstheme="minorHAnsi"/>
          <w:color w:val="000000" w:themeColor="text1"/>
        </w:rPr>
        <w:t xml:space="preserve"> </w:t>
      </w:r>
      <w:r w:rsidR="00FD3014" w:rsidRPr="007A5675">
        <w:rPr>
          <w:rFonts w:cstheme="minorHAnsi"/>
          <w:color w:val="000000"/>
        </w:rPr>
        <w:t>p.</w:t>
      </w:r>
      <w:r w:rsidR="00FD3014">
        <w:rPr>
          <w:rFonts w:cstheme="minorHAnsi"/>
          <w:color w:val="000000"/>
        </w:rPr>
        <w:t xml:space="preserve"> 3.</w:t>
      </w:r>
    </w:p>
  </w:endnote>
  <w:endnote w:id="7">
    <w:p w14:paraId="3101A6C7" w14:textId="77777777" w:rsidR="0034582E" w:rsidRPr="0063128B" w:rsidRDefault="0034582E" w:rsidP="004726D3">
      <w:pPr>
        <w:pStyle w:val="EndnoteText"/>
        <w:jc w:val="both"/>
        <w:rPr>
          <w:rFonts w:cstheme="minorHAnsi"/>
          <w:sz w:val="18"/>
          <w:szCs w:val="18"/>
        </w:rPr>
      </w:pPr>
      <w:r w:rsidRPr="0063128B">
        <w:rPr>
          <w:rStyle w:val="EndnoteReference"/>
          <w:rFonts w:cstheme="minorHAnsi"/>
          <w:sz w:val="18"/>
          <w:szCs w:val="18"/>
        </w:rPr>
        <w:endnoteRef/>
      </w:r>
      <w:r w:rsidRPr="0063128B">
        <w:rPr>
          <w:rFonts w:cstheme="minorHAnsi"/>
          <w:sz w:val="18"/>
          <w:szCs w:val="18"/>
        </w:rPr>
        <w:t xml:space="preserve"> </w:t>
      </w:r>
      <w:r w:rsidRPr="0063128B">
        <w:rPr>
          <w:rFonts w:cstheme="minorHAnsi"/>
          <w:i/>
          <w:iCs/>
          <w:sz w:val="18"/>
          <w:szCs w:val="18"/>
        </w:rPr>
        <w:t>Id.</w:t>
      </w:r>
      <w:r w:rsidRPr="0063128B">
        <w:rPr>
          <w:rFonts w:cstheme="minorHAnsi"/>
          <w:sz w:val="18"/>
          <w:szCs w:val="18"/>
        </w:rPr>
        <w:t xml:space="preserve"> p. 91.</w:t>
      </w:r>
    </w:p>
  </w:endnote>
  <w:endnote w:id="8">
    <w:p w14:paraId="7F6FA2D5" w14:textId="48003433" w:rsidR="0034582E" w:rsidRPr="00F14697" w:rsidRDefault="0034582E">
      <w:pPr>
        <w:pStyle w:val="EndnoteText"/>
      </w:pPr>
      <w:r>
        <w:rPr>
          <w:rStyle w:val="EndnoteReference"/>
        </w:rPr>
        <w:endnoteRef/>
      </w:r>
      <w:r>
        <w:t xml:space="preserve"> </w:t>
      </w:r>
      <w:r w:rsidRPr="0063128B">
        <w:rPr>
          <w:rFonts w:cstheme="minorHAnsi"/>
          <w:i/>
          <w:iCs/>
          <w:sz w:val="18"/>
          <w:szCs w:val="18"/>
        </w:rPr>
        <w:t>Id.</w:t>
      </w:r>
      <w:r w:rsidRPr="0063128B">
        <w:rPr>
          <w:rFonts w:cstheme="minorHAnsi"/>
          <w:sz w:val="18"/>
          <w:szCs w:val="18"/>
        </w:rPr>
        <w:t xml:space="preserve"> p. </w:t>
      </w:r>
      <w:r>
        <w:rPr>
          <w:rFonts w:cstheme="minorHAnsi"/>
          <w:sz w:val="18"/>
          <w:szCs w:val="18"/>
        </w:rPr>
        <w:t>120.</w:t>
      </w:r>
    </w:p>
  </w:endnote>
  <w:endnote w:id="9">
    <w:p w14:paraId="5CAE3704" w14:textId="2A4CF078" w:rsidR="0034582E" w:rsidRPr="007E3E06" w:rsidRDefault="0034582E">
      <w:pPr>
        <w:pStyle w:val="EndnoteText"/>
        <w:rPr>
          <w:lang w:val="en-US"/>
        </w:rPr>
      </w:pPr>
      <w:r>
        <w:rPr>
          <w:rStyle w:val="EndnoteReference"/>
        </w:rPr>
        <w:endnoteRef/>
      </w:r>
      <w:r>
        <w:t xml:space="preserve"> </w:t>
      </w:r>
      <w:r>
        <w:rPr>
          <w:i/>
          <w:iCs/>
        </w:rPr>
        <w:t xml:space="preserve">Id. </w:t>
      </w:r>
    </w:p>
  </w:endnote>
  <w:endnote w:id="10">
    <w:p w14:paraId="3B3B0B71" w14:textId="4ED4C1D7" w:rsidR="0034582E" w:rsidRPr="00026E50" w:rsidRDefault="0034582E">
      <w:pPr>
        <w:pStyle w:val="EndnoteText"/>
        <w:rPr>
          <w:lang w:val="en-US"/>
        </w:rPr>
      </w:pPr>
      <w:r>
        <w:rPr>
          <w:rStyle w:val="EndnoteReference"/>
        </w:rPr>
        <w:endnoteRef/>
      </w:r>
      <w:r>
        <w:t xml:space="preserve"> </w:t>
      </w:r>
      <w:r>
        <w:t xml:space="preserve">Ethiopian Public Health Institute </w:t>
      </w:r>
      <w:r>
        <w:t xml:space="preserve">(EPHI) </w:t>
      </w:r>
      <w:r>
        <w:t>&amp; Ministry of Mines, Petroleum and Natural Gas</w:t>
      </w:r>
      <w:r>
        <w:t xml:space="preserve"> (MMPNG),</w:t>
      </w:r>
      <w:r w:rsidRPr="00026E50">
        <w:rPr>
          <w:i/>
          <w:iCs/>
          <w:lang w:val="en-US"/>
        </w:rPr>
        <w:t xml:space="preserve"> </w:t>
      </w:r>
      <w:proofErr w:type="spellStart"/>
      <w:r w:rsidRPr="00026E50">
        <w:rPr>
          <w:i/>
          <w:iCs/>
          <w:lang w:val="en-US"/>
        </w:rPr>
        <w:t>Legadembi</w:t>
      </w:r>
      <w:proofErr w:type="spellEnd"/>
      <w:r w:rsidRPr="00026E50">
        <w:rPr>
          <w:i/>
          <w:iCs/>
          <w:lang w:val="en-US"/>
        </w:rPr>
        <w:t xml:space="preserve"> Mining and Community Health Study: Technical Report 2018</w:t>
      </w:r>
      <w:r>
        <w:rPr>
          <w:lang w:val="en-US"/>
        </w:rPr>
        <w:t xml:space="preserve"> [hereinafter </w:t>
      </w:r>
      <w:r w:rsidRPr="005511D5">
        <w:rPr>
          <w:i/>
          <w:iCs/>
          <w:lang w:val="en-US"/>
        </w:rPr>
        <w:t>Mining and Community Health Study</w:t>
      </w:r>
      <w:r>
        <w:rPr>
          <w:lang w:val="en-US"/>
        </w:rPr>
        <w:t xml:space="preserve">]. This report contains the findings of both the </w:t>
      </w:r>
      <w:r w:rsidRPr="00026E50">
        <w:rPr>
          <w:lang w:val="en-US"/>
        </w:rPr>
        <w:t>environmental desk audit</w:t>
      </w:r>
      <w:r>
        <w:rPr>
          <w:lang w:val="en-US"/>
        </w:rPr>
        <w:t xml:space="preserve">, which we believe was done by the Canadian consultants, and the </w:t>
      </w:r>
      <w:r w:rsidRPr="00026E50">
        <w:rPr>
          <w:lang w:val="en-US"/>
        </w:rPr>
        <w:t>community health study</w:t>
      </w:r>
      <w:r>
        <w:rPr>
          <w:lang w:val="en-US"/>
        </w:rPr>
        <w:t>, discussed below, which was conducted by the Ethiopian Public Health Institute (EPHI) with guidance from the Canadians consultants. We do not know whether EPHI and MMPNG exercised any editorial control over what was written by the Canadian consultants and the researchers.</w:t>
      </w:r>
    </w:p>
  </w:endnote>
  <w:endnote w:id="11">
    <w:p w14:paraId="35826AC8" w14:textId="1444238A" w:rsidR="0034582E" w:rsidRPr="00381E2F" w:rsidRDefault="0034582E">
      <w:pPr>
        <w:pStyle w:val="EndnoteText"/>
      </w:pPr>
      <w:r>
        <w:rPr>
          <w:rStyle w:val="EndnoteReference"/>
        </w:rPr>
        <w:endnoteRef/>
      </w:r>
      <w:r>
        <w:t xml:space="preserve"> </w:t>
      </w:r>
      <w:r>
        <w:rPr>
          <w:i/>
          <w:iCs/>
        </w:rPr>
        <w:t xml:space="preserve">Id. </w:t>
      </w:r>
      <w:r>
        <w:t>p. 1.</w:t>
      </w:r>
    </w:p>
  </w:endnote>
  <w:endnote w:id="12">
    <w:p w14:paraId="63AAC451" w14:textId="65B01D88" w:rsidR="0034582E" w:rsidRPr="00381E2F" w:rsidRDefault="0034582E" w:rsidP="005A61B2">
      <w:pPr>
        <w:pStyle w:val="EndnoteText"/>
        <w:jc w:val="both"/>
        <w:rPr>
          <w:lang w:val="en-US"/>
        </w:rPr>
      </w:pPr>
      <w:r>
        <w:rPr>
          <w:rStyle w:val="EndnoteReference"/>
        </w:rPr>
        <w:endnoteRef/>
      </w:r>
      <w:r>
        <w:t xml:space="preserve"> </w:t>
      </w:r>
      <w:r>
        <w:rPr>
          <w:rFonts w:cstheme="minorHAnsi"/>
          <w:i/>
          <w:iCs/>
          <w:sz w:val="18"/>
          <w:szCs w:val="18"/>
          <w:lang w:val="en-US"/>
        </w:rPr>
        <w:t xml:space="preserve">March 2018 Audit, </w:t>
      </w:r>
      <w:r w:rsidRPr="00EA0908">
        <w:rPr>
          <w:rFonts w:cstheme="minorHAnsi"/>
          <w:i/>
          <w:iCs/>
          <w:sz w:val="18"/>
          <w:szCs w:val="18"/>
          <w:lang w:val="en-US"/>
        </w:rPr>
        <w:t>supra</w:t>
      </w:r>
      <w:r w:rsidRPr="00EA0908">
        <w:rPr>
          <w:rFonts w:cstheme="minorHAnsi"/>
          <w:sz w:val="18"/>
          <w:szCs w:val="18"/>
          <w:lang w:val="en-US"/>
        </w:rPr>
        <w:t xml:space="preserve"> note </w:t>
      </w:r>
      <w:r>
        <w:rPr>
          <w:rFonts w:cstheme="minorHAnsi"/>
          <w:sz w:val="18"/>
          <w:szCs w:val="18"/>
          <w:lang w:val="en-US"/>
        </w:rPr>
        <w:t>2</w:t>
      </w:r>
      <w:r w:rsidRPr="00EA0908">
        <w:rPr>
          <w:rFonts w:cstheme="minorHAnsi"/>
          <w:sz w:val="18"/>
          <w:szCs w:val="18"/>
          <w:lang w:val="en-US"/>
        </w:rPr>
        <w:t>, p. 83 (em</w:t>
      </w:r>
      <w:r>
        <w:rPr>
          <w:rFonts w:cstheme="minorHAnsi"/>
          <w:sz w:val="18"/>
          <w:szCs w:val="18"/>
          <w:lang w:val="en-US"/>
        </w:rPr>
        <w:t>phasis added).</w:t>
      </w:r>
    </w:p>
  </w:endnote>
  <w:endnote w:id="13">
    <w:p w14:paraId="11463E37" w14:textId="04FEA23F" w:rsidR="0034582E" w:rsidRPr="00381E2F" w:rsidRDefault="0034582E">
      <w:pPr>
        <w:pStyle w:val="EndnoteText"/>
      </w:pPr>
      <w:r>
        <w:rPr>
          <w:rStyle w:val="EndnoteReference"/>
        </w:rPr>
        <w:endnoteRef/>
      </w:r>
      <w:r>
        <w:t xml:space="preserve"> </w:t>
      </w:r>
      <w:r w:rsidRPr="0063128B">
        <w:rPr>
          <w:rFonts w:cstheme="minorHAnsi"/>
          <w:i/>
          <w:iCs/>
          <w:color w:val="000000" w:themeColor="text1"/>
          <w:sz w:val="18"/>
          <w:szCs w:val="18"/>
        </w:rPr>
        <w:t xml:space="preserve">Id. </w:t>
      </w:r>
      <w:r w:rsidRPr="0063128B">
        <w:rPr>
          <w:rFonts w:cstheme="minorHAnsi"/>
          <w:color w:val="000000" w:themeColor="text1"/>
          <w:sz w:val="18"/>
          <w:szCs w:val="18"/>
        </w:rPr>
        <w:t>p. 74</w:t>
      </w:r>
      <w:r>
        <w:rPr>
          <w:rFonts w:cstheme="minorHAnsi"/>
          <w:color w:val="000000" w:themeColor="text1"/>
          <w:sz w:val="18"/>
          <w:szCs w:val="18"/>
        </w:rPr>
        <w:t>,</w:t>
      </w:r>
      <w:r w:rsidRPr="0063128B">
        <w:rPr>
          <w:rFonts w:cstheme="minorHAnsi"/>
          <w:color w:val="000000" w:themeColor="text1"/>
          <w:sz w:val="18"/>
          <w:szCs w:val="18"/>
        </w:rPr>
        <w:t xml:space="preserve"> Table 11</w:t>
      </w:r>
      <w:r>
        <w:rPr>
          <w:rFonts w:cstheme="minorHAnsi"/>
          <w:color w:val="000000" w:themeColor="text1"/>
          <w:sz w:val="18"/>
          <w:szCs w:val="18"/>
        </w:rPr>
        <w:t>.</w:t>
      </w:r>
    </w:p>
  </w:endnote>
  <w:endnote w:id="14">
    <w:p w14:paraId="65CC9217" w14:textId="307035A3" w:rsidR="0034582E" w:rsidRPr="007A5675" w:rsidRDefault="0034582E" w:rsidP="0055561B">
      <w:pPr>
        <w:pStyle w:val="EndnoteText"/>
        <w:jc w:val="both"/>
        <w:rPr>
          <w:rFonts w:cstheme="minorHAnsi"/>
        </w:rPr>
      </w:pPr>
      <w:r w:rsidRPr="007A5675">
        <w:rPr>
          <w:rStyle w:val="EndnoteReference"/>
          <w:rFonts w:cstheme="minorHAnsi"/>
        </w:rPr>
        <w:endnoteRef/>
      </w:r>
      <w:r w:rsidRPr="007A5675">
        <w:rPr>
          <w:rFonts w:cstheme="minorHAnsi"/>
        </w:rPr>
        <w:t xml:space="preserve"> Research team from Dilla </w:t>
      </w:r>
      <w:r>
        <w:rPr>
          <w:rFonts w:cstheme="minorHAnsi"/>
        </w:rPr>
        <w:t xml:space="preserve">and </w:t>
      </w:r>
      <w:r w:rsidRPr="007A5675">
        <w:rPr>
          <w:rFonts w:cstheme="minorHAnsi"/>
        </w:rPr>
        <w:t>Bule Hora Universities.</w:t>
      </w:r>
    </w:p>
  </w:endnote>
  <w:endnote w:id="15">
    <w:p w14:paraId="64920608" w14:textId="2DB0303B" w:rsidR="0034582E" w:rsidRPr="00164B96" w:rsidRDefault="0034582E" w:rsidP="008D3201">
      <w:pPr>
        <w:pStyle w:val="EndnoteText"/>
        <w:rPr>
          <w:lang w:val="en-US"/>
        </w:rPr>
      </w:pPr>
      <w:r>
        <w:rPr>
          <w:rStyle w:val="EndnoteReference"/>
        </w:rPr>
        <w:endnoteRef/>
      </w:r>
      <w:r>
        <w:t xml:space="preserve"> </w:t>
      </w:r>
      <w:r w:rsidRPr="005511D5">
        <w:rPr>
          <w:i/>
          <w:iCs/>
          <w:lang w:val="en-US"/>
        </w:rPr>
        <w:t>Mining and Community Health Study</w:t>
      </w:r>
      <w:r>
        <w:rPr>
          <w:lang w:val="en-US"/>
        </w:rPr>
        <w:t xml:space="preserve">, </w:t>
      </w:r>
      <w:r>
        <w:rPr>
          <w:i/>
          <w:iCs/>
          <w:lang w:val="en-US"/>
        </w:rPr>
        <w:t xml:space="preserve">supra </w:t>
      </w:r>
      <w:r>
        <w:rPr>
          <w:lang w:val="en-US"/>
        </w:rPr>
        <w:t>note 10, p. 69 (emphasis added).</w:t>
      </w:r>
    </w:p>
  </w:endnote>
  <w:endnote w:id="16">
    <w:p w14:paraId="50FE5951" w14:textId="32C335DF" w:rsidR="0034582E" w:rsidRPr="007E7213" w:rsidRDefault="0034582E" w:rsidP="008D3201">
      <w:pPr>
        <w:pStyle w:val="EndnoteText"/>
        <w:rPr>
          <w:lang w:val="en-US"/>
        </w:rPr>
      </w:pPr>
      <w:r>
        <w:rPr>
          <w:rStyle w:val="EndnoteReference"/>
        </w:rPr>
        <w:endnoteRef/>
      </w:r>
      <w:r>
        <w:t xml:space="preserve"> </w:t>
      </w:r>
      <w:r w:rsidRPr="0089013D">
        <w:rPr>
          <w:i/>
          <w:iCs/>
        </w:rPr>
        <w:t>Id</w:t>
      </w:r>
      <w:r>
        <w:t xml:space="preserve">. p. </w:t>
      </w:r>
      <w:r>
        <w:rPr>
          <w:lang w:val="en-US"/>
        </w:rPr>
        <w:t xml:space="preserve">60 </w:t>
      </w:r>
      <w:r>
        <w:rPr>
          <w:lang w:val="en-US"/>
        </w:rPr>
        <w:t>(emphasis added)</w:t>
      </w:r>
      <w:r>
        <w:rPr>
          <w:lang w:val="en-US"/>
        </w:rPr>
        <w:t>.</w:t>
      </w:r>
    </w:p>
  </w:endnote>
  <w:endnote w:id="17">
    <w:p w14:paraId="48B54E4B" w14:textId="5DCD2A1D" w:rsidR="0034582E" w:rsidRPr="00B37B87" w:rsidRDefault="0034582E" w:rsidP="008D3201">
      <w:pPr>
        <w:pStyle w:val="EndnoteText"/>
        <w:rPr>
          <w:lang w:val="en-US"/>
        </w:rPr>
      </w:pPr>
      <w:r>
        <w:rPr>
          <w:rStyle w:val="EndnoteReference"/>
        </w:rPr>
        <w:endnoteRef/>
      </w:r>
      <w:r>
        <w:t xml:space="preserve"> </w:t>
      </w:r>
      <w:r w:rsidRPr="0089013D">
        <w:rPr>
          <w:i/>
          <w:iCs/>
        </w:rPr>
        <w:t>Id</w:t>
      </w:r>
      <w:r>
        <w:t xml:space="preserve">. p. </w:t>
      </w:r>
      <w:r>
        <w:rPr>
          <w:lang w:val="en-US"/>
        </w:rPr>
        <w:t>6</w:t>
      </w:r>
      <w:r>
        <w:rPr>
          <w:lang w:val="en-US"/>
        </w:rPr>
        <w:t xml:space="preserve">9 </w:t>
      </w:r>
      <w:r>
        <w:rPr>
          <w:lang w:val="en-US"/>
        </w:rPr>
        <w:t>(emphasis added)</w:t>
      </w:r>
      <w:r>
        <w:rPr>
          <w:lang w:val="en-US"/>
        </w:rPr>
        <w:t>.</w:t>
      </w:r>
    </w:p>
  </w:endnote>
  <w:endnote w:id="18">
    <w:p w14:paraId="6E89733A" w14:textId="0BB9C4C7" w:rsidR="0034582E" w:rsidRPr="000A7D3E" w:rsidRDefault="0034582E" w:rsidP="008D3201">
      <w:pPr>
        <w:pStyle w:val="EndnoteText"/>
        <w:rPr>
          <w:lang w:val="en-US"/>
        </w:rPr>
      </w:pPr>
      <w:r>
        <w:rPr>
          <w:rStyle w:val="EndnoteReference"/>
        </w:rPr>
        <w:endnoteRef/>
      </w:r>
      <w:r>
        <w:t xml:space="preserve"> </w:t>
      </w:r>
      <w:r w:rsidRPr="0089013D">
        <w:rPr>
          <w:i/>
          <w:iCs/>
        </w:rPr>
        <w:t>Id</w:t>
      </w:r>
      <w:r>
        <w:t>. p</w:t>
      </w:r>
      <w:r>
        <w:t>p</w:t>
      </w:r>
      <w:r>
        <w:t xml:space="preserve">. </w:t>
      </w:r>
      <w:r>
        <w:rPr>
          <w:lang w:val="en-US"/>
        </w:rPr>
        <w:t>62-63.</w:t>
      </w:r>
    </w:p>
  </w:endnote>
  <w:endnote w:id="19">
    <w:p w14:paraId="2A166C10" w14:textId="11481DB1" w:rsidR="0034582E" w:rsidRPr="00B37B87" w:rsidRDefault="0034582E" w:rsidP="008D3201">
      <w:pPr>
        <w:pStyle w:val="EndnoteText"/>
        <w:rPr>
          <w:lang w:val="en-US"/>
        </w:rPr>
      </w:pPr>
      <w:r>
        <w:rPr>
          <w:rStyle w:val="EndnoteReference"/>
        </w:rPr>
        <w:endnoteRef/>
      </w:r>
      <w:r>
        <w:t xml:space="preserve"> </w:t>
      </w:r>
      <w:r w:rsidRPr="0089013D">
        <w:rPr>
          <w:i/>
          <w:iCs/>
        </w:rPr>
        <w:t>Id</w:t>
      </w:r>
      <w:r>
        <w:t xml:space="preserve">. p. </w:t>
      </w:r>
      <w:r>
        <w:rPr>
          <w:lang w:val="en-US"/>
        </w:rPr>
        <w:t>69 (emphasis added).</w:t>
      </w:r>
    </w:p>
  </w:endnote>
  <w:endnote w:id="20">
    <w:p w14:paraId="393C5C2F" w14:textId="40732418" w:rsidR="0034582E" w:rsidRPr="000B230D" w:rsidRDefault="0034582E" w:rsidP="008D3201">
      <w:pPr>
        <w:pStyle w:val="EndnoteText"/>
        <w:rPr>
          <w:lang w:val="en-US"/>
        </w:rPr>
      </w:pPr>
      <w:r>
        <w:rPr>
          <w:rStyle w:val="EndnoteReference"/>
        </w:rPr>
        <w:endnoteRef/>
      </w:r>
      <w:r>
        <w:t xml:space="preserve"> </w:t>
      </w:r>
      <w:r w:rsidRPr="0089013D">
        <w:rPr>
          <w:i/>
          <w:iCs/>
        </w:rPr>
        <w:t>Id</w:t>
      </w:r>
      <w:r>
        <w:t xml:space="preserve">. p. </w:t>
      </w:r>
      <w:r>
        <w:rPr>
          <w:lang w:val="en-US"/>
        </w:rPr>
        <w:t>ii.</w:t>
      </w:r>
    </w:p>
  </w:endnote>
  <w:endnote w:id="21">
    <w:p w14:paraId="5BA93DA8" w14:textId="3A97EC46" w:rsidR="0034582E" w:rsidRPr="00CF5E93" w:rsidRDefault="0034582E" w:rsidP="008D3201">
      <w:pPr>
        <w:pStyle w:val="EndnoteText"/>
        <w:rPr>
          <w:lang w:val="en-US"/>
        </w:rPr>
      </w:pPr>
      <w:r>
        <w:rPr>
          <w:rStyle w:val="EndnoteReference"/>
        </w:rPr>
        <w:endnoteRef/>
      </w:r>
      <w:r>
        <w:t xml:space="preserve"> </w:t>
      </w:r>
      <w:r w:rsidRPr="0089013D">
        <w:rPr>
          <w:i/>
          <w:iCs/>
        </w:rPr>
        <w:t>Id</w:t>
      </w:r>
      <w:r>
        <w:t xml:space="preserve">. p. </w:t>
      </w:r>
      <w:r>
        <w:t xml:space="preserve">ii </w:t>
      </w:r>
      <w:r>
        <w:rPr>
          <w:lang w:val="en-US"/>
        </w:rPr>
        <w:t>(emphasis added).</w:t>
      </w:r>
    </w:p>
  </w:endnote>
  <w:endnote w:id="22">
    <w:p w14:paraId="06AF33EC" w14:textId="38ED4600" w:rsidR="0034582E" w:rsidRPr="00AD3F25" w:rsidRDefault="0034582E" w:rsidP="008D3201">
      <w:pPr>
        <w:pStyle w:val="EndnoteText"/>
        <w:rPr>
          <w:lang w:val="en-US"/>
        </w:rPr>
      </w:pPr>
      <w:r>
        <w:rPr>
          <w:rStyle w:val="EndnoteReference"/>
        </w:rPr>
        <w:endnoteRef/>
      </w:r>
      <w:r>
        <w:t xml:space="preserve"> </w:t>
      </w:r>
      <w:r w:rsidRPr="0089013D">
        <w:rPr>
          <w:i/>
          <w:iCs/>
        </w:rPr>
        <w:t>Id</w:t>
      </w:r>
      <w:r>
        <w:t>. p.</w:t>
      </w:r>
      <w:r>
        <w:t xml:space="preserve"> 35</w:t>
      </w:r>
      <w:r>
        <w:t xml:space="preserve"> </w:t>
      </w:r>
      <w:r>
        <w:rPr>
          <w:lang w:val="en-US"/>
        </w:rPr>
        <w:t>(emphasis added)</w:t>
      </w:r>
      <w:r>
        <w:rPr>
          <w:lang w:val="en-US"/>
        </w:rPr>
        <w:t>.</w:t>
      </w:r>
    </w:p>
  </w:endnote>
  <w:endnote w:id="23">
    <w:p w14:paraId="0A6788B4" w14:textId="2F0175FF" w:rsidR="0034582E" w:rsidRPr="00CF5E93" w:rsidRDefault="0034582E" w:rsidP="008D3201">
      <w:pPr>
        <w:pStyle w:val="EndnoteText"/>
        <w:rPr>
          <w:lang w:val="en-US"/>
        </w:rPr>
      </w:pPr>
      <w:r>
        <w:rPr>
          <w:rStyle w:val="EndnoteReference"/>
        </w:rPr>
        <w:endnoteRef/>
      </w:r>
      <w:r>
        <w:t xml:space="preserve"> </w:t>
      </w:r>
      <w:r w:rsidRPr="0089013D">
        <w:rPr>
          <w:i/>
          <w:iCs/>
        </w:rPr>
        <w:t>Id</w:t>
      </w:r>
      <w:r>
        <w:t>. p. ii</w:t>
      </w:r>
      <w:r>
        <w:t>i</w:t>
      </w:r>
      <w:r>
        <w:t xml:space="preserve"> </w:t>
      </w:r>
      <w:r>
        <w:rPr>
          <w:lang w:val="en-US"/>
        </w:rPr>
        <w:t>(emphasis added).</w:t>
      </w:r>
    </w:p>
  </w:endnote>
  <w:endnote w:id="24">
    <w:p w14:paraId="40F41C0F" w14:textId="4352B583" w:rsidR="0034582E" w:rsidRPr="00D720B3" w:rsidRDefault="0034582E" w:rsidP="008D3201">
      <w:pPr>
        <w:pStyle w:val="EndnoteText"/>
        <w:rPr>
          <w:lang w:val="en-US"/>
        </w:rPr>
      </w:pPr>
      <w:r>
        <w:rPr>
          <w:rStyle w:val="EndnoteReference"/>
        </w:rPr>
        <w:endnoteRef/>
      </w:r>
      <w:r>
        <w:t xml:space="preserve"> </w:t>
      </w:r>
      <w:r w:rsidRPr="0089013D">
        <w:rPr>
          <w:i/>
          <w:iCs/>
        </w:rPr>
        <w:t>Id</w:t>
      </w:r>
      <w:r>
        <w:t>. p. 3</w:t>
      </w:r>
      <w:r>
        <w:t>4</w:t>
      </w:r>
      <w:r>
        <w:t xml:space="preserve"> </w:t>
      </w:r>
      <w:r>
        <w:rPr>
          <w:lang w:val="en-US"/>
        </w:rPr>
        <w:t>(emphasis added).</w:t>
      </w:r>
    </w:p>
  </w:endnote>
  <w:endnote w:id="25">
    <w:p w14:paraId="6FE54DE7" w14:textId="18FE1115" w:rsidR="0034582E" w:rsidRPr="00D720B3" w:rsidRDefault="0034582E" w:rsidP="008D3201">
      <w:pPr>
        <w:pStyle w:val="EndnoteText"/>
        <w:rPr>
          <w:lang w:val="en-US"/>
        </w:rPr>
      </w:pPr>
      <w:r>
        <w:rPr>
          <w:rStyle w:val="EndnoteReference"/>
        </w:rPr>
        <w:endnoteRef/>
      </w:r>
      <w:r>
        <w:t xml:space="preserve"> </w:t>
      </w:r>
      <w:r w:rsidRPr="0089013D">
        <w:rPr>
          <w:i/>
          <w:iCs/>
        </w:rPr>
        <w:t>Id</w:t>
      </w:r>
      <w:r>
        <w:t xml:space="preserve">. p. iii </w:t>
      </w:r>
      <w:r>
        <w:rPr>
          <w:lang w:val="en-US"/>
        </w:rPr>
        <w:t>(emphasis added).</w:t>
      </w:r>
    </w:p>
  </w:endnote>
  <w:endnote w:id="26">
    <w:p w14:paraId="4AEA8AAF" w14:textId="7C0D3306" w:rsidR="0034582E" w:rsidRPr="004E544A" w:rsidRDefault="0034582E" w:rsidP="008D3201">
      <w:pPr>
        <w:pStyle w:val="EndnoteText"/>
        <w:rPr>
          <w:lang w:val="en-US"/>
        </w:rPr>
      </w:pPr>
      <w:r>
        <w:rPr>
          <w:rStyle w:val="EndnoteReference"/>
        </w:rPr>
        <w:endnoteRef/>
      </w:r>
      <w:r>
        <w:t xml:space="preserve"> </w:t>
      </w:r>
      <w:r>
        <w:rPr>
          <w:i/>
          <w:iCs/>
        </w:rPr>
        <w:t>Id</w:t>
      </w:r>
      <w:r>
        <w:t>.</w:t>
      </w:r>
    </w:p>
  </w:endnote>
  <w:endnote w:id="27">
    <w:p w14:paraId="22D7277B" w14:textId="1DF84D38" w:rsidR="0034582E" w:rsidRPr="00837814" w:rsidRDefault="0034582E" w:rsidP="008D3201">
      <w:pPr>
        <w:pStyle w:val="EndnoteText"/>
        <w:rPr>
          <w:lang w:val="en-US"/>
        </w:rPr>
      </w:pPr>
      <w:r>
        <w:rPr>
          <w:rStyle w:val="EndnoteReference"/>
        </w:rPr>
        <w:endnoteRef/>
      </w:r>
      <w:r>
        <w:t xml:space="preserve"> </w:t>
      </w:r>
      <w:r w:rsidRPr="0089013D">
        <w:rPr>
          <w:i/>
          <w:iCs/>
        </w:rPr>
        <w:t>Id</w:t>
      </w:r>
      <w:r>
        <w:t>. p</w:t>
      </w:r>
      <w:r>
        <w:t>p</w:t>
      </w:r>
      <w:r>
        <w:t xml:space="preserve">. </w:t>
      </w:r>
      <w:r>
        <w:t>47, 54</w:t>
      </w:r>
      <w:r>
        <w:t xml:space="preserve"> </w:t>
      </w:r>
      <w:r>
        <w:rPr>
          <w:lang w:val="en-US"/>
        </w:rPr>
        <w:t>(emphasis added).</w:t>
      </w:r>
    </w:p>
  </w:endnote>
  <w:endnote w:id="28">
    <w:p w14:paraId="33124D3C" w14:textId="1AA9E959" w:rsidR="0034582E" w:rsidRPr="00E73B8F" w:rsidRDefault="0034582E" w:rsidP="008D3201">
      <w:pPr>
        <w:pStyle w:val="EndnoteText"/>
        <w:rPr>
          <w:lang w:val="en-US"/>
        </w:rPr>
      </w:pPr>
      <w:r>
        <w:rPr>
          <w:rStyle w:val="EndnoteReference"/>
        </w:rPr>
        <w:endnoteRef/>
      </w:r>
      <w:r>
        <w:t xml:space="preserve"> </w:t>
      </w:r>
      <w:r w:rsidRPr="0089013D">
        <w:rPr>
          <w:i/>
          <w:iCs/>
        </w:rPr>
        <w:t>Id</w:t>
      </w:r>
      <w:r>
        <w:t xml:space="preserve">. p. </w:t>
      </w:r>
      <w:r>
        <w:t>47.</w:t>
      </w:r>
    </w:p>
  </w:endnote>
  <w:endnote w:id="29">
    <w:p w14:paraId="6029CF6F" w14:textId="388241F4" w:rsidR="0034582E" w:rsidRPr="00951559" w:rsidRDefault="0034582E" w:rsidP="008D3201">
      <w:pPr>
        <w:pStyle w:val="EndnoteText"/>
        <w:rPr>
          <w:lang w:val="en-US"/>
        </w:rPr>
      </w:pPr>
      <w:r>
        <w:rPr>
          <w:rStyle w:val="EndnoteReference"/>
        </w:rPr>
        <w:endnoteRef/>
      </w:r>
      <w:r>
        <w:t xml:space="preserve"> </w:t>
      </w:r>
      <w:r w:rsidRPr="0089013D">
        <w:rPr>
          <w:i/>
          <w:iCs/>
        </w:rPr>
        <w:t>Id</w:t>
      </w:r>
      <w:r>
        <w:t xml:space="preserve">. p. ii </w:t>
      </w:r>
      <w:r>
        <w:rPr>
          <w:lang w:val="en-US"/>
        </w:rPr>
        <w:t>(emphasis added).</w:t>
      </w:r>
    </w:p>
  </w:endnote>
  <w:endnote w:id="30">
    <w:p w14:paraId="3F07D0F5" w14:textId="32D4448E" w:rsidR="0034582E" w:rsidRPr="00315F8B" w:rsidRDefault="0034582E" w:rsidP="008D3201">
      <w:pPr>
        <w:pStyle w:val="EndnoteText"/>
        <w:rPr>
          <w:lang w:val="en-US"/>
        </w:rPr>
      </w:pPr>
      <w:r>
        <w:rPr>
          <w:rStyle w:val="EndnoteReference"/>
        </w:rPr>
        <w:endnoteRef/>
      </w:r>
      <w:r>
        <w:t xml:space="preserve"> </w:t>
      </w:r>
      <w:r w:rsidRPr="0089013D">
        <w:rPr>
          <w:i/>
          <w:iCs/>
        </w:rPr>
        <w:t>Id</w:t>
      </w:r>
      <w:r>
        <w:t xml:space="preserve">. p. 54 </w:t>
      </w:r>
      <w:r>
        <w:rPr>
          <w:lang w:val="en-US"/>
        </w:rPr>
        <w:t>(emphasis added).</w:t>
      </w:r>
    </w:p>
  </w:endnote>
  <w:endnote w:id="31">
    <w:p w14:paraId="29E8159B" w14:textId="7D64F79C" w:rsidR="0034582E" w:rsidRPr="00EB5C5B" w:rsidRDefault="0034582E" w:rsidP="008D3201">
      <w:pPr>
        <w:pStyle w:val="EndnoteText"/>
        <w:rPr>
          <w:lang w:val="en-US"/>
        </w:rPr>
      </w:pPr>
      <w:r>
        <w:rPr>
          <w:rStyle w:val="EndnoteReference"/>
        </w:rPr>
        <w:endnoteRef/>
      </w:r>
      <w:r>
        <w:t xml:space="preserve"> </w:t>
      </w:r>
      <w:r>
        <w:rPr>
          <w:i/>
          <w:iCs/>
          <w:lang w:val="en-US"/>
        </w:rPr>
        <w:t>Id</w:t>
      </w:r>
      <w:r>
        <w:rPr>
          <w:lang w:val="en-US"/>
        </w:rPr>
        <w:t>.</w:t>
      </w:r>
    </w:p>
  </w:endnote>
  <w:endnote w:id="32">
    <w:p w14:paraId="4791A38A" w14:textId="458EAB22" w:rsidR="0034582E" w:rsidRPr="00715BAB" w:rsidRDefault="0034582E" w:rsidP="008D3201">
      <w:pPr>
        <w:pStyle w:val="EndnoteText"/>
        <w:rPr>
          <w:lang w:val="en-US"/>
        </w:rPr>
      </w:pPr>
      <w:r>
        <w:rPr>
          <w:rStyle w:val="EndnoteReference"/>
        </w:rPr>
        <w:endnoteRef/>
      </w:r>
      <w:r>
        <w:t xml:space="preserve"> </w:t>
      </w:r>
      <w:r w:rsidRPr="0089013D">
        <w:rPr>
          <w:i/>
          <w:iCs/>
        </w:rPr>
        <w:t>Id</w:t>
      </w:r>
      <w:r>
        <w:t xml:space="preserve">. p. </w:t>
      </w:r>
      <w:r>
        <w:t>5</w:t>
      </w:r>
      <w:r>
        <w:t xml:space="preserve">5 </w:t>
      </w:r>
      <w:r>
        <w:rPr>
          <w:lang w:val="en-US"/>
        </w:rPr>
        <w:t>(emphasis added).</w:t>
      </w:r>
    </w:p>
  </w:endnote>
  <w:endnote w:id="33">
    <w:p w14:paraId="393BC2DE" w14:textId="0C8C1285" w:rsidR="0034582E" w:rsidRPr="00041C4B" w:rsidRDefault="0034582E" w:rsidP="008D3201">
      <w:pPr>
        <w:pStyle w:val="EndnoteText"/>
        <w:rPr>
          <w:lang w:val="en-US"/>
        </w:rPr>
      </w:pPr>
      <w:r>
        <w:rPr>
          <w:rStyle w:val="EndnoteReference"/>
        </w:rPr>
        <w:endnoteRef/>
      </w:r>
      <w:r>
        <w:t xml:space="preserve"> </w:t>
      </w:r>
      <w:r w:rsidRPr="0089013D">
        <w:rPr>
          <w:i/>
          <w:iCs/>
        </w:rPr>
        <w:t>Id</w:t>
      </w:r>
      <w:r>
        <w:t xml:space="preserve">. p. </w:t>
      </w:r>
      <w:r>
        <w:t>53</w:t>
      </w:r>
      <w:r>
        <w:t xml:space="preserve"> </w:t>
      </w:r>
      <w:r>
        <w:rPr>
          <w:lang w:val="en-US"/>
        </w:rPr>
        <w:t>(emphasis added).</w:t>
      </w:r>
    </w:p>
  </w:endnote>
  <w:endnote w:id="34">
    <w:p w14:paraId="6341CCB3" w14:textId="616D0180" w:rsidR="0034582E" w:rsidRPr="00A86727" w:rsidRDefault="0034582E" w:rsidP="00917C41">
      <w:pPr>
        <w:pStyle w:val="EndnoteText"/>
        <w:jc w:val="both"/>
        <w:rPr>
          <w:lang w:val="en-US"/>
        </w:rPr>
      </w:pPr>
      <w:r>
        <w:rPr>
          <w:rStyle w:val="EndnoteReference"/>
        </w:rPr>
        <w:endnoteRef/>
      </w:r>
      <w:r>
        <w:t xml:space="preserve"> </w:t>
      </w:r>
      <w:r>
        <w:t xml:space="preserve">James Anaya, </w:t>
      </w:r>
      <w:r>
        <w:rPr>
          <w:i/>
          <w:iCs/>
        </w:rPr>
        <w:t>Report of the Special Rapporteur on the rights of indigenous peoples: Extractive industries and indigenous peoples</w:t>
      </w:r>
      <w:r>
        <w:t xml:space="preserve">, U.N. Doc. A/HRC/24/41 ¶ 65 (1 July 2013), </w:t>
      </w:r>
      <w:r w:rsidRPr="00E90728">
        <w:t>https://undocs.org/en/A/HRC/24/41</w:t>
      </w:r>
      <w:r>
        <w:t>.</w:t>
      </w:r>
    </w:p>
  </w:endnote>
  <w:endnote w:id="35">
    <w:p w14:paraId="25D967A2" w14:textId="0D1E0D84" w:rsidR="0034582E" w:rsidRPr="00224491" w:rsidRDefault="0034582E">
      <w:pPr>
        <w:pStyle w:val="EndnoteText"/>
        <w:rPr>
          <w:lang w:val="en-US"/>
        </w:rPr>
      </w:pPr>
      <w:r>
        <w:rPr>
          <w:rStyle w:val="EndnoteReference"/>
        </w:rPr>
        <w:endnoteRef/>
      </w:r>
      <w:r w:rsidRPr="00917C41">
        <w:rPr>
          <w:lang w:val="en-US"/>
        </w:rPr>
        <w:t xml:space="preserve"> </w:t>
      </w:r>
      <w:r w:rsidRPr="00917C41">
        <w:t xml:space="preserve">Expert Mechanism on the Rights of Indigenous Peoples (EMRIP), </w:t>
      </w:r>
      <w:r w:rsidRPr="00917C41">
        <w:rPr>
          <w:i/>
          <w:iCs/>
        </w:rPr>
        <w:t xml:space="preserve">Free, </w:t>
      </w:r>
      <w:proofErr w:type="gramStart"/>
      <w:r w:rsidRPr="00917C41">
        <w:rPr>
          <w:i/>
          <w:iCs/>
        </w:rPr>
        <w:t>prior</w:t>
      </w:r>
      <w:proofErr w:type="gramEnd"/>
      <w:r w:rsidRPr="00917C41">
        <w:rPr>
          <w:i/>
          <w:iCs/>
        </w:rPr>
        <w:t xml:space="preserve"> and informed consent: a human rights-based approach</w:t>
      </w:r>
      <w:r w:rsidRPr="00917C41">
        <w:t>, U.N. Doc. A/HRC/39/62 ¶ 22(b) (10 Aug. 2018), https://undocs.org/A/HRC/39/62.</w:t>
      </w:r>
    </w:p>
  </w:endnote>
  <w:endnote w:id="36">
    <w:p w14:paraId="0971B589" w14:textId="2DE22DE2" w:rsidR="0034582E" w:rsidRPr="00224491" w:rsidRDefault="0034582E">
      <w:pPr>
        <w:pStyle w:val="EndnoteText"/>
        <w:rPr>
          <w:lang w:val="en-US"/>
        </w:rPr>
      </w:pPr>
      <w:r>
        <w:rPr>
          <w:rStyle w:val="EndnoteReference"/>
        </w:rPr>
        <w:endnoteRef/>
      </w:r>
      <w:r w:rsidRPr="00224491">
        <w:rPr>
          <w:lang w:val="en-US"/>
        </w:rPr>
        <w:t xml:space="preserve"> </w:t>
      </w:r>
      <w:r w:rsidRPr="005511D5">
        <w:rPr>
          <w:i/>
          <w:iCs/>
          <w:lang w:val="en-US"/>
        </w:rPr>
        <w:t>Mining and Community Health Study</w:t>
      </w:r>
      <w:r>
        <w:rPr>
          <w:lang w:val="en-US"/>
        </w:rPr>
        <w:t xml:space="preserve">, </w:t>
      </w:r>
      <w:r>
        <w:rPr>
          <w:i/>
          <w:iCs/>
          <w:lang w:val="en-US"/>
        </w:rPr>
        <w:t xml:space="preserve">supra </w:t>
      </w:r>
      <w:r>
        <w:rPr>
          <w:lang w:val="en-US"/>
        </w:rPr>
        <w:t>note 10, p.</w:t>
      </w:r>
      <w:r>
        <w:rPr>
          <w:lang w:val="en-US"/>
        </w:rPr>
        <w:t xml:space="preserve"> </w:t>
      </w:r>
      <w:r w:rsidRPr="00224491">
        <w:rPr>
          <w:lang w:val="en-US"/>
        </w:rPr>
        <w:t>1.</w:t>
      </w:r>
    </w:p>
  </w:endnote>
  <w:endnote w:id="37">
    <w:p w14:paraId="599F7A41" w14:textId="7E724A79" w:rsidR="0034582E" w:rsidRPr="00E92D07" w:rsidRDefault="0034582E">
      <w:pPr>
        <w:pStyle w:val="EndnoteText"/>
        <w:rPr>
          <w:lang w:val="en-US"/>
        </w:rPr>
      </w:pPr>
      <w:r>
        <w:rPr>
          <w:rStyle w:val="EndnoteReference"/>
        </w:rPr>
        <w:endnoteRef/>
      </w:r>
      <w:r w:rsidRPr="00E92D07">
        <w:rPr>
          <w:lang w:val="en-US"/>
        </w:rPr>
        <w:t xml:space="preserve"> </w:t>
      </w:r>
      <w:r>
        <w:t xml:space="preserve">Research Team from Dilla and Bule Hora Universities, </w:t>
      </w:r>
      <w:r>
        <w:rPr>
          <w:i/>
          <w:iCs/>
        </w:rPr>
        <w:t>A Study on socio economic impacts of MIDROC Gold mining industry</w:t>
      </w:r>
      <w:r>
        <w:t xml:space="preserve"> (2019), p. 42.</w:t>
      </w:r>
    </w:p>
  </w:endnote>
  <w:endnote w:id="38">
    <w:p w14:paraId="716C1DA2" w14:textId="5AA07B91" w:rsidR="0034582E" w:rsidRPr="00F81110" w:rsidRDefault="0034582E">
      <w:pPr>
        <w:pStyle w:val="EndnoteText"/>
        <w:rPr>
          <w:lang w:val="en-US"/>
        </w:rPr>
      </w:pPr>
      <w:r>
        <w:rPr>
          <w:rStyle w:val="EndnoteReference"/>
        </w:rPr>
        <w:endnoteRef/>
      </w:r>
      <w:r w:rsidRPr="00F81110">
        <w:rPr>
          <w:lang w:val="en-US"/>
        </w:rPr>
        <w:t xml:space="preserve"> </w:t>
      </w:r>
      <w:r w:rsidRPr="00F81110">
        <w:rPr>
          <w:i/>
          <w:iCs/>
          <w:lang w:val="en-US"/>
        </w:rPr>
        <w:t>Id</w:t>
      </w:r>
      <w:r w:rsidRPr="00F81110">
        <w:rPr>
          <w:lang w:val="en-US"/>
        </w:rPr>
        <w:t>.</w:t>
      </w:r>
    </w:p>
  </w:endnote>
  <w:endnote w:id="39">
    <w:p w14:paraId="5BC2AF7D" w14:textId="3EFF43EE" w:rsidR="0034582E" w:rsidRPr="00224491" w:rsidRDefault="0034582E">
      <w:pPr>
        <w:pStyle w:val="EndnoteText"/>
        <w:rPr>
          <w:lang w:val="en-US"/>
        </w:rPr>
      </w:pPr>
      <w:r>
        <w:rPr>
          <w:rStyle w:val="EndnoteReference"/>
        </w:rPr>
        <w:endnoteRef/>
      </w:r>
      <w:r>
        <w:t xml:space="preserve"> </w:t>
      </w:r>
      <w:r w:rsidRPr="00F81110">
        <w:rPr>
          <w:lang w:val="en-US"/>
        </w:rPr>
        <w:t xml:space="preserve">Committee on the Elimination of Discrimination </w:t>
      </w:r>
      <w:r>
        <w:rPr>
          <w:lang w:val="en-US"/>
        </w:rPr>
        <w:t>A</w:t>
      </w:r>
      <w:r w:rsidRPr="00F81110">
        <w:rPr>
          <w:lang w:val="en-US"/>
        </w:rPr>
        <w:t>gainst Women</w:t>
      </w:r>
      <w:r>
        <w:rPr>
          <w:lang w:val="en-US"/>
        </w:rPr>
        <w:t xml:space="preserve"> (CEDAW)</w:t>
      </w:r>
      <w:r w:rsidRPr="00F81110">
        <w:rPr>
          <w:lang w:val="en-US"/>
        </w:rPr>
        <w:t>, 1665th and 1666th meetings, Concluding observations on the eighth periodic report of Ethiopia, U.N. Doc. No. CEDAW/C/ETH/8, ¶ 4</w:t>
      </w:r>
      <w:r>
        <w:rPr>
          <w:lang w:val="en-US"/>
        </w:rPr>
        <w:t>6</w:t>
      </w:r>
      <w:r w:rsidRPr="00F81110">
        <w:rPr>
          <w:lang w:val="en-US"/>
        </w:rPr>
        <w:t xml:space="preserve"> (14 March 2019), </w:t>
      </w:r>
      <w:r w:rsidRPr="00D751DA">
        <w:rPr>
          <w:lang w:val="en-US"/>
        </w:rPr>
        <w:t>https://tbinternet.ohchr.org/_layouts/15/treatybodyexternal/Download.aspx?symbolno=CEDAW%2fC%2fETH%2fCO%2f8&amp;Lang=en</w:t>
      </w:r>
      <w:r>
        <w:t>.</w:t>
      </w:r>
    </w:p>
  </w:endnote>
  <w:endnote w:id="40">
    <w:p w14:paraId="4A83C1C3" w14:textId="7E01FB3E" w:rsidR="0034582E" w:rsidRPr="00151174" w:rsidRDefault="0034582E" w:rsidP="00151174">
      <w:pPr>
        <w:pStyle w:val="EndnoteText"/>
      </w:pPr>
      <w:r>
        <w:rPr>
          <w:rStyle w:val="EndnoteReference"/>
        </w:rPr>
        <w:endnoteRef/>
      </w:r>
      <w:r>
        <w:t xml:space="preserve"> </w:t>
      </w:r>
      <w:r>
        <w:t xml:space="preserve">Human Rights Watch, </w:t>
      </w:r>
      <w:r w:rsidRPr="00151174">
        <w:rPr>
          <w:i/>
          <w:iCs/>
        </w:rPr>
        <w:t>“Such a Brutal Crackdown,” Killings and Arrests in Response to Ethiopia’s Oromo Protests</w:t>
      </w:r>
      <w:r>
        <w:t>, p. 21</w:t>
      </w:r>
      <w:r w:rsidR="005C0090">
        <w:t>;</w:t>
      </w:r>
      <w:r>
        <w:t xml:space="preserve"> </w:t>
      </w:r>
      <w:r>
        <w:rPr>
          <w:i/>
          <w:iCs/>
        </w:rPr>
        <w:t xml:space="preserve">see also </w:t>
      </w:r>
      <w:r>
        <w:t>pp. 13-14 (June 2016),</w:t>
      </w:r>
      <w:r w:rsidRPr="008A4B56">
        <w:t xml:space="preserve"> </w:t>
      </w:r>
      <w:r w:rsidRPr="00E90728">
        <w:t>https://www.hrw.org/sites/default/files/report_pdf/ethiopia0616web.pdf</w:t>
      </w:r>
      <w:r w:rsidRPr="00151174">
        <w:rPr>
          <w:rStyle w:val="Hyperlink"/>
          <w:color w:val="auto"/>
          <w:u w:val="none"/>
        </w:rPr>
        <w:t>.</w:t>
      </w:r>
    </w:p>
  </w:endnote>
  <w:endnote w:id="41">
    <w:p w14:paraId="7C075800" w14:textId="0123DEFD" w:rsidR="0034582E" w:rsidRPr="00151174" w:rsidRDefault="0034582E" w:rsidP="00151174">
      <w:pPr>
        <w:pStyle w:val="EndnoteText"/>
        <w:jc w:val="both"/>
      </w:pPr>
      <w:r>
        <w:rPr>
          <w:rStyle w:val="EndnoteReference"/>
        </w:rPr>
        <w:endnoteRef/>
      </w:r>
      <w:r>
        <w:t xml:space="preserve"> </w:t>
      </w:r>
      <w:r>
        <w:t xml:space="preserve">Asebe Regassa, </w:t>
      </w:r>
      <w:r w:rsidRPr="00E70C52">
        <w:rPr>
          <w:i/>
          <w:iCs/>
        </w:rPr>
        <w:t xml:space="preserve">Frontiers of Extraction and Contestation: dispossession, </w:t>
      </w:r>
      <w:proofErr w:type="gramStart"/>
      <w:r w:rsidRPr="00E70C52">
        <w:rPr>
          <w:i/>
          <w:iCs/>
        </w:rPr>
        <w:t>exclusion</w:t>
      </w:r>
      <w:proofErr w:type="gramEnd"/>
      <w:r w:rsidRPr="00E70C52">
        <w:rPr>
          <w:i/>
          <w:iCs/>
        </w:rPr>
        <w:t xml:space="preserve"> and local resistance against MIDROC Laga-</w:t>
      </w:r>
      <w:proofErr w:type="spellStart"/>
      <w:r w:rsidRPr="00E70C52">
        <w:rPr>
          <w:i/>
          <w:iCs/>
        </w:rPr>
        <w:t>Dambi</w:t>
      </w:r>
      <w:proofErr w:type="spellEnd"/>
      <w:r w:rsidRPr="00E70C52">
        <w:rPr>
          <w:i/>
          <w:iCs/>
        </w:rPr>
        <w:t xml:space="preserve"> Gold Mine, southern Ethiopia</w:t>
      </w:r>
      <w:r>
        <w:t xml:space="preserve">, </w:t>
      </w:r>
      <w:r>
        <w:rPr>
          <w:smallCaps/>
        </w:rPr>
        <w:t xml:space="preserve">The Extractive Industries and Society, </w:t>
      </w:r>
      <w:r>
        <w:t xml:space="preserve">p. 7 (Aug. 2021), </w:t>
      </w:r>
      <w:r w:rsidRPr="00E90728">
        <w:t>https://www.sciencedirect.com/science/article/pii/S2214790X21001519</w:t>
      </w:r>
      <w:r>
        <w:t>.</w:t>
      </w:r>
    </w:p>
  </w:endnote>
  <w:endnote w:id="42">
    <w:p w14:paraId="662081E5" w14:textId="7FD0D62C" w:rsidR="0034582E" w:rsidRPr="00151174" w:rsidRDefault="0034582E">
      <w:pPr>
        <w:pStyle w:val="EndnoteText"/>
        <w:rPr>
          <w:lang w:val="en-US"/>
        </w:rPr>
      </w:pPr>
      <w:r>
        <w:rPr>
          <w:rStyle w:val="EndnoteReference"/>
        </w:rPr>
        <w:endnoteRef/>
      </w:r>
      <w:r>
        <w:t xml:space="preserve"> </w:t>
      </w:r>
      <w:r w:rsidRPr="007125E8">
        <w:rPr>
          <w:smallCaps/>
          <w:lang w:val="it-CH"/>
        </w:rPr>
        <w:t>VOA News</w:t>
      </w:r>
      <w:r>
        <w:rPr>
          <w:smallCaps/>
          <w:lang w:val="it-CH"/>
        </w:rPr>
        <w:t xml:space="preserve">, </w:t>
      </w:r>
      <w:r w:rsidRPr="007125E8">
        <w:rPr>
          <w:i/>
          <w:lang w:val="en-US"/>
        </w:rPr>
        <w:t>Mining Firm's License Renewal Fuels Protests in Ethiopia</w:t>
      </w:r>
      <w:r>
        <w:rPr>
          <w:iCs/>
          <w:lang w:val="en-US"/>
        </w:rPr>
        <w:t xml:space="preserve"> (5 May 2018), </w:t>
      </w:r>
      <w:r w:rsidRPr="00E90728">
        <w:rPr>
          <w:iCs/>
          <w:lang w:val="en-US"/>
        </w:rPr>
        <w:t>h</w:t>
      </w:r>
      <w:r w:rsidRPr="00E90728">
        <w:rPr>
          <w:lang w:val="it-CH"/>
        </w:rPr>
        <w:t>ttps://www.voanews.com/a/mining-firm-license-renewal-fuels-protests-ethiopia/4378439.html</w:t>
      </w:r>
      <w:r>
        <w:rPr>
          <w:lang w:val="it-CH"/>
        </w:rPr>
        <w:t>.</w:t>
      </w:r>
    </w:p>
  </w:endnote>
  <w:endnote w:id="43">
    <w:p w14:paraId="52D253A3" w14:textId="4CE2CDAE" w:rsidR="0034582E" w:rsidRPr="00151174" w:rsidRDefault="0034582E">
      <w:pPr>
        <w:pStyle w:val="EndnoteText"/>
        <w:rPr>
          <w:lang w:val="en-US"/>
        </w:rPr>
      </w:pPr>
      <w:r>
        <w:rPr>
          <w:rStyle w:val="EndnoteReference"/>
        </w:rPr>
        <w:endnoteRef/>
      </w:r>
      <w:r>
        <w:t xml:space="preserve"> </w:t>
      </w:r>
      <w:r w:rsidRPr="00151174">
        <w:t xml:space="preserve">Ethiopia Observer, </w:t>
      </w:r>
      <w:proofErr w:type="gramStart"/>
      <w:r w:rsidRPr="00151174">
        <w:rPr>
          <w:i/>
        </w:rPr>
        <w:t>Five</w:t>
      </w:r>
      <w:proofErr w:type="gramEnd"/>
      <w:r w:rsidRPr="00151174">
        <w:rPr>
          <w:i/>
        </w:rPr>
        <w:t xml:space="preserve"> people killed in </w:t>
      </w:r>
      <w:proofErr w:type="spellStart"/>
      <w:r w:rsidRPr="00151174">
        <w:rPr>
          <w:i/>
        </w:rPr>
        <w:t>Legadembi</w:t>
      </w:r>
      <w:proofErr w:type="spellEnd"/>
      <w:r w:rsidRPr="00151174">
        <w:rPr>
          <w:i/>
        </w:rPr>
        <w:t xml:space="preserve"> gold mine protest</w:t>
      </w:r>
      <w:r w:rsidRPr="00151174">
        <w:rPr>
          <w:iCs/>
        </w:rPr>
        <w:t xml:space="preserve"> (9 May 2018), https://www.ethiopiaobserver.com/2018/05/09/five-people-killed-in-legadembi-gold-mine-protest/.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001238"/>
      <w:docPartObj>
        <w:docPartGallery w:val="Page Numbers (Bottom of Page)"/>
        <w:docPartUnique/>
      </w:docPartObj>
    </w:sdtPr>
    <w:sdtEndPr>
      <w:rPr>
        <w:noProof/>
      </w:rPr>
    </w:sdtEndPr>
    <w:sdtContent>
      <w:p w14:paraId="5C4E9776" w14:textId="77777777" w:rsidR="00D03585" w:rsidRDefault="008F6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56A13" w14:textId="77777777" w:rsidR="00D03585" w:rsidRDefault="0016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672E" w14:textId="77777777" w:rsidR="001647E7" w:rsidRDefault="001647E7" w:rsidP="006F55AF">
      <w:r>
        <w:separator/>
      </w:r>
    </w:p>
  </w:footnote>
  <w:footnote w:type="continuationSeparator" w:id="0">
    <w:p w14:paraId="5D9F3A5A" w14:textId="77777777" w:rsidR="001647E7" w:rsidRDefault="001647E7" w:rsidP="006F5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1B6"/>
    <w:multiLevelType w:val="hybridMultilevel"/>
    <w:tmpl w:val="12EC382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15232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AF"/>
    <w:rsid w:val="00002CAE"/>
    <w:rsid w:val="00003CD2"/>
    <w:rsid w:val="0000621A"/>
    <w:rsid w:val="00015740"/>
    <w:rsid w:val="00021CB0"/>
    <w:rsid w:val="00026E50"/>
    <w:rsid w:val="00032FA4"/>
    <w:rsid w:val="000356F7"/>
    <w:rsid w:val="00045CFF"/>
    <w:rsid w:val="0004779B"/>
    <w:rsid w:val="000509D5"/>
    <w:rsid w:val="000531C9"/>
    <w:rsid w:val="00066D7F"/>
    <w:rsid w:val="00076E06"/>
    <w:rsid w:val="000877A0"/>
    <w:rsid w:val="000969D4"/>
    <w:rsid w:val="000C7B29"/>
    <w:rsid w:val="000E1404"/>
    <w:rsid w:val="000E510A"/>
    <w:rsid w:val="000E645D"/>
    <w:rsid w:val="000F5546"/>
    <w:rsid w:val="000F64BE"/>
    <w:rsid w:val="000F6781"/>
    <w:rsid w:val="000F7565"/>
    <w:rsid w:val="0010113D"/>
    <w:rsid w:val="001029CB"/>
    <w:rsid w:val="00107E1F"/>
    <w:rsid w:val="001135EA"/>
    <w:rsid w:val="00116570"/>
    <w:rsid w:val="00133438"/>
    <w:rsid w:val="00142728"/>
    <w:rsid w:val="00143C43"/>
    <w:rsid w:val="00151174"/>
    <w:rsid w:val="0015612E"/>
    <w:rsid w:val="001647E7"/>
    <w:rsid w:val="00164B96"/>
    <w:rsid w:val="0017346B"/>
    <w:rsid w:val="00180478"/>
    <w:rsid w:val="00193316"/>
    <w:rsid w:val="001933E4"/>
    <w:rsid w:val="001A0708"/>
    <w:rsid w:val="001A1985"/>
    <w:rsid w:val="001A22E6"/>
    <w:rsid w:val="001A41A0"/>
    <w:rsid w:val="001D6F7C"/>
    <w:rsid w:val="001D6F8A"/>
    <w:rsid w:val="001F0547"/>
    <w:rsid w:val="001F5090"/>
    <w:rsid w:val="001F6EE7"/>
    <w:rsid w:val="00203ECE"/>
    <w:rsid w:val="00214807"/>
    <w:rsid w:val="002151E5"/>
    <w:rsid w:val="00216B85"/>
    <w:rsid w:val="00224491"/>
    <w:rsid w:val="0024237D"/>
    <w:rsid w:val="00246A63"/>
    <w:rsid w:val="00253EBA"/>
    <w:rsid w:val="002544E3"/>
    <w:rsid w:val="002558BE"/>
    <w:rsid w:val="00276C31"/>
    <w:rsid w:val="002A075E"/>
    <w:rsid w:val="002A5758"/>
    <w:rsid w:val="002B3DB3"/>
    <w:rsid w:val="002B3DC8"/>
    <w:rsid w:val="002B3EE3"/>
    <w:rsid w:val="002C0139"/>
    <w:rsid w:val="002C0348"/>
    <w:rsid w:val="002C37E7"/>
    <w:rsid w:val="002C3DEB"/>
    <w:rsid w:val="002C4E93"/>
    <w:rsid w:val="00305C48"/>
    <w:rsid w:val="00307A67"/>
    <w:rsid w:val="00317FEB"/>
    <w:rsid w:val="00322BA3"/>
    <w:rsid w:val="0034582E"/>
    <w:rsid w:val="00350A1D"/>
    <w:rsid w:val="0035405B"/>
    <w:rsid w:val="003622FB"/>
    <w:rsid w:val="0036347C"/>
    <w:rsid w:val="00365A43"/>
    <w:rsid w:val="0036701A"/>
    <w:rsid w:val="0037013B"/>
    <w:rsid w:val="003708B5"/>
    <w:rsid w:val="003809A4"/>
    <w:rsid w:val="00381E2F"/>
    <w:rsid w:val="00386A48"/>
    <w:rsid w:val="003A43D8"/>
    <w:rsid w:val="003A6231"/>
    <w:rsid w:val="003A7563"/>
    <w:rsid w:val="003B0D43"/>
    <w:rsid w:val="003C617E"/>
    <w:rsid w:val="003D2A65"/>
    <w:rsid w:val="003D64AA"/>
    <w:rsid w:val="003E1DD0"/>
    <w:rsid w:val="003F0710"/>
    <w:rsid w:val="0041079C"/>
    <w:rsid w:val="00425AA8"/>
    <w:rsid w:val="00430AD7"/>
    <w:rsid w:val="004419EB"/>
    <w:rsid w:val="0044425C"/>
    <w:rsid w:val="00463B51"/>
    <w:rsid w:val="00472136"/>
    <w:rsid w:val="004726D3"/>
    <w:rsid w:val="00472C75"/>
    <w:rsid w:val="00487C86"/>
    <w:rsid w:val="00495A41"/>
    <w:rsid w:val="0049725F"/>
    <w:rsid w:val="004B632F"/>
    <w:rsid w:val="004D62B5"/>
    <w:rsid w:val="004E0DCE"/>
    <w:rsid w:val="004E4D85"/>
    <w:rsid w:val="004E544A"/>
    <w:rsid w:val="004F26DE"/>
    <w:rsid w:val="004F2F04"/>
    <w:rsid w:val="004F3C84"/>
    <w:rsid w:val="005021AC"/>
    <w:rsid w:val="00524587"/>
    <w:rsid w:val="00534E46"/>
    <w:rsid w:val="005372DA"/>
    <w:rsid w:val="00550DB6"/>
    <w:rsid w:val="005511D5"/>
    <w:rsid w:val="005545BE"/>
    <w:rsid w:val="0055561B"/>
    <w:rsid w:val="0055585C"/>
    <w:rsid w:val="00557A22"/>
    <w:rsid w:val="0056259E"/>
    <w:rsid w:val="00565A2C"/>
    <w:rsid w:val="005826B0"/>
    <w:rsid w:val="00584C07"/>
    <w:rsid w:val="005875AA"/>
    <w:rsid w:val="00596DC5"/>
    <w:rsid w:val="005A12E8"/>
    <w:rsid w:val="005A61B2"/>
    <w:rsid w:val="005B0F75"/>
    <w:rsid w:val="005B6386"/>
    <w:rsid w:val="005C0090"/>
    <w:rsid w:val="005C0CB7"/>
    <w:rsid w:val="005C1828"/>
    <w:rsid w:val="005D5283"/>
    <w:rsid w:val="005D73CF"/>
    <w:rsid w:val="005E1A64"/>
    <w:rsid w:val="005E4718"/>
    <w:rsid w:val="005F6EBC"/>
    <w:rsid w:val="00605C3C"/>
    <w:rsid w:val="00614131"/>
    <w:rsid w:val="006166DF"/>
    <w:rsid w:val="00627474"/>
    <w:rsid w:val="00633A9B"/>
    <w:rsid w:val="00634B92"/>
    <w:rsid w:val="00641147"/>
    <w:rsid w:val="00646888"/>
    <w:rsid w:val="00660B12"/>
    <w:rsid w:val="00663B52"/>
    <w:rsid w:val="00663ED3"/>
    <w:rsid w:val="00666ECA"/>
    <w:rsid w:val="00674E62"/>
    <w:rsid w:val="0067747F"/>
    <w:rsid w:val="00677810"/>
    <w:rsid w:val="0068663F"/>
    <w:rsid w:val="00695993"/>
    <w:rsid w:val="006A500A"/>
    <w:rsid w:val="006A77DF"/>
    <w:rsid w:val="006B402E"/>
    <w:rsid w:val="006B6297"/>
    <w:rsid w:val="006D514B"/>
    <w:rsid w:val="006D742D"/>
    <w:rsid w:val="006E760B"/>
    <w:rsid w:val="006F4C3F"/>
    <w:rsid w:val="006F4E10"/>
    <w:rsid w:val="006F55AF"/>
    <w:rsid w:val="007003AA"/>
    <w:rsid w:val="00712131"/>
    <w:rsid w:val="007125E8"/>
    <w:rsid w:val="00712D49"/>
    <w:rsid w:val="007145E7"/>
    <w:rsid w:val="00716AE3"/>
    <w:rsid w:val="00725A5C"/>
    <w:rsid w:val="007263A6"/>
    <w:rsid w:val="00727A15"/>
    <w:rsid w:val="00730052"/>
    <w:rsid w:val="00734DC3"/>
    <w:rsid w:val="00737B6B"/>
    <w:rsid w:val="00744A83"/>
    <w:rsid w:val="00756231"/>
    <w:rsid w:val="0076306F"/>
    <w:rsid w:val="00777708"/>
    <w:rsid w:val="00795C07"/>
    <w:rsid w:val="007A4BC5"/>
    <w:rsid w:val="007B2761"/>
    <w:rsid w:val="007D4475"/>
    <w:rsid w:val="007D4FB7"/>
    <w:rsid w:val="007D5278"/>
    <w:rsid w:val="007E2BB4"/>
    <w:rsid w:val="007E3E06"/>
    <w:rsid w:val="007E7AD3"/>
    <w:rsid w:val="007F22AF"/>
    <w:rsid w:val="007F2F8D"/>
    <w:rsid w:val="007F4985"/>
    <w:rsid w:val="00800CC1"/>
    <w:rsid w:val="00806DF1"/>
    <w:rsid w:val="00817E06"/>
    <w:rsid w:val="00824D81"/>
    <w:rsid w:val="0082567C"/>
    <w:rsid w:val="008261D2"/>
    <w:rsid w:val="00835EF3"/>
    <w:rsid w:val="00837561"/>
    <w:rsid w:val="008403DC"/>
    <w:rsid w:val="00843ECD"/>
    <w:rsid w:val="00860153"/>
    <w:rsid w:val="0086276E"/>
    <w:rsid w:val="00865CD6"/>
    <w:rsid w:val="00872C12"/>
    <w:rsid w:val="00874AF8"/>
    <w:rsid w:val="0088123A"/>
    <w:rsid w:val="008853B8"/>
    <w:rsid w:val="0089013D"/>
    <w:rsid w:val="00893750"/>
    <w:rsid w:val="00895D6B"/>
    <w:rsid w:val="00895F94"/>
    <w:rsid w:val="008C289F"/>
    <w:rsid w:val="008C45A6"/>
    <w:rsid w:val="008C57E3"/>
    <w:rsid w:val="008D3201"/>
    <w:rsid w:val="008E086A"/>
    <w:rsid w:val="008E5493"/>
    <w:rsid w:val="008F6CF9"/>
    <w:rsid w:val="00904AF7"/>
    <w:rsid w:val="00913521"/>
    <w:rsid w:val="00917C41"/>
    <w:rsid w:val="00917E6A"/>
    <w:rsid w:val="00920981"/>
    <w:rsid w:val="00924CA0"/>
    <w:rsid w:val="00924DAB"/>
    <w:rsid w:val="009269C1"/>
    <w:rsid w:val="00926C0E"/>
    <w:rsid w:val="009352CD"/>
    <w:rsid w:val="00945278"/>
    <w:rsid w:val="00953FAF"/>
    <w:rsid w:val="0095530D"/>
    <w:rsid w:val="009615C4"/>
    <w:rsid w:val="0097056C"/>
    <w:rsid w:val="00977AD5"/>
    <w:rsid w:val="009863D0"/>
    <w:rsid w:val="00997788"/>
    <w:rsid w:val="009A0C81"/>
    <w:rsid w:val="009A22B4"/>
    <w:rsid w:val="009B19BB"/>
    <w:rsid w:val="009B2BBF"/>
    <w:rsid w:val="009C4B65"/>
    <w:rsid w:val="009C59E0"/>
    <w:rsid w:val="009D2BC3"/>
    <w:rsid w:val="009D7A7A"/>
    <w:rsid w:val="009E2BF5"/>
    <w:rsid w:val="009F545D"/>
    <w:rsid w:val="009F5CE9"/>
    <w:rsid w:val="00A10CF1"/>
    <w:rsid w:val="00A11E75"/>
    <w:rsid w:val="00A22C14"/>
    <w:rsid w:val="00A25E9D"/>
    <w:rsid w:val="00A33E31"/>
    <w:rsid w:val="00A37D67"/>
    <w:rsid w:val="00A50838"/>
    <w:rsid w:val="00A53F5C"/>
    <w:rsid w:val="00A55E87"/>
    <w:rsid w:val="00A63687"/>
    <w:rsid w:val="00A65C94"/>
    <w:rsid w:val="00A66D86"/>
    <w:rsid w:val="00A711BC"/>
    <w:rsid w:val="00A805DF"/>
    <w:rsid w:val="00A82F3B"/>
    <w:rsid w:val="00A86727"/>
    <w:rsid w:val="00AA1F5B"/>
    <w:rsid w:val="00AA30FC"/>
    <w:rsid w:val="00AA4D3C"/>
    <w:rsid w:val="00AB7F4D"/>
    <w:rsid w:val="00AD09F8"/>
    <w:rsid w:val="00AE212D"/>
    <w:rsid w:val="00AE69B8"/>
    <w:rsid w:val="00AF0AA9"/>
    <w:rsid w:val="00AF1EBD"/>
    <w:rsid w:val="00AF343A"/>
    <w:rsid w:val="00B01341"/>
    <w:rsid w:val="00B03FF6"/>
    <w:rsid w:val="00B25F8A"/>
    <w:rsid w:val="00B72EB2"/>
    <w:rsid w:val="00B87A65"/>
    <w:rsid w:val="00BC37C6"/>
    <w:rsid w:val="00BC3A7F"/>
    <w:rsid w:val="00BD0A9F"/>
    <w:rsid w:val="00BD38D9"/>
    <w:rsid w:val="00BD48E7"/>
    <w:rsid w:val="00BD6730"/>
    <w:rsid w:val="00BE5B98"/>
    <w:rsid w:val="00BE795D"/>
    <w:rsid w:val="00BF229B"/>
    <w:rsid w:val="00BF35FA"/>
    <w:rsid w:val="00BF39A6"/>
    <w:rsid w:val="00C04A77"/>
    <w:rsid w:val="00C1671C"/>
    <w:rsid w:val="00C16A20"/>
    <w:rsid w:val="00C315BF"/>
    <w:rsid w:val="00C4194B"/>
    <w:rsid w:val="00C42E71"/>
    <w:rsid w:val="00C5691C"/>
    <w:rsid w:val="00C56F6F"/>
    <w:rsid w:val="00C57743"/>
    <w:rsid w:val="00C62A3F"/>
    <w:rsid w:val="00C63FD9"/>
    <w:rsid w:val="00C71192"/>
    <w:rsid w:val="00C80E25"/>
    <w:rsid w:val="00C86973"/>
    <w:rsid w:val="00C87E69"/>
    <w:rsid w:val="00C90344"/>
    <w:rsid w:val="00C9662C"/>
    <w:rsid w:val="00C97048"/>
    <w:rsid w:val="00CA03C5"/>
    <w:rsid w:val="00CC3B21"/>
    <w:rsid w:val="00CD1E39"/>
    <w:rsid w:val="00CD64B4"/>
    <w:rsid w:val="00CE03AE"/>
    <w:rsid w:val="00CE79FB"/>
    <w:rsid w:val="00CE7ACC"/>
    <w:rsid w:val="00CF40D6"/>
    <w:rsid w:val="00D16DA0"/>
    <w:rsid w:val="00D277BF"/>
    <w:rsid w:val="00D30182"/>
    <w:rsid w:val="00D31467"/>
    <w:rsid w:val="00D45646"/>
    <w:rsid w:val="00D54103"/>
    <w:rsid w:val="00D62BA1"/>
    <w:rsid w:val="00D6308A"/>
    <w:rsid w:val="00D751DA"/>
    <w:rsid w:val="00D81273"/>
    <w:rsid w:val="00D85DEA"/>
    <w:rsid w:val="00DA1F13"/>
    <w:rsid w:val="00DB7B93"/>
    <w:rsid w:val="00DC3066"/>
    <w:rsid w:val="00DC5C1B"/>
    <w:rsid w:val="00DC7797"/>
    <w:rsid w:val="00DD353C"/>
    <w:rsid w:val="00DE109E"/>
    <w:rsid w:val="00DE2464"/>
    <w:rsid w:val="00E14DB7"/>
    <w:rsid w:val="00E17814"/>
    <w:rsid w:val="00E219E9"/>
    <w:rsid w:val="00E30557"/>
    <w:rsid w:val="00E36487"/>
    <w:rsid w:val="00E41361"/>
    <w:rsid w:val="00E42355"/>
    <w:rsid w:val="00E55ED7"/>
    <w:rsid w:val="00E61A71"/>
    <w:rsid w:val="00E70487"/>
    <w:rsid w:val="00E70C52"/>
    <w:rsid w:val="00E74321"/>
    <w:rsid w:val="00E90728"/>
    <w:rsid w:val="00E92616"/>
    <w:rsid w:val="00E92D07"/>
    <w:rsid w:val="00EA0908"/>
    <w:rsid w:val="00EA426E"/>
    <w:rsid w:val="00EA5BAD"/>
    <w:rsid w:val="00EB5C5B"/>
    <w:rsid w:val="00EC2196"/>
    <w:rsid w:val="00EC2CB1"/>
    <w:rsid w:val="00EC3F10"/>
    <w:rsid w:val="00ED2821"/>
    <w:rsid w:val="00F12707"/>
    <w:rsid w:val="00F14697"/>
    <w:rsid w:val="00F22BFF"/>
    <w:rsid w:val="00F269BF"/>
    <w:rsid w:val="00F27767"/>
    <w:rsid w:val="00F45659"/>
    <w:rsid w:val="00F45987"/>
    <w:rsid w:val="00F5549F"/>
    <w:rsid w:val="00F71CD9"/>
    <w:rsid w:val="00F81110"/>
    <w:rsid w:val="00F835F2"/>
    <w:rsid w:val="00FA69FE"/>
    <w:rsid w:val="00FC57A4"/>
    <w:rsid w:val="00FC5915"/>
    <w:rsid w:val="00FC61D7"/>
    <w:rsid w:val="00FC78AD"/>
    <w:rsid w:val="00FD0F2E"/>
    <w:rsid w:val="00FD3014"/>
    <w:rsid w:val="00FE30C1"/>
    <w:rsid w:val="00FF14ED"/>
    <w:rsid w:val="00FF1FCE"/>
    <w:rsid w:val="00FF3D47"/>
    <w:rsid w:val="00FF5ADD"/>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D8B22"/>
  <w15:chartTrackingRefBased/>
  <w15:docId w15:val="{FBD51542-62D0-4744-A70C-DD9FE6E1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A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7125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6F55AF"/>
  </w:style>
  <w:style w:type="character" w:customStyle="1" w:styleId="FootnoteTextChar">
    <w:name w:val="Footnote Text Char"/>
    <w:aliases w:val="5_G Char"/>
    <w:basedOn w:val="DefaultParagraphFont"/>
    <w:link w:val="FootnoteText"/>
    <w:uiPriority w:val="99"/>
    <w:rsid w:val="006F55AF"/>
    <w:rPr>
      <w:rFonts w:ascii="Times New Roman" w:eastAsia="Times New Roman" w:hAnsi="Times New Roman" w:cs="Times New Roman"/>
      <w:sz w:val="20"/>
      <w:szCs w:val="20"/>
      <w:lang w:val="en-GB"/>
    </w:rPr>
  </w:style>
  <w:style w:type="character" w:styleId="FootnoteReference">
    <w:name w:val="footnote reference"/>
    <w:aliases w:val="4_G"/>
    <w:basedOn w:val="DefaultParagraphFont"/>
    <w:uiPriority w:val="99"/>
    <w:unhideWhenUsed/>
    <w:qFormat/>
    <w:rsid w:val="006F55AF"/>
    <w:rPr>
      <w:vertAlign w:val="superscript"/>
    </w:rPr>
  </w:style>
  <w:style w:type="character" w:styleId="CommentReference">
    <w:name w:val="annotation reference"/>
    <w:basedOn w:val="DefaultParagraphFont"/>
    <w:uiPriority w:val="99"/>
    <w:semiHidden/>
    <w:unhideWhenUsed/>
    <w:rsid w:val="006F55AF"/>
    <w:rPr>
      <w:sz w:val="16"/>
      <w:szCs w:val="16"/>
    </w:rPr>
  </w:style>
  <w:style w:type="paragraph" w:styleId="CommentText">
    <w:name w:val="annotation text"/>
    <w:basedOn w:val="Normal"/>
    <w:link w:val="CommentTextChar"/>
    <w:uiPriority w:val="99"/>
    <w:unhideWhenUsed/>
    <w:rsid w:val="006F55AF"/>
    <w:rPr>
      <w:rFonts w:ascii="Arial" w:eastAsia="Arial" w:hAnsi="Arial" w:cs="Arial"/>
      <w:lang w:val="en"/>
    </w:rPr>
  </w:style>
  <w:style w:type="character" w:customStyle="1" w:styleId="CommentTextChar">
    <w:name w:val="Comment Text Char"/>
    <w:basedOn w:val="DefaultParagraphFont"/>
    <w:link w:val="CommentText"/>
    <w:uiPriority w:val="99"/>
    <w:rsid w:val="006F55AF"/>
    <w:rPr>
      <w:rFonts w:ascii="Arial" w:eastAsia="Arial" w:hAnsi="Arial" w:cs="Arial"/>
      <w:sz w:val="20"/>
      <w:szCs w:val="20"/>
      <w:lang w:val="en"/>
    </w:rPr>
  </w:style>
  <w:style w:type="character" w:styleId="Hyperlink">
    <w:name w:val="Hyperlink"/>
    <w:basedOn w:val="DefaultParagraphFont"/>
    <w:uiPriority w:val="99"/>
    <w:unhideWhenUsed/>
    <w:rsid w:val="006F55AF"/>
    <w:rPr>
      <w:color w:val="0563C1" w:themeColor="hyperlink"/>
      <w:u w:val="single"/>
    </w:rPr>
  </w:style>
  <w:style w:type="paragraph" w:styleId="Header">
    <w:name w:val="header"/>
    <w:basedOn w:val="Normal"/>
    <w:link w:val="HeaderChar"/>
    <w:uiPriority w:val="99"/>
    <w:unhideWhenUsed/>
    <w:rsid w:val="006F55AF"/>
    <w:pPr>
      <w:tabs>
        <w:tab w:val="center" w:pos="4680"/>
        <w:tab w:val="right" w:pos="9360"/>
      </w:tabs>
    </w:pPr>
  </w:style>
  <w:style w:type="character" w:customStyle="1" w:styleId="HeaderChar">
    <w:name w:val="Header Char"/>
    <w:basedOn w:val="DefaultParagraphFont"/>
    <w:link w:val="Header"/>
    <w:uiPriority w:val="99"/>
    <w:rsid w:val="006F55A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F55AF"/>
    <w:pPr>
      <w:tabs>
        <w:tab w:val="center" w:pos="4680"/>
        <w:tab w:val="right" w:pos="9360"/>
      </w:tabs>
    </w:pPr>
  </w:style>
  <w:style w:type="character" w:customStyle="1" w:styleId="FooterChar">
    <w:name w:val="Footer Char"/>
    <w:basedOn w:val="DefaultParagraphFont"/>
    <w:link w:val="Footer"/>
    <w:uiPriority w:val="99"/>
    <w:rsid w:val="006F55AF"/>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6F55AF"/>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uiPriority w:val="99"/>
    <w:semiHidden/>
    <w:unhideWhenUsed/>
    <w:rsid w:val="0036347C"/>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36347C"/>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AB7F4D"/>
    <w:rPr>
      <w:color w:val="954F72" w:themeColor="followedHyperlink"/>
      <w:u w:val="single"/>
    </w:rPr>
  </w:style>
  <w:style w:type="paragraph" w:styleId="Revision">
    <w:name w:val="Revision"/>
    <w:hidden/>
    <w:uiPriority w:val="99"/>
    <w:semiHidden/>
    <w:rsid w:val="006F4C3F"/>
    <w:pPr>
      <w:spacing w:after="0" w:line="240" w:lineRule="auto"/>
    </w:pPr>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9D7A7A"/>
    <w:rPr>
      <w:color w:val="605E5C"/>
      <w:shd w:val="clear" w:color="auto" w:fill="E1DFDD"/>
    </w:rPr>
  </w:style>
  <w:style w:type="character" w:customStyle="1" w:styleId="Heading1Char">
    <w:name w:val="Heading 1 Char"/>
    <w:basedOn w:val="DefaultParagraphFont"/>
    <w:link w:val="Heading1"/>
    <w:uiPriority w:val="9"/>
    <w:rsid w:val="007125E8"/>
    <w:rPr>
      <w:rFonts w:asciiTheme="majorHAnsi" w:eastAsiaTheme="majorEastAsia" w:hAnsiTheme="majorHAnsi" w:cstheme="majorBidi"/>
      <w:color w:val="2F5496" w:themeColor="accent1" w:themeShade="BF"/>
      <w:sz w:val="32"/>
      <w:szCs w:val="32"/>
      <w:lang w:val="en-GB"/>
    </w:rPr>
  </w:style>
  <w:style w:type="paragraph" w:styleId="EndnoteText">
    <w:name w:val="endnote text"/>
    <w:basedOn w:val="Normal"/>
    <w:link w:val="EndnoteTextChar"/>
    <w:uiPriority w:val="99"/>
    <w:unhideWhenUsed/>
    <w:rsid w:val="0015612E"/>
  </w:style>
  <w:style w:type="character" w:customStyle="1" w:styleId="EndnoteTextChar">
    <w:name w:val="Endnote Text Char"/>
    <w:basedOn w:val="DefaultParagraphFont"/>
    <w:link w:val="EndnoteText"/>
    <w:uiPriority w:val="99"/>
    <w:rsid w:val="0015612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5612E"/>
    <w:rPr>
      <w:vertAlign w:val="superscript"/>
    </w:rPr>
  </w:style>
  <w:style w:type="paragraph" w:styleId="ListParagraph">
    <w:name w:val="List Paragraph"/>
    <w:basedOn w:val="Normal"/>
    <w:uiPriority w:val="34"/>
    <w:qFormat/>
    <w:rsid w:val="008D3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7928">
      <w:bodyDiv w:val="1"/>
      <w:marLeft w:val="0"/>
      <w:marRight w:val="0"/>
      <w:marTop w:val="0"/>
      <w:marBottom w:val="0"/>
      <w:divBdr>
        <w:top w:val="none" w:sz="0" w:space="0" w:color="auto"/>
        <w:left w:val="none" w:sz="0" w:space="0" w:color="auto"/>
        <w:bottom w:val="none" w:sz="0" w:space="0" w:color="auto"/>
        <w:right w:val="none" w:sz="0" w:space="0" w:color="auto"/>
      </w:divBdr>
    </w:div>
    <w:div w:id="920871374">
      <w:bodyDiv w:val="1"/>
      <w:marLeft w:val="0"/>
      <w:marRight w:val="0"/>
      <w:marTop w:val="0"/>
      <w:marBottom w:val="0"/>
      <w:divBdr>
        <w:top w:val="none" w:sz="0" w:space="0" w:color="auto"/>
        <w:left w:val="none" w:sz="0" w:space="0" w:color="auto"/>
        <w:bottom w:val="none" w:sz="0" w:space="0" w:color="auto"/>
        <w:right w:val="none" w:sz="0" w:space="0" w:color="auto"/>
      </w:divBdr>
    </w:div>
    <w:div w:id="1317228223">
      <w:bodyDiv w:val="1"/>
      <w:marLeft w:val="0"/>
      <w:marRight w:val="0"/>
      <w:marTop w:val="0"/>
      <w:marBottom w:val="0"/>
      <w:divBdr>
        <w:top w:val="none" w:sz="0" w:space="0" w:color="auto"/>
        <w:left w:val="none" w:sz="0" w:space="0" w:color="auto"/>
        <w:bottom w:val="none" w:sz="0" w:space="0" w:color="auto"/>
        <w:right w:val="none" w:sz="0" w:space="0" w:color="auto"/>
      </w:divBdr>
    </w:div>
    <w:div w:id="17211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CD44FF1-EFB0-478A-A52E-9D6C187FABC4}">
  <ds:schemaRefs>
    <ds:schemaRef ds:uri="http://schemas.openxmlformats.org/officeDocument/2006/bibliography"/>
  </ds:schemaRefs>
</ds:datastoreItem>
</file>

<file path=customXml/itemProps2.xml><?xml version="1.0" encoding="utf-8"?>
<ds:datastoreItem xmlns:ds="http://schemas.openxmlformats.org/officeDocument/2006/customXml" ds:itemID="{BE5EC682-09CB-4A68-BA0A-25265C79A7F6}"/>
</file>

<file path=customXml/itemProps3.xml><?xml version="1.0" encoding="utf-8"?>
<ds:datastoreItem xmlns:ds="http://schemas.openxmlformats.org/officeDocument/2006/customXml" ds:itemID="{44D032A3-5B02-4171-A2E1-4BA3AE94BFDC}"/>
</file>

<file path=customXml/itemProps4.xml><?xml version="1.0" encoding="utf-8"?>
<ds:datastoreItem xmlns:ds="http://schemas.openxmlformats.org/officeDocument/2006/customXml" ds:itemID="{C0B361FE-2862-4613-B1AD-EB0CF54D9CDE}"/>
</file>

<file path=docProps/app.xml><?xml version="1.0" encoding="utf-8"?>
<Properties xmlns="http://schemas.openxmlformats.org/officeDocument/2006/extended-properties" xmlns:vt="http://schemas.openxmlformats.org/officeDocument/2006/docPropsVTypes">
  <Template>Normal.dotm</Template>
  <TotalTime>545</TotalTime>
  <Pages>8</Pages>
  <Words>2986</Words>
  <Characters>16396</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Arimond</dc:creator>
  <cp:keywords/>
  <dc:description/>
  <cp:lastModifiedBy>Bridget Arimond</cp:lastModifiedBy>
  <cp:revision>4</cp:revision>
  <cp:lastPrinted>2022-04-25T11:23:00Z</cp:lastPrinted>
  <dcterms:created xsi:type="dcterms:W3CDTF">2022-04-25T02:01:00Z</dcterms:created>
  <dcterms:modified xsi:type="dcterms:W3CDTF">2022-04-25T11:28:00Z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