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6040" w14:textId="77777777" w:rsidR="00006E43" w:rsidRPr="006A574A" w:rsidRDefault="00006E43" w:rsidP="006A574A">
      <w:pPr>
        <w:spacing w:line="360" w:lineRule="auto"/>
        <w:rPr>
          <w:rFonts w:cstheme="minorHAnsi"/>
          <w:b/>
          <w:lang w:val="es"/>
        </w:rPr>
      </w:pPr>
    </w:p>
    <w:p w14:paraId="5EAE4533" w14:textId="5AB4FA8C" w:rsidR="00006E43" w:rsidRPr="006A574A" w:rsidRDefault="00006E43" w:rsidP="00A77F98">
      <w:pPr>
        <w:pStyle w:val="FootnoteText"/>
        <w:jc w:val="center"/>
        <w:rPr>
          <w:rFonts w:asciiTheme="minorHAnsi" w:hAnsiTheme="minorHAnsi" w:cstheme="minorHAnsi"/>
          <w:b/>
          <w:sz w:val="24"/>
          <w:szCs w:val="24"/>
          <w:lang w:val="pt-BR"/>
        </w:rPr>
      </w:pPr>
      <w:r w:rsidRPr="006A574A">
        <w:rPr>
          <w:rFonts w:asciiTheme="minorHAnsi" w:hAnsiTheme="minorHAnsi" w:cstheme="minorHAnsi"/>
          <w:b/>
          <w:sz w:val="24"/>
          <w:szCs w:val="24"/>
          <w:lang w:val="pt-BR"/>
        </w:rPr>
        <w:t xml:space="preserve">Contribution </w:t>
      </w:r>
      <w:r w:rsidR="00CA790A" w:rsidRPr="006A574A">
        <w:rPr>
          <w:rFonts w:asciiTheme="minorHAnsi" w:hAnsiTheme="minorHAnsi" w:cstheme="minorHAnsi"/>
          <w:b/>
          <w:sz w:val="24"/>
          <w:szCs w:val="24"/>
          <w:lang w:val="pt-BR"/>
        </w:rPr>
        <w:t xml:space="preserve">submitted </w:t>
      </w:r>
      <w:r w:rsidR="0080551E">
        <w:rPr>
          <w:rFonts w:asciiTheme="minorHAnsi" w:hAnsiTheme="minorHAnsi" w:cstheme="minorHAnsi"/>
          <w:b/>
          <w:sz w:val="24"/>
          <w:szCs w:val="24"/>
          <w:lang w:val="pt-BR"/>
        </w:rPr>
        <w:t>with the support of</w:t>
      </w:r>
      <w:r w:rsidR="00CA790A" w:rsidRPr="006A574A">
        <w:rPr>
          <w:rFonts w:asciiTheme="minorHAnsi" w:hAnsiTheme="minorHAnsi" w:cstheme="minorHAnsi"/>
          <w:b/>
          <w:sz w:val="24"/>
          <w:szCs w:val="24"/>
          <w:lang w:val="pt-BR"/>
        </w:rPr>
        <w:t xml:space="preserve"> Franciscans International with information provided by t</w:t>
      </w:r>
      <w:r w:rsidR="00CA790A" w:rsidRPr="006A574A">
        <w:rPr>
          <w:rFonts w:asciiTheme="minorHAnsi" w:eastAsia="Times New Roman" w:hAnsiTheme="minorHAnsi" w:cstheme="minorHAnsi"/>
          <w:b/>
          <w:color w:val="1D2228"/>
          <w:sz w:val="24"/>
          <w:szCs w:val="24"/>
          <w:lang w:val="pt-BR" w:eastAsia="x-none" w:bidi="x-none"/>
        </w:rPr>
        <w:t>he Comissão Especial de Ecologia Integral e Mineração (CEEM) of the National Brazilian Bishops Conference (CNBB); Central Única dos Trabalhadores – CUT</w:t>
      </w:r>
      <w:r w:rsidR="00246D77" w:rsidRPr="006A574A">
        <w:rPr>
          <w:rFonts w:asciiTheme="minorHAnsi" w:eastAsia="Times New Roman" w:hAnsiTheme="minorHAnsi" w:cstheme="minorHAnsi"/>
          <w:b/>
          <w:color w:val="1D2228"/>
          <w:sz w:val="24"/>
          <w:szCs w:val="24"/>
          <w:lang w:val="pt-BR" w:eastAsia="x-none" w:bidi="x-none"/>
        </w:rPr>
        <w:t>;</w:t>
      </w:r>
      <w:r w:rsidR="00CA790A" w:rsidRPr="006A574A">
        <w:rPr>
          <w:rFonts w:asciiTheme="minorHAnsi" w:eastAsia="Times New Roman" w:hAnsiTheme="minorHAnsi" w:cstheme="minorHAnsi"/>
          <w:b/>
          <w:color w:val="1D2228"/>
          <w:sz w:val="24"/>
          <w:szCs w:val="24"/>
          <w:lang w:val="pt-BR" w:eastAsia="x-none" w:bidi="x-none"/>
        </w:rPr>
        <w:t xml:space="preserve"> Comitê Nacional em Defesa dos Territórios Frente à Mineração (National Committee for the Defense of Territories Against Mining) – CNDTM; O Grupo Política, Economia, Mineração, Ambiente e Sociedade (PoEMAS); Movimento pela Soberania Popular na Mineração (MAM)</w:t>
      </w:r>
      <w:r w:rsidR="00246D77" w:rsidRPr="006A574A">
        <w:rPr>
          <w:rFonts w:asciiTheme="minorHAnsi" w:eastAsia="Times New Roman" w:hAnsiTheme="minorHAnsi" w:cstheme="minorHAnsi"/>
          <w:b/>
          <w:color w:val="1D2228"/>
          <w:sz w:val="24"/>
          <w:szCs w:val="24"/>
          <w:lang w:val="pt-BR" w:eastAsia="x-none" w:bidi="x-none"/>
        </w:rPr>
        <w:t>;</w:t>
      </w:r>
      <w:r w:rsidR="00CA790A" w:rsidRPr="006A574A">
        <w:rPr>
          <w:rFonts w:asciiTheme="minorHAnsi" w:eastAsia="Times New Roman" w:hAnsiTheme="minorHAnsi" w:cstheme="minorHAnsi"/>
          <w:b/>
          <w:color w:val="1D2228"/>
          <w:sz w:val="24"/>
          <w:szCs w:val="24"/>
          <w:lang w:val="pt-BR" w:eastAsia="x-none" w:bidi="x-none"/>
        </w:rPr>
        <w:t xml:space="preserve"> Nova Central Sindical de Trabalhadores</w:t>
      </w:r>
      <w:r w:rsidR="00246D77" w:rsidRPr="006A574A">
        <w:rPr>
          <w:rFonts w:asciiTheme="minorHAnsi" w:eastAsia="Times New Roman" w:hAnsiTheme="minorHAnsi" w:cstheme="minorHAnsi"/>
          <w:b/>
          <w:color w:val="1D2228"/>
          <w:sz w:val="24"/>
          <w:szCs w:val="24"/>
          <w:lang w:val="pt-BR" w:eastAsia="x-none" w:bidi="x-none"/>
        </w:rPr>
        <w:t>;</w:t>
      </w:r>
      <w:r w:rsidR="00CA790A" w:rsidRPr="006A574A">
        <w:rPr>
          <w:rFonts w:asciiTheme="minorHAnsi" w:eastAsia="Times New Roman" w:hAnsiTheme="minorHAnsi" w:cstheme="minorHAnsi"/>
          <w:b/>
          <w:color w:val="1D2228"/>
          <w:sz w:val="24"/>
          <w:szCs w:val="24"/>
          <w:lang w:val="pt-BR" w:eastAsia="x-none" w:bidi="x-none"/>
        </w:rPr>
        <w:t xml:space="preserve"> Rede Igrejas e Mineração</w:t>
      </w:r>
      <w:r w:rsidR="00246D77" w:rsidRPr="006A574A">
        <w:rPr>
          <w:rFonts w:asciiTheme="minorHAnsi" w:eastAsia="Times New Roman" w:hAnsiTheme="minorHAnsi" w:cstheme="minorHAnsi"/>
          <w:b/>
          <w:color w:val="1D2228"/>
          <w:sz w:val="24"/>
          <w:szCs w:val="24"/>
          <w:lang w:val="pt-BR" w:eastAsia="x-none" w:bidi="x-none"/>
        </w:rPr>
        <w:t>;</w:t>
      </w:r>
      <w:r w:rsidR="00CA790A" w:rsidRPr="006A574A">
        <w:rPr>
          <w:rFonts w:asciiTheme="minorHAnsi" w:eastAsia="Times New Roman" w:hAnsiTheme="minorHAnsi" w:cstheme="minorHAnsi"/>
          <w:b/>
          <w:color w:val="1D2228"/>
          <w:sz w:val="24"/>
          <w:szCs w:val="24"/>
          <w:lang w:val="pt-BR" w:eastAsia="x-none" w:bidi="x-none"/>
        </w:rPr>
        <w:t xml:space="preserve"> Serviço Interfranciscano de Justiça, Paz e Ecologia (SINFRAJUPE)</w:t>
      </w:r>
    </w:p>
    <w:p w14:paraId="5EA1ABFD" w14:textId="77777777" w:rsidR="00006E43" w:rsidRPr="006A574A" w:rsidRDefault="00006E43" w:rsidP="006A574A">
      <w:pPr>
        <w:spacing w:line="360" w:lineRule="auto"/>
        <w:rPr>
          <w:rFonts w:cstheme="minorHAnsi"/>
          <w:b/>
          <w:lang w:val="pt-BR"/>
        </w:rPr>
      </w:pPr>
    </w:p>
    <w:p w14:paraId="13855393" w14:textId="77777777" w:rsidR="00661447" w:rsidRPr="006A574A" w:rsidRDefault="00661447" w:rsidP="006A574A">
      <w:pPr>
        <w:spacing w:line="360" w:lineRule="auto"/>
        <w:rPr>
          <w:rFonts w:cstheme="minorHAnsi"/>
          <w:b/>
          <w:lang w:val="pt-BR"/>
        </w:rPr>
      </w:pPr>
    </w:p>
    <w:p w14:paraId="60620D8C" w14:textId="77777777" w:rsidR="00661447" w:rsidRDefault="00661447" w:rsidP="006A574A">
      <w:pPr>
        <w:spacing w:line="360" w:lineRule="auto"/>
        <w:rPr>
          <w:rFonts w:cstheme="minorHAnsi"/>
          <w:b/>
          <w:lang w:val="pt-BR"/>
        </w:rPr>
      </w:pPr>
    </w:p>
    <w:p w14:paraId="56A6344B" w14:textId="77777777" w:rsidR="00BF30BC" w:rsidRPr="006A574A" w:rsidRDefault="00BF30BC" w:rsidP="006A574A">
      <w:pPr>
        <w:spacing w:line="360" w:lineRule="auto"/>
        <w:rPr>
          <w:rFonts w:cstheme="minorHAnsi"/>
          <w:b/>
          <w:lang w:val="pt-BR"/>
        </w:rPr>
      </w:pPr>
    </w:p>
    <w:p w14:paraId="00AD8137" w14:textId="77777777" w:rsidR="00661447" w:rsidRPr="006A574A" w:rsidRDefault="00661447" w:rsidP="006A574A">
      <w:pPr>
        <w:spacing w:line="360" w:lineRule="auto"/>
        <w:rPr>
          <w:rFonts w:cstheme="minorHAnsi"/>
          <w:b/>
          <w:lang w:val="pt-BR"/>
        </w:rPr>
      </w:pPr>
    </w:p>
    <w:p w14:paraId="7C8054A6" w14:textId="6BDB0CBA" w:rsidR="00006E43" w:rsidRPr="006A574A" w:rsidRDefault="00006E43" w:rsidP="006A574A">
      <w:pPr>
        <w:spacing w:line="360" w:lineRule="auto"/>
        <w:jc w:val="center"/>
        <w:rPr>
          <w:rFonts w:eastAsia="SimSun" w:cstheme="minorHAnsi"/>
          <w:b/>
          <w:color w:val="000000"/>
          <w:lang w:eastAsia="en-GB"/>
        </w:rPr>
      </w:pPr>
      <w:r w:rsidRPr="00D825A2">
        <w:rPr>
          <w:rFonts w:cstheme="minorHAnsi"/>
          <w:bCs/>
        </w:rPr>
        <w:t xml:space="preserve">in </w:t>
      </w:r>
      <w:r w:rsidR="00A77F98" w:rsidRPr="00D825A2">
        <w:rPr>
          <w:rFonts w:cstheme="minorHAnsi"/>
          <w:bCs/>
        </w:rPr>
        <w:t>response</w:t>
      </w:r>
      <w:r w:rsidRPr="00D825A2">
        <w:rPr>
          <w:rFonts w:cstheme="minorHAnsi"/>
          <w:bCs/>
        </w:rPr>
        <w:t xml:space="preserve"> to the call for inputs </w:t>
      </w:r>
      <w:r w:rsidR="00A77F98" w:rsidRPr="00D825A2">
        <w:rPr>
          <w:rFonts w:cstheme="minorHAnsi"/>
          <w:bCs/>
        </w:rPr>
        <w:t xml:space="preserve">for the report </w:t>
      </w:r>
      <w:r w:rsidRPr="00D825A2">
        <w:rPr>
          <w:rFonts w:cstheme="minorHAnsi"/>
          <w:bCs/>
        </w:rPr>
        <w:t>on</w:t>
      </w:r>
      <w:r w:rsidRPr="006A574A">
        <w:rPr>
          <w:rFonts w:cstheme="minorHAnsi"/>
          <w:b/>
        </w:rPr>
        <w:t xml:space="preserve"> </w:t>
      </w:r>
      <w:r w:rsidRPr="006A574A">
        <w:rPr>
          <w:rFonts w:eastAsia="SimSun" w:cstheme="minorHAnsi"/>
          <w:b/>
          <w:color w:val="000000"/>
          <w:lang w:eastAsia="en-GB"/>
        </w:rPr>
        <w:t>“T</w:t>
      </w:r>
      <w:r w:rsidRPr="006A574A">
        <w:rPr>
          <w:rFonts w:cstheme="minorHAnsi"/>
          <w:b/>
          <w:color w:val="1D2228"/>
          <w:kern w:val="1"/>
          <w:lang w:eastAsia="x-none" w:bidi="x-none"/>
        </w:rPr>
        <w:t>he impact of toxics on Indigenous peoples”</w:t>
      </w:r>
      <w:r w:rsidR="00661447" w:rsidRPr="006A574A">
        <w:rPr>
          <w:rFonts w:cstheme="minorHAnsi"/>
          <w:b/>
          <w:color w:val="1D2228"/>
          <w:kern w:val="1"/>
          <w:lang w:eastAsia="x-none" w:bidi="x-none"/>
        </w:rPr>
        <w:t xml:space="preserve"> </w:t>
      </w:r>
      <w:r w:rsidR="00661447" w:rsidRPr="00D825A2">
        <w:rPr>
          <w:rFonts w:cstheme="minorHAnsi"/>
          <w:bCs/>
          <w:color w:val="1D2228"/>
          <w:kern w:val="1"/>
          <w:lang w:eastAsia="x-none" w:bidi="x-none"/>
        </w:rPr>
        <w:t>by the Special Rapporteur on the implications for human rights of the environmentally sound management and disposal of hazardous substances and wastes</w:t>
      </w:r>
    </w:p>
    <w:p w14:paraId="31AD6B45" w14:textId="33B80361" w:rsidR="00006E43" w:rsidRPr="006A574A" w:rsidRDefault="00006E43" w:rsidP="006A574A">
      <w:pPr>
        <w:spacing w:line="360" w:lineRule="auto"/>
        <w:rPr>
          <w:rFonts w:cstheme="minorHAnsi"/>
          <w:b/>
        </w:rPr>
      </w:pPr>
    </w:p>
    <w:p w14:paraId="64F8F72D" w14:textId="77777777" w:rsidR="00006E43" w:rsidRPr="006A574A" w:rsidRDefault="00006E43" w:rsidP="006A574A">
      <w:pPr>
        <w:spacing w:line="360" w:lineRule="auto"/>
        <w:rPr>
          <w:rFonts w:cstheme="minorHAnsi"/>
          <w:b/>
        </w:rPr>
      </w:pPr>
    </w:p>
    <w:p w14:paraId="2C0A749C" w14:textId="77777777" w:rsidR="00661447" w:rsidRPr="006A574A" w:rsidRDefault="00661447" w:rsidP="006A574A">
      <w:pPr>
        <w:spacing w:line="360" w:lineRule="auto"/>
        <w:rPr>
          <w:rFonts w:cstheme="minorHAnsi"/>
          <w:b/>
        </w:rPr>
      </w:pPr>
    </w:p>
    <w:p w14:paraId="2F23603F" w14:textId="77777777" w:rsidR="00661447" w:rsidRDefault="00661447" w:rsidP="006A574A">
      <w:pPr>
        <w:spacing w:line="360" w:lineRule="auto"/>
        <w:rPr>
          <w:rFonts w:cstheme="minorHAnsi"/>
          <w:b/>
        </w:rPr>
      </w:pPr>
    </w:p>
    <w:p w14:paraId="1330BDB9" w14:textId="77777777" w:rsidR="00BF30BC" w:rsidRPr="006A574A" w:rsidRDefault="00BF30BC" w:rsidP="006A574A">
      <w:pPr>
        <w:spacing w:line="360" w:lineRule="auto"/>
        <w:rPr>
          <w:rFonts w:cstheme="minorHAnsi"/>
          <w:b/>
        </w:rPr>
      </w:pPr>
    </w:p>
    <w:p w14:paraId="6AA14B13" w14:textId="77777777" w:rsidR="00661447" w:rsidRPr="006A574A" w:rsidRDefault="00661447" w:rsidP="006A574A">
      <w:pPr>
        <w:spacing w:line="360" w:lineRule="auto"/>
        <w:rPr>
          <w:rFonts w:cstheme="minorHAnsi"/>
          <w:b/>
        </w:rPr>
      </w:pPr>
    </w:p>
    <w:p w14:paraId="3E2F73A2" w14:textId="77777777" w:rsidR="00006E43" w:rsidRPr="00D825A2" w:rsidRDefault="00006E43" w:rsidP="006A574A">
      <w:pPr>
        <w:spacing w:line="360" w:lineRule="auto"/>
        <w:rPr>
          <w:rFonts w:cstheme="minorHAnsi"/>
          <w:bCs/>
        </w:rPr>
      </w:pPr>
    </w:p>
    <w:p w14:paraId="3D73D21D" w14:textId="77777777" w:rsidR="00006E43" w:rsidRPr="00D825A2" w:rsidRDefault="00006E43" w:rsidP="006A574A">
      <w:pPr>
        <w:spacing w:line="360" w:lineRule="auto"/>
        <w:jc w:val="center"/>
        <w:rPr>
          <w:rFonts w:cstheme="minorHAnsi"/>
          <w:bCs/>
        </w:rPr>
      </w:pPr>
      <w:r w:rsidRPr="00D825A2">
        <w:rPr>
          <w:rFonts w:cstheme="minorHAnsi"/>
          <w:bCs/>
        </w:rPr>
        <w:t>Abril 2022</w:t>
      </w:r>
    </w:p>
    <w:p w14:paraId="1F506839" w14:textId="77777777" w:rsidR="00006E43" w:rsidRPr="00D825A2" w:rsidRDefault="00006E43" w:rsidP="006A574A">
      <w:pPr>
        <w:spacing w:line="360" w:lineRule="auto"/>
        <w:rPr>
          <w:rFonts w:cstheme="minorHAnsi"/>
          <w:bCs/>
        </w:rPr>
      </w:pPr>
      <w:r w:rsidRPr="00D825A2">
        <w:rPr>
          <w:rFonts w:cstheme="minorHAnsi"/>
          <w:bCs/>
        </w:rPr>
        <w:br w:type="page"/>
      </w:r>
    </w:p>
    <w:p w14:paraId="0C7C2153" w14:textId="6CDF1BD6" w:rsidR="00172D1F" w:rsidRDefault="007D0A90" w:rsidP="007D0A90">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T</w:t>
      </w:r>
      <w:r w:rsidR="0009230A">
        <w:rPr>
          <w:rStyle w:val="normaltextrun"/>
          <w:rFonts w:ascii="Calibri" w:hAnsi="Calibri" w:cs="Calibri"/>
          <w:color w:val="000000"/>
          <w:shd w:val="clear" w:color="auto" w:fill="FFFFFF"/>
        </w:rPr>
        <w:t>he following</w:t>
      </w:r>
      <w:r>
        <w:rPr>
          <w:rStyle w:val="normaltextrun"/>
          <w:rFonts w:ascii="Calibri" w:hAnsi="Calibri" w:cs="Calibri"/>
          <w:color w:val="000000"/>
          <w:shd w:val="clear" w:color="auto" w:fill="FFFFFF"/>
        </w:rPr>
        <w:t xml:space="preserve"> responses and</w:t>
      </w:r>
      <w:r w:rsidR="0009230A">
        <w:rPr>
          <w:rStyle w:val="normaltextrun"/>
          <w:rFonts w:ascii="Calibri" w:hAnsi="Calibri" w:cs="Calibri"/>
          <w:color w:val="000000"/>
          <w:shd w:val="clear" w:color="auto" w:fill="FFFFFF"/>
        </w:rPr>
        <w:t xml:space="preserve"> information </w:t>
      </w:r>
      <w:r w:rsidR="00E0226B">
        <w:rPr>
          <w:rStyle w:val="normaltextrun"/>
          <w:rFonts w:ascii="Calibri" w:hAnsi="Calibri" w:cs="Calibri"/>
          <w:color w:val="000000"/>
          <w:shd w:val="clear" w:color="auto" w:fill="FFFFFF"/>
        </w:rPr>
        <w:t>are</w:t>
      </w:r>
      <w:r>
        <w:rPr>
          <w:rStyle w:val="normaltextrun"/>
          <w:rFonts w:ascii="Calibri" w:hAnsi="Calibri" w:cs="Calibri"/>
          <w:color w:val="000000"/>
          <w:shd w:val="clear" w:color="auto" w:fill="FFFFFF"/>
        </w:rPr>
        <w:t xml:space="preserve"> related to </w:t>
      </w:r>
      <w:r w:rsidR="0009230A">
        <w:rPr>
          <w:rStyle w:val="normaltextrun"/>
          <w:rFonts w:ascii="Calibri" w:hAnsi="Calibri" w:cs="Calibri"/>
          <w:color w:val="000000"/>
          <w:shd w:val="clear" w:color="auto" w:fill="FFFFFF"/>
        </w:rPr>
        <w:t>the impacts</w:t>
      </w:r>
      <w:r>
        <w:rPr>
          <w:rStyle w:val="normaltextrun"/>
          <w:rFonts w:ascii="Calibri" w:hAnsi="Calibri" w:cs="Calibri"/>
          <w:color w:val="000000"/>
          <w:shd w:val="clear" w:color="auto" w:fill="FFFFFF"/>
        </w:rPr>
        <w:t xml:space="preserve"> of hazardous substances to indigenous peoples in Brazil </w:t>
      </w:r>
      <w:r w:rsidR="0009230A">
        <w:rPr>
          <w:rStyle w:val="normaltextrun"/>
          <w:rFonts w:ascii="Calibri" w:hAnsi="Calibri" w:cs="Calibri"/>
          <w:color w:val="000000"/>
          <w:shd w:val="clear" w:color="auto" w:fill="FFFFFF"/>
        </w:rPr>
        <w:t xml:space="preserve">caused by extractive industries, particularly mining activities. We hope that the systematization of the information will contribute to </w:t>
      </w:r>
      <w:r>
        <w:rPr>
          <w:rStyle w:val="normaltextrun"/>
          <w:rFonts w:ascii="Calibri" w:hAnsi="Calibri" w:cs="Calibri"/>
          <w:color w:val="000000"/>
          <w:shd w:val="clear" w:color="auto" w:fill="FFFFFF"/>
        </w:rPr>
        <w:t>the report by the Special Rapporteur.</w:t>
      </w:r>
      <w:r w:rsidR="0009230A">
        <w:rPr>
          <w:rStyle w:val="eop"/>
          <w:rFonts w:ascii="Calibri" w:hAnsi="Calibri" w:cs="Calibri"/>
          <w:color w:val="000000"/>
          <w:shd w:val="clear" w:color="auto" w:fill="FFFFFF"/>
        </w:rPr>
        <w:t> </w:t>
      </w:r>
    </w:p>
    <w:p w14:paraId="2B8A87E3" w14:textId="77777777" w:rsidR="007D0A90" w:rsidRPr="007D0A90" w:rsidRDefault="007D0A90" w:rsidP="007D0A90">
      <w:pPr>
        <w:jc w:val="both"/>
      </w:pPr>
    </w:p>
    <w:p w14:paraId="1C620301" w14:textId="4350C401" w:rsidR="00281F45" w:rsidRPr="006A574A" w:rsidRDefault="00FA681F" w:rsidP="006A574A">
      <w:pPr>
        <w:pStyle w:val="BodyText"/>
        <w:tabs>
          <w:tab w:val="left" w:pos="284"/>
        </w:tabs>
        <w:spacing w:after="0" w:line="360" w:lineRule="auto"/>
        <w:jc w:val="both"/>
        <w:rPr>
          <w:rFonts w:asciiTheme="minorHAnsi" w:eastAsiaTheme="minorEastAsia" w:hAnsiTheme="minorHAnsi" w:cstheme="minorHAnsi"/>
          <w:b/>
          <w:bCs/>
          <w:color w:val="000000" w:themeColor="text1"/>
        </w:rPr>
      </w:pPr>
      <w:r w:rsidRPr="006A574A">
        <w:rPr>
          <w:rFonts w:asciiTheme="minorHAnsi" w:eastAsiaTheme="minorEastAsia" w:hAnsiTheme="minorHAnsi" w:cstheme="minorHAnsi"/>
          <w:b/>
          <w:bCs/>
          <w:color w:val="000000" w:themeColor="text1"/>
        </w:rPr>
        <w:t>Combined response to question</w:t>
      </w:r>
      <w:r w:rsidR="0027180D">
        <w:rPr>
          <w:rFonts w:asciiTheme="minorHAnsi" w:eastAsiaTheme="minorEastAsia" w:hAnsiTheme="minorHAnsi" w:cstheme="minorHAnsi"/>
          <w:b/>
          <w:bCs/>
          <w:color w:val="000000" w:themeColor="text1"/>
        </w:rPr>
        <w:t>s</w:t>
      </w:r>
      <w:r w:rsidRPr="006A574A">
        <w:rPr>
          <w:rFonts w:asciiTheme="minorHAnsi" w:eastAsiaTheme="minorEastAsia" w:hAnsiTheme="minorHAnsi" w:cstheme="minorHAnsi"/>
          <w:b/>
          <w:bCs/>
          <w:color w:val="000000" w:themeColor="text1"/>
        </w:rPr>
        <w:t xml:space="preserve"> 1 and 2</w:t>
      </w:r>
      <w:r w:rsidR="00830C4E" w:rsidRPr="006A574A">
        <w:rPr>
          <w:rFonts w:asciiTheme="minorHAnsi" w:eastAsiaTheme="minorEastAsia" w:hAnsiTheme="minorHAnsi" w:cstheme="minorHAnsi"/>
          <w:b/>
          <w:bCs/>
          <w:color w:val="000000" w:themeColor="text1"/>
        </w:rPr>
        <w:t xml:space="preserve"> on impacts and effects of hazardous </w:t>
      </w:r>
      <w:r w:rsidR="00652127" w:rsidRPr="006A574A">
        <w:rPr>
          <w:rFonts w:asciiTheme="minorHAnsi" w:eastAsiaTheme="minorEastAsia" w:hAnsiTheme="minorHAnsi" w:cstheme="minorHAnsi"/>
          <w:b/>
          <w:bCs/>
          <w:color w:val="000000" w:themeColor="text1"/>
        </w:rPr>
        <w:t>substances</w:t>
      </w:r>
      <w:r w:rsidR="00830C4E" w:rsidRPr="006A574A">
        <w:rPr>
          <w:rFonts w:asciiTheme="minorHAnsi" w:eastAsiaTheme="minorEastAsia" w:hAnsiTheme="minorHAnsi" w:cstheme="minorHAnsi"/>
          <w:b/>
          <w:bCs/>
          <w:color w:val="000000" w:themeColor="text1"/>
        </w:rPr>
        <w:t xml:space="preserve"> and toxic waste</w:t>
      </w:r>
      <w:r w:rsidR="0027180D">
        <w:rPr>
          <w:rFonts w:asciiTheme="minorHAnsi" w:eastAsiaTheme="minorEastAsia" w:hAnsiTheme="minorHAnsi" w:cstheme="minorHAnsi"/>
          <w:b/>
          <w:bCs/>
          <w:color w:val="000000" w:themeColor="text1"/>
        </w:rPr>
        <w:t xml:space="preserve"> to indigenous peoples</w:t>
      </w:r>
    </w:p>
    <w:p w14:paraId="23D1ED69" w14:textId="77777777" w:rsidR="00521F63" w:rsidRDefault="00521F63" w:rsidP="09798A9A">
      <w:pPr>
        <w:pStyle w:val="BodyText"/>
        <w:tabs>
          <w:tab w:val="left" w:pos="284"/>
        </w:tabs>
        <w:spacing w:after="0" w:line="360" w:lineRule="auto"/>
        <w:jc w:val="both"/>
        <w:rPr>
          <w:rFonts w:asciiTheme="minorHAnsi" w:eastAsiaTheme="minorEastAsia" w:hAnsiTheme="minorHAnsi" w:cstheme="minorBidi"/>
          <w:color w:val="000000" w:themeColor="text1"/>
        </w:rPr>
      </w:pPr>
    </w:p>
    <w:p w14:paraId="5F42DE75" w14:textId="5EBD6B80" w:rsidR="00281F45" w:rsidRPr="006A574A" w:rsidRDefault="00281F45" w:rsidP="09798A9A">
      <w:pPr>
        <w:pStyle w:val="BodyText"/>
        <w:tabs>
          <w:tab w:val="left" w:pos="284"/>
        </w:tabs>
        <w:spacing w:after="0" w:line="360" w:lineRule="auto"/>
        <w:jc w:val="both"/>
        <w:rPr>
          <w:rFonts w:asciiTheme="minorHAnsi" w:eastAsiaTheme="minorEastAsia" w:hAnsiTheme="minorHAnsi" w:cstheme="minorBidi"/>
          <w:color w:val="000000" w:themeColor="text1"/>
        </w:rPr>
      </w:pPr>
      <w:r w:rsidRPr="09798A9A">
        <w:rPr>
          <w:rFonts w:asciiTheme="minorHAnsi" w:eastAsiaTheme="minorEastAsia" w:hAnsiTheme="minorHAnsi" w:cstheme="minorBidi"/>
          <w:color w:val="000000" w:themeColor="text1"/>
        </w:rPr>
        <w:t>The main conflicts</w:t>
      </w:r>
      <w:r w:rsidR="00227747" w:rsidRPr="09798A9A">
        <w:rPr>
          <w:rStyle w:val="FootnoteReference"/>
          <w:rFonts w:asciiTheme="minorHAnsi" w:eastAsiaTheme="minorEastAsia" w:hAnsiTheme="minorHAnsi" w:cstheme="minorBidi"/>
          <w:color w:val="000000" w:themeColor="text1"/>
        </w:rPr>
        <w:footnoteReference w:id="1"/>
      </w:r>
      <w:r w:rsidRPr="09798A9A">
        <w:rPr>
          <w:rFonts w:asciiTheme="minorHAnsi" w:eastAsiaTheme="minorEastAsia" w:hAnsiTheme="minorHAnsi" w:cstheme="minorBidi"/>
          <w:color w:val="000000" w:themeColor="text1"/>
        </w:rPr>
        <w:t xml:space="preserve"> involving hazardous substances and toxics are related to activities carried out by mining industries. These situations are </w:t>
      </w:r>
      <w:r w:rsidR="0064752E" w:rsidRPr="09798A9A">
        <w:rPr>
          <w:rFonts w:asciiTheme="minorHAnsi" w:eastAsiaTheme="minorEastAsia" w:hAnsiTheme="minorHAnsi" w:cstheme="minorBidi"/>
          <w:color w:val="000000" w:themeColor="text1"/>
        </w:rPr>
        <w:t>causing</w:t>
      </w:r>
      <w:r w:rsidR="00843CA5" w:rsidRPr="09798A9A">
        <w:rPr>
          <w:rFonts w:asciiTheme="minorHAnsi" w:eastAsiaTheme="minorEastAsia" w:hAnsiTheme="minorHAnsi" w:cstheme="minorBidi"/>
          <w:color w:val="000000" w:themeColor="text1"/>
        </w:rPr>
        <w:t xml:space="preserve"> many human right violations</w:t>
      </w:r>
      <w:r w:rsidR="009B7CD8" w:rsidRPr="09798A9A">
        <w:rPr>
          <w:rFonts w:asciiTheme="minorHAnsi" w:eastAsiaTheme="minorEastAsia" w:hAnsiTheme="minorHAnsi" w:cstheme="minorBidi"/>
          <w:color w:val="000000" w:themeColor="text1"/>
        </w:rPr>
        <w:t>,</w:t>
      </w:r>
      <w:r w:rsidR="00843CA5" w:rsidRPr="09798A9A">
        <w:rPr>
          <w:rFonts w:asciiTheme="minorHAnsi" w:eastAsiaTheme="minorEastAsia" w:hAnsiTheme="minorHAnsi" w:cstheme="minorBidi"/>
          <w:color w:val="000000" w:themeColor="text1"/>
        </w:rPr>
        <w:t xml:space="preserve"> including</w:t>
      </w:r>
      <w:r w:rsidR="007C13BA" w:rsidRPr="09798A9A">
        <w:rPr>
          <w:rFonts w:asciiTheme="minorHAnsi" w:eastAsiaTheme="minorEastAsia" w:hAnsiTheme="minorHAnsi" w:cstheme="minorBidi"/>
          <w:color w:val="000000" w:themeColor="text1"/>
        </w:rPr>
        <w:t>: a)</w:t>
      </w:r>
      <w:r w:rsidR="00843CA5" w:rsidRPr="09798A9A">
        <w:rPr>
          <w:rFonts w:asciiTheme="minorHAnsi" w:eastAsiaTheme="minorEastAsia" w:hAnsiTheme="minorHAnsi" w:cstheme="minorBidi"/>
          <w:color w:val="000000" w:themeColor="text1"/>
        </w:rPr>
        <w:t xml:space="preserve"> the right to a clean, healthy and sustainable environment within indigenous peoples and quilombola territories</w:t>
      </w:r>
      <w:r w:rsidR="007C13BA" w:rsidRPr="09798A9A">
        <w:rPr>
          <w:rFonts w:asciiTheme="minorHAnsi" w:eastAsiaTheme="minorEastAsia" w:hAnsiTheme="minorHAnsi" w:cstheme="minorBidi"/>
          <w:color w:val="000000" w:themeColor="text1"/>
        </w:rPr>
        <w:t>; b)</w:t>
      </w:r>
      <w:r w:rsidRPr="09798A9A">
        <w:rPr>
          <w:rFonts w:asciiTheme="minorHAnsi" w:eastAsiaTheme="minorEastAsia" w:hAnsiTheme="minorHAnsi" w:cstheme="minorBidi"/>
          <w:color w:val="000000" w:themeColor="text1"/>
        </w:rPr>
        <w:t xml:space="preserve"> the obstruction of access to water caused by contamination of waterways, the privatization of water sources by companies, and the complete depletion and pollution of water sources</w:t>
      </w:r>
      <w:r w:rsidR="007C13BA" w:rsidRPr="09798A9A">
        <w:rPr>
          <w:rFonts w:asciiTheme="minorHAnsi" w:eastAsiaTheme="minorEastAsia" w:hAnsiTheme="minorHAnsi" w:cstheme="minorBidi"/>
          <w:color w:val="000000" w:themeColor="text1"/>
        </w:rPr>
        <w:t xml:space="preserve">; c) and </w:t>
      </w:r>
      <w:r w:rsidR="00962D1E" w:rsidRPr="09798A9A">
        <w:rPr>
          <w:rFonts w:asciiTheme="minorHAnsi" w:eastAsiaTheme="minorEastAsia" w:hAnsiTheme="minorHAnsi" w:cstheme="minorBidi"/>
          <w:color w:val="000000" w:themeColor="text1"/>
        </w:rPr>
        <w:t xml:space="preserve">violations of </w:t>
      </w:r>
      <w:r w:rsidR="00C66ADF" w:rsidRPr="09798A9A">
        <w:rPr>
          <w:rFonts w:asciiTheme="minorHAnsi" w:eastAsiaTheme="minorEastAsia" w:hAnsiTheme="minorHAnsi" w:cstheme="minorBidi"/>
          <w:color w:val="000000" w:themeColor="text1"/>
        </w:rPr>
        <w:t>multiple</w:t>
      </w:r>
      <w:r w:rsidR="00962D1E" w:rsidRPr="09798A9A">
        <w:rPr>
          <w:rFonts w:asciiTheme="minorHAnsi" w:eastAsiaTheme="minorEastAsia" w:hAnsiTheme="minorHAnsi" w:cstheme="minorBidi"/>
          <w:color w:val="000000" w:themeColor="text1"/>
        </w:rPr>
        <w:t xml:space="preserve"> economic, social and cultural rights as described below</w:t>
      </w:r>
      <w:r w:rsidR="007C13BA" w:rsidRPr="09798A9A">
        <w:rPr>
          <w:rFonts w:asciiTheme="minorHAnsi" w:eastAsiaTheme="minorEastAsia" w:hAnsiTheme="minorHAnsi" w:cstheme="minorBidi"/>
          <w:color w:val="000000" w:themeColor="text1"/>
        </w:rPr>
        <w:t xml:space="preserve">. </w:t>
      </w:r>
    </w:p>
    <w:p w14:paraId="4315E9A4" w14:textId="025B581A" w:rsidR="00281F45" w:rsidRPr="006A574A" w:rsidRDefault="00281F45" w:rsidP="09798A9A">
      <w:pPr>
        <w:pStyle w:val="BodyText"/>
        <w:tabs>
          <w:tab w:val="left" w:pos="284"/>
        </w:tabs>
        <w:spacing w:after="0" w:line="360" w:lineRule="auto"/>
        <w:jc w:val="both"/>
        <w:rPr>
          <w:rFonts w:asciiTheme="minorHAnsi" w:eastAsiaTheme="minorEastAsia" w:hAnsiTheme="minorHAnsi" w:cstheme="minorBidi"/>
          <w:color w:val="000000"/>
        </w:rPr>
      </w:pPr>
      <w:r w:rsidRPr="09798A9A">
        <w:rPr>
          <w:rFonts w:asciiTheme="minorHAnsi" w:eastAsiaTheme="minorEastAsia" w:hAnsiTheme="minorHAnsi" w:cstheme="minorBidi"/>
          <w:color w:val="000000"/>
        </w:rPr>
        <w:t>In Mariana,</w:t>
      </w:r>
      <w:r w:rsidR="00D16006" w:rsidRPr="09798A9A">
        <w:rPr>
          <w:rStyle w:val="FootnoteReference"/>
          <w:rFonts w:asciiTheme="minorHAnsi" w:eastAsiaTheme="minorEastAsia" w:hAnsiTheme="minorHAnsi" w:cstheme="minorBidi"/>
          <w:color w:val="000000" w:themeColor="text1"/>
        </w:rPr>
        <w:footnoteReference w:id="2"/>
      </w:r>
      <w:r w:rsidRPr="09798A9A">
        <w:rPr>
          <w:rFonts w:asciiTheme="minorHAnsi" w:eastAsiaTheme="minorEastAsia" w:hAnsiTheme="minorHAnsi" w:cstheme="minorBidi"/>
          <w:color w:val="000000"/>
        </w:rPr>
        <w:t xml:space="preserve"> Minas Gerais, the passage of tailings into the Rio Doce following the dam collapse resulted in water pollution, which caused a lack of access to water and supply to communities, diseases and illness, and difficulties in crop and livestock farming as well as other  activities for subsistence such as fishing. Communities suffered from a loss of income, which was coupled by non-compliance with reparations by the company, whose negligence caused the collapse. </w:t>
      </w:r>
    </w:p>
    <w:p w14:paraId="3AB111F8" w14:textId="3BEB4BC0" w:rsidR="00281F45" w:rsidRPr="006A574A" w:rsidRDefault="00281F45"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color w:val="000000" w:themeColor="text1"/>
        </w:rPr>
        <w:t>In the case of the Paraopeba River, impacts resulting from the 2019 dam collapse in Brumadinho</w:t>
      </w:r>
      <w:r w:rsidR="00F543D8" w:rsidRPr="006A574A">
        <w:rPr>
          <w:rStyle w:val="FootnoteReference"/>
          <w:rFonts w:asciiTheme="minorHAnsi" w:eastAsiaTheme="minorEastAsia" w:hAnsiTheme="minorHAnsi" w:cstheme="minorHAnsi"/>
          <w:color w:val="000000" w:themeColor="text1"/>
        </w:rPr>
        <w:footnoteReference w:id="3"/>
      </w:r>
      <w:r w:rsidRPr="006A574A">
        <w:rPr>
          <w:rFonts w:asciiTheme="minorHAnsi" w:eastAsiaTheme="minorEastAsia" w:hAnsiTheme="minorHAnsi" w:cstheme="minorHAnsi"/>
          <w:color w:val="000000" w:themeColor="text1"/>
        </w:rPr>
        <w:t xml:space="preserve"> have continued along the river and have even reached the Três Marias Plant, in the municipality of Pompéu. Studies are still being conducted about the impact </w:t>
      </w:r>
      <w:r w:rsidRPr="006A574A">
        <w:rPr>
          <w:rFonts w:asciiTheme="minorHAnsi" w:eastAsiaTheme="minorEastAsia" w:hAnsiTheme="minorHAnsi" w:cstheme="minorHAnsi"/>
          <w:color w:val="000000" w:themeColor="text1"/>
        </w:rPr>
        <w:lastRenderedPageBreak/>
        <w:t>caused by the disaster on communities in the 21 affected municipalities, but more recently the impact has reached a larger number of groups and communities.</w:t>
      </w:r>
      <w:r w:rsidRPr="006A574A">
        <w:rPr>
          <w:rStyle w:val="FootnoteReference"/>
          <w:rFonts w:asciiTheme="minorHAnsi" w:eastAsiaTheme="minorEastAsia" w:hAnsiTheme="minorHAnsi" w:cstheme="minorHAnsi"/>
          <w:color w:val="000000" w:themeColor="text1"/>
        </w:rPr>
        <w:footnoteReference w:id="4"/>
      </w:r>
      <w:r w:rsidRPr="006A574A">
        <w:rPr>
          <w:rFonts w:asciiTheme="minorHAnsi" w:eastAsiaTheme="minorEastAsia" w:hAnsiTheme="minorHAnsi" w:cstheme="minorHAnsi"/>
          <w:color w:val="000000" w:themeColor="text1"/>
        </w:rPr>
        <w:t xml:space="preserve"> Those directly affected include the indigenous Pataxó Naô Xohã people, the campsites of landless families who live on the banks of the Paraopeba River, and other groups such as fishermen and local farmers.</w:t>
      </w:r>
    </w:p>
    <w:p w14:paraId="360B2552" w14:textId="56865CE2" w:rsidR="00281F45" w:rsidRPr="006A574A" w:rsidRDefault="00281F45" w:rsidP="006A574A">
      <w:pPr>
        <w:tabs>
          <w:tab w:val="left" w:pos="284"/>
        </w:tabs>
        <w:suppressAutoHyphens/>
        <w:spacing w:line="360" w:lineRule="auto"/>
        <w:jc w:val="both"/>
        <w:rPr>
          <w:rFonts w:cstheme="minorHAnsi"/>
        </w:rPr>
      </w:pPr>
      <w:r w:rsidRPr="006A574A">
        <w:rPr>
          <w:rFonts w:eastAsiaTheme="minorEastAsia" w:cstheme="minorHAnsi"/>
          <w:color w:val="000000"/>
        </w:rPr>
        <w:t xml:space="preserve">In 2018, in Barcarena, Pará, a leak affected the tailings dam belonging to Hydro, a company that explores, extracts and processes bauxite and </w:t>
      </w:r>
      <w:r w:rsidR="00E57C0E" w:rsidRPr="006A574A">
        <w:rPr>
          <w:rFonts w:eastAsiaTheme="minorEastAsia" w:cstheme="minorHAnsi"/>
          <w:color w:val="000000"/>
        </w:rPr>
        <w:t>aluminium</w:t>
      </w:r>
      <w:r w:rsidRPr="006A574A">
        <w:rPr>
          <w:rFonts w:eastAsiaTheme="minorEastAsia" w:cstheme="minorHAnsi"/>
          <w:color w:val="000000"/>
        </w:rPr>
        <w:t xml:space="preserve"> in the region. This leakage was due to an increase in production, which overwhelmed the structure</w:t>
      </w:r>
      <w:r w:rsidRPr="006A574A">
        <w:rPr>
          <w:rFonts w:eastAsiaTheme="minorEastAsia" w:cstheme="minorHAnsi"/>
          <w:color w:val="000000" w:themeColor="text1"/>
        </w:rPr>
        <w:t xml:space="preserve"> of the dam</w:t>
      </w:r>
      <w:r w:rsidRPr="006A574A">
        <w:rPr>
          <w:rFonts w:eastAsiaTheme="minorEastAsia" w:cstheme="minorHAnsi"/>
          <w:color w:val="000000"/>
        </w:rPr>
        <w:t xml:space="preserve">. </w:t>
      </w:r>
      <w:r w:rsidRPr="006A574A">
        <w:rPr>
          <w:rFonts w:cstheme="minorHAnsi"/>
        </w:rPr>
        <w:t xml:space="preserve">After the inspections, a report by the Evandro Chagas Institute attested that the level of </w:t>
      </w:r>
      <w:r w:rsidR="00E57C0E" w:rsidRPr="006A574A">
        <w:rPr>
          <w:rFonts w:cstheme="minorHAnsi"/>
        </w:rPr>
        <w:t>aluminium</w:t>
      </w:r>
      <w:r w:rsidRPr="006A574A">
        <w:rPr>
          <w:rFonts w:cstheme="minorHAnsi"/>
        </w:rPr>
        <w:t xml:space="preserve"> in the surrounding rivers was 25 times higher than the amount allowed by the legislation.</w:t>
      </w:r>
      <w:r w:rsidRPr="006A574A">
        <w:rPr>
          <w:rStyle w:val="FootnoteReference"/>
          <w:rFonts w:cstheme="minorHAnsi"/>
        </w:rPr>
        <w:footnoteReference w:id="5"/>
      </w:r>
      <w:r w:rsidRPr="006A574A">
        <w:rPr>
          <w:rFonts w:cstheme="minorHAnsi"/>
        </w:rPr>
        <w:t xml:space="preserve"> Even though the government could have provided temporary solutions to access safe drinking water, the population had no option but to consume and use the contaminated water. Additionally, this report also disclosed the existence of a clandestine pipeline discharging untreated effluent directly into the environment.</w:t>
      </w:r>
      <w:r w:rsidRPr="006A574A">
        <w:rPr>
          <w:rStyle w:val="FootnoteReference"/>
          <w:rFonts w:cstheme="minorHAnsi"/>
        </w:rPr>
        <w:footnoteReference w:id="6"/>
      </w:r>
      <w:r w:rsidRPr="006A574A">
        <w:rPr>
          <w:rFonts w:cstheme="minorHAnsi"/>
        </w:rPr>
        <w:t xml:space="preserve"> </w:t>
      </w:r>
      <w:r w:rsidRPr="006A574A">
        <w:rPr>
          <w:rFonts w:eastAsiaTheme="minorEastAsia" w:cstheme="minorHAnsi"/>
          <w:color w:val="000000"/>
        </w:rPr>
        <w:t>The Mucurupí River and the Pará River were directly affected, as were at least 80 riverine, quilombola and indigenous communities in the municipalities of Barcarena and Abaetetuba.</w:t>
      </w:r>
      <w:r w:rsidRPr="006A574A">
        <w:rPr>
          <w:rStyle w:val="ncoradanotaderodap"/>
          <w:rFonts w:eastAsiaTheme="minorEastAsia" w:cstheme="minorHAnsi"/>
          <w:color w:val="000000"/>
        </w:rPr>
        <w:footnoteReference w:id="7"/>
      </w:r>
      <w:r w:rsidRPr="006A574A">
        <w:rPr>
          <w:rFonts w:eastAsiaTheme="minorEastAsia" w:cstheme="minorHAnsi"/>
          <w:color w:val="000000"/>
        </w:rPr>
        <w:t xml:space="preserve"> In these communities, about 40,000 people</w:t>
      </w:r>
      <w:r w:rsidR="00306698" w:rsidRPr="006A574A">
        <w:rPr>
          <w:rFonts w:eastAsiaTheme="minorEastAsia" w:cstheme="minorHAnsi"/>
          <w:color w:val="000000"/>
        </w:rPr>
        <w:t xml:space="preserve"> </w:t>
      </w:r>
      <w:r w:rsidRPr="006A574A">
        <w:rPr>
          <w:rFonts w:eastAsiaTheme="minorEastAsia" w:cstheme="minorHAnsi"/>
          <w:color w:val="000000"/>
        </w:rPr>
        <w:t xml:space="preserve">were affected by the contamination, both in terms of health due to contact with toxic residues, and </w:t>
      </w:r>
      <w:r w:rsidRPr="006A574A">
        <w:rPr>
          <w:rFonts w:eastAsiaTheme="minorEastAsia" w:cstheme="minorHAnsi"/>
          <w:color w:val="000000" w:themeColor="text1"/>
        </w:rPr>
        <w:t xml:space="preserve">in </w:t>
      </w:r>
      <w:r w:rsidRPr="006A574A">
        <w:rPr>
          <w:rFonts w:eastAsiaTheme="minorEastAsia" w:cstheme="minorHAnsi"/>
          <w:color w:val="000000"/>
        </w:rPr>
        <w:t>social and economic</w:t>
      </w:r>
      <w:r w:rsidRPr="006A574A">
        <w:rPr>
          <w:rFonts w:eastAsiaTheme="minorEastAsia" w:cstheme="minorHAnsi"/>
          <w:color w:val="000000" w:themeColor="text1"/>
        </w:rPr>
        <w:t xml:space="preserve"> terms</w:t>
      </w:r>
      <w:r w:rsidRPr="006A574A">
        <w:rPr>
          <w:rFonts w:eastAsiaTheme="minorEastAsia" w:cstheme="minorHAnsi"/>
          <w:color w:val="000000"/>
        </w:rPr>
        <w:t>, due to the impact on fishing, farming, and on their livelihoods</w:t>
      </w:r>
      <w:r w:rsidRPr="006A574A">
        <w:rPr>
          <w:rFonts w:eastAsiaTheme="minorEastAsia" w:cstheme="minorHAnsi"/>
          <w:color w:val="000000" w:themeColor="text1"/>
        </w:rPr>
        <w:t>.</w:t>
      </w:r>
      <w:r w:rsidRPr="006A574A">
        <w:rPr>
          <w:rStyle w:val="ncoradanotaderodap"/>
          <w:rFonts w:eastAsiaTheme="minorEastAsia" w:cstheme="minorHAnsi"/>
          <w:color w:val="000000"/>
        </w:rPr>
        <w:footnoteReference w:id="8"/>
      </w:r>
    </w:p>
    <w:p w14:paraId="64A3868A" w14:textId="460298FD" w:rsidR="00281F45" w:rsidRPr="006A574A" w:rsidRDefault="00281F45"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color w:val="000000"/>
        </w:rPr>
        <w:t xml:space="preserve">Mercury </w:t>
      </w:r>
      <w:r w:rsidRPr="006A574A">
        <w:rPr>
          <w:rFonts w:asciiTheme="minorHAnsi" w:eastAsiaTheme="minorEastAsia" w:hAnsiTheme="minorHAnsi" w:cstheme="minorHAnsi"/>
          <w:color w:val="000000" w:themeColor="text1"/>
        </w:rPr>
        <w:t>contamination by “</w:t>
      </w:r>
      <w:r w:rsidRPr="006A574A">
        <w:rPr>
          <w:rFonts w:asciiTheme="minorHAnsi" w:eastAsiaTheme="minorEastAsia" w:hAnsiTheme="minorHAnsi" w:cstheme="minorHAnsi"/>
          <w:i/>
          <w:color w:val="000000" w:themeColor="text1"/>
        </w:rPr>
        <w:t>garimpos</w:t>
      </w:r>
      <w:r w:rsidRPr="006A574A">
        <w:rPr>
          <w:rFonts w:asciiTheme="minorHAnsi" w:eastAsiaTheme="minorEastAsia" w:hAnsiTheme="minorHAnsi" w:cstheme="minorHAnsi"/>
          <w:color w:val="000000" w:themeColor="text1"/>
        </w:rPr>
        <w:t xml:space="preserve">” affects Munduruku and Yanomami indigenous people's lands and waterways. </w:t>
      </w:r>
      <w:r w:rsidRPr="006A574A">
        <w:rPr>
          <w:rFonts w:asciiTheme="minorHAnsi" w:eastAsiaTheme="minorEastAsia" w:hAnsiTheme="minorHAnsi" w:cstheme="minorHAnsi"/>
          <w:color w:val="000000"/>
        </w:rPr>
        <w:t xml:space="preserve">In </w:t>
      </w:r>
      <w:r w:rsidRPr="006A574A">
        <w:rPr>
          <w:rFonts w:asciiTheme="minorHAnsi" w:eastAsiaTheme="minorEastAsia" w:hAnsiTheme="minorHAnsi" w:cstheme="minorHAnsi"/>
          <w:color w:val="000000" w:themeColor="text1"/>
        </w:rPr>
        <w:t>addition to</w:t>
      </w:r>
      <w:r w:rsidRPr="006A574A">
        <w:rPr>
          <w:rFonts w:asciiTheme="minorHAnsi" w:eastAsiaTheme="minorEastAsia" w:hAnsiTheme="minorHAnsi" w:cstheme="minorHAnsi"/>
          <w:color w:val="000000"/>
        </w:rPr>
        <w:t xml:space="preserve"> the Mundurukus, </w:t>
      </w:r>
      <w:r w:rsidRPr="006A574A">
        <w:rPr>
          <w:rFonts w:asciiTheme="minorHAnsi" w:eastAsiaTheme="minorEastAsia" w:hAnsiTheme="minorHAnsi" w:cstheme="minorHAnsi"/>
          <w:color w:val="000000" w:themeColor="text1"/>
        </w:rPr>
        <w:t>the</w:t>
      </w:r>
      <w:r w:rsidRPr="006A574A">
        <w:rPr>
          <w:rFonts w:asciiTheme="minorHAnsi" w:eastAsiaTheme="minorEastAsia" w:hAnsiTheme="minorHAnsi" w:cstheme="minorHAnsi"/>
          <w:color w:val="000000"/>
        </w:rPr>
        <w:t xml:space="preserve"> Sai Cinza</w:t>
      </w:r>
      <w:r w:rsidRPr="006A574A">
        <w:rPr>
          <w:rFonts w:asciiTheme="minorHAnsi" w:eastAsiaTheme="minorEastAsia" w:hAnsiTheme="minorHAnsi" w:cstheme="minorHAnsi"/>
          <w:color w:val="000000" w:themeColor="text1"/>
        </w:rPr>
        <w:t xml:space="preserve"> and </w:t>
      </w:r>
      <w:r w:rsidRPr="006A574A">
        <w:rPr>
          <w:rFonts w:asciiTheme="minorHAnsi" w:eastAsiaTheme="minorEastAsia" w:hAnsiTheme="minorHAnsi" w:cstheme="minorHAnsi"/>
          <w:color w:val="000000"/>
        </w:rPr>
        <w:t xml:space="preserve"> </w:t>
      </w:r>
      <w:r w:rsidRPr="006A574A">
        <w:rPr>
          <w:rFonts w:asciiTheme="minorHAnsi" w:eastAsiaTheme="minorEastAsia" w:hAnsiTheme="minorHAnsi" w:cstheme="minorHAnsi"/>
          <w:color w:val="000000" w:themeColor="text1"/>
        </w:rPr>
        <w:t xml:space="preserve">Sawre Muybu </w:t>
      </w:r>
      <w:r w:rsidRPr="006A574A">
        <w:rPr>
          <w:rFonts w:asciiTheme="minorHAnsi" w:eastAsiaTheme="minorEastAsia" w:hAnsiTheme="minorHAnsi" w:cstheme="minorHAnsi"/>
          <w:color w:val="000000"/>
        </w:rPr>
        <w:t>Lands, also present</w:t>
      </w:r>
      <w:r w:rsidRPr="006A574A">
        <w:rPr>
          <w:rFonts w:asciiTheme="minorHAnsi" w:eastAsiaTheme="minorEastAsia" w:hAnsiTheme="minorHAnsi" w:cstheme="minorHAnsi"/>
          <w:color w:val="000000" w:themeColor="text1"/>
        </w:rPr>
        <w:t>s</w:t>
      </w:r>
      <w:r w:rsidRPr="006A574A">
        <w:rPr>
          <w:rFonts w:asciiTheme="minorHAnsi" w:eastAsiaTheme="minorEastAsia" w:hAnsiTheme="minorHAnsi" w:cstheme="minorHAnsi"/>
          <w:color w:val="000000"/>
        </w:rPr>
        <w:t xml:space="preserve"> high levels of contamination</w:t>
      </w:r>
      <w:r w:rsidRPr="006A574A">
        <w:rPr>
          <w:rFonts w:asciiTheme="minorHAnsi" w:eastAsiaTheme="minorEastAsia" w:hAnsiTheme="minorHAnsi" w:cstheme="minorHAnsi"/>
          <w:color w:val="000000" w:themeColor="text1"/>
        </w:rPr>
        <w:t>.</w:t>
      </w:r>
      <w:r w:rsidRPr="006A574A">
        <w:rPr>
          <w:rStyle w:val="ncoradanotaderodap"/>
          <w:rFonts w:asciiTheme="minorHAnsi" w:eastAsiaTheme="minorEastAsia" w:hAnsiTheme="minorHAnsi" w:cstheme="minorHAnsi"/>
          <w:color w:val="000000"/>
        </w:rPr>
        <w:footnoteReference w:id="9"/>
      </w:r>
      <w:r w:rsidRPr="006A574A">
        <w:rPr>
          <w:rFonts w:asciiTheme="minorHAnsi" w:eastAsiaTheme="minorEastAsia" w:hAnsiTheme="minorHAnsi" w:cstheme="minorHAnsi"/>
          <w:color w:val="000000"/>
        </w:rPr>
        <w:t xml:space="preserve"> A study carried out in the </w:t>
      </w:r>
      <w:r w:rsidRPr="006A574A">
        <w:rPr>
          <w:rFonts w:asciiTheme="minorHAnsi" w:eastAsiaTheme="minorEastAsia" w:hAnsiTheme="minorHAnsi" w:cstheme="minorHAnsi"/>
          <w:color w:val="000000"/>
        </w:rPr>
        <w:lastRenderedPageBreak/>
        <w:t>mid</w:t>
      </w:r>
      <w:r w:rsidRPr="006A574A">
        <w:rPr>
          <w:rFonts w:asciiTheme="minorHAnsi" w:eastAsiaTheme="minorEastAsia" w:hAnsiTheme="minorHAnsi" w:cstheme="minorHAnsi"/>
          <w:color w:val="000000" w:themeColor="text1"/>
        </w:rPr>
        <w:t>dle region of the</w:t>
      </w:r>
      <w:r w:rsidRPr="006A574A">
        <w:rPr>
          <w:rFonts w:asciiTheme="minorHAnsi" w:eastAsiaTheme="minorEastAsia" w:hAnsiTheme="minorHAnsi" w:cstheme="minorHAnsi"/>
          <w:color w:val="000000"/>
        </w:rPr>
        <w:t xml:space="preserve"> Tapajós indicates that six out of ten indigenous people </w:t>
      </w:r>
      <w:r w:rsidRPr="006A574A">
        <w:rPr>
          <w:rFonts w:asciiTheme="minorHAnsi" w:eastAsiaTheme="minorEastAsia" w:hAnsiTheme="minorHAnsi" w:cstheme="minorHAnsi"/>
        </w:rPr>
        <w:t xml:space="preserve">have toxins above the recommended limit </w:t>
      </w:r>
      <w:r w:rsidRPr="006A574A">
        <w:rPr>
          <w:rFonts w:asciiTheme="minorHAnsi" w:eastAsiaTheme="minorEastAsia" w:hAnsiTheme="minorHAnsi" w:cstheme="minorHAnsi"/>
          <w:color w:val="000000"/>
        </w:rPr>
        <w:t>by health agencies.</w:t>
      </w:r>
      <w:r w:rsidRPr="006A574A">
        <w:rPr>
          <w:rStyle w:val="ncoradanotaderodap"/>
          <w:rFonts w:asciiTheme="minorHAnsi" w:eastAsiaTheme="minorEastAsia" w:hAnsiTheme="minorHAnsi" w:cstheme="minorHAnsi"/>
          <w:color w:val="000000"/>
        </w:rPr>
        <w:footnoteReference w:id="10"/>
      </w:r>
      <w:r w:rsidRPr="006A574A">
        <w:rPr>
          <w:rFonts w:asciiTheme="minorHAnsi" w:eastAsiaTheme="minorEastAsia" w:hAnsiTheme="minorHAnsi" w:cstheme="minorHAnsi"/>
          <w:color w:val="000000"/>
        </w:rPr>
        <w:t xml:space="preserve"> This is also the case with the Yanomami people,</w:t>
      </w:r>
      <w:r w:rsidR="001730CD" w:rsidRPr="006A574A">
        <w:rPr>
          <w:rStyle w:val="FootnoteReference"/>
          <w:rFonts w:asciiTheme="minorHAnsi" w:eastAsiaTheme="minorEastAsia" w:hAnsiTheme="minorHAnsi" w:cstheme="minorHAnsi"/>
          <w:color w:val="000000" w:themeColor="text1"/>
        </w:rPr>
        <w:t xml:space="preserve"> </w:t>
      </w:r>
      <w:r w:rsidR="001730CD" w:rsidRPr="006A574A">
        <w:rPr>
          <w:rStyle w:val="FootnoteReference"/>
          <w:rFonts w:asciiTheme="minorHAnsi" w:eastAsiaTheme="minorEastAsia" w:hAnsiTheme="minorHAnsi" w:cstheme="minorHAnsi"/>
          <w:color w:val="000000" w:themeColor="text1"/>
        </w:rPr>
        <w:footnoteReference w:id="11"/>
      </w:r>
      <w:r w:rsidRPr="006A574A">
        <w:rPr>
          <w:rFonts w:asciiTheme="minorHAnsi" w:eastAsiaTheme="minorEastAsia" w:hAnsiTheme="minorHAnsi" w:cstheme="minorHAnsi"/>
          <w:color w:val="000000"/>
        </w:rPr>
        <w:t xml:space="preserve"> where mercury has been found in 56% of the women and children in the Maturacá region, in the state of Amazonas.</w:t>
      </w:r>
      <w:r w:rsidRPr="006A574A">
        <w:rPr>
          <w:rStyle w:val="ncoradanotaderodap"/>
          <w:rFonts w:asciiTheme="minorHAnsi" w:eastAsiaTheme="minorEastAsia" w:hAnsiTheme="minorHAnsi" w:cstheme="minorHAnsi"/>
          <w:color w:val="000000"/>
        </w:rPr>
        <w:footnoteReference w:id="12"/>
      </w:r>
      <w:r w:rsidRPr="006A574A">
        <w:rPr>
          <w:rFonts w:asciiTheme="minorHAnsi" w:eastAsiaTheme="minorEastAsia" w:hAnsiTheme="minorHAnsi" w:cstheme="minorHAnsi"/>
          <w:color w:val="000000"/>
        </w:rPr>
        <w:t xml:space="preserve"> </w:t>
      </w:r>
    </w:p>
    <w:p w14:paraId="2C6858D7" w14:textId="3EE088BC" w:rsidR="00281F45" w:rsidRPr="006A574A" w:rsidRDefault="00281F45"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color w:val="000000"/>
        </w:rPr>
        <w:t>A project that is still in the environmental licensing stage but has already been the cause of conflict with</w:t>
      </w:r>
      <w:r w:rsidRPr="006A574A">
        <w:rPr>
          <w:rFonts w:asciiTheme="minorHAnsi" w:eastAsiaTheme="minorEastAsia" w:hAnsiTheme="minorHAnsi" w:cstheme="minorHAnsi"/>
          <w:color w:val="000000" w:themeColor="text1"/>
        </w:rPr>
        <w:t>in</w:t>
      </w:r>
      <w:r w:rsidRPr="006A574A">
        <w:rPr>
          <w:rFonts w:asciiTheme="minorHAnsi" w:eastAsiaTheme="minorEastAsia" w:hAnsiTheme="minorHAnsi" w:cstheme="minorHAnsi"/>
          <w:color w:val="000000"/>
        </w:rPr>
        <w:t xml:space="preserve"> traditional communities</w:t>
      </w:r>
      <w:r w:rsidRPr="006A574A">
        <w:rPr>
          <w:rStyle w:val="ncoradanotaderodap"/>
          <w:rFonts w:asciiTheme="minorHAnsi" w:eastAsiaTheme="minorEastAsia" w:hAnsiTheme="minorHAnsi" w:cstheme="minorHAnsi"/>
          <w:color w:val="000000"/>
        </w:rPr>
        <w:footnoteReference w:id="13"/>
      </w:r>
      <w:r w:rsidRPr="006A574A">
        <w:rPr>
          <w:rFonts w:asciiTheme="minorHAnsi" w:eastAsiaTheme="minorEastAsia" w:hAnsiTheme="minorHAnsi" w:cstheme="minorHAnsi"/>
          <w:color w:val="000000"/>
        </w:rPr>
        <w:t xml:space="preserve"> for about ten years, especially the Geraiszeiros, is the exploration and processing of low-grade iron ore in the north of the state of Minas Gerais, known as the Block 8 Project, in the municipalities of Grão Mogol, Padre Carvalho, Fruta de Leite, and Josenópolis. </w:t>
      </w:r>
      <w:r w:rsidR="004849B5" w:rsidRPr="006A574A">
        <w:rPr>
          <w:rFonts w:asciiTheme="minorHAnsi" w:eastAsiaTheme="minorEastAsia" w:hAnsiTheme="minorHAnsi" w:cstheme="minorHAnsi"/>
          <w:color w:val="000000"/>
        </w:rPr>
        <w:t xml:space="preserve">This project would affect more than 72 communities who are </w:t>
      </w:r>
      <w:r w:rsidR="004849B5" w:rsidRPr="006A574A">
        <w:rPr>
          <w:rFonts w:asciiTheme="minorHAnsi" w:eastAsiaTheme="minorEastAsia" w:hAnsiTheme="minorHAnsi" w:cstheme="minorHAnsi"/>
          <w:color w:val="000000" w:themeColor="text1"/>
        </w:rPr>
        <w:t xml:space="preserve">not consulted and are excluded from negotiations and decision-making processes. </w:t>
      </w:r>
      <w:r w:rsidRPr="006A574A">
        <w:rPr>
          <w:rFonts w:asciiTheme="minorHAnsi" w:eastAsiaTheme="minorEastAsia" w:hAnsiTheme="minorHAnsi" w:cstheme="minorHAnsi"/>
          <w:color w:val="000000"/>
        </w:rPr>
        <w:t xml:space="preserve">For the implementation of this project, there are plans to build an open-pit mine, a processing plant, a water pipeline, a 482 km mining pipeline to Ilhéus, in the state of Bahia, tailings dams, and a water dam on the Vacaria River for processing and transporting the ore, which is expected to flood 757 ha of land. </w:t>
      </w:r>
      <w:r w:rsidRPr="006A574A">
        <w:rPr>
          <w:rFonts w:asciiTheme="minorHAnsi" w:eastAsiaTheme="minorEastAsia" w:hAnsiTheme="minorHAnsi" w:cstheme="minorHAnsi"/>
          <w:color w:val="000000" w:themeColor="text1"/>
        </w:rPr>
        <w:t>Social m</w:t>
      </w:r>
      <w:r w:rsidRPr="006A574A">
        <w:rPr>
          <w:rFonts w:asciiTheme="minorHAnsi" w:eastAsiaTheme="minorEastAsia" w:hAnsiTheme="minorHAnsi" w:cstheme="minorHAnsi"/>
          <w:color w:val="000000"/>
        </w:rPr>
        <w:t xml:space="preserve">ovements have denounced the great impact that construction of a tailings dam would have, including: a) it puts at risk the communities downstream of the mining complex; b) the displacement of communities for the construction of the dams, the mine, and its pipeline;  c) the risks of contamination resulting from this exploitation in the states of Minas Gerais and Bahia, and d) an increase in water shortage in the region that it is already heavily affected by similar projects. </w:t>
      </w:r>
    </w:p>
    <w:p w14:paraId="49D6FD12" w14:textId="06BE6218" w:rsidR="00392CE5" w:rsidRPr="006A574A" w:rsidRDefault="00281F45"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color w:val="000000" w:themeColor="text1"/>
        </w:rPr>
        <w:t xml:space="preserve">In 2021, cyanide contamination was identified in bodies of water in the municipality of Pedra Branca do Amapari, in Amapá state. The contamination is suspected to have come from the tailings dam belonging to the Mina Tucano mining company, a subsidiary of </w:t>
      </w:r>
      <w:r w:rsidRPr="006A574A">
        <w:rPr>
          <w:rFonts w:asciiTheme="minorHAnsi" w:eastAsiaTheme="minorEastAsia" w:hAnsiTheme="minorHAnsi" w:cstheme="minorHAnsi"/>
          <w:color w:val="000000" w:themeColor="text1"/>
        </w:rPr>
        <w:lastRenderedPageBreak/>
        <w:t>Canadian Great Panther Mining Limited,</w:t>
      </w:r>
      <w:r w:rsidR="00AB47D1" w:rsidRPr="006A574A">
        <w:rPr>
          <w:rStyle w:val="FootnoteReference"/>
          <w:rFonts w:asciiTheme="minorHAnsi" w:eastAsiaTheme="minorEastAsia" w:hAnsiTheme="minorHAnsi" w:cstheme="minorHAnsi"/>
          <w:color w:val="000000" w:themeColor="text1"/>
        </w:rPr>
        <w:footnoteReference w:id="14"/>
      </w:r>
      <w:r w:rsidRPr="006A574A">
        <w:rPr>
          <w:rFonts w:asciiTheme="minorHAnsi" w:eastAsiaTheme="minorEastAsia" w:hAnsiTheme="minorHAnsi" w:cstheme="minorHAnsi"/>
          <w:color w:val="000000" w:themeColor="text1"/>
        </w:rPr>
        <w:t xml:space="preserve"> which explores for gold in the region. Two streams, Silvestre and Areia, tributaries of the Amaria River, are contaminated, with impacts on the physical, biotic, and socioeconomic environments, causing fish mortality and risk for the riverside population. Due to a suspected contamination of the Amapari River, the municipality suspended the collection of water from the river, which caused a lack of water supply for the population of the municipality.</w:t>
      </w:r>
    </w:p>
    <w:p w14:paraId="3A8184D7" w14:textId="77777777" w:rsidR="0027180D" w:rsidRDefault="0027180D" w:rsidP="006A574A">
      <w:pPr>
        <w:spacing w:line="360" w:lineRule="auto"/>
        <w:jc w:val="both"/>
        <w:rPr>
          <w:rFonts w:cstheme="minorHAnsi"/>
          <w:b/>
        </w:rPr>
      </w:pPr>
    </w:p>
    <w:p w14:paraId="1900F942" w14:textId="3ABE8859" w:rsidR="00145320" w:rsidRPr="006A574A" w:rsidRDefault="00720410" w:rsidP="0027180D">
      <w:pPr>
        <w:spacing w:line="360" w:lineRule="auto"/>
        <w:rPr>
          <w:rFonts w:cstheme="minorHAnsi"/>
          <w:b/>
        </w:rPr>
      </w:pPr>
      <w:r w:rsidRPr="006A574A">
        <w:rPr>
          <w:rFonts w:cstheme="minorHAnsi"/>
          <w:b/>
        </w:rPr>
        <w:t>Combined r</w:t>
      </w:r>
      <w:r w:rsidR="00933098" w:rsidRPr="006A574A">
        <w:rPr>
          <w:rFonts w:cstheme="minorHAnsi"/>
          <w:b/>
        </w:rPr>
        <w:t>esponse to question</w:t>
      </w:r>
      <w:r w:rsidR="00904EF3" w:rsidRPr="006A574A">
        <w:rPr>
          <w:rFonts w:cstheme="minorHAnsi"/>
          <w:b/>
        </w:rPr>
        <w:t>s</w:t>
      </w:r>
      <w:r w:rsidR="00933098" w:rsidRPr="006A574A">
        <w:rPr>
          <w:rFonts w:cstheme="minorHAnsi"/>
          <w:b/>
        </w:rPr>
        <w:t xml:space="preserve"> 5 </w:t>
      </w:r>
      <w:r w:rsidRPr="006A574A">
        <w:rPr>
          <w:rFonts w:cstheme="minorHAnsi"/>
          <w:b/>
        </w:rPr>
        <w:t>and 1</w:t>
      </w:r>
      <w:r w:rsidR="002B5647" w:rsidRPr="006A574A">
        <w:rPr>
          <w:rFonts w:cstheme="minorHAnsi"/>
          <w:b/>
        </w:rPr>
        <w:t>2</w:t>
      </w:r>
      <w:r w:rsidRPr="006A574A">
        <w:rPr>
          <w:rFonts w:cstheme="minorHAnsi"/>
          <w:b/>
        </w:rPr>
        <w:t xml:space="preserve"> </w:t>
      </w:r>
      <w:r w:rsidR="00933098" w:rsidRPr="006A574A">
        <w:rPr>
          <w:rFonts w:cstheme="minorHAnsi"/>
          <w:b/>
        </w:rPr>
        <w:t xml:space="preserve">on </w:t>
      </w:r>
      <w:r w:rsidRPr="006A574A">
        <w:rPr>
          <w:rFonts w:cstheme="minorHAnsi"/>
          <w:b/>
        </w:rPr>
        <w:t xml:space="preserve">legal actions and </w:t>
      </w:r>
      <w:r w:rsidR="002B5647" w:rsidRPr="006A574A">
        <w:rPr>
          <w:rFonts w:cstheme="minorHAnsi"/>
          <w:b/>
        </w:rPr>
        <w:t>remedies</w:t>
      </w:r>
    </w:p>
    <w:p w14:paraId="34CACBA1" w14:textId="77777777" w:rsidR="0027180D" w:rsidRDefault="0027180D" w:rsidP="006A574A">
      <w:pPr>
        <w:tabs>
          <w:tab w:val="left" w:pos="284"/>
        </w:tabs>
        <w:suppressAutoHyphens/>
        <w:spacing w:line="360" w:lineRule="auto"/>
        <w:jc w:val="both"/>
        <w:rPr>
          <w:rFonts w:eastAsiaTheme="minorEastAsia" w:cstheme="minorHAnsi"/>
          <w:color w:val="000000" w:themeColor="text1"/>
        </w:rPr>
      </w:pPr>
    </w:p>
    <w:p w14:paraId="28142B4C" w14:textId="6CCC9A33" w:rsidR="00495F62" w:rsidRPr="006A574A" w:rsidRDefault="00495F62" w:rsidP="09798A9A">
      <w:pPr>
        <w:tabs>
          <w:tab w:val="left" w:pos="284"/>
        </w:tabs>
        <w:suppressAutoHyphens/>
        <w:spacing w:line="360" w:lineRule="auto"/>
        <w:jc w:val="both"/>
        <w:rPr>
          <w:rFonts w:eastAsiaTheme="minorEastAsia"/>
        </w:rPr>
      </w:pPr>
      <w:r w:rsidRPr="09798A9A">
        <w:rPr>
          <w:rFonts w:eastAsiaTheme="minorEastAsia" w:cstheme="minorBidi"/>
          <w:color w:val="000000" w:themeColor="text1"/>
        </w:rPr>
        <w:t>Many communities affected by mining disasters have not yet had full reparations for the impacts their health, their homes, and their lands have suffered. A large number of people affected are still not recognized as victims either by the government or the companies, and remain excluded from emergency aid and compensation programs. Thus, the process of reparation itself brings further human rights violations, including economic, social and cultural rights.</w:t>
      </w:r>
    </w:p>
    <w:p w14:paraId="04601977" w14:textId="235C73C4" w:rsidR="0095539A" w:rsidRPr="006A574A" w:rsidRDefault="00495F62" w:rsidP="006A574A">
      <w:pPr>
        <w:tabs>
          <w:tab w:val="left" w:pos="284"/>
        </w:tabs>
        <w:suppressAutoHyphens/>
        <w:spacing w:line="360" w:lineRule="auto"/>
        <w:jc w:val="both"/>
        <w:rPr>
          <w:rFonts w:eastAsiaTheme="minorEastAsia" w:cstheme="minorHAnsi"/>
          <w:color w:val="000000" w:themeColor="text1"/>
        </w:rPr>
      </w:pPr>
      <w:r w:rsidRPr="006A574A">
        <w:rPr>
          <w:rFonts w:eastAsiaTheme="minorEastAsia" w:cstheme="minorHAnsi"/>
          <w:color w:val="000000" w:themeColor="text1"/>
        </w:rPr>
        <w:t xml:space="preserve">It has been seven years since the collapse of the Fundão dam in Mariana, and 344 families of the three destroyed communities (Gesteira, Paracatu de Baixo and Bento Rodrigues) are still waiting for their homes to be rebuilt. In the meantime, they are forced to rent other places or to live with relatives. Several families, especially in the coast of Espírito Santo, are still not recognized as having been affected. </w:t>
      </w:r>
      <w:r w:rsidRPr="006A574A">
        <w:rPr>
          <w:rFonts w:eastAsiaTheme="minorEastAsia" w:cstheme="minorHAnsi"/>
          <w:color w:val="000000"/>
        </w:rPr>
        <w:t xml:space="preserve">Others are being pressured to sign settlement agreements with low reparation payouts. The affected people and social movements note that the Renova Foundation, created by an agreement to implement the reparation </w:t>
      </w:r>
      <w:r w:rsidRPr="006A574A">
        <w:rPr>
          <w:rFonts w:eastAsiaTheme="minorEastAsia" w:cstheme="minorHAnsi"/>
          <w:color w:val="000000" w:themeColor="text1"/>
        </w:rPr>
        <w:t>deal</w:t>
      </w:r>
      <w:r w:rsidRPr="006A574A">
        <w:rPr>
          <w:rFonts w:eastAsiaTheme="minorEastAsia" w:cstheme="minorHAnsi"/>
          <w:color w:val="000000"/>
        </w:rPr>
        <w:t xml:space="preserve">, has not </w:t>
      </w:r>
      <w:r w:rsidRPr="006A574A">
        <w:rPr>
          <w:rFonts w:eastAsiaTheme="minorEastAsia" w:cstheme="minorHAnsi"/>
          <w:color w:val="000000" w:themeColor="text1"/>
        </w:rPr>
        <w:t xml:space="preserve">carried out the planned </w:t>
      </w:r>
      <w:r w:rsidRPr="006A574A">
        <w:rPr>
          <w:rFonts w:eastAsiaTheme="minorEastAsia" w:cstheme="minorHAnsi"/>
          <w:color w:val="000000"/>
        </w:rPr>
        <w:t xml:space="preserve">reparation </w:t>
      </w:r>
      <w:r w:rsidRPr="006A574A">
        <w:rPr>
          <w:rFonts w:eastAsiaTheme="minorEastAsia" w:cstheme="minorHAnsi"/>
          <w:color w:val="000000" w:themeColor="text1"/>
        </w:rPr>
        <w:t>measure</w:t>
      </w:r>
      <w:r w:rsidRPr="006A574A">
        <w:rPr>
          <w:rFonts w:eastAsiaTheme="minorEastAsia" w:cstheme="minorHAnsi"/>
          <w:color w:val="000000"/>
        </w:rPr>
        <w:t>s</w:t>
      </w:r>
      <w:r w:rsidRPr="006A574A">
        <w:rPr>
          <w:rFonts w:eastAsiaTheme="minorEastAsia" w:cstheme="minorHAnsi"/>
          <w:color w:val="000000" w:themeColor="text1"/>
        </w:rPr>
        <w:t>.</w:t>
      </w:r>
      <w:r w:rsidRPr="006A574A">
        <w:rPr>
          <w:rFonts w:eastAsiaTheme="minorEastAsia" w:cstheme="minorHAnsi"/>
          <w:color w:val="000000"/>
        </w:rPr>
        <w:t xml:space="preserve"> It is also noteworthy that most of the affected communities still do not have the right to independent technical advice, which would give them independent and impartial information to participate in the decision-making process</w:t>
      </w:r>
      <w:r w:rsidRPr="006A574A">
        <w:rPr>
          <w:rFonts w:eastAsiaTheme="minorEastAsia" w:cstheme="minorHAnsi"/>
          <w:color w:val="000000" w:themeColor="text1"/>
        </w:rPr>
        <w:t>.</w:t>
      </w:r>
      <w:r w:rsidRPr="006A574A">
        <w:rPr>
          <w:rStyle w:val="ncoradanotaderodap"/>
          <w:rFonts w:eastAsiaTheme="minorEastAsia" w:cstheme="minorHAnsi"/>
          <w:color w:val="000000"/>
        </w:rPr>
        <w:footnoteReference w:id="15"/>
      </w:r>
      <w:r w:rsidR="0095539A" w:rsidRPr="006A574A">
        <w:rPr>
          <w:rFonts w:eastAsiaTheme="minorEastAsia" w:cstheme="minorHAnsi"/>
          <w:color w:val="000000" w:themeColor="text1"/>
        </w:rPr>
        <w:t xml:space="preserve"> </w:t>
      </w:r>
      <w:r w:rsidR="00031D3F" w:rsidRPr="006A574A">
        <w:rPr>
          <w:rFonts w:eastAsiaTheme="minorEastAsia" w:cstheme="minorHAnsi"/>
          <w:color w:val="000000" w:themeColor="text1"/>
        </w:rPr>
        <w:t xml:space="preserve">In addition, </w:t>
      </w:r>
      <w:r w:rsidR="00031D3F" w:rsidRPr="006A574A">
        <w:rPr>
          <w:rFonts w:eastAsiaTheme="minorEastAsia" w:cstheme="minorHAnsi"/>
        </w:rPr>
        <w:t>t</w:t>
      </w:r>
      <w:r w:rsidR="0095539A" w:rsidRPr="006A574A">
        <w:rPr>
          <w:rFonts w:eastAsiaTheme="minorEastAsia" w:cstheme="minorHAnsi"/>
        </w:rPr>
        <w:t xml:space="preserve">he outsourcing of reparations to </w:t>
      </w:r>
      <w:r w:rsidR="008F45CE" w:rsidRPr="006A574A">
        <w:rPr>
          <w:rFonts w:eastAsiaTheme="minorEastAsia" w:cstheme="minorHAnsi"/>
        </w:rPr>
        <w:t>this</w:t>
      </w:r>
      <w:r w:rsidR="0095539A" w:rsidRPr="006A574A">
        <w:rPr>
          <w:rFonts w:eastAsiaTheme="minorEastAsia" w:cstheme="minorHAnsi"/>
        </w:rPr>
        <w:t xml:space="preserve"> Foundation, controlled and maintained by the mining companies, thus lacking independence, has been generating a series of delays in the implementation of reparation measures in the affected territories and communities. The inefficiency of the Foundation </w:t>
      </w:r>
      <w:r w:rsidR="0095539A" w:rsidRPr="006A574A">
        <w:rPr>
          <w:rFonts w:eastAsiaTheme="minorEastAsia" w:cstheme="minorHAnsi"/>
        </w:rPr>
        <w:lastRenderedPageBreak/>
        <w:t>was even acknowledged by the authorities when the Public Prosecutor’s Office of Minas Gerais,</w:t>
      </w:r>
      <w:r w:rsidR="0095539A" w:rsidRPr="006A574A">
        <w:rPr>
          <w:rStyle w:val="FootnoteReference"/>
          <w:rFonts w:eastAsiaTheme="minorEastAsia" w:cstheme="minorHAnsi"/>
        </w:rPr>
        <w:footnoteReference w:id="16"/>
      </w:r>
      <w:r w:rsidR="0095539A" w:rsidRPr="006A574A">
        <w:rPr>
          <w:rFonts w:eastAsiaTheme="minorEastAsia" w:cstheme="minorHAnsi"/>
        </w:rPr>
        <w:t xml:space="preserve"> in February 2021, requested the closing of Renova. </w:t>
      </w:r>
    </w:p>
    <w:p w14:paraId="4E5D8122" w14:textId="425CD09E" w:rsidR="00B06A0E" w:rsidRPr="006A574A" w:rsidRDefault="0095539A" w:rsidP="006A574A">
      <w:pPr>
        <w:tabs>
          <w:tab w:val="left" w:pos="284"/>
        </w:tabs>
        <w:suppressAutoHyphens/>
        <w:spacing w:line="360" w:lineRule="auto"/>
        <w:jc w:val="both"/>
        <w:rPr>
          <w:rFonts w:eastAsiaTheme="minorEastAsia" w:cstheme="minorHAnsi"/>
          <w:color w:val="000000" w:themeColor="text1"/>
        </w:rPr>
      </w:pPr>
      <w:r w:rsidRPr="006A574A">
        <w:rPr>
          <w:rFonts w:eastAsiaTheme="minorEastAsia" w:cstheme="minorHAnsi"/>
        </w:rPr>
        <w:t>In the midst of so many lawsuits</w:t>
      </w:r>
      <w:r w:rsidRPr="006A574A">
        <w:rPr>
          <w:rStyle w:val="FootnoteReference"/>
          <w:rFonts w:eastAsiaTheme="minorEastAsia" w:cstheme="minorHAnsi"/>
        </w:rPr>
        <w:footnoteReference w:id="17"/>
      </w:r>
      <w:r w:rsidRPr="006A574A">
        <w:rPr>
          <w:rFonts w:eastAsiaTheme="minorEastAsia" w:cstheme="minorHAnsi"/>
        </w:rPr>
        <w:t xml:space="preserve"> in the Mariana case, and after the Brumadinho agreement was signed</w:t>
      </w:r>
      <w:r w:rsidR="00987A87" w:rsidRPr="006A574A">
        <w:rPr>
          <w:rFonts w:eastAsiaTheme="minorEastAsia" w:cstheme="minorHAnsi"/>
        </w:rPr>
        <w:t xml:space="preserve"> (</w:t>
      </w:r>
      <w:r w:rsidR="003322DD" w:rsidRPr="006A574A">
        <w:rPr>
          <w:rFonts w:eastAsiaTheme="minorEastAsia" w:cstheme="minorHAnsi"/>
        </w:rPr>
        <w:t xml:space="preserve">as </w:t>
      </w:r>
      <w:r w:rsidR="00437604" w:rsidRPr="006A574A">
        <w:rPr>
          <w:rFonts w:eastAsiaTheme="minorEastAsia" w:cstheme="minorHAnsi"/>
        </w:rPr>
        <w:t>explained below</w:t>
      </w:r>
      <w:r w:rsidR="00987A87" w:rsidRPr="006A574A">
        <w:rPr>
          <w:rFonts w:eastAsiaTheme="minorEastAsia" w:cstheme="minorHAnsi"/>
        </w:rPr>
        <w:t>)</w:t>
      </w:r>
      <w:r w:rsidRPr="006A574A">
        <w:rPr>
          <w:rFonts w:eastAsiaTheme="minorEastAsia" w:cstheme="minorHAnsi"/>
        </w:rPr>
        <w:t>, a "re-negotiation" of the Mariana/Rio Doce case began to be discussed.</w:t>
      </w:r>
      <w:r w:rsidR="009B0FC2" w:rsidRPr="006A574A">
        <w:rPr>
          <w:rFonts w:eastAsiaTheme="minorEastAsia" w:cstheme="minorHAnsi"/>
        </w:rPr>
        <w:t xml:space="preserve"> Once again, the conciliation meetings took place behind closed doors, without any participation of the affected communities or social control mechanisms.</w:t>
      </w:r>
      <w:r w:rsidR="009B0FC2" w:rsidRPr="006A574A">
        <w:rPr>
          <w:rStyle w:val="FootnoteReference"/>
          <w:rFonts w:eastAsiaTheme="minorEastAsia" w:cstheme="minorHAnsi"/>
        </w:rPr>
        <w:footnoteReference w:id="18"/>
      </w:r>
      <w:r w:rsidR="00892655" w:rsidRPr="006A574A">
        <w:rPr>
          <w:rFonts w:eastAsiaTheme="minorEastAsia" w:cstheme="minorHAnsi"/>
        </w:rPr>
        <w:t xml:space="preserve"> </w:t>
      </w:r>
      <w:r w:rsidR="005121ED" w:rsidRPr="006A574A">
        <w:rPr>
          <w:rFonts w:eastAsiaTheme="minorEastAsia" w:cstheme="minorHAnsi"/>
        </w:rPr>
        <w:t>After numerous demands, the public hearings convened by the National Council of Justice to debate the renegotiation contemplated only a reduced number of affected people.</w:t>
      </w:r>
      <w:r w:rsidR="005121ED" w:rsidRPr="006A574A">
        <w:rPr>
          <w:rFonts w:eastAsiaTheme="minorEastAsia" w:cstheme="minorHAnsi"/>
        </w:rPr>
        <w:tab/>
      </w:r>
    </w:p>
    <w:p w14:paraId="1C1C8EDA" w14:textId="4316B36E" w:rsidR="00495F62" w:rsidRPr="006A574A" w:rsidDel="005F0C14" w:rsidRDefault="00495F62" w:rsidP="006A574A">
      <w:pPr>
        <w:spacing w:line="360" w:lineRule="auto"/>
        <w:jc w:val="both"/>
        <w:rPr>
          <w:rFonts w:eastAsiaTheme="minorEastAsia" w:cstheme="minorHAnsi"/>
        </w:rPr>
      </w:pPr>
      <w:r w:rsidRPr="006A574A">
        <w:rPr>
          <w:rFonts w:eastAsiaTheme="minorEastAsia" w:cstheme="minorHAnsi"/>
          <w:color w:val="000000" w:themeColor="text1"/>
        </w:rPr>
        <w:t>The non-recognition of those affected</w:t>
      </w:r>
      <w:r w:rsidR="00827949" w:rsidRPr="006A574A">
        <w:rPr>
          <w:rFonts w:eastAsiaTheme="minorEastAsia" w:cstheme="minorHAnsi"/>
          <w:color w:val="000000" w:themeColor="text1"/>
        </w:rPr>
        <w:t xml:space="preserve"> and lack of participation</w:t>
      </w:r>
      <w:r w:rsidRPr="006A574A">
        <w:rPr>
          <w:rFonts w:eastAsiaTheme="minorEastAsia" w:cstheme="minorHAnsi"/>
          <w:color w:val="000000" w:themeColor="text1"/>
        </w:rPr>
        <w:t xml:space="preserve"> is also to be observed in the region affected by the Córrego do Feijão dam in Brumadinho. Several families and communities along the Paraopeba River are not considered affected due to the criteria used for this recognition. Besides this, Vale, the company responsible for the disaster, was constantly challenging the legitimacy of independent technical experts during the legal proceedings</w:t>
      </w:r>
      <w:r w:rsidR="00A33861" w:rsidRPr="006A574A">
        <w:rPr>
          <w:rFonts w:eastAsiaTheme="minorEastAsia" w:cstheme="minorHAnsi"/>
          <w:color w:val="000000" w:themeColor="text1"/>
        </w:rPr>
        <w:t xml:space="preserve">. </w:t>
      </w:r>
      <w:r w:rsidR="00A33861" w:rsidRPr="006A574A">
        <w:rPr>
          <w:rFonts w:eastAsiaTheme="minorEastAsia" w:cstheme="minorHAnsi"/>
        </w:rPr>
        <w:t>A</w:t>
      </w:r>
      <w:r w:rsidR="005E15E0" w:rsidRPr="006A574A">
        <w:rPr>
          <w:rFonts w:eastAsiaTheme="minorEastAsia" w:cstheme="minorHAnsi"/>
        </w:rPr>
        <w:t xml:space="preserve">t the end of 2019, the intention to reach a reparation agreement between the mining company Vale and the State of Minas Gerais in the case of Brumadinho became public. </w:t>
      </w:r>
      <w:r w:rsidR="00DD0101" w:rsidRPr="006A574A">
        <w:rPr>
          <w:rFonts w:eastAsiaTheme="minorEastAsia" w:cstheme="minorHAnsi"/>
        </w:rPr>
        <w:t>On 4 February 2021, the agreement</w:t>
      </w:r>
      <w:r w:rsidR="00DD0101" w:rsidRPr="006A574A">
        <w:rPr>
          <w:rStyle w:val="FootnoteReference"/>
          <w:rFonts w:eastAsiaTheme="minorEastAsia" w:cstheme="minorHAnsi"/>
        </w:rPr>
        <w:footnoteReference w:id="19"/>
      </w:r>
      <w:r w:rsidR="00DD0101" w:rsidRPr="006A574A">
        <w:rPr>
          <w:rFonts w:eastAsiaTheme="minorEastAsia" w:cstheme="minorHAnsi"/>
        </w:rPr>
        <w:t xml:space="preserve"> was signed between the mining company, the State of Minas Gerais - represented by its Attorney General's Office - the Public Prosecutor's Office of Minas Gerais, the Federal Public Prosecutor's Office, and the Office of the Ombudsman of the State of Minas Gerais. </w:t>
      </w:r>
      <w:r w:rsidR="00D01407" w:rsidRPr="006A574A">
        <w:rPr>
          <w:rFonts w:eastAsiaTheme="minorEastAsia" w:cstheme="minorHAnsi"/>
        </w:rPr>
        <w:t>Despite being celebrated as historic and ground-breaking in some media, the agreement</w:t>
      </w:r>
      <w:r w:rsidR="00D01407" w:rsidRPr="006A574A">
        <w:rPr>
          <w:rStyle w:val="FootnoteReference"/>
          <w:rFonts w:eastAsiaTheme="minorEastAsia" w:cstheme="minorHAnsi"/>
        </w:rPr>
        <w:footnoteReference w:id="20"/>
      </w:r>
      <w:r w:rsidR="00D01407" w:rsidRPr="006A574A">
        <w:rPr>
          <w:rFonts w:eastAsiaTheme="minorEastAsia" w:cstheme="minorHAnsi"/>
        </w:rPr>
        <w:t xml:space="preserve"> has generated doubts and indignation among the affected population. This is because</w:t>
      </w:r>
      <w:r w:rsidR="006D6FF0" w:rsidRPr="006A574A">
        <w:rPr>
          <w:rFonts w:eastAsiaTheme="minorEastAsia" w:cstheme="minorHAnsi"/>
        </w:rPr>
        <w:t xml:space="preserve"> </w:t>
      </w:r>
      <w:r w:rsidR="00D01407" w:rsidRPr="006A574A">
        <w:rPr>
          <w:rFonts w:eastAsiaTheme="minorEastAsia" w:cstheme="minorHAnsi"/>
        </w:rPr>
        <w:t>the agreement was negotiated in secrecy, without any participation by the affected communities.</w:t>
      </w:r>
      <w:r w:rsidR="0018107D" w:rsidRPr="006A574A">
        <w:rPr>
          <w:rStyle w:val="FootnoteReference"/>
          <w:rFonts w:eastAsiaTheme="minorEastAsia" w:cstheme="minorHAnsi"/>
        </w:rPr>
        <w:footnoteReference w:id="21"/>
      </w:r>
      <w:r w:rsidR="00D01407" w:rsidRPr="006A574A">
        <w:rPr>
          <w:rFonts w:eastAsiaTheme="minorEastAsia" w:cstheme="minorHAnsi"/>
        </w:rPr>
        <w:t xml:space="preserve"> </w:t>
      </w:r>
      <w:r w:rsidR="00D01407" w:rsidRPr="006A574A">
        <w:rPr>
          <w:rFonts w:eastAsiaTheme="minorEastAsia" w:cstheme="minorHAnsi"/>
        </w:rPr>
        <w:lastRenderedPageBreak/>
        <w:t>Furthermore, the instrument was signed without the proper consideration of independent assessments on the damage caused by the disaster.</w:t>
      </w:r>
      <w:r w:rsidR="006801C6" w:rsidRPr="006A574A">
        <w:rPr>
          <w:rFonts w:eastAsiaTheme="minorEastAsia" w:cstheme="minorHAnsi"/>
        </w:rPr>
        <w:t xml:space="preserve"> </w:t>
      </w:r>
    </w:p>
    <w:p w14:paraId="7AEF9836" w14:textId="00449157" w:rsidR="00495F62" w:rsidRPr="006A574A" w:rsidRDefault="00495F62" w:rsidP="09798A9A">
      <w:pPr>
        <w:tabs>
          <w:tab w:val="left" w:pos="284"/>
        </w:tabs>
        <w:suppressAutoHyphens/>
        <w:spacing w:line="360" w:lineRule="auto"/>
        <w:jc w:val="both"/>
        <w:rPr>
          <w:rFonts w:eastAsiaTheme="minorEastAsia"/>
          <w:color w:val="000000" w:themeColor="text1"/>
        </w:rPr>
      </w:pPr>
      <w:r w:rsidRPr="09798A9A">
        <w:rPr>
          <w:rFonts w:eastAsiaTheme="minorEastAsia" w:cstheme="minorBidi"/>
          <w:color w:val="000000"/>
        </w:rPr>
        <w:t xml:space="preserve">Another disaster that </w:t>
      </w:r>
      <w:r w:rsidRPr="09798A9A">
        <w:rPr>
          <w:rFonts w:eastAsiaTheme="minorEastAsia" w:cstheme="minorBidi"/>
          <w:color w:val="000000" w:themeColor="text1"/>
        </w:rPr>
        <w:t xml:space="preserve">remains unpunished and where victims are still waiting for reparation </w:t>
      </w:r>
      <w:r w:rsidRPr="09798A9A">
        <w:rPr>
          <w:rFonts w:eastAsiaTheme="minorEastAsia" w:cstheme="minorBidi"/>
          <w:color w:val="000000"/>
        </w:rPr>
        <w:t>is the contamination of the water resources by Norsk Hydro in Barcarena</w:t>
      </w:r>
      <w:r w:rsidRPr="09798A9A">
        <w:rPr>
          <w:rFonts w:eastAsiaTheme="minorEastAsia" w:cstheme="minorBidi"/>
          <w:color w:val="000000" w:themeColor="text1"/>
        </w:rPr>
        <w:t xml:space="preserve"> in 2018 as mentioned </w:t>
      </w:r>
      <w:r w:rsidR="00472137" w:rsidRPr="09798A9A">
        <w:rPr>
          <w:rFonts w:eastAsiaTheme="minorEastAsia" w:cstheme="minorBidi"/>
          <w:color w:val="000000" w:themeColor="text1"/>
        </w:rPr>
        <w:t>before</w:t>
      </w:r>
      <w:r w:rsidRPr="09798A9A">
        <w:rPr>
          <w:rFonts w:eastAsiaTheme="minorEastAsia" w:cstheme="minorBidi"/>
          <w:color w:val="000000"/>
        </w:rPr>
        <w:t xml:space="preserve">. The affected people criticize the agreement made between the company and the Federal Public Prosecutor’s Office, since the latter does not oblige the company to clean, restore and decontaminate the water courses and </w:t>
      </w:r>
      <w:r w:rsidRPr="09798A9A">
        <w:rPr>
          <w:rFonts w:eastAsiaTheme="minorEastAsia" w:cstheme="minorBidi"/>
          <w:color w:val="000000" w:themeColor="text1"/>
        </w:rPr>
        <w:t xml:space="preserve">the agreement </w:t>
      </w:r>
      <w:r w:rsidRPr="09798A9A">
        <w:rPr>
          <w:rFonts w:eastAsiaTheme="minorEastAsia" w:cstheme="minorBidi"/>
          <w:color w:val="000000"/>
        </w:rPr>
        <w:t>does not</w:t>
      </w:r>
      <w:r w:rsidRPr="09798A9A">
        <w:rPr>
          <w:rFonts w:eastAsiaTheme="minorEastAsia" w:cstheme="minorBidi"/>
          <w:color w:val="000000" w:themeColor="text1"/>
        </w:rPr>
        <w:t xml:space="preserve"> foresee the monitoring and evaluation of the</w:t>
      </w:r>
      <w:r w:rsidRPr="09798A9A">
        <w:rPr>
          <w:rFonts w:eastAsiaTheme="minorEastAsia" w:cstheme="minorBidi"/>
          <w:color w:val="000000"/>
        </w:rPr>
        <w:t xml:space="preserve"> toxicity of the tailings. The affected </w:t>
      </w:r>
      <w:r w:rsidRPr="09798A9A">
        <w:rPr>
          <w:rFonts w:eastAsiaTheme="minorEastAsia" w:cstheme="minorBidi"/>
          <w:color w:val="000000" w:themeColor="text1"/>
        </w:rPr>
        <w:t>communities</w:t>
      </w:r>
      <w:r w:rsidRPr="09798A9A">
        <w:rPr>
          <w:rFonts w:eastAsiaTheme="minorEastAsia" w:cstheme="minorBidi"/>
          <w:color w:val="000000"/>
        </w:rPr>
        <w:t xml:space="preserve">, especially quilombola, have been in legal battles to this day, for the right to compensation, filing lawsuits against the company both in Brazil and in the Netherlands. One of these suits demands that toxicological </w:t>
      </w:r>
      <w:r w:rsidRPr="09798A9A">
        <w:rPr>
          <w:rFonts w:eastAsiaTheme="minorEastAsia" w:cstheme="minorBidi"/>
          <w:color w:val="000000" w:themeColor="text1"/>
        </w:rPr>
        <w:t>screenings</w:t>
      </w:r>
      <w:r w:rsidRPr="09798A9A">
        <w:rPr>
          <w:rFonts w:eastAsiaTheme="minorEastAsia" w:cstheme="minorBidi"/>
          <w:color w:val="000000"/>
        </w:rPr>
        <w:t xml:space="preserve"> </w:t>
      </w:r>
      <w:r w:rsidRPr="09798A9A">
        <w:rPr>
          <w:rFonts w:eastAsiaTheme="minorEastAsia" w:cstheme="minorBidi"/>
          <w:color w:val="000000" w:themeColor="text1"/>
        </w:rPr>
        <w:t>shall be</w:t>
      </w:r>
      <w:r w:rsidRPr="09798A9A">
        <w:rPr>
          <w:rFonts w:eastAsiaTheme="minorEastAsia" w:cstheme="minorBidi"/>
          <w:color w:val="000000"/>
        </w:rPr>
        <w:t xml:space="preserve"> conducted in all the affected population of Barcarena</w:t>
      </w:r>
      <w:r w:rsidRPr="09798A9A">
        <w:rPr>
          <w:rFonts w:eastAsiaTheme="minorEastAsia" w:cstheme="minorBidi"/>
          <w:color w:val="000000" w:themeColor="text1"/>
        </w:rPr>
        <w:t xml:space="preserve"> to evaluate the</w:t>
      </w:r>
      <w:r w:rsidRPr="09798A9A">
        <w:rPr>
          <w:rFonts w:eastAsiaTheme="minorEastAsia" w:cstheme="minorBidi"/>
          <w:color w:val="000000"/>
        </w:rPr>
        <w:t xml:space="preserve"> level of contamination caused by the company's action, and thus </w:t>
      </w:r>
      <w:r w:rsidRPr="09798A9A">
        <w:rPr>
          <w:rFonts w:eastAsiaTheme="minorEastAsia" w:cstheme="minorBidi"/>
          <w:color w:val="000000" w:themeColor="text1"/>
        </w:rPr>
        <w:t>inform</w:t>
      </w:r>
      <w:r w:rsidRPr="09798A9A">
        <w:rPr>
          <w:rFonts w:eastAsiaTheme="minorEastAsia" w:cstheme="minorBidi"/>
          <w:color w:val="000000"/>
        </w:rPr>
        <w:t xml:space="preserve"> measures </w:t>
      </w:r>
      <w:r w:rsidRPr="09798A9A">
        <w:rPr>
          <w:rFonts w:eastAsiaTheme="minorEastAsia" w:cstheme="minorBidi"/>
          <w:color w:val="000000" w:themeColor="text1"/>
        </w:rPr>
        <w:t>included in</w:t>
      </w:r>
      <w:r w:rsidRPr="09798A9A">
        <w:rPr>
          <w:rFonts w:eastAsiaTheme="minorEastAsia" w:cstheme="minorBidi"/>
          <w:color w:val="000000"/>
        </w:rPr>
        <w:t xml:space="preserve"> the reparation process.</w:t>
      </w:r>
      <w:r w:rsidRPr="09798A9A">
        <w:rPr>
          <w:rStyle w:val="ncoradanotaderodap"/>
          <w:rFonts w:eastAsiaTheme="minorEastAsia" w:cstheme="minorBidi"/>
          <w:color w:val="000000"/>
        </w:rPr>
        <w:footnoteReference w:id="22"/>
      </w:r>
    </w:p>
    <w:p w14:paraId="3F9D0042" w14:textId="77777777" w:rsidR="00EE4210" w:rsidRDefault="00EE4210" w:rsidP="006A574A">
      <w:pPr>
        <w:spacing w:line="360" w:lineRule="auto"/>
        <w:jc w:val="both"/>
        <w:rPr>
          <w:rFonts w:cstheme="minorHAnsi"/>
          <w:b/>
        </w:rPr>
      </w:pPr>
    </w:p>
    <w:p w14:paraId="4EE53DA8" w14:textId="7BE6405C" w:rsidR="005E6D4D" w:rsidRPr="006A574A" w:rsidRDefault="002B5647" w:rsidP="006A574A">
      <w:pPr>
        <w:spacing w:line="360" w:lineRule="auto"/>
        <w:jc w:val="both"/>
        <w:rPr>
          <w:rFonts w:cstheme="minorHAnsi"/>
          <w:b/>
        </w:rPr>
      </w:pPr>
      <w:r w:rsidRPr="006A574A">
        <w:rPr>
          <w:rFonts w:cstheme="minorHAnsi"/>
          <w:b/>
        </w:rPr>
        <w:t xml:space="preserve">Response to question 6 on </w:t>
      </w:r>
      <w:r w:rsidR="003F40DC" w:rsidRPr="006A574A">
        <w:rPr>
          <w:rFonts w:cstheme="minorHAnsi"/>
          <w:b/>
        </w:rPr>
        <w:t>challenges to elimina</w:t>
      </w:r>
      <w:r w:rsidR="00EE4210">
        <w:rPr>
          <w:rFonts w:cstheme="minorHAnsi"/>
          <w:b/>
        </w:rPr>
        <w:t>te</w:t>
      </w:r>
      <w:r w:rsidR="003F40DC" w:rsidRPr="006A574A">
        <w:rPr>
          <w:rFonts w:cstheme="minorHAnsi"/>
          <w:b/>
        </w:rPr>
        <w:t xml:space="preserve"> exposure to toxics</w:t>
      </w:r>
    </w:p>
    <w:p w14:paraId="708856BC" w14:textId="6DB04E17" w:rsidR="003317C8" w:rsidRPr="006A574A" w:rsidRDefault="00F77373"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color w:val="000000" w:themeColor="text1"/>
        </w:rPr>
        <w:t>In</w:t>
      </w:r>
      <w:r w:rsidR="003317C8" w:rsidRPr="006A574A">
        <w:rPr>
          <w:rFonts w:asciiTheme="minorHAnsi" w:eastAsiaTheme="minorEastAsia" w:hAnsiTheme="minorHAnsi" w:cstheme="minorHAnsi"/>
          <w:color w:val="000000" w:themeColor="text1"/>
        </w:rPr>
        <w:t xml:space="preserve"> recent years, the Brazilian government has adopted a set of regulations and measures, and presented bills, usually without wide and public participation, that have aimed to expand and benefit extractive industries. In addition, </w:t>
      </w:r>
      <w:r w:rsidR="003317C8" w:rsidRPr="006A574A">
        <w:rPr>
          <w:rFonts w:asciiTheme="minorHAnsi" w:eastAsiaTheme="minorEastAsia" w:hAnsiTheme="minorHAnsi" w:cstheme="minorHAnsi"/>
          <w:lang w:val="uz-Cyrl-UZ"/>
        </w:rPr>
        <w:t>many C</w:t>
      </w:r>
      <w:r w:rsidR="003317C8" w:rsidRPr="006A574A">
        <w:rPr>
          <w:rFonts w:asciiTheme="minorHAnsi" w:eastAsiaTheme="minorEastAsia" w:hAnsiTheme="minorHAnsi" w:cstheme="minorHAnsi"/>
          <w:lang w:val="en-GB"/>
        </w:rPr>
        <w:t>ovid</w:t>
      </w:r>
      <w:r w:rsidR="003317C8" w:rsidRPr="006A574A">
        <w:rPr>
          <w:rFonts w:asciiTheme="minorHAnsi" w:eastAsiaTheme="minorEastAsia" w:hAnsiTheme="minorHAnsi" w:cstheme="minorHAnsi"/>
          <w:lang w:val="uz-Cyrl-UZ"/>
        </w:rPr>
        <w:t>-19 recovery plans are envisaging the weakening of environmental licensing</w:t>
      </w:r>
      <w:r w:rsidR="003317C8" w:rsidRPr="006A574A">
        <w:rPr>
          <w:rFonts w:asciiTheme="minorHAnsi" w:eastAsiaTheme="minorEastAsia" w:hAnsiTheme="minorHAnsi" w:cstheme="minorHAnsi"/>
          <w:lang w:val="en-GB"/>
        </w:rPr>
        <w:t>.</w:t>
      </w:r>
      <w:r w:rsidR="003317C8" w:rsidRPr="006A574A">
        <w:rPr>
          <w:rFonts w:asciiTheme="minorHAnsi" w:eastAsiaTheme="minorEastAsia" w:hAnsiTheme="minorHAnsi" w:cstheme="minorHAnsi"/>
          <w:lang w:val="uz-Cyrl-UZ"/>
        </w:rPr>
        <w:t xml:space="preserve"> </w:t>
      </w:r>
      <w:r w:rsidR="00A37E20" w:rsidRPr="006A574A">
        <w:rPr>
          <w:rFonts w:asciiTheme="minorHAnsi" w:eastAsiaTheme="minorEastAsia" w:hAnsiTheme="minorHAnsi" w:cstheme="minorHAnsi"/>
        </w:rPr>
        <w:t>This will particularly increase mining activities that eventually would expose indigenous peoples and other communities to toxics</w:t>
      </w:r>
      <w:r w:rsidR="00B1389D" w:rsidRPr="006A574A">
        <w:rPr>
          <w:rFonts w:asciiTheme="minorHAnsi" w:eastAsiaTheme="minorEastAsia" w:hAnsiTheme="minorHAnsi" w:cstheme="minorHAnsi"/>
        </w:rPr>
        <w:t xml:space="preserve">. </w:t>
      </w:r>
      <w:r w:rsidR="006A4135" w:rsidRPr="006A574A">
        <w:rPr>
          <w:rFonts w:asciiTheme="minorHAnsi" w:eastAsiaTheme="minorEastAsia" w:hAnsiTheme="minorHAnsi" w:cstheme="minorHAnsi"/>
          <w:color w:val="000000" w:themeColor="text1"/>
        </w:rPr>
        <w:t>In addition, the government has attempted to weaken institutions,</w:t>
      </w:r>
      <w:r w:rsidR="006A4135" w:rsidRPr="006A574A">
        <w:rPr>
          <w:rFonts w:asciiTheme="minorHAnsi" w:eastAsiaTheme="minorEastAsia" w:hAnsiTheme="minorHAnsi" w:cstheme="minorHAnsi"/>
          <w:color w:val="000000" w:themeColor="text1"/>
          <w:vertAlign w:val="superscript"/>
        </w:rPr>
        <w:footnoteReference w:id="23"/>
      </w:r>
      <w:r w:rsidR="006A4135" w:rsidRPr="006A574A">
        <w:rPr>
          <w:rFonts w:asciiTheme="minorHAnsi" w:eastAsiaTheme="minorEastAsia" w:hAnsiTheme="minorHAnsi" w:cstheme="minorHAnsi"/>
          <w:color w:val="000000" w:themeColor="text1"/>
        </w:rPr>
        <w:t xml:space="preserve"> such as the Instituto Chico Mendes de Conservação da Biodiversidade”</w:t>
      </w:r>
      <w:r w:rsidR="006A4135" w:rsidRPr="006A574A">
        <w:rPr>
          <w:rFonts w:asciiTheme="minorHAnsi" w:eastAsiaTheme="minorEastAsia" w:hAnsiTheme="minorHAnsi" w:cstheme="minorHAnsi"/>
          <w:color w:val="000000" w:themeColor="text1"/>
          <w:vertAlign w:val="superscript"/>
        </w:rPr>
        <w:footnoteReference w:id="24"/>
      </w:r>
      <w:r w:rsidR="006A4135" w:rsidRPr="006A574A">
        <w:rPr>
          <w:rFonts w:asciiTheme="minorHAnsi" w:eastAsiaTheme="minorEastAsia" w:hAnsiTheme="minorHAnsi" w:cstheme="minorHAnsi"/>
          <w:color w:val="000000" w:themeColor="text1"/>
        </w:rPr>
        <w:t xml:space="preserve"> and the Instituto Brasileiro do Meio Ambiente e dos Recursos Naturais Renováveis,“</w:t>
      </w:r>
      <w:r w:rsidR="006A4135" w:rsidRPr="006A574A">
        <w:rPr>
          <w:rFonts w:asciiTheme="minorHAnsi" w:eastAsiaTheme="minorEastAsia" w:hAnsiTheme="minorHAnsi" w:cstheme="minorHAnsi"/>
          <w:color w:val="000000" w:themeColor="text1"/>
          <w:vertAlign w:val="superscript"/>
        </w:rPr>
        <w:footnoteReference w:id="25"/>
      </w:r>
      <w:r w:rsidR="006A4135" w:rsidRPr="006A574A">
        <w:rPr>
          <w:rFonts w:asciiTheme="minorHAnsi" w:eastAsiaTheme="minorEastAsia" w:hAnsiTheme="minorHAnsi" w:cstheme="minorHAnsi"/>
          <w:color w:val="000000" w:themeColor="text1"/>
        </w:rPr>
        <w:t xml:space="preserve"> </w:t>
      </w:r>
      <w:r w:rsidR="006A4135" w:rsidRPr="006A574A">
        <w:rPr>
          <w:rFonts w:asciiTheme="minorHAnsi" w:eastAsiaTheme="minorEastAsia" w:hAnsiTheme="minorHAnsi" w:cstheme="minorHAnsi"/>
          <w:color w:val="000000" w:themeColor="text1"/>
        </w:rPr>
        <w:lastRenderedPageBreak/>
        <w:t xml:space="preserve">that could effectively supervise and monitor the implementation of environmental regulations and policies. </w:t>
      </w:r>
    </w:p>
    <w:p w14:paraId="39744ACE" w14:textId="050A55E2" w:rsidR="00E31FC2" w:rsidRPr="006A574A" w:rsidRDefault="003317C8" w:rsidP="006A574A">
      <w:pPr>
        <w:pStyle w:val="BodyText"/>
        <w:tabs>
          <w:tab w:val="left" w:pos="284"/>
        </w:tabs>
        <w:spacing w:after="0" w:line="360" w:lineRule="auto"/>
        <w:jc w:val="both"/>
        <w:rPr>
          <w:rFonts w:asciiTheme="minorHAnsi" w:eastAsiaTheme="minorEastAsia" w:hAnsiTheme="minorHAnsi" w:cstheme="minorHAnsi"/>
          <w:color w:val="000000" w:themeColor="text1"/>
        </w:rPr>
      </w:pPr>
      <w:r w:rsidRPr="006A574A">
        <w:rPr>
          <w:rFonts w:asciiTheme="minorHAnsi" w:eastAsiaTheme="minorEastAsia" w:hAnsiTheme="minorHAnsi" w:cstheme="minorHAnsi"/>
          <w:lang w:val="en-GB"/>
        </w:rPr>
        <w:t>T</w:t>
      </w:r>
      <w:r w:rsidRPr="006A574A">
        <w:rPr>
          <w:rFonts w:asciiTheme="minorHAnsi" w:eastAsiaTheme="minorEastAsia" w:hAnsiTheme="minorHAnsi" w:cstheme="minorHAnsi"/>
          <w:lang w:val="uz-Cyrl-UZ"/>
        </w:rPr>
        <w:t>he Bill on Environmental Licensing (PL 3729/04) proposes to get rid of the obligation to conduct any environmental or human rights impact assessments when granting environmental licenses</w:t>
      </w:r>
      <w:r w:rsidRPr="006A574A">
        <w:rPr>
          <w:rFonts w:asciiTheme="minorHAnsi" w:eastAsiaTheme="minorEastAsia" w:hAnsiTheme="minorHAnsi" w:cstheme="minorHAnsi"/>
          <w:lang w:val="en-GB"/>
        </w:rPr>
        <w:t xml:space="preserve"> to various industries</w:t>
      </w:r>
      <w:r w:rsidRPr="006A574A">
        <w:rPr>
          <w:rFonts w:asciiTheme="minorHAnsi" w:eastAsiaTheme="minorEastAsia" w:hAnsiTheme="minorHAnsi" w:cstheme="minorHAnsi"/>
          <w:lang w:val="uz-Cyrl-UZ"/>
        </w:rPr>
        <w:t xml:space="preserve"> on indigenous and traditional lands.</w:t>
      </w:r>
      <w:r w:rsidRPr="006A574A">
        <w:rPr>
          <w:rFonts w:asciiTheme="minorHAnsi" w:eastAsiaTheme="minorEastAsia" w:hAnsiTheme="minorHAnsi" w:cstheme="minorHAnsi"/>
          <w:lang w:val="en-GB"/>
        </w:rPr>
        <w:t xml:space="preserve"> If adopted, t</w:t>
      </w:r>
      <w:r w:rsidRPr="006A574A">
        <w:rPr>
          <w:rFonts w:asciiTheme="minorHAnsi" w:eastAsiaTheme="minorEastAsia" w:hAnsiTheme="minorHAnsi" w:cstheme="minorHAnsi"/>
          <w:color w:val="000000" w:themeColor="text1"/>
        </w:rPr>
        <w:t xml:space="preserve">his would facilitate a possible expansion of mining projects by reducing the regulation of their activities. </w:t>
      </w:r>
    </w:p>
    <w:p w14:paraId="3D0ECA55" w14:textId="5782EDCF" w:rsidR="003317C8" w:rsidRPr="006A574A" w:rsidRDefault="003317C8" w:rsidP="006A574A">
      <w:pPr>
        <w:pStyle w:val="BodyText"/>
        <w:tabs>
          <w:tab w:val="left" w:pos="284"/>
        </w:tabs>
        <w:spacing w:after="0" w:line="360" w:lineRule="auto"/>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t>The licensing process could be subject to regressive amendments</w:t>
      </w:r>
      <w:r w:rsidR="00F008CD" w:rsidRPr="006A574A">
        <w:rPr>
          <w:rStyle w:val="FootnoteReference"/>
          <w:rFonts w:asciiTheme="minorHAnsi" w:eastAsiaTheme="minorEastAsia" w:hAnsiTheme="minorHAnsi" w:cstheme="minorHAnsi"/>
          <w:color w:val="000000" w:themeColor="text1"/>
        </w:rPr>
        <w:footnoteReference w:id="26"/>
      </w:r>
      <w:r w:rsidR="00F008CD" w:rsidRPr="006A574A">
        <w:rPr>
          <w:rFonts w:asciiTheme="minorHAnsi" w:eastAsiaTheme="minorEastAsia" w:hAnsiTheme="minorHAnsi" w:cstheme="minorHAnsi"/>
          <w:color w:val="000000" w:themeColor="text1"/>
        </w:rPr>
        <w:t xml:space="preserve"> </w:t>
      </w:r>
      <w:r w:rsidRPr="006A574A">
        <w:rPr>
          <w:rFonts w:asciiTheme="minorHAnsi" w:eastAsiaTheme="minorEastAsia" w:hAnsiTheme="minorHAnsi" w:cstheme="minorHAnsi"/>
          <w:color w:val="000000" w:themeColor="text1"/>
        </w:rPr>
        <w:t xml:space="preserve"> particularly through the bill (PL- “</w:t>
      </w:r>
      <w:r w:rsidRPr="006A574A">
        <w:rPr>
          <w:rFonts w:asciiTheme="minorHAnsi" w:eastAsiaTheme="minorEastAsia" w:hAnsiTheme="minorHAnsi" w:cstheme="minorHAnsi"/>
          <w:i/>
          <w:color w:val="000000" w:themeColor="text1"/>
          <w:lang w:eastAsia="pt-BR" w:bidi="pt-BR"/>
        </w:rPr>
        <w:t>projeto de lei</w:t>
      </w:r>
      <w:r w:rsidRPr="006A574A">
        <w:rPr>
          <w:rFonts w:asciiTheme="minorHAnsi" w:eastAsiaTheme="minorEastAsia" w:hAnsiTheme="minorHAnsi" w:cstheme="minorHAnsi"/>
          <w:color w:val="000000" w:themeColor="text1"/>
          <w:lang w:eastAsia="pt-BR" w:bidi="pt-BR"/>
        </w:rPr>
        <w:t>”</w:t>
      </w:r>
      <w:r w:rsidRPr="006A574A">
        <w:rPr>
          <w:rFonts w:asciiTheme="minorHAnsi" w:eastAsiaTheme="minorEastAsia" w:hAnsiTheme="minorHAnsi" w:cstheme="minorHAnsi"/>
          <w:color w:val="000000" w:themeColor="text1"/>
        </w:rPr>
        <w:t>) 2159/2021, which is currently in the Lower House (</w:t>
      </w:r>
      <w:r w:rsidRPr="006A574A">
        <w:rPr>
          <w:rFonts w:asciiTheme="minorHAnsi" w:eastAsiaTheme="minorEastAsia" w:hAnsiTheme="minorHAnsi" w:cstheme="minorHAnsi"/>
          <w:i/>
          <w:color w:val="000000" w:themeColor="text1"/>
        </w:rPr>
        <w:t>Camara dos deputados</w:t>
      </w:r>
      <w:r w:rsidRPr="006A574A">
        <w:rPr>
          <w:rFonts w:asciiTheme="minorHAnsi" w:eastAsiaTheme="minorEastAsia" w:hAnsiTheme="minorHAnsi" w:cstheme="minorHAnsi"/>
          <w:color w:val="000000" w:themeColor="text1"/>
        </w:rPr>
        <w:t>) as PL 3729/2004. Issues related to this bill include that</w:t>
      </w:r>
      <w:r w:rsidRPr="006A574A">
        <w:rPr>
          <w:rStyle w:val="ncoradanotaderodap"/>
          <w:rFonts w:asciiTheme="minorHAnsi" w:eastAsiaTheme="minorEastAsia" w:hAnsiTheme="minorHAnsi" w:cstheme="minorHAnsi"/>
          <w:color w:val="000000"/>
        </w:rPr>
        <w:footnoteReference w:id="27"/>
      </w:r>
      <w:r w:rsidRPr="006A574A">
        <w:rPr>
          <w:rFonts w:asciiTheme="minorHAnsi" w:eastAsiaTheme="minorEastAsia" w:hAnsiTheme="minorHAnsi" w:cstheme="minorHAnsi"/>
          <w:color w:val="000000" w:themeColor="text1"/>
        </w:rPr>
        <w:t>:</w:t>
      </w:r>
    </w:p>
    <w:p w14:paraId="7B74E41C" w14:textId="77777777" w:rsidR="003317C8" w:rsidRPr="006A574A" w:rsidRDefault="003317C8" w:rsidP="006A574A">
      <w:pPr>
        <w:pStyle w:val="BodyText"/>
        <w:numPr>
          <w:ilvl w:val="1"/>
          <w:numId w:val="6"/>
        </w:numPr>
        <w:tabs>
          <w:tab w:val="left" w:pos="851"/>
        </w:tabs>
        <w:spacing w:after="0" w:line="360" w:lineRule="auto"/>
        <w:ind w:left="567" w:firstLine="0"/>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t xml:space="preserve">It would benefit the mining sector and would only exclude large and/or high-risk projects. This does not consider the pollution that medium or smaller projects could create. </w:t>
      </w:r>
    </w:p>
    <w:p w14:paraId="4E600014" w14:textId="77777777" w:rsidR="003317C8" w:rsidRPr="006A574A" w:rsidRDefault="003317C8" w:rsidP="006A574A">
      <w:pPr>
        <w:pStyle w:val="BodyText"/>
        <w:numPr>
          <w:ilvl w:val="1"/>
          <w:numId w:val="6"/>
        </w:numPr>
        <w:tabs>
          <w:tab w:val="left" w:pos="851"/>
        </w:tabs>
        <w:spacing w:after="0" w:line="360" w:lineRule="auto"/>
        <w:ind w:left="567" w:firstLine="0"/>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t xml:space="preserve">It would waive the requirement to request some license for parts or the totality of a project and activity and it would introduce new types of environmental licensing aiming to regularize some operations and projects that were carried out in part or in totality without authorization. </w:t>
      </w:r>
    </w:p>
    <w:p w14:paraId="53EFED7C" w14:textId="77777777" w:rsidR="003317C8" w:rsidRPr="006A574A" w:rsidRDefault="003317C8" w:rsidP="006A574A">
      <w:pPr>
        <w:pStyle w:val="BodyText"/>
        <w:numPr>
          <w:ilvl w:val="1"/>
          <w:numId w:val="6"/>
        </w:numPr>
        <w:tabs>
          <w:tab w:val="left" w:pos="851"/>
        </w:tabs>
        <w:spacing w:after="0" w:line="360" w:lineRule="auto"/>
        <w:ind w:left="567" w:firstLine="0"/>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t xml:space="preserve">It would reduce licensing requirements for those authorizations obtained by means of use permits, by considering these mining applications as a simple expansion of the usage permit. </w:t>
      </w:r>
    </w:p>
    <w:p w14:paraId="36768F4E" w14:textId="71EC3A62" w:rsidR="003317C8" w:rsidRPr="006A574A" w:rsidRDefault="003317C8" w:rsidP="006A574A">
      <w:pPr>
        <w:pStyle w:val="BodyText"/>
        <w:numPr>
          <w:ilvl w:val="1"/>
          <w:numId w:val="6"/>
        </w:numPr>
        <w:tabs>
          <w:tab w:val="left" w:pos="851"/>
        </w:tabs>
        <w:spacing w:after="0" w:line="360" w:lineRule="auto"/>
        <w:ind w:left="567" w:firstLine="0"/>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t>As it was observed in concrete cases, it reinforces the use of non-judicial mechanisms such as negotiation, mediation, and conciliation, for conflict resolution. In fact, the cases of Mariana and Brumadinho showed that these mechanisms have been ineffective due to the lack of transparency and participation of affected communities,</w:t>
      </w:r>
      <w:r w:rsidR="00EE4210">
        <w:rPr>
          <w:rFonts w:asciiTheme="minorHAnsi" w:eastAsiaTheme="minorEastAsia" w:hAnsiTheme="minorHAnsi" w:cstheme="minorHAnsi"/>
          <w:color w:val="000000" w:themeColor="text1"/>
        </w:rPr>
        <w:t xml:space="preserve"> </w:t>
      </w:r>
      <w:r w:rsidRPr="006A574A">
        <w:rPr>
          <w:rFonts w:asciiTheme="minorHAnsi" w:eastAsiaTheme="minorEastAsia" w:hAnsiTheme="minorHAnsi" w:cstheme="minorHAnsi"/>
          <w:color w:val="000000" w:themeColor="text1"/>
        </w:rPr>
        <w:t xml:space="preserve">and put obstacles to access judicial remedies for the victims.  </w:t>
      </w:r>
    </w:p>
    <w:p w14:paraId="7D647454" w14:textId="77777777" w:rsidR="003317C8" w:rsidRPr="006A574A" w:rsidRDefault="003317C8" w:rsidP="006A574A">
      <w:pPr>
        <w:pStyle w:val="BodyText"/>
        <w:numPr>
          <w:ilvl w:val="1"/>
          <w:numId w:val="6"/>
        </w:numPr>
        <w:tabs>
          <w:tab w:val="left" w:pos="851"/>
        </w:tabs>
        <w:spacing w:after="0" w:line="360" w:lineRule="auto"/>
        <w:ind w:left="567" w:firstLine="0"/>
        <w:jc w:val="both"/>
        <w:rPr>
          <w:rFonts w:asciiTheme="minorHAnsi" w:eastAsiaTheme="minorEastAsia" w:hAnsiTheme="minorHAnsi" w:cstheme="minorHAnsi"/>
          <w:color w:val="000000"/>
        </w:rPr>
      </w:pPr>
      <w:r w:rsidRPr="006A574A">
        <w:rPr>
          <w:rFonts w:asciiTheme="minorHAnsi" w:eastAsiaTheme="minorEastAsia" w:hAnsiTheme="minorHAnsi" w:cstheme="minorHAnsi"/>
          <w:color w:val="000000" w:themeColor="text1"/>
        </w:rPr>
        <w:lastRenderedPageBreak/>
        <w:t>It would waive environmental licensing when the activity is linked to “</w:t>
      </w:r>
      <w:r w:rsidRPr="006A574A">
        <w:rPr>
          <w:rFonts w:asciiTheme="minorHAnsi" w:hAnsiTheme="minorHAnsi" w:cstheme="minorHAnsi"/>
        </w:rPr>
        <w:t xml:space="preserve">urgent works and interventions aimed at preventing the occurrence of imminent environmental damage or interrupt a situation that creates a risk to life.” In reality, this could be misused by companies to bypass the licensing process as this does not require an assessment to verify </w:t>
      </w:r>
      <w:r w:rsidRPr="006A574A">
        <w:rPr>
          <w:rFonts w:asciiTheme="minorHAnsi" w:eastAsiaTheme="minorEastAsia" w:hAnsiTheme="minorHAnsi" w:cstheme="minorHAnsi"/>
          <w:color w:val="000000" w:themeColor="text1"/>
        </w:rPr>
        <w:t>the institutional ability to guarantee the safety of these structures or under the supervision of independent technical experts.</w:t>
      </w:r>
    </w:p>
    <w:p w14:paraId="309C60DB" w14:textId="77777777" w:rsidR="00EE4210" w:rsidRDefault="00EE4210" w:rsidP="006A574A">
      <w:pPr>
        <w:tabs>
          <w:tab w:val="left" w:pos="567"/>
          <w:tab w:val="left" w:pos="851"/>
        </w:tabs>
        <w:suppressAutoHyphens/>
        <w:spacing w:line="360" w:lineRule="auto"/>
        <w:jc w:val="both"/>
        <w:rPr>
          <w:rFonts w:eastAsiaTheme="minorEastAsia" w:cstheme="minorHAnsi"/>
        </w:rPr>
      </w:pPr>
    </w:p>
    <w:p w14:paraId="7889C60C" w14:textId="0E88C93A" w:rsidR="002E02DC" w:rsidRPr="006A574A" w:rsidRDefault="003317C8" w:rsidP="006A574A">
      <w:pPr>
        <w:tabs>
          <w:tab w:val="left" w:pos="567"/>
          <w:tab w:val="left" w:pos="851"/>
        </w:tabs>
        <w:suppressAutoHyphens/>
        <w:spacing w:line="360" w:lineRule="auto"/>
        <w:jc w:val="both"/>
        <w:rPr>
          <w:rFonts w:eastAsiaTheme="minorEastAsia" w:cstheme="minorHAnsi"/>
        </w:rPr>
      </w:pPr>
      <w:r w:rsidRPr="006A574A">
        <w:rPr>
          <w:rFonts w:eastAsiaTheme="minorEastAsia" w:cstheme="minorHAnsi"/>
        </w:rPr>
        <w:t xml:space="preserve">The </w:t>
      </w:r>
      <w:r w:rsidR="00773C1C" w:rsidRPr="006A574A">
        <w:rPr>
          <w:rFonts w:eastAsiaTheme="minorEastAsia" w:cstheme="minorHAnsi"/>
        </w:rPr>
        <w:t>Bill</w:t>
      </w:r>
      <w:r w:rsidRPr="006A574A">
        <w:rPr>
          <w:rFonts w:eastAsiaTheme="minorEastAsia" w:cstheme="minorHAnsi"/>
        </w:rPr>
        <w:t xml:space="preserve"> 2644/2020 is currently at the Senate; if passed, it would allow for the expansion of the land regularization process to the detriment of communities and would pose the risk of additional deforestation of up to sixteen thousand square kilometers by 2027.</w:t>
      </w:r>
      <w:r w:rsidRPr="006A574A">
        <w:rPr>
          <w:rStyle w:val="ncoradanotaderodap"/>
          <w:rFonts w:eastAsiaTheme="minorEastAsia" w:cstheme="minorHAnsi"/>
        </w:rPr>
        <w:footnoteReference w:id="28"/>
      </w:r>
      <w:r w:rsidRPr="006A574A">
        <w:rPr>
          <w:rFonts w:eastAsiaTheme="minorEastAsia" w:cstheme="minorHAnsi"/>
        </w:rPr>
        <w:t xml:space="preserve">  This </w:t>
      </w:r>
      <w:r w:rsidR="00773C1C" w:rsidRPr="006A574A">
        <w:rPr>
          <w:rFonts w:eastAsiaTheme="minorEastAsia" w:cstheme="minorHAnsi"/>
        </w:rPr>
        <w:t>bill</w:t>
      </w:r>
      <w:r w:rsidRPr="006A574A">
        <w:rPr>
          <w:rFonts w:eastAsiaTheme="minorEastAsia" w:cstheme="minorHAnsi"/>
        </w:rPr>
        <w:t xml:space="preserve"> is referred to as the “</w:t>
      </w:r>
      <w:r w:rsidRPr="006A574A">
        <w:rPr>
          <w:rFonts w:eastAsiaTheme="minorEastAsia" w:cstheme="minorHAnsi"/>
          <w:i/>
        </w:rPr>
        <w:t>grilagem</w:t>
      </w:r>
      <w:r w:rsidRPr="006A574A">
        <w:rPr>
          <w:rFonts w:eastAsiaTheme="minorEastAsia" w:cstheme="minorHAnsi"/>
        </w:rPr>
        <w:t xml:space="preserve"> </w:t>
      </w:r>
      <w:r w:rsidR="00773C1C" w:rsidRPr="006A574A">
        <w:rPr>
          <w:rFonts w:eastAsiaTheme="minorEastAsia" w:cstheme="minorHAnsi"/>
        </w:rPr>
        <w:t>bill</w:t>
      </w:r>
      <w:r w:rsidRPr="006A574A">
        <w:rPr>
          <w:rFonts w:eastAsiaTheme="minorEastAsia" w:cstheme="minorHAnsi"/>
        </w:rPr>
        <w:t>”</w:t>
      </w:r>
      <w:r w:rsidRPr="006A574A">
        <w:rPr>
          <w:rStyle w:val="FootnoteReference"/>
          <w:rFonts w:eastAsiaTheme="minorEastAsia" w:cstheme="minorHAnsi"/>
        </w:rPr>
        <w:footnoteReference w:id="29"/>
      </w:r>
      <w:r w:rsidRPr="006A574A">
        <w:rPr>
          <w:rFonts w:eastAsiaTheme="minorEastAsia" w:cstheme="minorHAnsi"/>
        </w:rPr>
        <w:t xml:space="preserve"> or the “regularization of illegal occupation project” </w:t>
      </w:r>
      <w:r w:rsidR="00997115" w:rsidRPr="006A574A">
        <w:rPr>
          <w:rFonts w:eastAsiaTheme="minorEastAsia" w:cstheme="minorHAnsi"/>
        </w:rPr>
        <w:t xml:space="preserve">because it would </w:t>
      </w:r>
      <w:r w:rsidR="002E02DC" w:rsidRPr="006A574A">
        <w:rPr>
          <w:rFonts w:eastAsiaTheme="minorEastAsia" w:cstheme="minorHAnsi"/>
        </w:rPr>
        <w:t xml:space="preserve">establish a self-declaration process that would </w:t>
      </w:r>
      <w:r w:rsidR="00191FF4" w:rsidRPr="006A574A">
        <w:rPr>
          <w:rFonts w:eastAsiaTheme="minorEastAsia" w:cstheme="minorHAnsi"/>
        </w:rPr>
        <w:t xml:space="preserve"> </w:t>
      </w:r>
      <w:r w:rsidR="002E02DC" w:rsidRPr="006A574A">
        <w:rPr>
          <w:rFonts w:eastAsiaTheme="minorEastAsia" w:cstheme="minorHAnsi"/>
        </w:rPr>
        <w:t>would favor the regularization of land in favor of land grabbers even when there are disputes involving traditional communities’ claims over the ownership of the lands, and it makes it easier for illegal land grabs, including squatters</w:t>
      </w:r>
      <w:r w:rsidR="00FE7BEA" w:rsidRPr="006A574A">
        <w:rPr>
          <w:rFonts w:eastAsiaTheme="minorEastAsia" w:cstheme="minorHAnsi"/>
        </w:rPr>
        <w:t>,</w:t>
      </w:r>
      <w:r w:rsidR="002E02DC" w:rsidRPr="006A574A">
        <w:rPr>
          <w:rFonts w:eastAsiaTheme="minorEastAsia" w:cstheme="minorHAnsi"/>
        </w:rPr>
        <w:t xml:space="preserve"> to take possession over Conservation Units and lands occupied by indigenous peoples or quilombolas. </w:t>
      </w:r>
    </w:p>
    <w:p w14:paraId="74FFD972" w14:textId="04DAFC0D" w:rsidR="00FC607C" w:rsidRPr="006A574A" w:rsidRDefault="00FC607C" w:rsidP="006A574A">
      <w:pPr>
        <w:tabs>
          <w:tab w:val="left" w:pos="567"/>
          <w:tab w:val="left" w:pos="851"/>
        </w:tabs>
        <w:suppressAutoHyphens/>
        <w:spacing w:line="360" w:lineRule="auto"/>
        <w:jc w:val="both"/>
        <w:rPr>
          <w:rStyle w:val="eop"/>
          <w:rFonts w:cstheme="minorHAnsi"/>
          <w:shd w:val="clear" w:color="auto" w:fill="FFFFFF"/>
        </w:rPr>
      </w:pPr>
      <w:r w:rsidRPr="006A574A">
        <w:rPr>
          <w:rStyle w:val="normaltextrun"/>
          <w:rFonts w:cstheme="minorHAnsi"/>
          <w:shd w:val="clear" w:color="auto" w:fill="FFFFFF"/>
        </w:rPr>
        <w:t>Moreover, and in addition to bills that would create less protective, and more lenient and simplified environmental licensing procedures,</w:t>
      </w:r>
      <w:r w:rsidR="00722558" w:rsidRPr="006A574A">
        <w:rPr>
          <w:rStyle w:val="FootnoteReference"/>
          <w:rFonts w:eastAsiaTheme="minorEastAsia" w:cstheme="minorHAnsi"/>
          <w:color w:val="000000" w:themeColor="text1"/>
        </w:rPr>
        <w:footnoteReference w:id="30"/>
      </w:r>
      <w:r w:rsidRPr="006A574A">
        <w:rPr>
          <w:rStyle w:val="normaltextrun"/>
          <w:rFonts w:cstheme="minorHAnsi"/>
          <w:shd w:val="clear" w:color="auto" w:fill="FFFFFF"/>
        </w:rPr>
        <w:t xml:space="preserve"> there are two bills currently threatening indigenous lands. PL 490/2007, on the so called “</w:t>
      </w:r>
      <w:r w:rsidRPr="006A574A">
        <w:rPr>
          <w:rStyle w:val="normaltextrun"/>
          <w:rFonts w:cstheme="minorHAnsi"/>
          <w:i/>
          <w:iCs/>
          <w:shd w:val="clear" w:color="auto" w:fill="FFFFFF"/>
        </w:rPr>
        <w:t>marco temporal</w:t>
      </w:r>
      <w:r w:rsidRPr="006A574A">
        <w:rPr>
          <w:rStyle w:val="normaltextrun"/>
          <w:rFonts w:cstheme="minorHAnsi"/>
          <w:shd w:val="clear" w:color="auto" w:fill="FFFFFF"/>
        </w:rPr>
        <w:t xml:space="preserve">” or time frame for the recognition of indigenous lands, and PL 191/2020, which regulates mineral activity on indigenous lands. The discussion of PL 490/2007 was reopened in 2021 when the Constitution and Justice Commission (CCJ) -the organ that approved the original draft law - established “October 5, 1988” (the date of entry into force of the Federal Constitution) as the date as of which indigenous peoples must prove that they had </w:t>
      </w:r>
      <w:r w:rsidRPr="006A574A">
        <w:rPr>
          <w:rStyle w:val="normaltextrun"/>
          <w:rFonts w:cstheme="minorHAnsi"/>
          <w:shd w:val="clear" w:color="auto" w:fill="FFFFFF"/>
        </w:rPr>
        <w:lastRenderedPageBreak/>
        <w:t>possession and occupied the relevant land in order to be granted recognition. This bill has been contested, including by United Nations experts, because this arbitrary date “ignores the fact that indigenous peoples may have been forcibly removed from their lands before that date”</w:t>
      </w:r>
      <w:r w:rsidR="006D316F" w:rsidRPr="006A574A">
        <w:rPr>
          <w:rFonts w:ascii="Calibri" w:eastAsia="Calibri" w:hAnsi="Calibri" w:cs="Calibri"/>
          <w:color w:val="000000" w:themeColor="text1"/>
        </w:rPr>
        <w:t xml:space="preserve"> </w:t>
      </w:r>
      <w:r w:rsidR="006D316F" w:rsidRPr="006A574A">
        <w:rPr>
          <w:rStyle w:val="FootnoteReference"/>
          <w:rFonts w:ascii="Calibri" w:eastAsia="Calibri" w:hAnsi="Calibri" w:cs="Calibri"/>
          <w:color w:val="000000" w:themeColor="text1"/>
        </w:rPr>
        <w:footnoteReference w:id="31"/>
      </w:r>
      <w:r w:rsidRPr="006A574A">
        <w:rPr>
          <w:rStyle w:val="normaltextrun"/>
          <w:rFonts w:cstheme="minorHAnsi"/>
          <w:shd w:val="clear" w:color="auto" w:fill="FFFFFF"/>
        </w:rPr>
        <w:t xml:space="preserve"> and that they are the original inhabitants of the lands and territories. The bill also allows for easier contact with isolated peoples and allows for the legalization of development projects in reserve areas</w:t>
      </w:r>
      <w:r w:rsidR="00323C41" w:rsidRPr="006A574A">
        <w:rPr>
          <w:rStyle w:val="normaltextrun"/>
          <w:rFonts w:cstheme="minorHAnsi"/>
          <w:shd w:val="clear" w:color="auto" w:fill="FFFFFF"/>
        </w:rPr>
        <w:t>.</w:t>
      </w:r>
      <w:r w:rsidR="00323C41" w:rsidRPr="006A574A">
        <w:rPr>
          <w:rFonts w:ascii="Calibri" w:eastAsia="Calibri" w:hAnsi="Calibri" w:cs="Calibri"/>
          <w:color w:val="000000" w:themeColor="text1"/>
        </w:rPr>
        <w:t xml:space="preserve"> </w:t>
      </w:r>
      <w:r w:rsidR="00323C41" w:rsidRPr="006A574A">
        <w:rPr>
          <w:rStyle w:val="FootnoteReference"/>
          <w:rFonts w:ascii="Calibri" w:eastAsia="Calibri" w:hAnsi="Calibri" w:cs="Calibri"/>
          <w:color w:val="000000" w:themeColor="text1"/>
        </w:rPr>
        <w:footnoteReference w:id="32"/>
      </w:r>
    </w:p>
    <w:p w14:paraId="25428B85" w14:textId="25AFA109" w:rsidR="003322DD" w:rsidRPr="00F84EAD" w:rsidRDefault="00405633" w:rsidP="006A574A">
      <w:pPr>
        <w:spacing w:line="360" w:lineRule="auto"/>
        <w:jc w:val="both"/>
        <w:rPr>
          <w:rFonts w:cstheme="minorHAnsi"/>
          <w:color w:val="000000"/>
          <w:shd w:val="clear" w:color="auto" w:fill="FFFFFF"/>
          <w:vertAlign w:val="superscript"/>
        </w:rPr>
      </w:pPr>
      <w:r w:rsidRPr="006A574A">
        <w:rPr>
          <w:rFonts w:eastAsiaTheme="minorEastAsia" w:cstheme="minorHAnsi"/>
          <w:color w:val="000000"/>
          <w:kern w:val="1"/>
          <w:lang w:eastAsia="zh-CN" w:bidi="hi-IN"/>
        </w:rPr>
        <w:t>The Lower House will be voting on PL 191/2020. This bill allows exploration and exploitation of mineral and hydrocarbon resources in indigenous lands, as well as of water resources to generate electricity. Despite providing for consultations with indigenous peoples, the bill allows for the Federal government to send authorization requests for exploitation or exploration to Congress, even if indigenous communities are opposed to it. The discussion of this bill was recently re-opened; UN experts previously shared their concern if this is adopted.</w:t>
      </w:r>
      <w:r w:rsidR="008A008C" w:rsidRPr="006A574A">
        <w:rPr>
          <w:rStyle w:val="FootnoteReference"/>
          <w:rFonts w:ascii="Calibri" w:eastAsia="Calibri" w:hAnsi="Calibri" w:cs="Calibri"/>
          <w:color w:val="000000" w:themeColor="text1"/>
        </w:rPr>
        <w:footnoteReference w:id="33"/>
      </w:r>
    </w:p>
    <w:sectPr w:rsidR="003322DD" w:rsidRPr="00F84EAD" w:rsidSect="00ED053D">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5B8A" w14:textId="77777777" w:rsidR="00692FAC" w:rsidRDefault="00692FAC" w:rsidP="00FC29FA">
      <w:r>
        <w:separator/>
      </w:r>
    </w:p>
  </w:endnote>
  <w:endnote w:type="continuationSeparator" w:id="0">
    <w:p w14:paraId="16A9CBA4" w14:textId="77777777" w:rsidR="00692FAC" w:rsidRDefault="00692FAC" w:rsidP="00F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068898"/>
      <w:docPartObj>
        <w:docPartGallery w:val="Page Numbers (Bottom of Page)"/>
        <w:docPartUnique/>
      </w:docPartObj>
    </w:sdtPr>
    <w:sdtEndPr>
      <w:rPr>
        <w:noProof/>
      </w:rPr>
    </w:sdtEndPr>
    <w:sdtContent>
      <w:p w14:paraId="3A583A19" w14:textId="21E7B5FC" w:rsidR="00373EF9" w:rsidRDefault="00BE140D">
        <w:pPr>
          <w:pStyle w:val="Footer"/>
          <w:jc w:val="center"/>
        </w:pPr>
        <w:r>
          <w:fldChar w:fldCharType="begin"/>
        </w:r>
        <w:r>
          <w:instrText xml:space="preserve"> PAGE   \* MERGEFORMAT </w:instrText>
        </w:r>
        <w:r>
          <w:fldChar w:fldCharType="separate"/>
        </w:r>
        <w:r w:rsidR="0064016E">
          <w:rPr>
            <w:noProof/>
          </w:rPr>
          <w:t>3</w:t>
        </w:r>
        <w:r>
          <w:rPr>
            <w:noProof/>
          </w:rPr>
          <w:fldChar w:fldCharType="end"/>
        </w:r>
      </w:p>
    </w:sdtContent>
  </w:sdt>
  <w:p w14:paraId="65B99E2E" w14:textId="77777777" w:rsidR="00A93F3F" w:rsidRDefault="00692FAC" w:rsidP="00F8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1364" w14:textId="77777777" w:rsidR="002A5615" w:rsidRPr="002A5615" w:rsidRDefault="00692FAC" w:rsidP="002A5615">
    <w:pPr>
      <w:tabs>
        <w:tab w:val="center" w:pos="4153"/>
        <w:tab w:val="right" w:pos="8306"/>
      </w:tabs>
      <w:rPr>
        <w:noProof/>
      </w:rPr>
    </w:pPr>
  </w:p>
  <w:p w14:paraId="16A8DF0A" w14:textId="77777777" w:rsidR="0044209B" w:rsidRPr="003F10CA" w:rsidRDefault="00692FAC" w:rsidP="0044209B">
    <w:pPr>
      <w:pStyle w:val="Footer"/>
      <w:tabs>
        <w:tab w:val="left" w:pos="567"/>
      </w:tabs>
    </w:pPr>
  </w:p>
  <w:p w14:paraId="678131D6" w14:textId="20C62CA2" w:rsidR="00A93F3F" w:rsidRPr="00282983" w:rsidRDefault="00692FAC"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1B60" w14:textId="77777777" w:rsidR="00692FAC" w:rsidRDefault="00692FAC" w:rsidP="00FC29FA">
      <w:r>
        <w:separator/>
      </w:r>
    </w:p>
  </w:footnote>
  <w:footnote w:type="continuationSeparator" w:id="0">
    <w:p w14:paraId="1BA0DED6" w14:textId="77777777" w:rsidR="00692FAC" w:rsidRDefault="00692FAC" w:rsidP="00FC29FA">
      <w:r>
        <w:continuationSeparator/>
      </w:r>
    </w:p>
  </w:footnote>
  <w:footnote w:id="1">
    <w:p w14:paraId="5B2176A0" w14:textId="00A2A7E4" w:rsidR="00227747" w:rsidRPr="006A574A" w:rsidRDefault="00227747"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w:t>
      </w:r>
      <w:r w:rsidR="00F212E1" w:rsidRPr="006A574A">
        <w:rPr>
          <w:rFonts w:asciiTheme="minorHAnsi" w:eastAsiaTheme="minorEastAsia" w:hAnsiTheme="minorHAnsi" w:cstheme="minorHAnsi"/>
          <w:color w:val="000000" w:themeColor="text1"/>
        </w:rPr>
        <w:t xml:space="preserve">The term “conflict” </w:t>
      </w:r>
      <w:r w:rsidR="003B7AD3" w:rsidRPr="006A574A">
        <w:rPr>
          <w:rFonts w:asciiTheme="minorHAnsi" w:eastAsiaTheme="minorEastAsia" w:hAnsiTheme="minorHAnsi" w:cstheme="minorHAnsi"/>
          <w:color w:val="000000" w:themeColor="text1"/>
        </w:rPr>
        <w:t>includes</w:t>
      </w:r>
      <w:r w:rsidR="00F212E1" w:rsidRPr="006A574A">
        <w:rPr>
          <w:rFonts w:asciiTheme="minorHAnsi" w:eastAsiaTheme="minorEastAsia" w:hAnsiTheme="minorHAnsi" w:cstheme="minorHAnsi"/>
          <w:color w:val="000000" w:themeColor="text1"/>
        </w:rPr>
        <w:t xml:space="preserve"> situations produced by, on the one hand, actions and reactions of affected communities to the practices, strategies and impacts of extractive activities (such as protests and complaints). On the other hand, it will also include those activities that change the lifestyles and livelihoods of communities and degrade their environment during the different stages of the concerned megaprojects (extraction, processing, and construction of infrastructure). </w:t>
      </w:r>
      <w:r w:rsidR="003B7AD3" w:rsidRPr="006A574A">
        <w:rPr>
          <w:rFonts w:asciiTheme="minorHAnsi" w:eastAsiaTheme="minorEastAsia" w:hAnsiTheme="minorHAnsi" w:cstheme="minorHAnsi"/>
          <w:lang w:val="pt-BR"/>
        </w:rPr>
        <w:t xml:space="preserve">This definition is provided by the Observatório dos Conflitos da Mineração no Brasil. </w:t>
      </w:r>
      <w:r w:rsidR="003B7AD3" w:rsidRPr="006A574A">
        <w:rPr>
          <w:rFonts w:asciiTheme="minorHAnsi" w:eastAsiaTheme="minorEastAsia" w:hAnsiTheme="minorHAnsi" w:cstheme="minorHAnsi"/>
          <w:i/>
          <w:iCs/>
          <w:lang w:val="pt-BR"/>
        </w:rPr>
        <w:t xml:space="preserve">Observatório Dos Conflitos Da Mineração No Brasil. </w:t>
      </w:r>
      <w:r w:rsidR="003B7AD3" w:rsidRPr="006A574A">
        <w:rPr>
          <w:rFonts w:asciiTheme="minorHAnsi" w:eastAsiaTheme="minorEastAsia" w:hAnsiTheme="minorHAnsi" w:cstheme="minorHAnsi"/>
          <w:lang w:val="pt-BR"/>
        </w:rPr>
        <w:t>Accesible at:</w:t>
      </w:r>
      <w:r w:rsidR="003B7AD3" w:rsidRPr="006A574A">
        <w:rPr>
          <w:rFonts w:asciiTheme="minorHAnsi" w:eastAsiaTheme="minorEastAsia" w:hAnsiTheme="minorHAnsi" w:cstheme="minorHAnsi"/>
          <w:i/>
          <w:iCs/>
          <w:lang w:val="pt-BR"/>
        </w:rPr>
        <w:t xml:space="preserve"> </w:t>
      </w:r>
      <w:hyperlink r:id="rId1">
        <w:r w:rsidR="003B7AD3" w:rsidRPr="006A574A">
          <w:rPr>
            <w:rStyle w:val="Hyperlink"/>
            <w:rFonts w:asciiTheme="minorHAnsi" w:eastAsiaTheme="minorEastAsia" w:hAnsiTheme="minorHAnsi" w:cstheme="minorHAnsi"/>
            <w:lang w:val="pt-BR"/>
          </w:rPr>
          <w:t>http://conflitosdamineracao.org/</w:t>
        </w:r>
      </w:hyperlink>
      <w:r w:rsidR="003B7AD3" w:rsidRPr="006A574A">
        <w:rPr>
          <w:rFonts w:asciiTheme="minorHAnsi" w:eastAsiaTheme="minorEastAsia" w:hAnsiTheme="minorHAnsi" w:cstheme="minorHAnsi"/>
          <w:lang w:val="pt-BR"/>
        </w:rPr>
        <w:t xml:space="preserve">. </w:t>
      </w:r>
      <w:r w:rsidR="003B7AD3" w:rsidRPr="006A574A">
        <w:rPr>
          <w:rFonts w:asciiTheme="minorHAnsi" w:eastAsiaTheme="minorEastAsia" w:hAnsiTheme="minorHAnsi" w:cstheme="minorHAnsi"/>
        </w:rPr>
        <w:t>(Last accessed on 28 Mar. 2022).</w:t>
      </w:r>
    </w:p>
  </w:footnote>
  <w:footnote w:id="2">
    <w:p w14:paraId="52D2FCD0" w14:textId="77777777" w:rsidR="00D16006" w:rsidRPr="006A574A" w:rsidRDefault="00D16006" w:rsidP="006A574A">
      <w:pPr>
        <w:jc w:val="both"/>
        <w:rPr>
          <w:rFonts w:eastAsia="Helvetica" w:cstheme="minorHAnsi"/>
          <w:sz w:val="20"/>
          <w:szCs w:val="20"/>
        </w:rPr>
      </w:pPr>
      <w:r w:rsidRPr="006A574A">
        <w:rPr>
          <w:rStyle w:val="FootnoteReference"/>
          <w:rFonts w:cstheme="minorHAnsi"/>
          <w:sz w:val="20"/>
          <w:szCs w:val="20"/>
        </w:rPr>
        <w:footnoteRef/>
      </w:r>
      <w:r w:rsidRPr="006A574A">
        <w:rPr>
          <w:rFonts w:cstheme="minorHAnsi"/>
          <w:sz w:val="20"/>
          <w:szCs w:val="20"/>
        </w:rPr>
        <w:t xml:space="preserve"> </w:t>
      </w:r>
      <w:r w:rsidRPr="006A574A">
        <w:rPr>
          <w:rFonts w:eastAsia="Helvetica" w:cstheme="minorHAnsi"/>
          <w:sz w:val="20"/>
          <w:szCs w:val="20"/>
        </w:rPr>
        <w:t>OHCHR, Allegation Letter, AL BRA 11/2018, 5 September 2018, Accessible at:</w:t>
      </w:r>
      <w:r w:rsidRPr="006A574A">
        <w:rPr>
          <w:rFonts w:eastAsia="Arial" w:cstheme="minorHAnsi"/>
          <w:sz w:val="20"/>
          <w:szCs w:val="20"/>
        </w:rPr>
        <w:t xml:space="preserve"> </w:t>
      </w:r>
      <w:hyperlink r:id="rId2">
        <w:r w:rsidRPr="006A574A">
          <w:rPr>
            <w:rStyle w:val="Hyperlink"/>
            <w:rFonts w:eastAsia="Helvetica" w:cstheme="minorHAnsi"/>
            <w:sz w:val="20"/>
            <w:szCs w:val="20"/>
          </w:rPr>
          <w:t>https://spcommreports.ohchr.org/TMResultsBase/DownLoadPublicCommunicationFile?gId=24044</w:t>
        </w:r>
      </w:hyperlink>
      <w:r w:rsidRPr="006A574A">
        <w:rPr>
          <w:rStyle w:val="Hyperlink"/>
          <w:rFonts w:eastAsia="Helvetica" w:cstheme="minorHAnsi"/>
          <w:sz w:val="20"/>
          <w:szCs w:val="20"/>
        </w:rPr>
        <w:t xml:space="preserve">; </w:t>
      </w:r>
      <w:r w:rsidRPr="006A574A">
        <w:rPr>
          <w:rFonts w:eastAsia="Helvetica" w:cstheme="minorHAnsi"/>
          <w:sz w:val="20"/>
          <w:szCs w:val="20"/>
        </w:rPr>
        <w:t>OHCHR, Allegation Letter, AL BRA 2/2016, Accessible at:</w:t>
      </w:r>
      <w:r w:rsidRPr="006A574A">
        <w:rPr>
          <w:rFonts w:eastAsia="Arial" w:cstheme="minorHAnsi"/>
          <w:sz w:val="20"/>
          <w:szCs w:val="20"/>
        </w:rPr>
        <w:t xml:space="preserve"> </w:t>
      </w:r>
      <w:hyperlink r:id="rId3">
        <w:r w:rsidRPr="006A574A">
          <w:rPr>
            <w:rStyle w:val="Hyperlink"/>
            <w:rFonts w:eastAsia="Helvetica" w:cstheme="minorHAnsi"/>
            <w:sz w:val="20"/>
            <w:szCs w:val="20"/>
          </w:rPr>
          <w:t>https://spcommreports.ohchr.org/TMResultsBase/DownLoadPublicCommunicationFile?gId=3215</w:t>
        </w:r>
      </w:hyperlink>
      <w:r w:rsidRPr="006A574A">
        <w:rPr>
          <w:rFonts w:eastAsia="Helvetica" w:cstheme="minorHAnsi"/>
          <w:sz w:val="20"/>
          <w:szCs w:val="20"/>
        </w:rPr>
        <w:t>; OHCHR, Urgent Appeal, UA BRA 10/2015, Accessible at:</w:t>
      </w:r>
      <w:r w:rsidRPr="006A574A">
        <w:rPr>
          <w:rFonts w:eastAsia="Arial" w:cstheme="minorHAnsi"/>
          <w:sz w:val="20"/>
          <w:szCs w:val="20"/>
        </w:rPr>
        <w:t xml:space="preserve"> </w:t>
      </w:r>
      <w:hyperlink r:id="rId4">
        <w:r w:rsidRPr="006A574A">
          <w:rPr>
            <w:rStyle w:val="Hyperlink"/>
            <w:rFonts w:eastAsia="Helvetica" w:cstheme="minorHAnsi"/>
            <w:sz w:val="20"/>
            <w:szCs w:val="20"/>
          </w:rPr>
          <w:t>https://spcommreports.ohchr.org/TMResultsBase/DownLoadPublicCommunicationFile?gId=14484</w:t>
        </w:r>
      </w:hyperlink>
      <w:r w:rsidRPr="006A574A">
        <w:rPr>
          <w:rFonts w:eastAsia="Helvetica" w:cstheme="minorHAnsi"/>
          <w:sz w:val="20"/>
          <w:szCs w:val="20"/>
        </w:rPr>
        <w:t xml:space="preserve"> </w:t>
      </w:r>
      <w:r w:rsidRPr="006A574A">
        <w:rPr>
          <w:rFonts w:cstheme="minorHAnsi"/>
          <w:sz w:val="20"/>
          <w:szCs w:val="20"/>
        </w:rPr>
        <w:t>[Last accessed on 28 March 2022]</w:t>
      </w:r>
    </w:p>
  </w:footnote>
  <w:footnote w:id="3">
    <w:p w14:paraId="2168A1ED" w14:textId="77777777" w:rsidR="00F543D8" w:rsidRPr="006A574A" w:rsidRDefault="00F543D8"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OHCHR, Advance Unedited Version on the visit to Brazil, A/HRC/45/12/Add.2, 17, 2020, Para. 16, Accessible at:</w:t>
      </w:r>
    </w:p>
    <w:p w14:paraId="4618C236" w14:textId="77777777" w:rsidR="00F543D8" w:rsidRPr="006A574A" w:rsidRDefault="00692FAC" w:rsidP="006A574A">
      <w:pPr>
        <w:pStyle w:val="FootnoteText"/>
        <w:ind w:left="0" w:firstLine="0"/>
        <w:jc w:val="both"/>
        <w:rPr>
          <w:rFonts w:asciiTheme="minorHAnsi" w:hAnsiTheme="minorHAnsi" w:cstheme="minorHAnsi"/>
          <w:lang w:val="en-GB"/>
        </w:rPr>
      </w:pPr>
      <w:hyperlink r:id="rId5">
        <w:r w:rsidR="00F543D8" w:rsidRPr="006A574A">
          <w:rPr>
            <w:rStyle w:val="Hyperlink"/>
            <w:rFonts w:asciiTheme="minorHAnsi" w:hAnsiTheme="minorHAnsi" w:cstheme="minorHAnsi"/>
          </w:rPr>
          <w:t>https://www.ohchr.org/Documents/Issues/ToxicWaste/A_HRC_45_12_Add2_AUV.docx</w:t>
        </w:r>
      </w:hyperlink>
      <w:r w:rsidR="00F543D8" w:rsidRPr="006A574A">
        <w:rPr>
          <w:rFonts w:asciiTheme="minorHAnsi" w:hAnsiTheme="minorHAnsi" w:cstheme="minorHAnsi"/>
        </w:rPr>
        <w:t xml:space="preserve"> [Last accessed on 28 March 2022]</w:t>
      </w:r>
    </w:p>
  </w:footnote>
  <w:footnote w:id="4">
    <w:p w14:paraId="16D6E771" w14:textId="77777777" w:rsidR="00281F45" w:rsidRPr="006A574A" w:rsidRDefault="00281F45" w:rsidP="006A574A">
      <w:pPr>
        <w:pStyle w:val="FootnoteText"/>
        <w:ind w:left="0" w:firstLine="0"/>
        <w:jc w:val="both"/>
        <w:rPr>
          <w:rFonts w:asciiTheme="minorHAnsi" w:hAnsiTheme="minorHAnsi" w:cstheme="minorHAnsi"/>
          <w:lang w:val="pt-BR"/>
        </w:rPr>
      </w:pPr>
      <w:r w:rsidRPr="006A574A">
        <w:rPr>
          <w:rStyle w:val="FootnoteReference"/>
          <w:rFonts w:asciiTheme="minorHAnsi" w:hAnsiTheme="minorHAnsi" w:cstheme="minorHAnsi"/>
        </w:rPr>
        <w:footnoteRef/>
      </w:r>
      <w:r w:rsidRPr="006A574A">
        <w:rPr>
          <w:rFonts w:asciiTheme="minorHAnsi" w:hAnsiTheme="minorHAnsi" w:cstheme="minorHAnsi"/>
          <w:lang w:val="pt-BR"/>
        </w:rPr>
        <w:t xml:space="preserve"> </w:t>
      </w:r>
      <w:r w:rsidRPr="006A574A">
        <w:rPr>
          <w:rFonts w:asciiTheme="minorHAnsi" w:eastAsia="Open Sans" w:hAnsiTheme="minorHAnsi" w:cstheme="minorHAnsi"/>
          <w:lang w:val="pt-BR"/>
        </w:rPr>
        <w:t xml:space="preserve">Instituto Guaicuy. </w:t>
      </w:r>
      <w:r w:rsidRPr="006A574A">
        <w:rPr>
          <w:rFonts w:asciiTheme="minorHAnsi" w:eastAsia="Open Sans" w:hAnsiTheme="minorHAnsi" w:cstheme="minorHAnsi"/>
          <w:i/>
          <w:iCs/>
          <w:lang w:val="pt-BR"/>
        </w:rPr>
        <w:t>Rompimento Da Barragem De Rejeitos Da Vale Completa 3 Anos</w:t>
      </w:r>
      <w:r w:rsidRPr="006A574A">
        <w:rPr>
          <w:rFonts w:asciiTheme="minorHAnsi" w:eastAsia="Open Sans" w:hAnsiTheme="minorHAnsi" w:cstheme="minorHAnsi"/>
          <w:lang w:val="pt-BR"/>
        </w:rPr>
        <w:t>. 2022, Accessible at: https://guaicuy.org.br/rompimento-da-barragem-de-rejeitos-da-vale-completa-3-anos/.</w:t>
      </w:r>
    </w:p>
  </w:footnote>
  <w:footnote w:id="5">
    <w:p w14:paraId="4D799698" w14:textId="77777777" w:rsidR="00281F45" w:rsidRPr="006A574A" w:rsidRDefault="00281F45"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lang w:val="pt-BR"/>
        </w:rPr>
        <w:t xml:space="preserve"> Senra, R. (2018). Mineradora norueguesa tinha 'duto clandestino' para lançar rejeitos em nascentes amazônicas. </w:t>
      </w:r>
      <w:r w:rsidRPr="006A574A">
        <w:rPr>
          <w:rFonts w:asciiTheme="minorHAnsi" w:hAnsiTheme="minorHAnsi" w:cstheme="minorHAnsi"/>
        </w:rPr>
        <w:t xml:space="preserve">23 February. [online] </w:t>
      </w:r>
      <w:r w:rsidRPr="006A574A">
        <w:rPr>
          <w:rFonts w:asciiTheme="minorHAnsi" w:hAnsiTheme="minorHAnsi" w:cstheme="minorHAnsi"/>
          <w:i/>
        </w:rPr>
        <w:t>BBC Brasil</w:t>
      </w:r>
      <w:r w:rsidRPr="006A574A">
        <w:rPr>
          <w:rFonts w:asciiTheme="minorHAnsi" w:hAnsiTheme="minorHAnsi" w:cstheme="minorHAnsi"/>
        </w:rPr>
        <w:t>. Available at: https://www.bbc.com/portuguese/brasil-43162472 [Accessed: 24 May 2019].</w:t>
      </w:r>
    </w:p>
  </w:footnote>
  <w:footnote w:id="6">
    <w:p w14:paraId="4C931611" w14:textId="77777777" w:rsidR="00281F45" w:rsidRPr="006A574A" w:rsidRDefault="00281F45"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The Nordic Page – Norway. (2018). Toxic Waste from Norwegian Hydro Threatens Amazon and Drinking Water Supply in Brazil. 24 February. [online] </w:t>
      </w:r>
      <w:r w:rsidRPr="006A574A">
        <w:rPr>
          <w:rFonts w:asciiTheme="minorHAnsi" w:hAnsiTheme="minorHAnsi" w:cstheme="minorHAnsi"/>
          <w:i/>
        </w:rPr>
        <w:t>The Nordic Page – Norway</w:t>
      </w:r>
      <w:r w:rsidRPr="006A574A">
        <w:rPr>
          <w:rFonts w:asciiTheme="minorHAnsi" w:hAnsiTheme="minorHAnsi" w:cstheme="minorHAnsi"/>
        </w:rPr>
        <w:t>. Available at: https://www.tnp.no/norway/panorama/toxic-waste-from-norwegian-hydro-amazon-water-brazil [Last accessed: 29 March 2021].</w:t>
      </w:r>
    </w:p>
  </w:footnote>
  <w:footnote w:id="7">
    <w:p w14:paraId="41C263A4" w14:textId="77777777" w:rsidR="00281F45" w:rsidRPr="006A574A" w:rsidRDefault="00281F45" w:rsidP="006A574A">
      <w:pPr>
        <w:pStyle w:val="FootnoteText"/>
        <w:ind w:left="0" w:firstLine="0"/>
        <w:jc w:val="both"/>
        <w:rPr>
          <w:rFonts w:asciiTheme="minorHAnsi" w:hAnsiTheme="minorHAnsi" w:cstheme="minorHAnsi"/>
          <w:lang w:val="pt-BR"/>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vertAlign w:val="superscript"/>
          <w:lang w:val="pt-BR"/>
        </w:rPr>
        <w:t xml:space="preserve"> </w:t>
      </w:r>
      <w:r w:rsidRPr="006A574A">
        <w:rPr>
          <w:rStyle w:val="BodyTextChar"/>
          <w:rFonts w:asciiTheme="minorHAnsi" w:hAnsiTheme="minorHAnsi" w:cstheme="minorHAnsi"/>
          <w:sz w:val="20"/>
          <w:szCs w:val="20"/>
          <w:lang w:val="pt-BR"/>
        </w:rPr>
        <w:t xml:space="preserve">Fernandes, Leonardo. Barcarena: há um ano, mais uma tragédia marcava a mineração no Brasil, Brasil de Fato, 2019, Accessible at: </w:t>
      </w:r>
      <w:hyperlink r:id="rId6">
        <w:r w:rsidRPr="006A574A">
          <w:rPr>
            <w:rStyle w:val="Hyperlink"/>
            <w:rFonts w:asciiTheme="minorHAnsi" w:hAnsiTheme="minorHAnsi" w:cstheme="minorHAnsi"/>
            <w:lang w:val="pt-BR"/>
          </w:rPr>
          <w:t>https://www.brasildefato.com.br/2019/02/17/barcarena-ha-um-ano-mais-uma-tragedia-marcava-a-mineracao-no-brasil</w:t>
        </w:r>
      </w:hyperlink>
      <w:r w:rsidRPr="006A574A">
        <w:rPr>
          <w:rStyle w:val="BodyTextChar"/>
          <w:rFonts w:asciiTheme="minorHAnsi" w:hAnsiTheme="minorHAnsi" w:cstheme="minorHAnsi"/>
          <w:sz w:val="20"/>
          <w:szCs w:val="20"/>
          <w:lang w:val="pt-BR"/>
        </w:rPr>
        <w:t xml:space="preserve"> [Last accessed on 8 February, 2022]</w:t>
      </w:r>
    </w:p>
  </w:footnote>
  <w:footnote w:id="8">
    <w:p w14:paraId="59755FC5" w14:textId="77777777" w:rsidR="00281F45" w:rsidRPr="006A574A" w:rsidRDefault="00281F45" w:rsidP="006A574A">
      <w:pPr>
        <w:pStyle w:val="FootnoteText"/>
        <w:ind w:left="0" w:firstLine="0"/>
        <w:jc w:val="both"/>
        <w:rPr>
          <w:rFonts w:asciiTheme="minorHAnsi" w:hAnsiTheme="minorHAnsi" w:cstheme="minorHAnsi"/>
          <w:lang w:val="pt-BR"/>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vertAlign w:val="superscript"/>
          <w:lang w:val="pt-BR"/>
        </w:rPr>
        <w:t xml:space="preserve"> </w:t>
      </w:r>
      <w:r w:rsidRPr="006A574A">
        <w:rPr>
          <w:rStyle w:val="BodyTextChar"/>
          <w:rFonts w:asciiTheme="minorHAnsi" w:hAnsiTheme="minorHAnsi" w:cstheme="minorHAnsi"/>
          <w:sz w:val="20"/>
          <w:szCs w:val="20"/>
          <w:lang w:val="pt-BR"/>
        </w:rPr>
        <w:t xml:space="preserve">Carmeiro, Taymã. Contaminação de rios em Barcarena, no PA, que afeta 40 mil pessoas vira processo internacional na Holanda, g1, 2021, Accessible at: </w:t>
      </w:r>
      <w:hyperlink r:id="rId7">
        <w:r w:rsidRPr="006A574A">
          <w:rPr>
            <w:rStyle w:val="Hyperlink"/>
            <w:rFonts w:asciiTheme="minorHAnsi" w:hAnsiTheme="minorHAnsi" w:cstheme="minorHAnsi"/>
            <w:lang w:val="pt-BR"/>
          </w:rPr>
          <w:t>https://g1.globo.com/pa/para/noticia/2021/02/09/acao-coletiva-leva-caso-hydro-no-para-a-justica-holandesa.ghtml</w:t>
        </w:r>
      </w:hyperlink>
      <w:r w:rsidRPr="006A574A">
        <w:rPr>
          <w:rFonts w:asciiTheme="minorHAnsi" w:hAnsiTheme="minorHAnsi" w:cstheme="minorHAnsi"/>
          <w:shd w:val="clear" w:color="auto" w:fill="E6E6E6"/>
          <w:lang w:val="pt-BR"/>
        </w:rPr>
        <w:t xml:space="preserve"> </w:t>
      </w:r>
      <w:r w:rsidRPr="006A574A">
        <w:rPr>
          <w:rStyle w:val="BodyTextChar"/>
          <w:rFonts w:asciiTheme="minorHAnsi" w:hAnsiTheme="minorHAnsi" w:cstheme="minorHAnsi"/>
          <w:sz w:val="20"/>
          <w:szCs w:val="20"/>
          <w:lang w:val="pt-BR"/>
        </w:rPr>
        <w:t xml:space="preserve">[Last accessed on </w:t>
      </w:r>
      <w:r w:rsidRPr="006A574A">
        <w:rPr>
          <w:rFonts w:asciiTheme="minorHAnsi" w:hAnsiTheme="minorHAnsi" w:cstheme="minorHAnsi"/>
          <w:lang w:val="pt-BR"/>
        </w:rPr>
        <w:t>8 February, 2022</w:t>
      </w:r>
      <w:r w:rsidRPr="006A574A">
        <w:rPr>
          <w:rFonts w:asciiTheme="minorHAnsi" w:hAnsiTheme="minorHAnsi" w:cstheme="minorHAnsi"/>
          <w:shd w:val="clear" w:color="auto" w:fill="E6E6E6"/>
          <w:lang w:val="pt-BR"/>
        </w:rPr>
        <w:t>]</w:t>
      </w:r>
    </w:p>
  </w:footnote>
  <w:footnote w:id="9">
    <w:p w14:paraId="0BEABEAB" w14:textId="77777777" w:rsidR="00281F45" w:rsidRPr="006A574A" w:rsidRDefault="00281F45" w:rsidP="006A574A">
      <w:pPr>
        <w:pStyle w:val="FootnoteText"/>
        <w:ind w:left="0" w:firstLine="0"/>
        <w:jc w:val="both"/>
        <w:rPr>
          <w:rFonts w:asciiTheme="minorHAnsi" w:hAnsiTheme="minorHAnsi" w:cstheme="minorHAnsi"/>
          <w:lang w:val="en-GB"/>
        </w:rPr>
      </w:pPr>
      <w:r w:rsidRPr="006A574A">
        <w:rPr>
          <w:rStyle w:val="Caracteresdenotaderodap"/>
          <w:rFonts w:asciiTheme="minorHAnsi" w:hAnsiTheme="minorHAnsi" w:cstheme="minorHAnsi"/>
          <w:vertAlign w:val="superscript"/>
        </w:rPr>
        <w:footnoteRef/>
      </w:r>
      <w:r w:rsidRPr="006A574A">
        <w:rPr>
          <w:rFonts w:asciiTheme="minorHAnsi" w:hAnsiTheme="minorHAnsi" w:cstheme="minorHAnsi"/>
          <w:lang w:val="pt-BR"/>
        </w:rPr>
        <w:t xml:space="preserve"> Molina, Luísa and Wanderley, Luiz Jardim.  O cerco do ouro: garimpo ilegal, destruição e luta em terras Munduruku. Brasília, DF: Comitê Nacional em Defesa dos Territórios Frente à Mineração, 2021. </w:t>
      </w:r>
      <w:r w:rsidRPr="006A574A">
        <w:rPr>
          <w:rFonts w:asciiTheme="minorHAnsi" w:hAnsiTheme="minorHAnsi" w:cstheme="minorHAnsi"/>
          <w:lang w:val="en-GB"/>
        </w:rPr>
        <w:t>Accessible at: https://acervo.socioambiental.org/acervo/documentos/o-cerco-do-ouro-garimpo-ilegal-destruicao-e-luta-em-terras-munduruku-resumo</w:t>
      </w:r>
    </w:p>
  </w:footnote>
  <w:footnote w:id="10">
    <w:p w14:paraId="47A15D1E" w14:textId="77777777" w:rsidR="00281F45" w:rsidRPr="006A574A" w:rsidRDefault="00281F45" w:rsidP="006A574A">
      <w:pPr>
        <w:pStyle w:val="FootnoteText"/>
        <w:ind w:left="0" w:firstLine="0"/>
        <w:jc w:val="both"/>
        <w:rPr>
          <w:rFonts w:asciiTheme="minorHAnsi" w:hAnsiTheme="minorHAnsi" w:cstheme="minorHAnsi"/>
          <w:lang w:val="pt-BR"/>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vertAlign w:val="superscript"/>
          <w:lang w:val="pt-BR"/>
        </w:rPr>
        <w:t xml:space="preserve"> </w:t>
      </w:r>
      <w:r w:rsidRPr="006A574A">
        <w:rPr>
          <w:rStyle w:val="BodyTextChar"/>
          <w:rFonts w:asciiTheme="minorHAnsi" w:hAnsiTheme="minorHAnsi" w:cstheme="minorHAnsi"/>
          <w:sz w:val="20"/>
          <w:szCs w:val="20"/>
          <w:lang w:val="pt-BR"/>
        </w:rPr>
        <w:t xml:space="preserve">Fiocruz. Estudo analisa a contaminação por mercúrio entre o povo indígena munduruku, 2020, Accessible at: </w:t>
      </w:r>
      <w:hyperlink r:id="rId8">
        <w:r w:rsidRPr="006A574A">
          <w:rPr>
            <w:rStyle w:val="BodyTextChar"/>
            <w:rFonts w:asciiTheme="minorHAnsi" w:hAnsiTheme="minorHAnsi" w:cstheme="minorHAnsi"/>
            <w:sz w:val="20"/>
            <w:szCs w:val="20"/>
            <w:lang w:val="pt-BR"/>
          </w:rPr>
          <w:t>https://portal.fiocruz.br/noticia/estudo-analisa-contaminacao-por-mercurio-entre-o-povo-indigena-munduruku</w:t>
        </w:r>
      </w:hyperlink>
      <w:r w:rsidRPr="006A574A">
        <w:rPr>
          <w:rStyle w:val="BodyTextChar"/>
          <w:rFonts w:asciiTheme="minorHAnsi" w:hAnsiTheme="minorHAnsi" w:cstheme="minorHAnsi"/>
          <w:sz w:val="20"/>
          <w:szCs w:val="20"/>
          <w:lang w:val="pt-BR"/>
        </w:rPr>
        <w:t xml:space="preserve"> [Last accessed on 8 February, 2022].</w:t>
      </w:r>
    </w:p>
  </w:footnote>
  <w:footnote w:id="11">
    <w:p w14:paraId="282807DC" w14:textId="77777777" w:rsidR="001730CD" w:rsidRPr="006A574A" w:rsidRDefault="001730CD" w:rsidP="006A574A">
      <w:pPr>
        <w:pStyle w:val="FootnoteText"/>
        <w:ind w:left="0" w:firstLine="0"/>
        <w:jc w:val="both"/>
        <w:rPr>
          <w:rFonts w:asciiTheme="minorHAnsi" w:hAnsiTheme="minorHAnsi" w:cstheme="minorHAnsi"/>
          <w:lang w:val="en-GB"/>
        </w:rPr>
      </w:pPr>
      <w:r w:rsidRPr="006A574A">
        <w:rPr>
          <w:rStyle w:val="FootnoteReference"/>
          <w:rFonts w:asciiTheme="minorHAnsi" w:hAnsiTheme="minorHAnsi" w:cstheme="minorHAnsi"/>
        </w:rPr>
        <w:footnoteRef/>
      </w:r>
      <w:r w:rsidRPr="006A574A">
        <w:rPr>
          <w:rFonts w:asciiTheme="minorHAnsi" w:hAnsiTheme="minorHAnsi" w:cstheme="minorHAnsi"/>
        </w:rPr>
        <w:t xml:space="preserve"> </w:t>
      </w:r>
      <w:r w:rsidRPr="006A574A">
        <w:rPr>
          <w:rFonts w:asciiTheme="minorHAnsi" w:hAnsiTheme="minorHAnsi" w:cstheme="minorHAnsi"/>
          <w:lang w:val="en-GB"/>
        </w:rPr>
        <w:t>OHCHR, “</w:t>
      </w:r>
      <w:r w:rsidRPr="006A574A">
        <w:rPr>
          <w:rFonts w:asciiTheme="minorHAnsi" w:hAnsiTheme="minorHAnsi" w:cstheme="minorHAnsi"/>
        </w:rPr>
        <w:t xml:space="preserve">Brazil: UN experts deplore attacks by illegal miners on indigenous peoples; alarmed by mercury levels” </w:t>
      </w:r>
      <w:r w:rsidRPr="006A574A">
        <w:rPr>
          <w:rFonts w:asciiTheme="minorHAnsi" w:hAnsiTheme="minorHAnsi" w:cstheme="minorHAnsi"/>
          <w:lang w:val="en-GB"/>
        </w:rPr>
        <w:t>02 June 2021. Accessible at</w:t>
      </w:r>
      <w:r w:rsidRPr="006A574A">
        <w:rPr>
          <w:rFonts w:asciiTheme="minorHAnsi" w:hAnsiTheme="minorHAnsi" w:cstheme="minorHAnsi"/>
          <w:b/>
          <w:bCs/>
          <w:lang w:val="en-GB"/>
        </w:rPr>
        <w:t xml:space="preserve">: </w:t>
      </w:r>
      <w:hyperlink r:id="rId9" w:history="1">
        <w:r w:rsidRPr="006A574A">
          <w:rPr>
            <w:rStyle w:val="Hyperlink"/>
            <w:rFonts w:asciiTheme="minorHAnsi" w:hAnsiTheme="minorHAnsi" w:cstheme="minorHAnsi"/>
            <w:lang w:val="en-GB"/>
          </w:rPr>
          <w:t>https://www.ohchr.org/en/press-releases/2021/06/brazil-un-experts-deplore-attacks-illegal-miners-indigenous-peoples-alarmed?LangID=E&amp;NewsID=27134</w:t>
        </w:r>
      </w:hyperlink>
      <w:r w:rsidRPr="006A574A">
        <w:rPr>
          <w:rFonts w:asciiTheme="minorHAnsi" w:hAnsiTheme="minorHAnsi" w:cstheme="minorHAnsi"/>
          <w:lang w:val="en-GB"/>
        </w:rPr>
        <w:t xml:space="preserve"> </w:t>
      </w:r>
      <w:r w:rsidRPr="006A574A">
        <w:rPr>
          <w:rStyle w:val="BodyTextChar"/>
          <w:rFonts w:asciiTheme="minorHAnsi" w:hAnsiTheme="minorHAnsi" w:cstheme="minorHAnsi"/>
          <w:sz w:val="20"/>
          <w:szCs w:val="20"/>
          <w:lang w:val="en-GB"/>
        </w:rPr>
        <w:t xml:space="preserve">[Last accessed on 29 March, 2022]; OHCHR, Allegation Letter AL BRA 3/2021, 28 May 2021, </w:t>
      </w:r>
      <w:hyperlink r:id="rId10" w:history="1">
        <w:r w:rsidRPr="006A574A">
          <w:rPr>
            <w:rStyle w:val="Hyperlink"/>
            <w:rFonts w:asciiTheme="minorHAnsi" w:hAnsiTheme="minorHAnsi" w:cstheme="minorHAnsi"/>
          </w:rPr>
          <w:t>https://spcommreports.ohchr.org/TMResultsBase/DownLoadPublicCommunicationFile?gId=26420</w:t>
        </w:r>
      </w:hyperlink>
      <w:r w:rsidRPr="006A574A">
        <w:rPr>
          <w:rFonts w:asciiTheme="minorHAnsi" w:hAnsiTheme="minorHAnsi" w:cstheme="minorHAnsi"/>
        </w:rPr>
        <w:t xml:space="preserve">, </w:t>
      </w:r>
      <w:r w:rsidRPr="006A574A">
        <w:rPr>
          <w:rStyle w:val="BodyTextChar"/>
          <w:rFonts w:asciiTheme="minorHAnsi" w:hAnsiTheme="minorHAnsi" w:cstheme="minorHAnsi"/>
          <w:sz w:val="20"/>
          <w:szCs w:val="20"/>
          <w:lang w:val="en-GB"/>
        </w:rPr>
        <w:t>[Last accessed on 30 March, 2022]</w:t>
      </w:r>
    </w:p>
  </w:footnote>
  <w:footnote w:id="12">
    <w:p w14:paraId="147E2E2E" w14:textId="77777777" w:rsidR="00281F45" w:rsidRPr="006A574A" w:rsidRDefault="00281F45" w:rsidP="006A574A">
      <w:pPr>
        <w:pStyle w:val="FootnoteText"/>
        <w:ind w:left="0" w:firstLine="0"/>
        <w:jc w:val="both"/>
        <w:rPr>
          <w:rFonts w:asciiTheme="minorHAnsi" w:hAnsiTheme="minorHAnsi" w:cstheme="minorHAnsi"/>
          <w:lang w:val="en-GB"/>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vertAlign w:val="superscript"/>
          <w:lang w:val="en-GB"/>
        </w:rPr>
        <w:t xml:space="preserve"> </w:t>
      </w:r>
      <w:r w:rsidRPr="006A574A">
        <w:rPr>
          <w:rStyle w:val="BodyTextChar"/>
          <w:rFonts w:asciiTheme="minorHAnsi" w:hAnsiTheme="minorHAnsi" w:cstheme="minorHAnsi"/>
          <w:sz w:val="20"/>
          <w:szCs w:val="20"/>
          <w:lang w:val="en-GB"/>
        </w:rPr>
        <w:t xml:space="preserve">Leonel Filipe, Contaminação por mercúrio se alastra na população Yanomami, Fiocruz, 2019, Accessible at: </w:t>
      </w:r>
      <w:hyperlink r:id="rId11">
        <w:r w:rsidRPr="006A574A">
          <w:rPr>
            <w:rStyle w:val="Hyperlink"/>
            <w:rFonts w:asciiTheme="minorHAnsi" w:hAnsiTheme="minorHAnsi" w:cstheme="minorHAnsi"/>
            <w:lang w:val="en-GB"/>
          </w:rPr>
          <w:t>http://informe.ensp.fiocruz.br/noticias/46979</w:t>
        </w:r>
      </w:hyperlink>
      <w:r w:rsidRPr="006A574A">
        <w:rPr>
          <w:rStyle w:val="BodyTextChar"/>
          <w:rFonts w:asciiTheme="minorHAnsi" w:hAnsiTheme="minorHAnsi" w:cstheme="minorHAnsi"/>
          <w:sz w:val="20"/>
          <w:szCs w:val="20"/>
          <w:lang w:val="en-GB"/>
        </w:rPr>
        <w:t xml:space="preserve"> [Last accessed on 8 February, 2022]</w:t>
      </w:r>
    </w:p>
  </w:footnote>
  <w:footnote w:id="13">
    <w:p w14:paraId="354C8C41" w14:textId="77777777" w:rsidR="00281F45" w:rsidRPr="006A574A" w:rsidRDefault="00281F45" w:rsidP="006A574A">
      <w:pPr>
        <w:pStyle w:val="FootnoteText"/>
        <w:ind w:left="0" w:firstLine="0"/>
        <w:jc w:val="both"/>
        <w:rPr>
          <w:rFonts w:asciiTheme="minorHAnsi" w:hAnsiTheme="minorHAnsi" w:cstheme="minorHAnsi"/>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vertAlign w:val="superscript"/>
        </w:rPr>
        <w:t xml:space="preserve"> </w:t>
      </w:r>
      <w:r w:rsidRPr="006A574A">
        <w:rPr>
          <w:rStyle w:val="BodyTextChar"/>
          <w:rFonts w:asciiTheme="minorHAnsi" w:hAnsiTheme="minorHAnsi" w:cstheme="minorHAnsi"/>
          <w:sz w:val="20"/>
          <w:szCs w:val="20"/>
        </w:rPr>
        <w:t>Since 2011, there has been an interest in exploring this region. The project has already undergone several changes and has been under constant pressure from social groups in the region, which have been resisting the various actions of the mining company.</w:t>
      </w:r>
    </w:p>
  </w:footnote>
  <w:footnote w:id="14">
    <w:p w14:paraId="77E4F950" w14:textId="5499C868" w:rsidR="00AB47D1" w:rsidRPr="006A574A" w:rsidRDefault="00AB47D1"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w:t>
      </w:r>
      <w:r w:rsidR="00445B70" w:rsidRPr="006A574A">
        <w:rPr>
          <w:rFonts w:asciiTheme="minorHAnsi" w:hAnsiTheme="minorHAnsi" w:cstheme="minorHAnsi"/>
        </w:rPr>
        <w:t xml:space="preserve">Ruiz Leotaud, Valentina, “Great Panther fined $9m by Brazilian environmental agency for cyanide pollution”, 30 December 2021. Accessible at: </w:t>
      </w:r>
      <w:hyperlink r:id="rId12" w:history="1">
        <w:r w:rsidR="002D338A" w:rsidRPr="006A574A">
          <w:rPr>
            <w:rStyle w:val="Hyperlink"/>
            <w:rFonts w:asciiTheme="minorHAnsi" w:hAnsiTheme="minorHAnsi" w:cstheme="minorHAnsi"/>
          </w:rPr>
          <w:t>https://www.mining.com/great-panther-mining-receives-9-million-fine-from-brazilian-environmental-agency-for-cyanide-pollution/</w:t>
        </w:r>
      </w:hyperlink>
    </w:p>
  </w:footnote>
  <w:footnote w:id="15">
    <w:p w14:paraId="54AF3DC3" w14:textId="77777777" w:rsidR="00495F62" w:rsidRPr="006A574A" w:rsidRDefault="00495F62" w:rsidP="006A574A">
      <w:pPr>
        <w:jc w:val="both"/>
        <w:rPr>
          <w:rStyle w:val="BodyTextChar"/>
          <w:rFonts w:asciiTheme="minorHAnsi" w:hAnsiTheme="minorHAnsi" w:cstheme="minorHAnsi"/>
          <w:sz w:val="20"/>
          <w:szCs w:val="20"/>
          <w:lang w:val="pt-BR"/>
        </w:rPr>
      </w:pPr>
      <w:r w:rsidRPr="006A574A">
        <w:rPr>
          <w:rStyle w:val="Caracteresdenotaderodap"/>
          <w:rFonts w:cstheme="minorHAnsi"/>
          <w:sz w:val="20"/>
          <w:szCs w:val="20"/>
          <w:vertAlign w:val="superscript"/>
        </w:rPr>
        <w:footnoteRef/>
      </w:r>
      <w:r w:rsidRPr="006A574A">
        <w:rPr>
          <w:rStyle w:val="BodyTextChar"/>
          <w:rFonts w:asciiTheme="minorHAnsi" w:hAnsiTheme="minorHAnsi" w:cstheme="minorHAnsi"/>
          <w:sz w:val="20"/>
          <w:szCs w:val="20"/>
          <w:lang w:val="pt-BR"/>
        </w:rPr>
        <w:t xml:space="preserve"> </w:t>
      </w:r>
      <w:r w:rsidRPr="006A574A">
        <w:rPr>
          <w:rFonts w:eastAsia="Helvetica" w:cstheme="minorHAnsi"/>
          <w:sz w:val="20"/>
          <w:szCs w:val="20"/>
          <w:lang w:val="pt-BR"/>
        </w:rPr>
        <w:t>Coletivo Nacional de Comunicação do MA</w:t>
      </w:r>
      <w:r w:rsidRPr="006A574A">
        <w:rPr>
          <w:rStyle w:val="BodyTextChar"/>
          <w:rFonts w:asciiTheme="minorHAnsi" w:hAnsiTheme="minorHAnsi" w:cstheme="minorHAnsi"/>
          <w:sz w:val="20"/>
          <w:szCs w:val="20"/>
          <w:lang w:val="pt-BR"/>
        </w:rPr>
        <w:t xml:space="preserve">B. 6 </w:t>
      </w:r>
      <w:r w:rsidRPr="006A574A">
        <w:rPr>
          <w:rFonts w:eastAsia="Helvetica" w:cstheme="minorHAnsi"/>
          <w:sz w:val="20"/>
          <w:szCs w:val="20"/>
          <w:lang w:val="pt-BR"/>
        </w:rPr>
        <w:t>anos após crime de Mariana, 244 famílias ainda aguardam reconstrução das casas destruídas pela lama, 2021</w:t>
      </w:r>
      <w:r w:rsidRPr="006A574A">
        <w:rPr>
          <w:rStyle w:val="BodyTextChar"/>
          <w:rFonts w:asciiTheme="minorHAnsi" w:hAnsiTheme="minorHAnsi" w:cstheme="minorHAnsi"/>
          <w:sz w:val="20"/>
          <w:szCs w:val="20"/>
          <w:lang w:val="pt-BR"/>
        </w:rPr>
        <w:t xml:space="preserve">, Accessible at: </w:t>
      </w:r>
      <w:hyperlink r:id="rId13" w:history="1">
        <w:r w:rsidRPr="006A574A">
          <w:rPr>
            <w:rStyle w:val="Hyperlink"/>
            <w:rFonts w:cstheme="minorHAnsi"/>
            <w:sz w:val="20"/>
            <w:szCs w:val="20"/>
            <w:lang w:val="pt-BR"/>
          </w:rPr>
          <w:t>https://mab.org.br/2021/11/06/6-anos-apos-crime-de-mariana-344-familias-ainda-aguardam-reconstrucao-das-casas-destruidas-pela-lama/</w:t>
        </w:r>
      </w:hyperlink>
      <w:r w:rsidRPr="006A574A">
        <w:rPr>
          <w:rStyle w:val="BodyTextChar"/>
          <w:rFonts w:asciiTheme="minorHAnsi" w:hAnsiTheme="minorHAnsi" w:cstheme="minorHAnsi"/>
          <w:sz w:val="20"/>
          <w:szCs w:val="20"/>
          <w:lang w:val="pt-BR"/>
        </w:rPr>
        <w:t xml:space="preserve"> [Last accessed on 28 March, 2022]</w:t>
      </w:r>
    </w:p>
  </w:footnote>
  <w:footnote w:id="16">
    <w:p w14:paraId="03AEB914" w14:textId="77777777" w:rsidR="0095539A" w:rsidRPr="006A574A" w:rsidRDefault="0095539A" w:rsidP="006A574A">
      <w:pPr>
        <w:pStyle w:val="FootnoteText"/>
        <w:ind w:left="0" w:firstLine="0"/>
        <w:jc w:val="both"/>
        <w:rPr>
          <w:rFonts w:asciiTheme="minorHAnsi" w:hAnsiTheme="minorHAnsi" w:cstheme="minorHAnsi"/>
          <w:lang w:val="pt-BR"/>
        </w:rPr>
      </w:pPr>
      <w:r w:rsidRPr="006A574A">
        <w:rPr>
          <w:rStyle w:val="FootnoteReference"/>
          <w:rFonts w:asciiTheme="minorHAnsi" w:hAnsiTheme="minorHAnsi" w:cstheme="minorHAnsi"/>
        </w:rPr>
        <w:footnoteRef/>
      </w:r>
      <w:r w:rsidRPr="006A574A">
        <w:rPr>
          <w:rFonts w:asciiTheme="minorHAnsi" w:hAnsiTheme="minorHAnsi" w:cstheme="minorHAnsi"/>
          <w:lang w:val="pt-BR"/>
        </w:rPr>
        <w:t xml:space="preserve"> Ministério Público de Minas Gerais. (2021, February, 02). </w:t>
      </w:r>
      <w:r w:rsidRPr="006A574A">
        <w:rPr>
          <w:rFonts w:asciiTheme="minorHAnsi" w:hAnsiTheme="minorHAnsi" w:cstheme="minorHAnsi"/>
          <w:i/>
          <w:iCs/>
          <w:lang w:val="pt-BR"/>
        </w:rPr>
        <w:t>MPMG pede na Justiça extinção da Fundação Renova</w:t>
      </w:r>
      <w:r w:rsidRPr="006A574A">
        <w:rPr>
          <w:rFonts w:asciiTheme="minorHAnsi" w:hAnsiTheme="minorHAnsi" w:cstheme="minorHAnsi"/>
          <w:lang w:val="pt-BR"/>
        </w:rPr>
        <w:t xml:space="preserve">. </w:t>
      </w:r>
    </w:p>
    <w:p w14:paraId="60FEF8F9" w14:textId="77777777" w:rsidR="0095539A" w:rsidRPr="006A574A" w:rsidRDefault="0095539A" w:rsidP="006A574A">
      <w:pPr>
        <w:pStyle w:val="FootnoteText"/>
        <w:ind w:left="0" w:firstLine="0"/>
        <w:jc w:val="both"/>
        <w:rPr>
          <w:rFonts w:asciiTheme="minorHAnsi" w:hAnsiTheme="minorHAnsi" w:cstheme="minorHAnsi"/>
          <w:lang w:val="pt-BR"/>
        </w:rPr>
      </w:pPr>
      <w:r w:rsidRPr="006A574A">
        <w:rPr>
          <w:rFonts w:asciiTheme="minorHAnsi" w:hAnsiTheme="minorHAnsi" w:cstheme="minorHAnsi"/>
          <w:lang w:val="pt-BR"/>
        </w:rPr>
        <w:t>https://www.mpmg.mp.br/comunicacao/noticias/mpmg-pede-na-justica-extincao-da-fundacao-renova.htm</w:t>
      </w:r>
    </w:p>
  </w:footnote>
  <w:footnote w:id="17">
    <w:p w14:paraId="5F14E9E8" w14:textId="77777777" w:rsidR="0095539A" w:rsidRPr="006A574A" w:rsidRDefault="0095539A"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The National Council of Justice (CNJ) estimates more than 90,000 individual and class actions about the case.</w:t>
      </w:r>
    </w:p>
  </w:footnote>
  <w:footnote w:id="18">
    <w:p w14:paraId="524FDEC9" w14:textId="77777777" w:rsidR="009B0FC2" w:rsidRPr="006A574A" w:rsidRDefault="009B0FC2" w:rsidP="006A574A">
      <w:pPr>
        <w:shd w:val="clear" w:color="auto" w:fill="FFFFFF"/>
        <w:jc w:val="both"/>
        <w:textAlignment w:val="baseline"/>
        <w:rPr>
          <w:rFonts w:cstheme="minorHAnsi"/>
          <w:color w:val="000000"/>
          <w:sz w:val="20"/>
          <w:szCs w:val="20"/>
          <w:lang w:val="pt-BR" w:eastAsia="es-ES"/>
        </w:rPr>
      </w:pPr>
      <w:r w:rsidRPr="006A574A">
        <w:rPr>
          <w:rStyle w:val="FootnoteReference"/>
          <w:rFonts w:cstheme="minorHAnsi"/>
          <w:sz w:val="20"/>
          <w:szCs w:val="20"/>
        </w:rPr>
        <w:footnoteRef/>
      </w:r>
      <w:r w:rsidRPr="006A574A">
        <w:rPr>
          <w:rFonts w:cstheme="minorHAnsi"/>
          <w:sz w:val="20"/>
          <w:szCs w:val="20"/>
          <w:lang w:val="pt-BR"/>
        </w:rPr>
        <w:t xml:space="preserve"> </w:t>
      </w:r>
      <w:r w:rsidRPr="006A574A">
        <w:rPr>
          <w:rFonts w:cstheme="minorHAnsi"/>
          <w:color w:val="201F1E"/>
          <w:sz w:val="20"/>
          <w:szCs w:val="20"/>
          <w:lang w:val="pt-BR" w:eastAsia="es-ES"/>
        </w:rPr>
        <w:t>Lei de Acesso à Informação (Lei nº 12.527/2011):</w:t>
      </w:r>
      <w:r w:rsidRPr="006A574A">
        <w:rPr>
          <w:rFonts w:cstheme="minorHAnsi"/>
          <w:color w:val="000000"/>
          <w:sz w:val="20"/>
          <w:szCs w:val="20"/>
          <w:bdr w:val="none" w:sz="0" w:space="0" w:color="auto" w:frame="1"/>
          <w:lang w:val="pt-BR" w:eastAsia="es-ES"/>
        </w:rPr>
        <w:t>Art. 3º Os procedimentos previstos nesta Lei destinam-se a assegurar o direito fundamental de acesso à informação e devem ser executados em conformidade com os princípios básicos da administração pública e com as seguintes diretrizes:</w:t>
      </w:r>
      <w:r w:rsidRPr="006A574A">
        <w:rPr>
          <w:rFonts w:cstheme="minorHAnsi"/>
          <w:color w:val="000000"/>
          <w:sz w:val="20"/>
          <w:szCs w:val="20"/>
          <w:lang w:val="pt-BR" w:eastAsia="es-ES"/>
        </w:rPr>
        <w:t xml:space="preserve">[…] </w:t>
      </w:r>
      <w:r w:rsidRPr="006A574A">
        <w:rPr>
          <w:rFonts w:cstheme="minorHAnsi"/>
          <w:color w:val="000000"/>
          <w:sz w:val="20"/>
          <w:szCs w:val="20"/>
          <w:bdr w:val="none" w:sz="0" w:space="0" w:color="auto" w:frame="1"/>
          <w:lang w:val="pt-BR" w:eastAsia="es-ES"/>
        </w:rPr>
        <w:t>V - desenvolvimento do controle social da administração pública.</w:t>
      </w:r>
    </w:p>
  </w:footnote>
  <w:footnote w:id="19">
    <w:p w14:paraId="41D3C2A5" w14:textId="77777777" w:rsidR="00DD0101" w:rsidRPr="006A574A" w:rsidRDefault="00DD0101" w:rsidP="006A574A">
      <w:pPr>
        <w:jc w:val="both"/>
        <w:rPr>
          <w:rFonts w:cstheme="minorHAnsi"/>
          <w:sz w:val="20"/>
          <w:szCs w:val="20"/>
        </w:rPr>
      </w:pPr>
      <w:r w:rsidRPr="006A574A">
        <w:rPr>
          <w:rStyle w:val="FootnoteReference"/>
          <w:rFonts w:cstheme="minorHAnsi"/>
          <w:sz w:val="20"/>
          <w:szCs w:val="20"/>
        </w:rPr>
        <w:footnoteRef/>
      </w:r>
      <w:r w:rsidRPr="006A574A">
        <w:rPr>
          <w:rFonts w:cstheme="minorHAnsi"/>
          <w:sz w:val="20"/>
          <w:szCs w:val="20"/>
          <w:lang w:val="uz-Cyrl-UZ"/>
        </w:rPr>
        <w:t xml:space="preserve"> </w:t>
      </w:r>
      <w:r w:rsidRPr="006A574A">
        <w:rPr>
          <w:rFonts w:cstheme="minorHAnsi"/>
          <w:spacing w:val="-5"/>
          <w:sz w:val="20"/>
          <w:szCs w:val="20"/>
          <w:shd w:val="clear" w:color="auto" w:fill="FFFFFF"/>
          <w:lang w:val="pt-BR"/>
        </w:rPr>
        <w:t xml:space="preserve">Girundi, D., Freitas, R., &amp; Moreno, C. </w:t>
      </w:r>
      <w:r w:rsidRPr="006A574A">
        <w:rPr>
          <w:rFonts w:cstheme="minorHAnsi"/>
          <w:sz w:val="20"/>
          <w:szCs w:val="20"/>
          <w:lang w:val="pt-BR"/>
        </w:rPr>
        <w:t xml:space="preserve">(2021, February 5). </w:t>
      </w:r>
      <w:r w:rsidRPr="006A574A">
        <w:rPr>
          <w:rFonts w:cstheme="minorHAnsi"/>
          <w:i/>
          <w:iCs/>
          <w:sz w:val="20"/>
          <w:szCs w:val="20"/>
          <w:lang w:val="pt-BR"/>
        </w:rPr>
        <w:t>Vale assina acordo de R$ 37,68 bilhões para reparar tragédia de Brumadinho</w:t>
      </w:r>
      <w:r w:rsidRPr="006A574A">
        <w:rPr>
          <w:rFonts w:cstheme="minorHAnsi"/>
          <w:sz w:val="20"/>
          <w:szCs w:val="20"/>
          <w:lang w:val="pt-BR"/>
        </w:rPr>
        <w:t xml:space="preserve">. </w:t>
      </w:r>
      <w:r w:rsidRPr="006A574A">
        <w:rPr>
          <w:rFonts w:cstheme="minorHAnsi"/>
          <w:sz w:val="20"/>
          <w:szCs w:val="20"/>
        </w:rPr>
        <w:t>G1. https://g1.globo.com/mg/minas-gerais/noticia/2021/02/04/vale-assina-acordo-bilionario-de-r-3768-bilhoes-para-reparar-danos-causados-em-brumadinho.ghtml</w:t>
      </w:r>
    </w:p>
  </w:footnote>
  <w:footnote w:id="20">
    <w:p w14:paraId="5ECC292C" w14:textId="498C88EE" w:rsidR="00D01407" w:rsidRPr="006A574A" w:rsidRDefault="00D01407" w:rsidP="006A574A">
      <w:pPr>
        <w:pStyle w:val="FootnoteText"/>
        <w:ind w:left="0" w:firstLine="0"/>
        <w:jc w:val="both"/>
        <w:rPr>
          <w:rFonts w:asciiTheme="minorHAnsi" w:hAnsiTheme="minorHAnsi" w:cstheme="minorHAnsi"/>
          <w:lang w:val="pt-BR"/>
        </w:rPr>
      </w:pPr>
      <w:r w:rsidRPr="006A574A">
        <w:rPr>
          <w:rStyle w:val="FootnoteReference"/>
          <w:rFonts w:asciiTheme="minorHAnsi" w:hAnsiTheme="minorHAnsi" w:cstheme="minorHAnsi"/>
        </w:rPr>
        <w:footnoteRef/>
      </w:r>
      <w:r w:rsidRPr="006A574A">
        <w:rPr>
          <w:rFonts w:asciiTheme="minorHAnsi" w:hAnsiTheme="minorHAnsi" w:cstheme="minorHAnsi"/>
          <w:lang w:val="pt-BR"/>
        </w:rPr>
        <w:t xml:space="preserve">Nadia Pontes (2021, February 15). </w:t>
      </w:r>
      <w:r w:rsidRPr="006A574A">
        <w:rPr>
          <w:rFonts w:asciiTheme="minorHAnsi" w:hAnsiTheme="minorHAnsi" w:cstheme="minorHAnsi"/>
          <w:i/>
          <w:iCs/>
          <w:lang w:val="pt-BR"/>
        </w:rPr>
        <w:t>As lacunas do acordo da Vale em Brumadinho</w:t>
      </w:r>
      <w:r w:rsidRPr="006A574A">
        <w:rPr>
          <w:rFonts w:asciiTheme="minorHAnsi" w:hAnsiTheme="minorHAnsi" w:cstheme="minorHAnsi"/>
          <w:lang w:val="pt-BR"/>
        </w:rPr>
        <w:t>. DW.COM. https://www.dw.com/pt-br/as-lacunas-do-acordo-da-vale-em-brumadinho/a-56572096</w:t>
      </w:r>
    </w:p>
  </w:footnote>
  <w:footnote w:id="21">
    <w:p w14:paraId="58EE524F" w14:textId="05573C75" w:rsidR="0018107D" w:rsidRPr="006A574A" w:rsidRDefault="0018107D" w:rsidP="006A574A">
      <w:pPr>
        <w:jc w:val="both"/>
        <w:rPr>
          <w:rFonts w:eastAsiaTheme="minorEastAsia" w:cstheme="minorHAnsi"/>
          <w:color w:val="000000" w:themeColor="text1"/>
          <w:sz w:val="20"/>
          <w:szCs w:val="20"/>
        </w:rPr>
      </w:pPr>
      <w:r w:rsidRPr="006A574A">
        <w:rPr>
          <w:rStyle w:val="FootnoteReference"/>
          <w:rFonts w:cstheme="minorHAnsi"/>
          <w:sz w:val="20"/>
          <w:szCs w:val="20"/>
        </w:rPr>
        <w:footnoteRef/>
      </w:r>
      <w:r w:rsidRPr="006A574A">
        <w:rPr>
          <w:rFonts w:cstheme="minorHAnsi"/>
          <w:sz w:val="20"/>
          <w:szCs w:val="20"/>
        </w:rPr>
        <w:t xml:space="preserve"> </w:t>
      </w:r>
      <w:r w:rsidRPr="006A574A">
        <w:rPr>
          <w:rFonts w:eastAsiaTheme="minorEastAsia" w:cstheme="minorHAnsi"/>
          <w:sz w:val="20"/>
          <w:szCs w:val="20"/>
        </w:rPr>
        <w:t>On 10 February 2021, a group of organizations and political parties filed an action against the agreement with the Federal Supreme Court (</w:t>
      </w:r>
      <w:r w:rsidRPr="006A574A">
        <w:rPr>
          <w:rFonts w:eastAsiaTheme="minorEastAsia" w:cstheme="minorHAnsi"/>
          <w:sz w:val="20"/>
          <w:szCs w:val="20"/>
          <w:highlight w:val="white"/>
        </w:rPr>
        <w:t>Supremo Tribunal Federal</w:t>
      </w:r>
      <w:r w:rsidRPr="006A574A">
        <w:rPr>
          <w:rFonts w:eastAsiaTheme="minorEastAsia" w:cstheme="minorHAnsi"/>
          <w:sz w:val="20"/>
          <w:szCs w:val="20"/>
        </w:rPr>
        <w:t xml:space="preserve"> - STF in Portuguese), requesting the suspension of the judicial approval of the agreement, considering that it was a public agreement and not a private agreement. The main argument for the court action is the lack of participation of the affected communities. The appeal was dismissed.</w:t>
      </w:r>
      <w:r w:rsidRPr="006A574A">
        <w:rPr>
          <w:rFonts w:eastAsiaTheme="minorEastAsia" w:cstheme="minorHAnsi"/>
          <w:color w:val="000000" w:themeColor="text1"/>
          <w:sz w:val="20"/>
          <w:szCs w:val="20"/>
        </w:rPr>
        <w:t xml:space="preserve"> </w:t>
      </w:r>
      <w:r w:rsidRPr="006A574A">
        <w:rPr>
          <w:rFonts w:eastAsiaTheme="minorEastAsia" w:cstheme="minorHAnsi"/>
          <w:sz w:val="20"/>
          <w:szCs w:val="20"/>
        </w:rPr>
        <w:t>Similarly, on 2 March 2021, a group of organizations filed an appeal with the Court of Appeals of the State of Minas Gerais (</w:t>
      </w:r>
      <w:r w:rsidRPr="006A574A">
        <w:rPr>
          <w:rFonts w:eastAsiaTheme="minorEastAsia" w:cstheme="minorHAnsi"/>
          <w:sz w:val="20"/>
          <w:szCs w:val="20"/>
          <w:highlight w:val="white"/>
        </w:rPr>
        <w:t xml:space="preserve">Tribunal de Justiça de Minas Gerais </w:t>
      </w:r>
      <w:r w:rsidRPr="006A574A">
        <w:rPr>
          <w:rFonts w:eastAsiaTheme="minorEastAsia" w:cstheme="minorHAnsi"/>
          <w:sz w:val="20"/>
          <w:szCs w:val="20"/>
        </w:rPr>
        <w:t>- TJMG in Portuguese) requesting the effective guarantee of the right to participation of those affected in the reparation policy</w:t>
      </w:r>
      <w:r w:rsidR="00A75340" w:rsidRPr="006A574A">
        <w:rPr>
          <w:rFonts w:eastAsiaTheme="minorEastAsia" w:cstheme="minorHAnsi"/>
          <w:sz w:val="20"/>
          <w:szCs w:val="20"/>
        </w:rPr>
        <w:t xml:space="preserve"> </w:t>
      </w:r>
      <w:r w:rsidRPr="006A574A">
        <w:rPr>
          <w:rFonts w:eastAsiaTheme="minorEastAsia" w:cstheme="minorHAnsi"/>
          <w:sz w:val="20"/>
          <w:szCs w:val="20"/>
        </w:rPr>
        <w:t>in the agreement. Once again, the appeal was dismissed by the competent court.</w:t>
      </w:r>
    </w:p>
  </w:footnote>
  <w:footnote w:id="22">
    <w:p w14:paraId="18D252DA" w14:textId="77777777" w:rsidR="00495F62" w:rsidRPr="006A574A" w:rsidRDefault="00495F62" w:rsidP="006A574A">
      <w:pPr>
        <w:pStyle w:val="FootnoteText"/>
        <w:ind w:left="0" w:firstLine="0"/>
        <w:jc w:val="both"/>
        <w:rPr>
          <w:rFonts w:asciiTheme="minorHAnsi" w:hAnsiTheme="minorHAnsi" w:cstheme="minorHAnsi"/>
          <w:lang w:val="pt-BR"/>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lang w:val="pt-BR"/>
        </w:rPr>
        <w:t xml:space="preserve"> Neto, Cicero Pedrosa. Barcarena, uma Chernobyl na Amazônia, Amazonia Real,, Accessible at</w:t>
      </w:r>
      <w:r w:rsidRPr="006A574A">
        <w:rPr>
          <w:rFonts w:asciiTheme="minorHAnsi" w:hAnsiTheme="minorHAnsi" w:cstheme="minorHAnsi"/>
          <w:lang w:val="pt-BR"/>
        </w:rPr>
        <w:t xml:space="preserve">: </w:t>
      </w:r>
      <w:hyperlink r:id="rId14" w:history="1">
        <w:r w:rsidRPr="006A574A">
          <w:rPr>
            <w:rStyle w:val="Hyperlink"/>
            <w:rFonts w:asciiTheme="minorHAnsi" w:hAnsiTheme="minorHAnsi" w:cstheme="minorHAnsi"/>
            <w:lang w:val="pt-BR"/>
          </w:rPr>
          <w:t>https://www.ihu.unisinos.br/78-noticias/615654-barcarena-uma-chernobyl-na-amazonia</w:t>
        </w:r>
      </w:hyperlink>
      <w:r w:rsidRPr="006A574A">
        <w:rPr>
          <w:rFonts w:asciiTheme="minorHAnsi" w:hAnsiTheme="minorHAnsi" w:cstheme="minorHAnsi"/>
          <w:lang w:val="pt-BR"/>
        </w:rPr>
        <w:t xml:space="preserve"> [Last accessed on 11 February, 2022].</w:t>
      </w:r>
    </w:p>
  </w:footnote>
  <w:footnote w:id="23">
    <w:p w14:paraId="5ED4E14C" w14:textId="77777777" w:rsidR="006A4135" w:rsidRPr="006A574A" w:rsidRDefault="006A4135" w:rsidP="006A574A">
      <w:pPr>
        <w:pStyle w:val="FootnoteText"/>
        <w:ind w:left="0" w:firstLine="0"/>
        <w:jc w:val="both"/>
        <w:rPr>
          <w:rFonts w:asciiTheme="minorHAnsi" w:hAnsiTheme="minorHAnsi" w:cstheme="minorHAnsi"/>
          <w:color w:val="000000" w:themeColor="text1"/>
          <w:lang w:val="pt-BR"/>
        </w:rPr>
      </w:pPr>
      <w:r w:rsidRPr="006A574A">
        <w:rPr>
          <w:rFonts w:asciiTheme="minorHAnsi" w:hAnsiTheme="minorHAnsi" w:cstheme="minorHAnsi"/>
          <w:vertAlign w:val="superscript"/>
        </w:rPr>
        <w:footnoteRef/>
      </w:r>
      <w:r w:rsidRPr="006A574A">
        <w:rPr>
          <w:rFonts w:asciiTheme="minorHAnsi" w:hAnsiTheme="minorHAnsi" w:cstheme="minorHAnsi"/>
          <w:lang w:val="pt-BR"/>
        </w:rPr>
        <w:t xml:space="preserve">  </w:t>
      </w:r>
      <w:r w:rsidRPr="006A574A">
        <w:rPr>
          <w:rFonts w:asciiTheme="minorHAnsi" w:eastAsia="Open Sans" w:hAnsiTheme="minorHAnsi" w:cstheme="minorHAnsi"/>
          <w:color w:val="000000" w:themeColor="text1"/>
          <w:lang w:val="pt-BR"/>
        </w:rPr>
        <w:t xml:space="preserve">Sudré, Lu. "Fusão Entre Ibama E Icmbio Irá Paralisar Políticas Ambientais, Alerta Servidor". </w:t>
      </w:r>
      <w:r w:rsidRPr="006A574A">
        <w:rPr>
          <w:rFonts w:asciiTheme="minorHAnsi" w:eastAsia="Open Sans" w:hAnsiTheme="minorHAnsi" w:cstheme="minorHAnsi"/>
          <w:i/>
          <w:iCs/>
          <w:color w:val="000000" w:themeColor="text1"/>
          <w:lang w:val="pt-BR"/>
        </w:rPr>
        <w:t>Brasil De Fato</w:t>
      </w:r>
      <w:r w:rsidRPr="006A574A">
        <w:rPr>
          <w:rFonts w:asciiTheme="minorHAnsi" w:eastAsia="Open Sans" w:hAnsiTheme="minorHAnsi" w:cstheme="minorHAnsi"/>
          <w:color w:val="000000" w:themeColor="text1"/>
          <w:lang w:val="pt-BR"/>
        </w:rPr>
        <w:t xml:space="preserve">, 2021, Accessible at: </w:t>
      </w:r>
      <w:hyperlink r:id="rId15" w:history="1">
        <w:r w:rsidRPr="006A574A">
          <w:rPr>
            <w:rStyle w:val="Hyperlink"/>
            <w:rFonts w:asciiTheme="minorHAnsi" w:eastAsia="Open Sans" w:hAnsiTheme="minorHAnsi" w:cstheme="minorHAnsi"/>
            <w:lang w:val="pt-BR"/>
          </w:rPr>
          <w:t>https://www.brasildefato.com.br/2021/02/03/fusao-entre-ibama-e-icmbio-ira-paralisar-politicas-ambientais-alerta-servidor</w:t>
        </w:r>
      </w:hyperlink>
      <w:r w:rsidRPr="006A574A">
        <w:rPr>
          <w:rFonts w:asciiTheme="minorHAnsi" w:eastAsia="Open Sans" w:hAnsiTheme="minorHAnsi" w:cstheme="minorHAnsi"/>
          <w:color w:val="000000" w:themeColor="text1"/>
          <w:lang w:val="pt-BR"/>
        </w:rPr>
        <w:t xml:space="preserve">. </w:t>
      </w:r>
    </w:p>
  </w:footnote>
  <w:footnote w:id="24">
    <w:p w14:paraId="27D41C18" w14:textId="77777777" w:rsidR="006A4135" w:rsidRPr="006A574A" w:rsidRDefault="006A4135" w:rsidP="006A574A">
      <w:pPr>
        <w:pStyle w:val="FootnoteText"/>
        <w:ind w:left="0" w:firstLine="0"/>
        <w:jc w:val="both"/>
        <w:rPr>
          <w:rFonts w:asciiTheme="minorHAnsi" w:hAnsiTheme="minorHAnsi" w:cstheme="minorHAnsi"/>
          <w:color w:val="000000" w:themeColor="text1"/>
          <w:lang w:val="pt-BR"/>
        </w:rPr>
      </w:pPr>
      <w:r w:rsidRPr="006A574A">
        <w:rPr>
          <w:rFonts w:asciiTheme="minorHAnsi" w:hAnsiTheme="minorHAnsi" w:cstheme="minorHAnsi"/>
          <w:vertAlign w:val="superscript"/>
        </w:rPr>
        <w:footnoteRef/>
      </w:r>
      <w:r w:rsidRPr="006A574A">
        <w:rPr>
          <w:rFonts w:asciiTheme="minorHAnsi" w:hAnsiTheme="minorHAnsi" w:cstheme="minorHAnsi"/>
        </w:rPr>
        <w:t xml:space="preserve"> This Institute is the organ within the Ministry of the Environment with the mandate to propose, implement, manage, protect, supervise and monitor the Conservation Units established by the Union. It is also responsible for promoting and carrying out research, protection, preservation and biodiversity conservation programs, and for exercising the power of environmental police to protect Federal Conservation Units. </w:t>
      </w:r>
      <w:r w:rsidRPr="006A574A">
        <w:rPr>
          <w:rFonts w:asciiTheme="minorHAnsi" w:hAnsiTheme="minorHAnsi" w:cstheme="minorHAnsi"/>
          <w:i/>
          <w:lang w:val="pt-BR"/>
        </w:rPr>
        <w:t xml:space="preserve">See </w:t>
      </w:r>
      <w:r w:rsidRPr="006A574A">
        <w:rPr>
          <w:rFonts w:asciiTheme="minorHAnsi" w:eastAsia="Open Sans" w:hAnsiTheme="minorHAnsi" w:cstheme="minorHAnsi"/>
          <w:i/>
          <w:color w:val="000000" w:themeColor="text1"/>
          <w:lang w:val="pt-BR"/>
        </w:rPr>
        <w:t xml:space="preserve"> Instituto Chico Mendes De Conservação Da Biodiversidade</w:t>
      </w:r>
      <w:r w:rsidRPr="006A574A">
        <w:rPr>
          <w:rFonts w:asciiTheme="minorHAnsi" w:eastAsia="Open Sans" w:hAnsiTheme="minorHAnsi" w:cstheme="minorHAnsi"/>
          <w:color w:val="000000" w:themeColor="text1"/>
          <w:lang w:val="pt-BR"/>
        </w:rPr>
        <w:t>, Accessible at: https://www.icmbio.gov.br/portal/oinstituto.</w:t>
      </w:r>
    </w:p>
  </w:footnote>
  <w:footnote w:id="25">
    <w:p w14:paraId="0F468563" w14:textId="77777777" w:rsidR="006A4135" w:rsidRPr="006A574A" w:rsidRDefault="006A4135" w:rsidP="006A574A">
      <w:pPr>
        <w:pStyle w:val="FootnoteText"/>
        <w:ind w:left="0" w:firstLine="0"/>
        <w:jc w:val="both"/>
        <w:rPr>
          <w:rFonts w:asciiTheme="minorHAnsi" w:hAnsiTheme="minorHAnsi" w:cstheme="minorHAnsi"/>
          <w:lang w:val="es-419"/>
        </w:rPr>
      </w:pPr>
      <w:r w:rsidRPr="006A574A">
        <w:rPr>
          <w:rFonts w:asciiTheme="minorHAnsi" w:hAnsiTheme="minorHAnsi" w:cstheme="minorHAnsi"/>
          <w:vertAlign w:val="superscript"/>
        </w:rPr>
        <w:footnoteRef/>
      </w:r>
      <w:r w:rsidRPr="006A574A">
        <w:rPr>
          <w:rFonts w:asciiTheme="minorHAnsi" w:hAnsiTheme="minorHAnsi" w:cstheme="minorHAnsi"/>
        </w:rPr>
        <w:t xml:space="preserve"> This organ of the Ministry of the Environment formulates and implements environmental public policies aimed at protecting the environment and promoting sustainable socioeconomic development. </w:t>
      </w:r>
      <w:r w:rsidRPr="006A574A">
        <w:rPr>
          <w:rFonts w:asciiTheme="minorHAnsi" w:hAnsiTheme="minorHAnsi" w:cstheme="minorHAnsi"/>
          <w:lang w:val="pt-BR"/>
        </w:rPr>
        <w:t xml:space="preserve">See </w:t>
      </w:r>
      <w:r w:rsidRPr="006A574A">
        <w:rPr>
          <w:rFonts w:asciiTheme="minorHAnsi" w:eastAsia="Open Sans" w:hAnsiTheme="minorHAnsi" w:cstheme="minorHAnsi"/>
          <w:color w:val="000000" w:themeColor="text1"/>
          <w:lang w:val="pt-BR"/>
        </w:rPr>
        <w:t xml:space="preserve">Instituto Brasileiro do Meio Ambiente e dos Recursos Naturais Renováveis. </w:t>
      </w:r>
      <w:r w:rsidRPr="006A574A">
        <w:rPr>
          <w:rFonts w:asciiTheme="minorHAnsi" w:eastAsia="Open Sans" w:hAnsiTheme="minorHAnsi" w:cstheme="minorHAnsi"/>
          <w:i/>
          <w:iCs/>
          <w:color w:val="000000" w:themeColor="text1"/>
          <w:lang w:val="es-419"/>
        </w:rPr>
        <w:t>Sobre O Ibama</w:t>
      </w:r>
      <w:r w:rsidRPr="006A574A">
        <w:rPr>
          <w:rFonts w:asciiTheme="minorHAnsi" w:eastAsia="Open Sans" w:hAnsiTheme="minorHAnsi" w:cstheme="minorHAnsi"/>
          <w:color w:val="000000" w:themeColor="text1"/>
          <w:lang w:val="es-419"/>
        </w:rPr>
        <w:t>. 2020, Accesible at: https://www.gov.br/ibama/pt-br/acesso-a-informacao/institucional/sobre-o-ibama#missao-visao-valores.</w:t>
      </w:r>
      <w:r w:rsidRPr="006A574A">
        <w:rPr>
          <w:rFonts w:asciiTheme="minorHAnsi" w:hAnsiTheme="minorHAnsi" w:cstheme="minorHAnsi"/>
          <w:lang w:val="es-419"/>
        </w:rPr>
        <w:t xml:space="preserve"> </w:t>
      </w:r>
    </w:p>
  </w:footnote>
  <w:footnote w:id="26">
    <w:p w14:paraId="54E9FAA9" w14:textId="15A187AD" w:rsidR="00F008CD" w:rsidRPr="006A574A" w:rsidRDefault="00F008CD" w:rsidP="006A574A">
      <w:pPr>
        <w:pStyle w:val="BodyText"/>
        <w:tabs>
          <w:tab w:val="left" w:pos="851"/>
        </w:tabs>
        <w:spacing w:after="0" w:line="240" w:lineRule="auto"/>
        <w:jc w:val="both"/>
        <w:rPr>
          <w:rFonts w:asciiTheme="minorHAnsi" w:eastAsiaTheme="minorEastAsia" w:hAnsiTheme="minorHAnsi" w:cstheme="minorHAnsi"/>
          <w:color w:val="000000"/>
          <w:sz w:val="20"/>
          <w:szCs w:val="20"/>
        </w:rPr>
      </w:pPr>
      <w:r w:rsidRPr="006A574A">
        <w:rPr>
          <w:rStyle w:val="FootnoteReference"/>
          <w:rFonts w:asciiTheme="minorHAnsi" w:hAnsiTheme="minorHAnsi" w:cstheme="minorHAnsi"/>
          <w:sz w:val="20"/>
          <w:szCs w:val="20"/>
        </w:rPr>
        <w:footnoteRef/>
      </w:r>
      <w:r w:rsidRPr="006A574A">
        <w:rPr>
          <w:rFonts w:asciiTheme="minorHAnsi" w:hAnsiTheme="minorHAnsi" w:cstheme="minorHAnsi"/>
          <w:sz w:val="20"/>
          <w:szCs w:val="20"/>
          <w:lang w:val="en-GB"/>
        </w:rPr>
        <w:t xml:space="preserve"> </w:t>
      </w:r>
      <w:r w:rsidRPr="006A574A">
        <w:rPr>
          <w:rFonts w:asciiTheme="minorHAnsi" w:eastAsiaTheme="minorEastAsia" w:hAnsiTheme="minorHAnsi" w:cstheme="minorHAnsi"/>
          <w:color w:val="000000" w:themeColor="text1"/>
          <w:sz w:val="20"/>
          <w:szCs w:val="20"/>
        </w:rPr>
        <w:t xml:space="preserve">Some of these concerns were also raised by some UN experts. </w:t>
      </w:r>
      <w:r w:rsidRPr="006A574A">
        <w:rPr>
          <w:rFonts w:asciiTheme="minorHAnsi" w:hAnsiTheme="minorHAnsi" w:cstheme="minorHAnsi"/>
          <w:sz w:val="20"/>
          <w:szCs w:val="20"/>
          <w:lang w:val="en-GB"/>
        </w:rPr>
        <w:t xml:space="preserve">OHCHR, Urgent Appeal UA BRA 5/2017, 30 May 2017, Accessible at:  </w:t>
      </w:r>
      <w:hyperlink r:id="rId16" w:history="1">
        <w:r w:rsidRPr="006A574A">
          <w:rPr>
            <w:rStyle w:val="Hyperlink"/>
            <w:rFonts w:asciiTheme="minorHAnsi" w:hAnsiTheme="minorHAnsi" w:cstheme="minorHAnsi"/>
            <w:sz w:val="20"/>
            <w:szCs w:val="20"/>
          </w:rPr>
          <w:t>https://spcommreports.ohchr.org/TMResultsBase/DownLoadPublicCommunicationFile?gId=23144</w:t>
        </w:r>
      </w:hyperlink>
      <w:r w:rsidRPr="006A574A">
        <w:rPr>
          <w:rFonts w:asciiTheme="minorHAnsi" w:hAnsiTheme="minorHAnsi" w:cstheme="minorHAnsi"/>
          <w:sz w:val="20"/>
          <w:szCs w:val="20"/>
        </w:rPr>
        <w:t xml:space="preserve">, </w:t>
      </w:r>
      <w:r w:rsidRPr="006A574A">
        <w:rPr>
          <w:rFonts w:asciiTheme="minorHAnsi" w:eastAsia="Open Sans" w:hAnsiTheme="minorHAnsi" w:cstheme="minorHAnsi"/>
          <w:sz w:val="20"/>
          <w:szCs w:val="20"/>
          <w:lang w:val="en-GB"/>
        </w:rPr>
        <w:t>[Last accessed on 29 March, 2022]</w:t>
      </w:r>
    </w:p>
  </w:footnote>
  <w:footnote w:id="27">
    <w:p w14:paraId="3575D706" w14:textId="77777777" w:rsidR="003317C8" w:rsidRPr="006A574A" w:rsidRDefault="003317C8" w:rsidP="006A574A">
      <w:pPr>
        <w:pStyle w:val="FootnoteText"/>
        <w:shd w:val="clear" w:color="auto" w:fill="FFFFFF" w:themeFill="background1"/>
        <w:ind w:left="0" w:firstLine="0"/>
        <w:jc w:val="both"/>
        <w:rPr>
          <w:rFonts w:asciiTheme="minorHAnsi" w:hAnsiTheme="minorHAnsi" w:cstheme="minorHAnsi"/>
          <w:lang w:val="en-GB"/>
        </w:rPr>
      </w:pPr>
      <w:r w:rsidRPr="006A574A">
        <w:rPr>
          <w:rStyle w:val="Caracteresdenotaderodap"/>
          <w:rFonts w:asciiTheme="minorHAnsi" w:hAnsiTheme="minorHAnsi" w:cstheme="minorHAnsi"/>
          <w:vertAlign w:val="superscript"/>
        </w:rPr>
        <w:footnoteRef/>
      </w:r>
      <w:r w:rsidRPr="006A574A">
        <w:rPr>
          <w:rStyle w:val="BodyTextChar"/>
          <w:rFonts w:asciiTheme="minorHAnsi" w:hAnsiTheme="minorHAnsi" w:cstheme="minorHAnsi"/>
          <w:sz w:val="20"/>
          <w:szCs w:val="20"/>
        </w:rPr>
        <w:t xml:space="preserve"> Milanez, Bruno; Magno, Lucas; and Wanderley, Luiz. </w:t>
      </w:r>
      <w:r w:rsidRPr="006A574A">
        <w:rPr>
          <w:rStyle w:val="BodyTextChar"/>
          <w:rFonts w:asciiTheme="minorHAnsi" w:hAnsiTheme="minorHAnsi" w:cstheme="minorHAnsi"/>
          <w:sz w:val="20"/>
          <w:szCs w:val="20"/>
          <w:lang w:val="pt-BR"/>
        </w:rPr>
        <w:t xml:space="preserve">O Projeto de Lei Geral do Licenciamento (PL 3.729/2004) e seus efeitos para o setor mineral. </w:t>
      </w:r>
      <w:r w:rsidRPr="006A574A">
        <w:rPr>
          <w:rStyle w:val="BodyTextChar"/>
          <w:rFonts w:asciiTheme="minorHAnsi" w:hAnsiTheme="minorHAnsi" w:cstheme="minorHAnsi"/>
          <w:sz w:val="20"/>
          <w:szCs w:val="20"/>
        </w:rPr>
        <w:t xml:space="preserve">Versos (Textos para Discussão), v 5, n 1, 2021. Accessible at: </w:t>
      </w:r>
      <w:hyperlink r:id="rId17">
        <w:r w:rsidRPr="006A574A">
          <w:rPr>
            <w:rStyle w:val="Hyperlink"/>
            <w:rFonts w:asciiTheme="minorHAnsi" w:hAnsiTheme="minorHAnsi" w:cstheme="minorHAnsi"/>
            <w:lang w:val="en-GB"/>
          </w:rPr>
          <w:t>https://www.ufjf.br/poemas/files/2017/04/Versos-2021-O-PL-do-Licenciamento-e-seus-efeitos-para-o-setor-mineral.pdf</w:t>
        </w:r>
      </w:hyperlink>
      <w:r w:rsidRPr="006A574A">
        <w:rPr>
          <w:rFonts w:asciiTheme="minorHAnsi" w:hAnsiTheme="minorHAnsi" w:cstheme="minorHAnsi"/>
          <w:lang w:val="en-GB"/>
        </w:rPr>
        <w:t xml:space="preserve"> [Last accessed on 28 March, 2022].</w:t>
      </w:r>
    </w:p>
  </w:footnote>
  <w:footnote w:id="28">
    <w:p w14:paraId="5AFB49ED" w14:textId="77777777" w:rsidR="003317C8" w:rsidRPr="006A574A" w:rsidRDefault="003317C8" w:rsidP="006A574A">
      <w:pPr>
        <w:pStyle w:val="FootnoteText"/>
        <w:ind w:left="0" w:firstLine="0"/>
        <w:jc w:val="both"/>
        <w:rPr>
          <w:rFonts w:asciiTheme="minorHAnsi" w:hAnsiTheme="minorHAnsi" w:cstheme="minorHAnsi"/>
          <w:lang w:val="en-GB"/>
        </w:rPr>
      </w:pPr>
      <w:r w:rsidRPr="006A574A">
        <w:rPr>
          <w:rStyle w:val="Caracteresdenotaderodap"/>
          <w:rFonts w:asciiTheme="minorHAnsi" w:hAnsiTheme="minorHAnsi" w:cstheme="minorHAnsi"/>
          <w:vertAlign w:val="superscript"/>
        </w:rPr>
        <w:footnoteRef/>
      </w:r>
      <w:r w:rsidRPr="006A574A">
        <w:rPr>
          <w:rFonts w:asciiTheme="minorHAnsi" w:hAnsiTheme="minorHAnsi" w:cstheme="minorHAnsi"/>
          <w:lang w:val="pt-BR"/>
        </w:rPr>
        <w:t xml:space="preserve"> Fasolo, Carolina. 'Cheque em branco' para a grilagem, PL 2633 segue ao Senado. </w:t>
      </w:r>
      <w:r w:rsidRPr="006A574A">
        <w:rPr>
          <w:rFonts w:asciiTheme="minorHAnsi" w:hAnsiTheme="minorHAnsi" w:cstheme="minorHAnsi"/>
          <w:lang w:val="en-GB"/>
        </w:rPr>
        <w:t xml:space="preserve">Instituto Socioambiental. Accessible at:  </w:t>
      </w:r>
      <w:hyperlink r:id="rId18">
        <w:r w:rsidRPr="006A574A">
          <w:rPr>
            <w:rStyle w:val="Hyperlink"/>
            <w:rFonts w:asciiTheme="minorHAnsi" w:hAnsiTheme="minorHAnsi" w:cstheme="minorHAnsi"/>
            <w:lang w:val="en-GB"/>
          </w:rPr>
          <w:t>https://www.socioambiental.org/pt-br/noticias-socioambientais/cheque-em-branco-para-a-grilagem-pl-2633-segue-ao-senado</w:t>
        </w:r>
      </w:hyperlink>
      <w:r w:rsidRPr="006A574A">
        <w:rPr>
          <w:rFonts w:asciiTheme="minorHAnsi" w:hAnsiTheme="minorHAnsi" w:cstheme="minorHAnsi"/>
          <w:lang w:val="en-GB"/>
        </w:rPr>
        <w:t xml:space="preserve"> [Last accessed February 10, 2022]</w:t>
      </w:r>
    </w:p>
  </w:footnote>
  <w:footnote w:id="29">
    <w:p w14:paraId="755002C7" w14:textId="77777777" w:rsidR="003317C8" w:rsidRPr="006A574A" w:rsidRDefault="003317C8" w:rsidP="006A574A">
      <w:pPr>
        <w:jc w:val="both"/>
        <w:rPr>
          <w:rFonts w:cstheme="minorHAnsi"/>
          <w:sz w:val="20"/>
          <w:szCs w:val="20"/>
        </w:rPr>
      </w:pPr>
      <w:r w:rsidRPr="006A574A">
        <w:rPr>
          <w:rStyle w:val="FootnoteReference"/>
          <w:rFonts w:cstheme="minorHAnsi"/>
          <w:sz w:val="20"/>
          <w:szCs w:val="20"/>
        </w:rPr>
        <w:footnoteRef/>
      </w:r>
      <w:r w:rsidRPr="006A574A">
        <w:rPr>
          <w:rFonts w:cstheme="minorHAnsi"/>
          <w:sz w:val="20"/>
          <w:szCs w:val="20"/>
          <w:lang w:val="pt-BR"/>
        </w:rPr>
        <w:t xml:space="preserve">  </w:t>
      </w:r>
      <w:r w:rsidRPr="006A574A">
        <w:rPr>
          <w:rFonts w:eastAsia="Open Sans" w:cstheme="minorHAnsi"/>
          <w:sz w:val="20"/>
          <w:szCs w:val="20"/>
          <w:lang w:val="pt-BR"/>
        </w:rPr>
        <w:t xml:space="preserve">Conectas. "Ongs Pedem A Pacheco Que Projetos Que Alteram Direitos Socioambientais Passem Por Comissões". </w:t>
      </w:r>
      <w:r w:rsidRPr="006A574A">
        <w:rPr>
          <w:rFonts w:eastAsia="Open Sans" w:cstheme="minorHAnsi"/>
          <w:i/>
          <w:sz w:val="20"/>
          <w:szCs w:val="20"/>
        </w:rPr>
        <w:t>Conectas</w:t>
      </w:r>
      <w:r w:rsidRPr="006A574A">
        <w:rPr>
          <w:rFonts w:eastAsia="Open Sans" w:cstheme="minorHAnsi"/>
          <w:sz w:val="20"/>
          <w:szCs w:val="20"/>
        </w:rPr>
        <w:t xml:space="preserve">, 2021, Accessible at: </w:t>
      </w:r>
      <w:hyperlink r:id="rId19" w:history="1">
        <w:r w:rsidRPr="006A574A">
          <w:rPr>
            <w:rStyle w:val="Hyperlink"/>
            <w:rFonts w:eastAsia="Open Sans" w:cstheme="minorHAnsi"/>
            <w:sz w:val="20"/>
            <w:szCs w:val="20"/>
          </w:rPr>
          <w:t>https://www.conectas.org/noticias/ongs-pedem-a-pacheco-que-projetos-que-alteram-direitos-socioambientais-passem-por-comissoes/</w:t>
        </w:r>
      </w:hyperlink>
      <w:r w:rsidRPr="006A574A">
        <w:rPr>
          <w:rFonts w:eastAsia="Open Sans" w:cstheme="minorHAnsi"/>
          <w:sz w:val="20"/>
          <w:szCs w:val="20"/>
        </w:rPr>
        <w:t xml:space="preserve">. </w:t>
      </w:r>
      <w:r w:rsidRPr="006A574A">
        <w:rPr>
          <w:rFonts w:eastAsia="Open Sans" w:cstheme="minorHAnsi"/>
          <w:sz w:val="20"/>
          <w:szCs w:val="20"/>
          <w:lang w:val="pt-BR"/>
        </w:rPr>
        <w:t>[Last accessed on 29 March, 2022]</w:t>
      </w:r>
      <w:r w:rsidRPr="006A574A">
        <w:rPr>
          <w:rFonts w:cstheme="minorHAnsi"/>
          <w:sz w:val="20"/>
          <w:szCs w:val="20"/>
          <w:lang w:val="pt-BR"/>
        </w:rPr>
        <w:t xml:space="preserve"> and </w:t>
      </w:r>
      <w:r w:rsidRPr="006A574A">
        <w:rPr>
          <w:rFonts w:eastAsia="Helvetica" w:cstheme="minorHAnsi"/>
          <w:sz w:val="20"/>
          <w:szCs w:val="20"/>
          <w:lang w:val="pt-BR"/>
        </w:rPr>
        <w:t>Observatório do Clima (OC); WWF Brasil; Instituto Democracia e Sociedades (IDS); SOS Mata Atlântica; Instituto Socioambiental (ISA); Instituto Sociedades, População e Natureza (ISPN); Instituto de Estudos Socioeconômicos (INESC); Instituto Talanoa</w:t>
      </w:r>
      <w:r w:rsidRPr="006A574A">
        <w:rPr>
          <w:rFonts w:eastAsia="Open Sans" w:cstheme="minorHAnsi"/>
          <w:sz w:val="20"/>
          <w:szCs w:val="20"/>
          <w:lang w:val="pt-BR"/>
        </w:rPr>
        <w:t xml:space="preserve">. </w:t>
      </w:r>
      <w:r w:rsidRPr="006A574A">
        <w:rPr>
          <w:rFonts w:eastAsia="Open Sans" w:cstheme="minorHAnsi"/>
          <w:i/>
          <w:sz w:val="20"/>
          <w:szCs w:val="20"/>
          <w:lang w:val="pt-BR"/>
        </w:rPr>
        <w:t>Carta Ao Pacheco Grilagem E Licenciamento. Lei Geral Do Licenciamento Ambiental E Regularização Fundiária</w:t>
      </w:r>
      <w:r w:rsidRPr="006A574A">
        <w:rPr>
          <w:rFonts w:eastAsia="Open Sans" w:cstheme="minorHAnsi"/>
          <w:sz w:val="20"/>
          <w:szCs w:val="20"/>
          <w:lang w:val="pt-BR"/>
        </w:rPr>
        <w:t xml:space="preserve">. </w:t>
      </w:r>
      <w:r w:rsidRPr="006A574A">
        <w:rPr>
          <w:rFonts w:eastAsia="Open Sans" w:cstheme="minorHAnsi"/>
          <w:sz w:val="20"/>
          <w:szCs w:val="20"/>
        </w:rPr>
        <w:t xml:space="preserve">Brasília, 2021. Accessible at: </w:t>
      </w:r>
      <w:hyperlink r:id="rId20" w:history="1">
        <w:hyperlink r:id="rId21" w:history="1">
          <w:r w:rsidRPr="006A574A">
            <w:rPr>
              <w:rFonts w:cstheme="minorHAnsi"/>
              <w:sz w:val="20"/>
              <w:szCs w:val="20"/>
            </w:rPr>
            <w:t>Carta-ao-Pacheco-Grilagem-e-Licenciamento-1.pdf</w:t>
          </w:r>
        </w:hyperlink>
      </w:hyperlink>
      <w:r w:rsidRPr="006A574A">
        <w:rPr>
          <w:rFonts w:cstheme="minorHAnsi"/>
          <w:sz w:val="20"/>
          <w:szCs w:val="20"/>
        </w:rPr>
        <w:t xml:space="preserve">. [Last accessed on 29 March, 2022] To know more about the concept of “ </w:t>
      </w:r>
      <w:r w:rsidRPr="006A574A">
        <w:rPr>
          <w:rFonts w:eastAsiaTheme="majorEastAsia" w:cstheme="minorHAnsi"/>
          <w:sz w:val="20"/>
          <w:szCs w:val="20"/>
        </w:rPr>
        <w:t xml:space="preserve">Thomas, Jennifer Ann. </w:t>
      </w:r>
      <w:r w:rsidRPr="006A574A">
        <w:rPr>
          <w:rFonts w:eastAsiaTheme="majorEastAsia" w:cstheme="minorHAnsi"/>
          <w:sz w:val="20"/>
          <w:szCs w:val="20"/>
          <w:lang w:val="pt-BR"/>
        </w:rPr>
        <w:t xml:space="preserve">Grilagem: o que é, as causas e as consequências. Um So Planeta. 2021. </w:t>
      </w:r>
      <w:r w:rsidRPr="006A574A">
        <w:rPr>
          <w:rFonts w:eastAsiaTheme="majorEastAsia" w:cstheme="minorHAnsi"/>
          <w:sz w:val="20"/>
          <w:szCs w:val="20"/>
        </w:rPr>
        <w:t xml:space="preserve">Accessible at: </w:t>
      </w:r>
      <w:hyperlink r:id="rId22">
        <w:r w:rsidRPr="006A574A">
          <w:rPr>
            <w:rStyle w:val="Hyperlink"/>
            <w:rFonts w:eastAsiaTheme="majorEastAsia" w:cstheme="minorHAnsi"/>
            <w:sz w:val="20"/>
            <w:szCs w:val="20"/>
          </w:rPr>
          <w:t>https://umsoplaneta.globo.com/sociedade/noticia/2021/08/25/o-que-e-grilagem.ghtml</w:t>
        </w:r>
      </w:hyperlink>
      <w:r w:rsidRPr="006A574A">
        <w:rPr>
          <w:rFonts w:eastAsiaTheme="majorEastAsia" w:cstheme="minorHAnsi"/>
          <w:sz w:val="20"/>
          <w:szCs w:val="20"/>
        </w:rPr>
        <w:t xml:space="preserve"> (Last accessed on 28 March, 2022).</w:t>
      </w:r>
    </w:p>
  </w:footnote>
  <w:footnote w:id="30">
    <w:p w14:paraId="2D365547" w14:textId="77777777" w:rsidR="00722558" w:rsidRPr="006A574A" w:rsidRDefault="00722558"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w:t>
      </w:r>
      <w:r w:rsidRPr="006A574A">
        <w:rPr>
          <w:rFonts w:asciiTheme="minorHAnsi" w:hAnsiTheme="minorHAnsi" w:cstheme="minorHAnsi"/>
          <w:lang w:val="en-GB"/>
        </w:rPr>
        <w:t xml:space="preserve">OHCHR, Urgent Appeal UA BRA 5/2017, 30 May 2017, Accessible at:  </w:t>
      </w:r>
      <w:hyperlink r:id="rId23" w:history="1">
        <w:r w:rsidRPr="006A574A">
          <w:rPr>
            <w:rStyle w:val="Hyperlink"/>
            <w:rFonts w:asciiTheme="minorHAnsi" w:hAnsiTheme="minorHAnsi" w:cstheme="minorHAnsi"/>
          </w:rPr>
          <w:t>https://spcommreports.ohchr.org/TMResultsBase/DownLoadPublicCommunicationFile?gId=23144</w:t>
        </w:r>
      </w:hyperlink>
      <w:r w:rsidRPr="006A574A">
        <w:rPr>
          <w:rFonts w:asciiTheme="minorHAnsi" w:hAnsiTheme="minorHAnsi" w:cstheme="minorHAnsi"/>
        </w:rPr>
        <w:t xml:space="preserve">, </w:t>
      </w:r>
      <w:r w:rsidRPr="006A574A">
        <w:rPr>
          <w:rFonts w:asciiTheme="minorHAnsi" w:eastAsia="Open Sans" w:hAnsiTheme="minorHAnsi" w:cstheme="minorHAnsi"/>
          <w:lang w:val="en-GB"/>
        </w:rPr>
        <w:t>[Last accessed on 29 March, 2022]</w:t>
      </w:r>
    </w:p>
  </w:footnote>
  <w:footnote w:id="31">
    <w:p w14:paraId="130F5161" w14:textId="77777777" w:rsidR="006D316F" w:rsidRPr="006A574A" w:rsidRDefault="006D316F" w:rsidP="006A574A">
      <w:pPr>
        <w:pStyle w:val="FootnoteText"/>
        <w:ind w:left="0" w:firstLine="0"/>
        <w:jc w:val="both"/>
        <w:rPr>
          <w:rFonts w:asciiTheme="minorHAnsi" w:eastAsia="Calibr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w:t>
      </w:r>
      <w:r w:rsidRPr="006A574A">
        <w:rPr>
          <w:rFonts w:asciiTheme="minorHAnsi" w:eastAsia="Calibri" w:hAnsiTheme="minorHAnsi" w:cstheme="minorHAnsi"/>
        </w:rPr>
        <w:t xml:space="preserve">OHCHR. "Brazil: Supreme Court Must Uphold Indigenous Land Rights – UN Expert". </w:t>
      </w:r>
      <w:r w:rsidRPr="006A574A">
        <w:rPr>
          <w:rFonts w:asciiTheme="minorHAnsi" w:eastAsia="Calibri" w:hAnsiTheme="minorHAnsi" w:cstheme="minorHAnsi"/>
          <w:i/>
          <w:iCs/>
        </w:rPr>
        <w:t>OHCHR</w:t>
      </w:r>
      <w:r w:rsidRPr="006A574A">
        <w:rPr>
          <w:rFonts w:asciiTheme="minorHAnsi" w:eastAsia="Calibri" w:hAnsiTheme="minorHAnsi" w:cstheme="minorHAnsi"/>
        </w:rPr>
        <w:t xml:space="preserve">, 2021, Accessible at: </w:t>
      </w:r>
      <w:hyperlink r:id="rId24" w:history="1">
        <w:hyperlink r:id="rId25" w:history="1">
          <w:r w:rsidRPr="006A574A">
            <w:rPr>
              <w:rFonts w:asciiTheme="minorHAnsi" w:eastAsia="Calibri" w:hAnsiTheme="minorHAnsi" w:cstheme="minorHAnsi"/>
            </w:rPr>
            <w:t>https://www.ohchr.org/en/press-releases/2021/08/brazil-supreme-court-must-uphold-indigenous-land-rights-un-expert?LangID=E&amp;NewsID=27400</w:t>
          </w:r>
        </w:hyperlink>
      </w:hyperlink>
      <w:r w:rsidRPr="006A574A">
        <w:rPr>
          <w:rFonts w:asciiTheme="minorHAnsi" w:eastAsia="Calibri" w:hAnsiTheme="minorHAnsi" w:cstheme="minorHAnsi"/>
        </w:rPr>
        <w:t>. [Last accessed on 28 March, 2022]</w:t>
      </w:r>
    </w:p>
  </w:footnote>
  <w:footnote w:id="32">
    <w:p w14:paraId="5A309F5F" w14:textId="77777777" w:rsidR="00323C41" w:rsidRPr="006A574A" w:rsidRDefault="00323C41" w:rsidP="006A574A">
      <w:pPr>
        <w:pStyle w:val="FootnoteText"/>
        <w:ind w:left="0" w:firstLine="0"/>
        <w:jc w:val="both"/>
        <w:rPr>
          <w:rFonts w:asciiTheme="minorHAnsi" w:eastAsia="Calibri" w:hAnsiTheme="minorHAnsi" w:cstheme="minorHAnsi"/>
          <w:lang w:val="pt-BR"/>
        </w:rPr>
      </w:pPr>
      <w:r w:rsidRPr="006A574A">
        <w:rPr>
          <w:rStyle w:val="FootnoteReference"/>
          <w:rFonts w:asciiTheme="minorHAnsi" w:hAnsiTheme="minorHAnsi" w:cstheme="minorHAnsi"/>
        </w:rPr>
        <w:footnoteRef/>
      </w:r>
      <w:r w:rsidRPr="006A574A">
        <w:rPr>
          <w:rFonts w:asciiTheme="minorHAnsi" w:hAnsiTheme="minorHAnsi" w:cstheme="minorHAnsi"/>
          <w:lang w:val="pt-BR"/>
        </w:rPr>
        <w:t xml:space="preserve"> </w:t>
      </w:r>
      <w:r w:rsidRPr="006A574A">
        <w:rPr>
          <w:rFonts w:asciiTheme="minorHAnsi" w:eastAsia="Calibri" w:hAnsiTheme="minorHAnsi" w:cstheme="minorHAnsi"/>
          <w:lang w:val="pt-BR"/>
        </w:rPr>
        <w:t xml:space="preserve">Alessi, Gil. Na Câmara, comissão aprova projeto que fragiliza blindagem de terras indígenas, El País, 2021, Accessible at: </w:t>
      </w:r>
      <w:hyperlink r:id="rId26" w:history="1">
        <w:hyperlink r:id="rId27" w:history="1">
          <w:r w:rsidRPr="006A574A">
            <w:rPr>
              <w:rFonts w:asciiTheme="minorHAnsi" w:eastAsia="Calibri" w:hAnsiTheme="minorHAnsi" w:cstheme="minorHAnsi"/>
              <w:lang w:val="pt-BR"/>
            </w:rPr>
            <w:t>https://brasil.elpais.com/brasil/2021-06-23/na-camara-comissao-aprova-projeto-que-fragiliza-blindagem-de-terras-indigenas.html</w:t>
          </w:r>
        </w:hyperlink>
      </w:hyperlink>
      <w:r w:rsidRPr="006A574A">
        <w:rPr>
          <w:rFonts w:asciiTheme="minorHAnsi" w:eastAsia="Calibri" w:hAnsiTheme="minorHAnsi" w:cstheme="minorHAnsi"/>
          <w:lang w:val="pt-BR"/>
        </w:rPr>
        <w:t xml:space="preserve"> [Last accessed on 10 February, 2022]</w:t>
      </w:r>
    </w:p>
  </w:footnote>
  <w:footnote w:id="33">
    <w:p w14:paraId="0A67CD6B" w14:textId="77777777" w:rsidR="008A008C" w:rsidRPr="006A574A" w:rsidRDefault="008A008C" w:rsidP="006A574A">
      <w:pPr>
        <w:pStyle w:val="FootnoteText"/>
        <w:ind w:left="0" w:firstLine="0"/>
        <w:jc w:val="both"/>
        <w:rPr>
          <w:rFonts w:asciiTheme="minorHAnsi" w:hAnsiTheme="minorHAnsi" w:cstheme="minorHAnsi"/>
        </w:rPr>
      </w:pPr>
      <w:r w:rsidRPr="006A574A">
        <w:rPr>
          <w:rStyle w:val="FootnoteReference"/>
          <w:rFonts w:asciiTheme="minorHAnsi" w:hAnsiTheme="minorHAnsi" w:cstheme="minorHAnsi"/>
        </w:rPr>
        <w:footnoteRef/>
      </w:r>
      <w:r w:rsidRPr="006A574A">
        <w:rPr>
          <w:rFonts w:asciiTheme="minorHAnsi" w:hAnsiTheme="minorHAnsi" w:cstheme="minorHAnsi"/>
        </w:rPr>
        <w:t xml:space="preserve"> See </w:t>
      </w:r>
      <w:r w:rsidRPr="006A574A">
        <w:rPr>
          <w:rFonts w:asciiTheme="minorHAnsi" w:hAnsiTheme="minorHAnsi" w:cstheme="minorHAnsi"/>
          <w:lang w:val="en-GB"/>
        </w:rPr>
        <w:t xml:space="preserve">OHCHR, OL BRA 4/2022, 12 April 2022, Accessible at </w:t>
      </w:r>
      <w:hyperlink r:id="rId28" w:history="1">
        <w:r w:rsidRPr="006A574A">
          <w:rPr>
            <w:rStyle w:val="Hyperlink"/>
            <w:rFonts w:asciiTheme="minorHAnsi" w:hAnsiTheme="minorHAnsi" w:cstheme="minorHAnsi"/>
          </w:rPr>
          <w:t>https://spcommreports.ohchr.org/TMResultsBase/DownLoadPublicCommunicationFile?gId=27186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AAC2" w14:textId="77777777" w:rsidR="001D2D0D" w:rsidRPr="00925A9D" w:rsidRDefault="00692FAC" w:rsidP="00FC29FA">
    <w:pPr>
      <w:pStyle w:val="Header"/>
      <w:rPr>
        <w:sz w:val="14"/>
        <w:szCs w:val="14"/>
      </w:rPr>
    </w:pPr>
  </w:p>
  <w:p w14:paraId="202CAFBE" w14:textId="77777777" w:rsidR="00A93F3F" w:rsidRPr="00F70507" w:rsidRDefault="00692FAC" w:rsidP="000448F9">
    <w:pPr>
      <w:pStyle w:val="Header"/>
      <w:tabs>
        <w:tab w:val="right" w:pos="3686"/>
        <w:tab w:val="left" w:pos="5812"/>
      </w:tabs>
      <w:spacing w:before="80" w:after="120"/>
      <w:jc w:val="center"/>
      <w:rPr>
        <w:b/>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392"/>
    <w:multiLevelType w:val="hybridMultilevel"/>
    <w:tmpl w:val="8112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0A5ED7"/>
    <w:multiLevelType w:val="hybridMultilevel"/>
    <w:tmpl w:val="6D5E4CD4"/>
    <w:lvl w:ilvl="0" w:tplc="580A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1D52C4"/>
    <w:multiLevelType w:val="hybridMultilevel"/>
    <w:tmpl w:val="8152A5D2"/>
    <w:lvl w:ilvl="0" w:tplc="F3104B54">
      <w:start w:val="1"/>
      <w:numFmt w:val="decimal"/>
      <w:lvlText w:val="%1."/>
      <w:lvlJc w:val="left"/>
      <w:pPr>
        <w:ind w:left="720" w:hanging="360"/>
      </w:pPr>
      <w:rPr>
        <w:b w:val="0"/>
        <w:bCs/>
        <w:vertAlign w:val="baseline"/>
      </w:rPr>
    </w:lvl>
    <w:lvl w:ilvl="1" w:tplc="580A0019">
      <w:start w:val="1"/>
      <w:numFmt w:val="lowerLetter"/>
      <w:lvlText w:val="%2."/>
      <w:lvlJc w:val="left"/>
      <w:pPr>
        <w:ind w:left="1440" w:hanging="360"/>
      </w:pPr>
    </w:lvl>
    <w:lvl w:ilvl="2" w:tplc="580A001B">
      <w:start w:val="1"/>
      <w:numFmt w:val="lowerRoman"/>
      <w:lvlText w:val="%3."/>
      <w:lvlJc w:val="right"/>
      <w:pPr>
        <w:ind w:left="3441"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62D249A"/>
    <w:multiLevelType w:val="hybridMultilevel"/>
    <w:tmpl w:val="4860E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E24B0E"/>
    <w:multiLevelType w:val="multilevel"/>
    <w:tmpl w:val="3E6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41496"/>
    <w:multiLevelType w:val="hybridMultilevel"/>
    <w:tmpl w:val="731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B582C"/>
    <w:multiLevelType w:val="multilevel"/>
    <w:tmpl w:val="CC2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FA"/>
    <w:rsid w:val="00006E43"/>
    <w:rsid w:val="0001285B"/>
    <w:rsid w:val="00022230"/>
    <w:rsid w:val="00031D3F"/>
    <w:rsid w:val="000328B7"/>
    <w:rsid w:val="000532E3"/>
    <w:rsid w:val="0009230A"/>
    <w:rsid w:val="000B7546"/>
    <w:rsid w:val="000C2E39"/>
    <w:rsid w:val="000C79C0"/>
    <w:rsid w:val="000E2706"/>
    <w:rsid w:val="000F39C1"/>
    <w:rsid w:val="000F6EEF"/>
    <w:rsid w:val="00106EBD"/>
    <w:rsid w:val="001144C3"/>
    <w:rsid w:val="001329CA"/>
    <w:rsid w:val="001331D9"/>
    <w:rsid w:val="00145320"/>
    <w:rsid w:val="00172664"/>
    <w:rsid w:val="00172D1F"/>
    <w:rsid w:val="001730CD"/>
    <w:rsid w:val="0018107D"/>
    <w:rsid w:val="00191FF4"/>
    <w:rsid w:val="00195A21"/>
    <w:rsid w:val="001A5022"/>
    <w:rsid w:val="001A7ECF"/>
    <w:rsid w:val="001C1CFF"/>
    <w:rsid w:val="001F476A"/>
    <w:rsid w:val="00227747"/>
    <w:rsid w:val="00246D77"/>
    <w:rsid w:val="0027180D"/>
    <w:rsid w:val="00271BE1"/>
    <w:rsid w:val="00277791"/>
    <w:rsid w:val="00281F45"/>
    <w:rsid w:val="002955A4"/>
    <w:rsid w:val="002B5647"/>
    <w:rsid w:val="002C2252"/>
    <w:rsid w:val="002D338A"/>
    <w:rsid w:val="002E02DC"/>
    <w:rsid w:val="002E058B"/>
    <w:rsid w:val="002E494E"/>
    <w:rsid w:val="00306216"/>
    <w:rsid w:val="00306698"/>
    <w:rsid w:val="00323C41"/>
    <w:rsid w:val="003317C8"/>
    <w:rsid w:val="003322DD"/>
    <w:rsid w:val="003700AA"/>
    <w:rsid w:val="0037386C"/>
    <w:rsid w:val="003838EA"/>
    <w:rsid w:val="003869ED"/>
    <w:rsid w:val="00392CE5"/>
    <w:rsid w:val="003B6393"/>
    <w:rsid w:val="003B7AD3"/>
    <w:rsid w:val="003F276D"/>
    <w:rsid w:val="003F40DC"/>
    <w:rsid w:val="004037E1"/>
    <w:rsid w:val="00403F53"/>
    <w:rsid w:val="00405633"/>
    <w:rsid w:val="00437604"/>
    <w:rsid w:val="00445B70"/>
    <w:rsid w:val="00463C07"/>
    <w:rsid w:val="004650E7"/>
    <w:rsid w:val="00465D23"/>
    <w:rsid w:val="0047011C"/>
    <w:rsid w:val="00472137"/>
    <w:rsid w:val="004849B5"/>
    <w:rsid w:val="00495F62"/>
    <w:rsid w:val="004B1A51"/>
    <w:rsid w:val="004D4995"/>
    <w:rsid w:val="004F7ACD"/>
    <w:rsid w:val="005121ED"/>
    <w:rsid w:val="00521F63"/>
    <w:rsid w:val="005343C1"/>
    <w:rsid w:val="0054260A"/>
    <w:rsid w:val="005648E3"/>
    <w:rsid w:val="00576EBA"/>
    <w:rsid w:val="005B22C2"/>
    <w:rsid w:val="005C3C50"/>
    <w:rsid w:val="005E15E0"/>
    <w:rsid w:val="005E1D81"/>
    <w:rsid w:val="005E6D4D"/>
    <w:rsid w:val="005F7B76"/>
    <w:rsid w:val="00602371"/>
    <w:rsid w:val="006078CE"/>
    <w:rsid w:val="006137AF"/>
    <w:rsid w:val="0064016E"/>
    <w:rsid w:val="0064752E"/>
    <w:rsid w:val="00652127"/>
    <w:rsid w:val="00661447"/>
    <w:rsid w:val="006620F1"/>
    <w:rsid w:val="0067727A"/>
    <w:rsid w:val="006801C6"/>
    <w:rsid w:val="00692FAC"/>
    <w:rsid w:val="00694C31"/>
    <w:rsid w:val="006A0F00"/>
    <w:rsid w:val="006A4135"/>
    <w:rsid w:val="006A4BA6"/>
    <w:rsid w:val="006A574A"/>
    <w:rsid w:val="006D316F"/>
    <w:rsid w:val="006D6FF0"/>
    <w:rsid w:val="006F3EFF"/>
    <w:rsid w:val="007016A0"/>
    <w:rsid w:val="00716E20"/>
    <w:rsid w:val="00720410"/>
    <w:rsid w:val="00722558"/>
    <w:rsid w:val="00744FA6"/>
    <w:rsid w:val="007568A7"/>
    <w:rsid w:val="00773C1C"/>
    <w:rsid w:val="007B6AF9"/>
    <w:rsid w:val="007C13BA"/>
    <w:rsid w:val="007C3C97"/>
    <w:rsid w:val="007D0A90"/>
    <w:rsid w:val="0080551E"/>
    <w:rsid w:val="00814D16"/>
    <w:rsid w:val="00824D5D"/>
    <w:rsid w:val="00827949"/>
    <w:rsid w:val="00830C4E"/>
    <w:rsid w:val="00837B95"/>
    <w:rsid w:val="00843CA5"/>
    <w:rsid w:val="00844A3C"/>
    <w:rsid w:val="00853583"/>
    <w:rsid w:val="00887CC3"/>
    <w:rsid w:val="00892655"/>
    <w:rsid w:val="008A008C"/>
    <w:rsid w:val="008B1072"/>
    <w:rsid w:val="008C503B"/>
    <w:rsid w:val="008D1609"/>
    <w:rsid w:val="008D1E63"/>
    <w:rsid w:val="008F45CE"/>
    <w:rsid w:val="008F7AC3"/>
    <w:rsid w:val="00904EF3"/>
    <w:rsid w:val="00917866"/>
    <w:rsid w:val="00933098"/>
    <w:rsid w:val="0094052E"/>
    <w:rsid w:val="009474B5"/>
    <w:rsid w:val="0095539A"/>
    <w:rsid w:val="00962D1E"/>
    <w:rsid w:val="00976926"/>
    <w:rsid w:val="00987A87"/>
    <w:rsid w:val="00997115"/>
    <w:rsid w:val="009A50A7"/>
    <w:rsid w:val="009B0263"/>
    <w:rsid w:val="009B0FC2"/>
    <w:rsid w:val="009B7CD8"/>
    <w:rsid w:val="009D5F73"/>
    <w:rsid w:val="009F1479"/>
    <w:rsid w:val="009F2C16"/>
    <w:rsid w:val="00A243E3"/>
    <w:rsid w:val="00A27F44"/>
    <w:rsid w:val="00A33861"/>
    <w:rsid w:val="00A36198"/>
    <w:rsid w:val="00A37E20"/>
    <w:rsid w:val="00A75340"/>
    <w:rsid w:val="00A77F98"/>
    <w:rsid w:val="00AB47D1"/>
    <w:rsid w:val="00AC313B"/>
    <w:rsid w:val="00AC388C"/>
    <w:rsid w:val="00AE061A"/>
    <w:rsid w:val="00B06A0E"/>
    <w:rsid w:val="00B07FD0"/>
    <w:rsid w:val="00B1389D"/>
    <w:rsid w:val="00B40BCD"/>
    <w:rsid w:val="00B469CD"/>
    <w:rsid w:val="00B527EF"/>
    <w:rsid w:val="00B701F4"/>
    <w:rsid w:val="00BA0139"/>
    <w:rsid w:val="00BA2839"/>
    <w:rsid w:val="00BB3A84"/>
    <w:rsid w:val="00BC637D"/>
    <w:rsid w:val="00BE140D"/>
    <w:rsid w:val="00BE44B6"/>
    <w:rsid w:val="00BF160A"/>
    <w:rsid w:val="00BF17C5"/>
    <w:rsid w:val="00BF30BC"/>
    <w:rsid w:val="00BF63B8"/>
    <w:rsid w:val="00C26C5B"/>
    <w:rsid w:val="00C34DFF"/>
    <w:rsid w:val="00C35FD8"/>
    <w:rsid w:val="00C45819"/>
    <w:rsid w:val="00C66ADF"/>
    <w:rsid w:val="00C84B30"/>
    <w:rsid w:val="00CA6C47"/>
    <w:rsid w:val="00CA790A"/>
    <w:rsid w:val="00CB096F"/>
    <w:rsid w:val="00CD1262"/>
    <w:rsid w:val="00CE1616"/>
    <w:rsid w:val="00D01407"/>
    <w:rsid w:val="00D16006"/>
    <w:rsid w:val="00D163AA"/>
    <w:rsid w:val="00D21675"/>
    <w:rsid w:val="00D273C9"/>
    <w:rsid w:val="00D43228"/>
    <w:rsid w:val="00D52EC1"/>
    <w:rsid w:val="00D602FC"/>
    <w:rsid w:val="00D825A2"/>
    <w:rsid w:val="00D94FC9"/>
    <w:rsid w:val="00DB4B37"/>
    <w:rsid w:val="00DD0101"/>
    <w:rsid w:val="00DD1D0B"/>
    <w:rsid w:val="00DD4CF6"/>
    <w:rsid w:val="00DF6661"/>
    <w:rsid w:val="00DF767F"/>
    <w:rsid w:val="00DF7AFC"/>
    <w:rsid w:val="00E0226B"/>
    <w:rsid w:val="00E06C05"/>
    <w:rsid w:val="00E31FC2"/>
    <w:rsid w:val="00E42B1A"/>
    <w:rsid w:val="00E50F8C"/>
    <w:rsid w:val="00E57C0E"/>
    <w:rsid w:val="00E942E2"/>
    <w:rsid w:val="00E977F0"/>
    <w:rsid w:val="00EA424A"/>
    <w:rsid w:val="00EA620B"/>
    <w:rsid w:val="00ED2D3D"/>
    <w:rsid w:val="00ED3F70"/>
    <w:rsid w:val="00EE4210"/>
    <w:rsid w:val="00EE692B"/>
    <w:rsid w:val="00F008CD"/>
    <w:rsid w:val="00F04118"/>
    <w:rsid w:val="00F212E1"/>
    <w:rsid w:val="00F330CD"/>
    <w:rsid w:val="00F50B7B"/>
    <w:rsid w:val="00F543D8"/>
    <w:rsid w:val="00F77373"/>
    <w:rsid w:val="00F805C9"/>
    <w:rsid w:val="00F84EAD"/>
    <w:rsid w:val="00FA681F"/>
    <w:rsid w:val="00FC29FA"/>
    <w:rsid w:val="00FC607C"/>
    <w:rsid w:val="00FD05B9"/>
    <w:rsid w:val="00FD417F"/>
    <w:rsid w:val="00FE7BEA"/>
    <w:rsid w:val="09798A9A"/>
    <w:rsid w:val="27063D8B"/>
    <w:rsid w:val="28A20DEC"/>
    <w:rsid w:val="28AF1ADE"/>
    <w:rsid w:val="6DEDC259"/>
    <w:rsid w:val="7372CC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07EB"/>
  <w15:chartTrackingRefBased/>
  <w15:docId w15:val="{7D238563-92B7-46BF-9146-8C9FC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DD1D0B"/>
    <w:pPr>
      <w:spacing w:before="100" w:beforeAutospacing="1" w:after="100" w:afterAutospacing="1"/>
      <w:outlineLvl w:val="0"/>
    </w:pPr>
    <w:rPr>
      <w:b/>
      <w:bCs/>
      <w:kern w:val="36"/>
      <w:sz w:val="48"/>
      <w:szCs w:val="48"/>
      <w:lang/>
    </w:rPr>
  </w:style>
  <w:style w:type="paragraph" w:styleId="Heading2">
    <w:name w:val="heading 2"/>
    <w:basedOn w:val="Normal"/>
    <w:next w:val="Normal"/>
    <w:link w:val="Heading2Char"/>
    <w:uiPriority w:val="9"/>
    <w:unhideWhenUsed/>
    <w:qFormat/>
    <w:rsid w:val="009D5F73"/>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F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C29FA"/>
  </w:style>
  <w:style w:type="paragraph" w:styleId="Footer">
    <w:name w:val="footer"/>
    <w:basedOn w:val="Normal"/>
    <w:link w:val="FooterChar"/>
    <w:uiPriority w:val="99"/>
    <w:unhideWhenUsed/>
    <w:rsid w:val="00FC29F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C29FA"/>
  </w:style>
  <w:style w:type="character" w:styleId="Hyperlink">
    <w:name w:val="Hyperlink"/>
    <w:uiPriority w:val="99"/>
    <w:rsid w:val="00FC29FA"/>
    <w:rPr>
      <w:color w:val="0000FF"/>
      <w:u w:val="single"/>
    </w:rPr>
  </w:style>
  <w:style w:type="character" w:styleId="CommentReference">
    <w:name w:val="annotation reference"/>
    <w:basedOn w:val="DefaultParagraphFont"/>
    <w:uiPriority w:val="99"/>
    <w:semiHidden/>
    <w:unhideWhenUsed/>
    <w:rsid w:val="00837B95"/>
    <w:rPr>
      <w:sz w:val="16"/>
      <w:szCs w:val="16"/>
    </w:rPr>
  </w:style>
  <w:style w:type="paragraph" w:styleId="CommentText">
    <w:name w:val="annotation text"/>
    <w:basedOn w:val="Normal"/>
    <w:link w:val="CommentTextChar"/>
    <w:uiPriority w:val="99"/>
    <w:unhideWhenUsed/>
    <w:rsid w:val="00837B95"/>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837B95"/>
    <w:rPr>
      <w:sz w:val="20"/>
      <w:szCs w:val="20"/>
    </w:rPr>
  </w:style>
  <w:style w:type="paragraph" w:styleId="CommentSubject">
    <w:name w:val="annotation subject"/>
    <w:basedOn w:val="CommentText"/>
    <w:next w:val="CommentText"/>
    <w:link w:val="CommentSubjectChar"/>
    <w:uiPriority w:val="99"/>
    <w:semiHidden/>
    <w:unhideWhenUsed/>
    <w:rsid w:val="00837B95"/>
    <w:rPr>
      <w:b/>
      <w:bCs/>
    </w:rPr>
  </w:style>
  <w:style w:type="character" w:customStyle="1" w:styleId="CommentSubjectChar">
    <w:name w:val="Comment Subject Char"/>
    <w:basedOn w:val="CommentTextChar"/>
    <w:link w:val="CommentSubject"/>
    <w:uiPriority w:val="99"/>
    <w:semiHidden/>
    <w:rsid w:val="00837B95"/>
    <w:rPr>
      <w:b/>
      <w:bCs/>
      <w:sz w:val="20"/>
      <w:szCs w:val="20"/>
    </w:rPr>
  </w:style>
  <w:style w:type="paragraph" w:styleId="BalloonText">
    <w:name w:val="Balloon Text"/>
    <w:basedOn w:val="Normal"/>
    <w:link w:val="BalloonTextChar"/>
    <w:uiPriority w:val="99"/>
    <w:semiHidden/>
    <w:unhideWhenUsed/>
    <w:rsid w:val="00837B95"/>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837B95"/>
    <w:rPr>
      <w:rFonts w:ascii="Segoe UI" w:hAnsi="Segoe UI" w:cs="Segoe UI"/>
      <w:sz w:val="18"/>
      <w:szCs w:val="18"/>
    </w:rPr>
  </w:style>
  <w:style w:type="character" w:styleId="FollowedHyperlink">
    <w:name w:val="FollowedHyperlink"/>
    <w:basedOn w:val="DefaultParagraphFont"/>
    <w:uiPriority w:val="99"/>
    <w:semiHidden/>
    <w:unhideWhenUsed/>
    <w:rsid w:val="000C79C0"/>
    <w:rPr>
      <w:color w:val="954F72" w:themeColor="followedHyperlink"/>
      <w:u w:val="single"/>
    </w:rPr>
  </w:style>
  <w:style w:type="paragraph" w:styleId="ListParagraph">
    <w:name w:val="List Paragraph"/>
    <w:basedOn w:val="Normal"/>
    <w:uiPriority w:val="34"/>
    <w:qFormat/>
    <w:rsid w:val="008B1072"/>
    <w:pPr>
      <w:ind w:left="720"/>
      <w:contextualSpacing/>
    </w:pPr>
    <w:rPr>
      <w:sz w:val="20"/>
      <w:szCs w:val="20"/>
      <w:lang w:val="en-GB"/>
    </w:rPr>
  </w:style>
  <w:style w:type="character" w:customStyle="1" w:styleId="Mencinsinresolver1">
    <w:name w:val="Mención sin resolver1"/>
    <w:basedOn w:val="DefaultParagraphFont"/>
    <w:uiPriority w:val="99"/>
    <w:semiHidden/>
    <w:unhideWhenUsed/>
    <w:rsid w:val="006078CE"/>
    <w:rPr>
      <w:color w:val="605E5C"/>
      <w:shd w:val="clear" w:color="auto" w:fill="E1DFDD"/>
    </w:rPr>
  </w:style>
  <w:style w:type="paragraph" w:styleId="Revision">
    <w:name w:val="Revision"/>
    <w:hidden/>
    <w:uiPriority w:val="99"/>
    <w:semiHidden/>
    <w:rsid w:val="00CD1262"/>
    <w:pPr>
      <w:spacing w:after="0" w:line="240" w:lineRule="auto"/>
    </w:pPr>
  </w:style>
  <w:style w:type="paragraph" w:styleId="BodyText">
    <w:name w:val="Body Text"/>
    <w:basedOn w:val="Normal"/>
    <w:link w:val="BodyTextChar"/>
    <w:qFormat/>
    <w:rsid w:val="00281F45"/>
    <w:pPr>
      <w:suppressAutoHyphens/>
      <w:spacing w:after="140" w:line="276" w:lineRule="auto"/>
    </w:pPr>
    <w:rPr>
      <w:rFonts w:ascii="Liberation Serif" w:eastAsia="NSimSun" w:hAnsi="Liberation Serif" w:cs="Lucida Sans"/>
      <w:kern w:val="1"/>
      <w:lang w:eastAsia="zh-CN" w:bidi="hi-IN"/>
    </w:rPr>
  </w:style>
  <w:style w:type="character" w:customStyle="1" w:styleId="BodyTextChar">
    <w:name w:val="Body Text Char"/>
    <w:basedOn w:val="DefaultParagraphFont"/>
    <w:link w:val="BodyText"/>
    <w:rsid w:val="00281F45"/>
    <w:rPr>
      <w:rFonts w:ascii="Liberation Serif" w:eastAsia="NSimSun" w:hAnsi="Liberation Serif" w:cs="Lucida Sans"/>
      <w:kern w:val="1"/>
      <w:sz w:val="24"/>
      <w:szCs w:val="24"/>
      <w:lang w:val="en-US" w:eastAsia="zh-CN" w:bidi="hi-IN"/>
    </w:rPr>
  </w:style>
  <w:style w:type="paragraph" w:styleId="FootnoteText">
    <w:name w:val="footnote text"/>
    <w:basedOn w:val="Normal"/>
    <w:link w:val="FootnoteTextChar"/>
    <w:uiPriority w:val="99"/>
    <w:qFormat/>
    <w:rsid w:val="00281F45"/>
    <w:pPr>
      <w:suppressLineNumbers/>
      <w:suppressAutoHyphens/>
      <w:ind w:left="339" w:hanging="339"/>
    </w:pPr>
    <w:rPr>
      <w:rFonts w:ascii="Liberation Serif" w:eastAsia="NSimSun" w:hAnsi="Liberation Serif" w:cs="Lucida Sans"/>
      <w:kern w:val="1"/>
      <w:sz w:val="20"/>
      <w:szCs w:val="20"/>
      <w:lang w:eastAsia="zh-CN" w:bidi="hi-IN"/>
    </w:rPr>
  </w:style>
  <w:style w:type="character" w:customStyle="1" w:styleId="FootnoteTextChar">
    <w:name w:val="Footnote Text Char"/>
    <w:basedOn w:val="DefaultParagraphFont"/>
    <w:link w:val="FootnoteText"/>
    <w:uiPriority w:val="99"/>
    <w:rsid w:val="00281F45"/>
    <w:rPr>
      <w:rFonts w:ascii="Liberation Serif" w:eastAsia="NSimSun" w:hAnsi="Liberation Serif" w:cs="Lucida Sans"/>
      <w:kern w:val="1"/>
      <w:sz w:val="20"/>
      <w:szCs w:val="20"/>
      <w:lang w:val="en-US" w:eastAsia="zh-CN" w:bidi="hi-IN"/>
    </w:rPr>
  </w:style>
  <w:style w:type="character" w:customStyle="1" w:styleId="Caracteresdenotaderodap">
    <w:name w:val="Caracteres de nota de rodapé"/>
    <w:rsid w:val="00281F45"/>
  </w:style>
  <w:style w:type="character" w:customStyle="1" w:styleId="ncoradanotaderodap">
    <w:name w:val="Âncora da nota de rodapé"/>
    <w:rsid w:val="00281F45"/>
    <w:rPr>
      <w:vertAlign w:val="superscript"/>
    </w:rPr>
  </w:style>
  <w:style w:type="character" w:styleId="FootnoteReference">
    <w:name w:val="footnote reference"/>
    <w:aliases w:val="Footnotes refss,Ref,de nota al pie"/>
    <w:basedOn w:val="DefaultParagraphFont"/>
    <w:uiPriority w:val="99"/>
    <w:rsid w:val="00281F45"/>
    <w:rPr>
      <w:vertAlign w:val="superscript"/>
    </w:rPr>
  </w:style>
  <w:style w:type="character" w:styleId="UnresolvedMention">
    <w:name w:val="Unresolved Mention"/>
    <w:basedOn w:val="DefaultParagraphFont"/>
    <w:uiPriority w:val="99"/>
    <w:semiHidden/>
    <w:unhideWhenUsed/>
    <w:rsid w:val="00B40BCD"/>
    <w:rPr>
      <w:color w:val="605E5C"/>
      <w:shd w:val="clear" w:color="auto" w:fill="E1DFDD"/>
    </w:rPr>
  </w:style>
  <w:style w:type="character" w:customStyle="1" w:styleId="normaltextrun">
    <w:name w:val="normaltextrun"/>
    <w:basedOn w:val="DefaultParagraphFont"/>
    <w:rsid w:val="002E494E"/>
  </w:style>
  <w:style w:type="character" w:customStyle="1" w:styleId="superscript">
    <w:name w:val="superscript"/>
    <w:basedOn w:val="DefaultParagraphFont"/>
    <w:rsid w:val="002E494E"/>
  </w:style>
  <w:style w:type="character" w:customStyle="1" w:styleId="scxw211889901">
    <w:name w:val="scxw211889901"/>
    <w:basedOn w:val="DefaultParagraphFont"/>
    <w:rsid w:val="002E494E"/>
  </w:style>
  <w:style w:type="character" w:customStyle="1" w:styleId="Heading1Char">
    <w:name w:val="Heading 1 Char"/>
    <w:basedOn w:val="DefaultParagraphFont"/>
    <w:link w:val="Heading1"/>
    <w:uiPriority w:val="9"/>
    <w:rsid w:val="00DD1D0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rsid w:val="009D5F73"/>
    <w:rPr>
      <w:rFonts w:asciiTheme="majorHAnsi" w:eastAsiaTheme="majorEastAsia" w:hAnsiTheme="majorHAnsi" w:cstheme="majorBidi"/>
      <w:color w:val="2E74B5" w:themeColor="accent1" w:themeShade="BF"/>
      <w:sz w:val="26"/>
      <w:szCs w:val="26"/>
    </w:rPr>
  </w:style>
  <w:style w:type="character" w:customStyle="1" w:styleId="eop">
    <w:name w:val="eop"/>
    <w:basedOn w:val="DefaultParagraphFont"/>
    <w:rsid w:val="00FC607C"/>
  </w:style>
  <w:style w:type="character" w:styleId="Strong">
    <w:name w:val="Strong"/>
    <w:basedOn w:val="DefaultParagraphFont"/>
    <w:uiPriority w:val="22"/>
    <w:qFormat/>
    <w:rsid w:val="00661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11035">
      <w:bodyDiv w:val="1"/>
      <w:marLeft w:val="0"/>
      <w:marRight w:val="0"/>
      <w:marTop w:val="0"/>
      <w:marBottom w:val="0"/>
      <w:divBdr>
        <w:top w:val="none" w:sz="0" w:space="0" w:color="auto"/>
        <w:left w:val="none" w:sz="0" w:space="0" w:color="auto"/>
        <w:bottom w:val="none" w:sz="0" w:space="0" w:color="auto"/>
        <w:right w:val="none" w:sz="0" w:space="0" w:color="auto"/>
      </w:divBdr>
    </w:div>
    <w:div w:id="673923271">
      <w:bodyDiv w:val="1"/>
      <w:marLeft w:val="0"/>
      <w:marRight w:val="0"/>
      <w:marTop w:val="0"/>
      <w:marBottom w:val="0"/>
      <w:divBdr>
        <w:top w:val="none" w:sz="0" w:space="0" w:color="auto"/>
        <w:left w:val="none" w:sz="0" w:space="0" w:color="auto"/>
        <w:bottom w:val="none" w:sz="0" w:space="0" w:color="auto"/>
        <w:right w:val="none" w:sz="0" w:space="0" w:color="auto"/>
      </w:divBdr>
    </w:div>
    <w:div w:id="817916019">
      <w:bodyDiv w:val="1"/>
      <w:marLeft w:val="0"/>
      <w:marRight w:val="0"/>
      <w:marTop w:val="0"/>
      <w:marBottom w:val="0"/>
      <w:divBdr>
        <w:top w:val="none" w:sz="0" w:space="0" w:color="auto"/>
        <w:left w:val="none" w:sz="0" w:space="0" w:color="auto"/>
        <w:bottom w:val="none" w:sz="0" w:space="0" w:color="auto"/>
        <w:right w:val="none" w:sz="0" w:space="0" w:color="auto"/>
      </w:divBdr>
    </w:div>
    <w:div w:id="860976493">
      <w:bodyDiv w:val="1"/>
      <w:marLeft w:val="0"/>
      <w:marRight w:val="0"/>
      <w:marTop w:val="0"/>
      <w:marBottom w:val="0"/>
      <w:divBdr>
        <w:top w:val="none" w:sz="0" w:space="0" w:color="auto"/>
        <w:left w:val="none" w:sz="0" w:space="0" w:color="auto"/>
        <w:bottom w:val="none" w:sz="0" w:space="0" w:color="auto"/>
        <w:right w:val="none" w:sz="0" w:space="0" w:color="auto"/>
      </w:divBdr>
    </w:div>
    <w:div w:id="2006669794">
      <w:bodyDiv w:val="1"/>
      <w:marLeft w:val="0"/>
      <w:marRight w:val="0"/>
      <w:marTop w:val="0"/>
      <w:marBottom w:val="0"/>
      <w:divBdr>
        <w:top w:val="none" w:sz="0" w:space="0" w:color="auto"/>
        <w:left w:val="none" w:sz="0" w:space="0" w:color="auto"/>
        <w:bottom w:val="none" w:sz="0" w:space="0" w:color="auto"/>
        <w:right w:val="none" w:sz="0" w:space="0" w:color="auto"/>
      </w:divBdr>
      <w:divsChild>
        <w:div w:id="838807808">
          <w:marLeft w:val="0"/>
          <w:marRight w:val="0"/>
          <w:marTop w:val="0"/>
          <w:marBottom w:val="0"/>
          <w:divBdr>
            <w:top w:val="none" w:sz="0" w:space="0" w:color="auto"/>
            <w:left w:val="none" w:sz="0" w:space="0" w:color="auto"/>
            <w:bottom w:val="none" w:sz="0" w:space="0" w:color="auto"/>
            <w:right w:val="none" w:sz="0" w:space="0" w:color="auto"/>
          </w:divBdr>
        </w:div>
        <w:div w:id="148944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rtal.fiocruz.br/noticia/estudo-analisa-contaminacao-por-mercurio-entre-o-povo-indigena-munduruku" TargetMode="External"/><Relationship Id="rId13" Type="http://schemas.openxmlformats.org/officeDocument/2006/relationships/hyperlink" Target="https://mab.org.br/2021/11/06/6-anos-apos-crime-de-mariana-344-familias-ainda-aguardam-reconstrucao-das-casas-destruidas-pela-lama/" TargetMode="External"/><Relationship Id="rId18" Type="http://schemas.openxmlformats.org/officeDocument/2006/relationships/hyperlink" Target="https://www.socioambiental.org/pt-br/noticias-socioambientais/cheque-em-branco-para-a-grilagem-pl-2633-segue-ao-senado" TargetMode="External"/><Relationship Id="rId26" Type="http://schemas.openxmlformats.org/officeDocument/2006/relationships/hyperlink" Target="https://brasil.elpais.com/brasil/2021-06-23/na-camara-comissao-aprova-projeto-que-fragiliza-blindagem-de-terras-indigenas.html" TargetMode="External"/><Relationship Id="rId3" Type="http://schemas.openxmlformats.org/officeDocument/2006/relationships/hyperlink" Target="https://spcommreports.ohchr.org/TMResultsBase/DownLoadPublicCommunicationFile?gId=3215" TargetMode="External"/><Relationship Id="rId21" Type="http://schemas.openxmlformats.org/officeDocument/2006/relationships/hyperlink" Target="https://www.conectas.org/wp-content/uploads/2021/08/Carta-ao-Pacheco-Grilagem-e-Licenciamento-1.pdf" TargetMode="External"/><Relationship Id="rId7" Type="http://schemas.openxmlformats.org/officeDocument/2006/relationships/hyperlink" Target="https://g1.globo.com/pa/para/noticia/2021/02/09/acao-coletiva-leva-caso-hydro-no-para-a-justica-holandesa.ghtml" TargetMode="External"/><Relationship Id="rId12" Type="http://schemas.openxmlformats.org/officeDocument/2006/relationships/hyperlink" Target="https://www.mining.com/great-panther-mining-receives-9-million-fine-from-brazilian-environmental-agency-for-cyanide-pollution/" TargetMode="External"/><Relationship Id="rId17" Type="http://schemas.openxmlformats.org/officeDocument/2006/relationships/hyperlink" Target="https://www.ufjf.br/poemas/files/2017/04/Versos-2021-O-PL-do-Licenciamento-e-seus-efeitos-para-o-setor-mineral.pdf" TargetMode="External"/><Relationship Id="rId25" Type="http://schemas.openxmlformats.org/officeDocument/2006/relationships/hyperlink" Target="https://www.ohchr.org/en/press-releases/2021/08/brazil-supreme-court-must-uphold-indigenous-land-rights-un-expert?LangID=E&amp;NewsID=27400" TargetMode="External"/><Relationship Id="rId2" Type="http://schemas.openxmlformats.org/officeDocument/2006/relationships/hyperlink" Target="https://spcommreports.ohchr.org/TMResultsBase/DownLoadPublicCommunicationFile?gId=24044" TargetMode="External"/><Relationship Id="rId16" Type="http://schemas.openxmlformats.org/officeDocument/2006/relationships/hyperlink" Target="https://spcommreports.ohchr.org/TMResultsBase/DownLoadPublicCommunicationFile?gId=23144" TargetMode="External"/><Relationship Id="rId20" Type="http://schemas.openxmlformats.org/officeDocument/2006/relationships/hyperlink" Target="https://www.conectas.org/wp-content/uploads/2021/08/Carta-ao-Pacheco-Grilagem-e-Licenciamento-1.pdf" TargetMode="External"/><Relationship Id="rId1" Type="http://schemas.openxmlformats.org/officeDocument/2006/relationships/hyperlink" Target="http://conflitosdamineracao.org/" TargetMode="External"/><Relationship Id="rId6" Type="http://schemas.openxmlformats.org/officeDocument/2006/relationships/hyperlink" Target="https://www.brasildefato.com.br/2019/02/17/barcarena-ha-um-ano-mais-uma-tragedia-marcava-a-mineracao-no-brasil" TargetMode="External"/><Relationship Id="rId11" Type="http://schemas.openxmlformats.org/officeDocument/2006/relationships/hyperlink" Target="http://informe.ensp.fiocruz.br/noticias/46979" TargetMode="External"/><Relationship Id="rId24" Type="http://schemas.openxmlformats.org/officeDocument/2006/relationships/hyperlink" Target="https://www.ohchr.org/en/press-releases/2021/08/brazil-supreme-court-must-uphold-indigenous-land-rights-un-expert?LangID=E&amp;NewsID=27400" TargetMode="External"/><Relationship Id="rId5" Type="http://schemas.openxmlformats.org/officeDocument/2006/relationships/hyperlink" Target="https://www.ohchr.org/Documents/Issues/ToxicWaste/A_HRC_45_12_Add2_AUV.docx" TargetMode="External"/><Relationship Id="rId15" Type="http://schemas.openxmlformats.org/officeDocument/2006/relationships/hyperlink" Target="https://www.brasildefato.com.br/2021/02/03/fusao-entre-ibama-e-icmbio-ira-paralisar-politicas-ambientais-alerta-servidor" TargetMode="External"/><Relationship Id="rId23" Type="http://schemas.openxmlformats.org/officeDocument/2006/relationships/hyperlink" Target="https://spcommreports.ohchr.org/TMResultsBase/DownLoadPublicCommunicationFile?gId=23144" TargetMode="External"/><Relationship Id="rId28" Type="http://schemas.openxmlformats.org/officeDocument/2006/relationships/hyperlink" Target="https://spcommreports.ohchr.org/TMResultsBase/DownLoadPublicCommunicationFile?gId=27186" TargetMode="External"/><Relationship Id="rId10" Type="http://schemas.openxmlformats.org/officeDocument/2006/relationships/hyperlink" Target="https://spcommreports.ohchr.org/TMResultsBase/DownLoadPublicCommunicationFile?gId=26420" TargetMode="External"/><Relationship Id="rId19" Type="http://schemas.openxmlformats.org/officeDocument/2006/relationships/hyperlink" Target="https://www.conectas.org/noticias/ongs-pedem-a-pacheco-que-projetos-que-alteram-direitos-socioambientais-passem-por-comissoes/" TargetMode="External"/><Relationship Id="rId4" Type="http://schemas.openxmlformats.org/officeDocument/2006/relationships/hyperlink" Target="https://spcommreports.ohchr.org/TMResultsBase/DownLoadPublicCommunicationFile?gId=14484" TargetMode="External"/><Relationship Id="rId9" Type="http://schemas.openxmlformats.org/officeDocument/2006/relationships/hyperlink" Target="https://www.ohchr.org/en/press-releases/2021/06/brazil-un-experts-deplore-attacks-illegal-miners-indigenous-peoples-alarmed?LangID=E&amp;NewsID=27134" TargetMode="External"/><Relationship Id="rId14" Type="http://schemas.openxmlformats.org/officeDocument/2006/relationships/hyperlink" Target="https://www.ihu.unisinos.br/78-noticias/615654-barcarena-uma-chernobyl-na-amazonia" TargetMode="External"/><Relationship Id="rId22" Type="http://schemas.openxmlformats.org/officeDocument/2006/relationships/hyperlink" Target="https://umsoplaneta.globo.com/sociedade/noticia/2021/08/25/o-que-e-grilagem.ghtml" TargetMode="External"/><Relationship Id="rId27" Type="http://schemas.openxmlformats.org/officeDocument/2006/relationships/hyperlink" Target="https://brasil.elpais.com/brasil/2021-06-23/na-camara-comissao-aprova-projeto-que-fragiliza-blindagem-de-terras-indigen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4E9D-D958-4C06-A2DE-7239F3241344}"/>
</file>

<file path=customXml/itemProps2.xml><?xml version="1.0" encoding="utf-8"?>
<ds:datastoreItem xmlns:ds="http://schemas.openxmlformats.org/officeDocument/2006/customXml" ds:itemID="{DB4E2294-6D13-4018-A874-6AACB68D577E}">
  <ds:schemaRefs>
    <ds:schemaRef ds:uri="http://schemas.microsoft.com/office/2006/metadata/properties"/>
    <ds:schemaRef ds:uri="http://schemas.microsoft.com/office/infopath/2007/PartnerControls"/>
    <ds:schemaRef ds:uri="http://schemas.microsoft.com/sharepoint/v3"/>
    <ds:schemaRef ds:uri="63551598-73e7-4116-9c96-da7493a2a1ab"/>
  </ds:schemaRefs>
</ds:datastoreItem>
</file>

<file path=customXml/itemProps3.xml><?xml version="1.0" encoding="utf-8"?>
<ds:datastoreItem xmlns:ds="http://schemas.openxmlformats.org/officeDocument/2006/customXml" ds:itemID="{7421C20C-F25A-4C62-80EB-8FF2A203324D}">
  <ds:schemaRefs>
    <ds:schemaRef ds:uri="http://schemas.microsoft.com/sharepoint/v3/contenttype/forms"/>
  </ds:schemaRefs>
</ds:datastoreItem>
</file>

<file path=customXml/itemProps4.xml><?xml version="1.0" encoding="utf-8"?>
<ds:datastoreItem xmlns:ds="http://schemas.openxmlformats.org/officeDocument/2006/customXml" ds:itemID="{8FFA6340-76AF-4436-B0C3-87FA0449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Gotzon Onandia Zarrabe</dc:creator>
  <cp:keywords/>
  <dc:description/>
  <cp:lastModifiedBy>Ulises Quero</cp:lastModifiedBy>
  <cp:revision>205</cp:revision>
  <dcterms:created xsi:type="dcterms:W3CDTF">2022-04-14T14:02:00Z</dcterms:created>
  <dcterms:modified xsi:type="dcterms:W3CDTF">2022-04-26T21:08:00Z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