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F8C2" w14:textId="5E2FB35E" w:rsidR="001B7A95" w:rsidRPr="0084652C" w:rsidRDefault="001B7A95">
      <w:pPr>
        <w:rPr>
          <w:b/>
          <w:bCs/>
          <w:sz w:val="28"/>
        </w:rPr>
      </w:pPr>
      <w:r w:rsidRPr="0084652C">
        <w:rPr>
          <w:b/>
          <w:bCs/>
          <w:sz w:val="28"/>
        </w:rPr>
        <w:t xml:space="preserve">Cumulative </w:t>
      </w:r>
      <w:r w:rsidR="00DB0394" w:rsidRPr="0084652C">
        <w:rPr>
          <w:b/>
          <w:bCs/>
          <w:sz w:val="28"/>
        </w:rPr>
        <w:t>r</w:t>
      </w:r>
      <w:r w:rsidRPr="0084652C">
        <w:rPr>
          <w:b/>
          <w:bCs/>
          <w:sz w:val="28"/>
        </w:rPr>
        <w:t xml:space="preserve">isk and </w:t>
      </w:r>
      <w:r w:rsidR="00B7025F" w:rsidRPr="0084652C">
        <w:rPr>
          <w:b/>
          <w:bCs/>
          <w:sz w:val="28"/>
        </w:rPr>
        <w:t xml:space="preserve">the hazards of toxic substances </w:t>
      </w:r>
      <w:r w:rsidR="00C8060E" w:rsidRPr="0084652C">
        <w:rPr>
          <w:b/>
          <w:bCs/>
          <w:sz w:val="28"/>
        </w:rPr>
        <w:t xml:space="preserve">for </w:t>
      </w:r>
      <w:r w:rsidR="00B7025F" w:rsidRPr="0084652C">
        <w:rPr>
          <w:b/>
          <w:bCs/>
          <w:sz w:val="28"/>
        </w:rPr>
        <w:t>Indigenous Peoples</w:t>
      </w:r>
    </w:p>
    <w:p w14:paraId="50C072EE" w14:textId="0205E4F0" w:rsidR="001B7A95" w:rsidRDefault="001B7A95"/>
    <w:p w14:paraId="372C81D0" w14:textId="77777777" w:rsidR="001B7A95" w:rsidRDefault="001B7A95"/>
    <w:p w14:paraId="74C5B976" w14:textId="4B9482B1" w:rsidR="00B128D9" w:rsidRPr="00B128D9" w:rsidRDefault="00B128D9" w:rsidP="00542F48">
      <w:pPr>
        <w:ind w:left="1440"/>
      </w:pPr>
      <w:r w:rsidRPr="00683E47">
        <w:rPr>
          <w:i/>
          <w:iCs/>
          <w:sz w:val="28"/>
          <w:szCs w:val="28"/>
        </w:rPr>
        <w:t xml:space="preserve">Indigenous People represent less than ten percent of the global population, yet they are stewards of 80% of the earth’s biodiversity. </w:t>
      </w:r>
      <w:r>
        <w:rPr>
          <w:rStyle w:val="FootnoteReference"/>
        </w:rPr>
        <w:footnoteReference w:id="1"/>
      </w:r>
    </w:p>
    <w:p w14:paraId="3030D8AC" w14:textId="77777777" w:rsidR="00B128D9" w:rsidRDefault="00B128D9">
      <w:pPr>
        <w:rPr>
          <w:i/>
          <w:iCs/>
        </w:rPr>
      </w:pPr>
    </w:p>
    <w:p w14:paraId="1D1697A6" w14:textId="116A5BF5" w:rsidR="00B128D9" w:rsidRDefault="00833E22">
      <w:pPr>
        <w:rPr>
          <w:i/>
          <w:iCs/>
        </w:rPr>
      </w:pPr>
      <w:r>
        <w:rPr>
          <w:i/>
          <w:iCs/>
        </w:rPr>
        <w:t>Stressors are everywhere</w:t>
      </w:r>
      <w:bookmarkStart w:id="0" w:name="_GoBack"/>
      <w:bookmarkEnd w:id="0"/>
    </w:p>
    <w:p w14:paraId="791C8FE1" w14:textId="77777777" w:rsidR="00542F48" w:rsidRDefault="00542F48">
      <w:pPr>
        <w:rPr>
          <w:i/>
          <w:iCs/>
        </w:rPr>
      </w:pPr>
    </w:p>
    <w:p w14:paraId="0D9C18B8" w14:textId="3F8B369D" w:rsidR="00640D1D" w:rsidRDefault="00A8073D">
      <w:r>
        <w:rPr>
          <w:i/>
          <w:iCs/>
        </w:rPr>
        <w:tab/>
      </w:r>
      <w:r>
        <w:t xml:space="preserve">Cumulative effects of ‘cocktails of </w:t>
      </w:r>
      <w:r w:rsidR="00F14CE9">
        <w:t xml:space="preserve">chemical </w:t>
      </w:r>
      <w:r>
        <w:t xml:space="preserve">stressors’ in the environment are </w:t>
      </w:r>
      <w:proofErr w:type="gramStart"/>
      <w:r>
        <w:t>widespread.</w:t>
      </w:r>
      <w:r w:rsidR="00B7025F">
        <w:rPr>
          <w:rStyle w:val="FootnoteReference"/>
        </w:rPr>
        <w:footnoteReference w:id="2"/>
      </w:r>
      <w:r w:rsidR="00542F48" w:rsidRPr="00B71FF9">
        <w:rPr>
          <w:vertAlign w:val="superscript"/>
        </w:rPr>
        <w:t>,</w:t>
      </w:r>
      <w:proofErr w:type="gramEnd"/>
      <w:r w:rsidR="00542F48">
        <w:rPr>
          <w:rStyle w:val="FootnoteReference"/>
        </w:rPr>
        <w:footnoteReference w:id="3"/>
      </w:r>
      <w:r>
        <w:t xml:space="preserve">  </w:t>
      </w:r>
      <w:r w:rsidR="00450270">
        <w:t>Indeed pristine habitats, if the</w:t>
      </w:r>
      <w:r w:rsidR="008F0BAE">
        <w:t>y</w:t>
      </w:r>
      <w:r w:rsidR="00450270">
        <w:t xml:space="preserve"> still exist, are increasingly rare.  </w:t>
      </w:r>
      <w:r w:rsidR="00F14CE9">
        <w:t>C</w:t>
      </w:r>
      <w:r w:rsidR="001C634F">
        <w:t xml:space="preserve">hemicals entering </w:t>
      </w:r>
      <w:r w:rsidR="00F14CE9">
        <w:t>the environment</w:t>
      </w:r>
      <w:r w:rsidR="001C634F">
        <w:t xml:space="preserve"> are </w:t>
      </w:r>
      <w:r w:rsidR="00594FA4">
        <w:t xml:space="preserve">increasingly prevalent due to the </w:t>
      </w:r>
      <w:r w:rsidR="001C634F">
        <w:t>more than 30-fold increase in synthetic chemicals use</w:t>
      </w:r>
      <w:r w:rsidR="00F14CE9">
        <w:t>d</w:t>
      </w:r>
      <w:r w:rsidR="001C634F">
        <w:t xml:space="preserve"> </w:t>
      </w:r>
      <w:r w:rsidR="00F14CE9">
        <w:t xml:space="preserve">in </w:t>
      </w:r>
      <w:r w:rsidR="00594FA4">
        <w:t>the last century.</w:t>
      </w:r>
      <w:r w:rsidR="00594FA4">
        <w:rPr>
          <w:rStyle w:val="FootnoteReference"/>
        </w:rPr>
        <w:footnoteReference w:id="4"/>
      </w:r>
      <w:r w:rsidR="00594FA4" w:rsidRPr="00B71FF9">
        <w:rPr>
          <w:vertAlign w:val="superscript"/>
        </w:rPr>
        <w:t>,</w:t>
      </w:r>
      <w:r w:rsidR="00594FA4">
        <w:rPr>
          <w:rStyle w:val="FootnoteReference"/>
        </w:rPr>
        <w:footnoteReference w:id="5"/>
      </w:r>
      <w:r w:rsidR="005E2C7B">
        <w:t xml:space="preserve">  </w:t>
      </w:r>
      <w:r w:rsidR="00F14CE9">
        <w:t xml:space="preserve">Other environmental gradients, like climate change, can also contribute to </w:t>
      </w:r>
      <w:r w:rsidR="00705693">
        <w:t xml:space="preserve">shifts in </w:t>
      </w:r>
      <w:r w:rsidR="00F14CE9">
        <w:t xml:space="preserve">environmental patterns making the determination of cause difficult.  </w:t>
      </w:r>
      <w:r w:rsidR="001C634F">
        <w:t>I</w:t>
      </w:r>
      <w:r w:rsidR="005E2C7B">
        <w:t xml:space="preserve">ndividually, climate change and </w:t>
      </w:r>
      <w:r w:rsidR="001C634F">
        <w:t xml:space="preserve">chemical inputs </w:t>
      </w:r>
      <w:r w:rsidR="00F14CE9">
        <w:t xml:space="preserve">can </w:t>
      </w:r>
      <w:r w:rsidR="005E2C7B">
        <w:t xml:space="preserve">negatively </w:t>
      </w:r>
      <w:proofErr w:type="gramStart"/>
      <w:r w:rsidR="005E2C7B">
        <w:t>impact</w:t>
      </w:r>
      <w:proofErr w:type="gramEnd"/>
      <w:r w:rsidR="005E2C7B">
        <w:t xml:space="preserve"> the abundance</w:t>
      </w:r>
      <w:r w:rsidR="00F14CE9">
        <w:t xml:space="preserve">, diversity, and health </w:t>
      </w:r>
      <w:r w:rsidR="005E2C7B">
        <w:t xml:space="preserve">of locally adapted species, contributing to biodiversity loss.  Together, these environmental disturbances can erode ecosystem function, dramatically altering the very environment on which </w:t>
      </w:r>
      <w:r w:rsidR="00F14CE9">
        <w:t xml:space="preserve">human populations </w:t>
      </w:r>
      <w:r w:rsidR="005E2C7B">
        <w:t xml:space="preserve">depend for essential ecosystem services like drinking water.  </w:t>
      </w:r>
      <w:r w:rsidR="00F14CE9">
        <w:t>I</w:t>
      </w:r>
      <w:r w:rsidR="00640D1D">
        <w:t xml:space="preserve">mpacts of degraded ecosystems are widespread (e.g., boil water orders, fish kills) and pose </w:t>
      </w:r>
      <w:r w:rsidR="00B169A4">
        <w:t xml:space="preserve">an ongoing and </w:t>
      </w:r>
      <w:r w:rsidR="00640D1D">
        <w:t xml:space="preserve">significant threat to Indigenous Peoples.  </w:t>
      </w:r>
    </w:p>
    <w:p w14:paraId="4B4DDFF7" w14:textId="77777777" w:rsidR="00640D1D" w:rsidRDefault="00640D1D"/>
    <w:p w14:paraId="7F7D8DC8" w14:textId="309BB45F" w:rsidR="00450270" w:rsidRDefault="005E2C7B" w:rsidP="00640D1D">
      <w:pPr>
        <w:ind w:firstLine="720"/>
      </w:pPr>
      <w:r>
        <w:t>Indigenous People</w:t>
      </w:r>
      <w:r w:rsidR="00F14CE9">
        <w:t>s</w:t>
      </w:r>
      <w:r>
        <w:t xml:space="preserve"> depend on the quality and functioning of the environment for a wide range of activities </w:t>
      </w:r>
      <w:r w:rsidR="00AB365B">
        <w:t>including,</w:t>
      </w:r>
      <w:r w:rsidR="00640D1D">
        <w:t xml:space="preserve"> but not limited to,</w:t>
      </w:r>
      <w:r>
        <w:t xml:space="preserve"> </w:t>
      </w:r>
      <w:r w:rsidR="004C53EB">
        <w:t xml:space="preserve">access to food, medicine, </w:t>
      </w:r>
      <w:r>
        <w:t xml:space="preserve">drinking water, spiritual purification, and other cultural activities.  </w:t>
      </w:r>
      <w:r w:rsidR="00542F48">
        <w:t xml:space="preserve">Access to good water and </w:t>
      </w:r>
      <w:r w:rsidR="00C372DB">
        <w:t>high-quality</w:t>
      </w:r>
      <w:r w:rsidR="00542F48">
        <w:t xml:space="preserve"> habitats</w:t>
      </w:r>
      <w:r w:rsidR="00C372DB">
        <w:t xml:space="preserve"> is important to</w:t>
      </w:r>
      <w:r w:rsidR="00542F48">
        <w:t xml:space="preserve"> protect plants and wildlife</w:t>
      </w:r>
      <w:r w:rsidR="00F14CE9">
        <w:t>,</w:t>
      </w:r>
      <w:r w:rsidR="00542F48">
        <w:t xml:space="preserve"> such as caribou</w:t>
      </w:r>
      <w:r w:rsidR="00F14CE9">
        <w:t>,</w:t>
      </w:r>
      <w:r w:rsidR="001C634F">
        <w:t xml:space="preserve"> </w:t>
      </w:r>
      <w:r w:rsidR="00542F48">
        <w:t>that are integral parts of Indigenous culture and econom</w:t>
      </w:r>
      <w:r w:rsidR="00B71FF9">
        <w:t>ies</w:t>
      </w:r>
      <w:r w:rsidR="00542F48">
        <w:t>.</w:t>
      </w:r>
      <w:r w:rsidR="00640D1D">
        <w:t xml:space="preserve">  </w:t>
      </w:r>
      <w:r w:rsidR="00C372DB">
        <w:t xml:space="preserve">In addition, </w:t>
      </w:r>
      <w:r w:rsidR="00B71FF9">
        <w:t>Inuit, First Nations, and M</w:t>
      </w:r>
      <w:r w:rsidR="00B71FF9">
        <w:rPr>
          <w:rFonts w:ascii="Calibri" w:hAnsi="Calibri" w:cs="Calibri"/>
        </w:rPr>
        <w:t>é</w:t>
      </w:r>
      <w:r w:rsidR="00B71FF9">
        <w:t xml:space="preserve">tis Peoples </w:t>
      </w:r>
      <w:r w:rsidR="00450270" w:rsidRPr="00BC5CE2">
        <w:t xml:space="preserve">in </w:t>
      </w:r>
      <w:r w:rsidR="00AB365B">
        <w:t xml:space="preserve">northern </w:t>
      </w:r>
      <w:r w:rsidR="00450270" w:rsidRPr="00BC5CE2">
        <w:t xml:space="preserve">Canada are </w:t>
      </w:r>
      <w:r w:rsidR="00594FA4">
        <w:t xml:space="preserve">also likely to be </w:t>
      </w:r>
      <w:r w:rsidR="00450270" w:rsidRPr="00BC5CE2">
        <w:t xml:space="preserve">affected by hazardous substances </w:t>
      </w:r>
      <w:r w:rsidR="00450270">
        <w:t xml:space="preserve">that can be </w:t>
      </w:r>
      <w:r w:rsidR="00450270" w:rsidRPr="00BC5CE2">
        <w:t>transported by air and ocean currents</w:t>
      </w:r>
      <w:r w:rsidR="00450270">
        <w:t xml:space="preserve"> over </w:t>
      </w:r>
      <w:r w:rsidR="00450270" w:rsidRPr="00BC5CE2">
        <w:t xml:space="preserve">long distances from emission sources </w:t>
      </w:r>
      <w:r w:rsidR="00450270">
        <w:t xml:space="preserve">located </w:t>
      </w:r>
      <w:r w:rsidR="00B71FF9">
        <w:t xml:space="preserve">both </w:t>
      </w:r>
      <w:r w:rsidR="00450270" w:rsidRPr="00BC5CE2">
        <w:t xml:space="preserve">within </w:t>
      </w:r>
      <w:r w:rsidR="00B71FF9">
        <w:t xml:space="preserve">and </w:t>
      </w:r>
      <w:r w:rsidR="00450270" w:rsidRPr="00BC5CE2">
        <w:t>outside the Arctic</w:t>
      </w:r>
      <w:r w:rsidR="00450270">
        <w:t xml:space="preserve">. These chemicals can </w:t>
      </w:r>
      <w:r w:rsidR="00450270" w:rsidRPr="00BC5CE2">
        <w:t xml:space="preserve">bioaccumulate </w:t>
      </w:r>
      <w:r w:rsidR="00450270">
        <w:t xml:space="preserve">(i.e., buildup in organisms) in </w:t>
      </w:r>
      <w:r w:rsidR="00450270" w:rsidRPr="00BC5CE2">
        <w:t>food</w:t>
      </w:r>
      <w:r w:rsidR="00450270">
        <w:t xml:space="preserve"> </w:t>
      </w:r>
      <w:r w:rsidR="00450270" w:rsidRPr="00BC5CE2">
        <w:t>webs</w:t>
      </w:r>
      <w:r w:rsidR="00450270">
        <w:t xml:space="preserve"> and reach elevated concentrations in top-of-the-food-web marine and terrestrial mammals that are important country foods to Arctic Indigenous Peoples’ diet and culture</w:t>
      </w:r>
      <w:r w:rsidR="00450270" w:rsidRPr="00BC5CE2">
        <w:t>.  These hazardous substances include persistent organic pollutants (POPs), mercury and other heavy metals, and unintentionally emitted toxic substances</w:t>
      </w:r>
      <w:r w:rsidR="00450270">
        <w:t xml:space="preserve"> such as </w:t>
      </w:r>
      <w:r w:rsidR="00450270" w:rsidRPr="00BC5CE2">
        <w:t>polycyclic aromatic compounds (PACs), dioxins</w:t>
      </w:r>
      <w:r w:rsidR="0024605C">
        <w:t>,</w:t>
      </w:r>
      <w:r w:rsidR="00450270" w:rsidRPr="00BC5CE2">
        <w:t xml:space="preserve"> and furans. </w:t>
      </w:r>
      <w:r w:rsidR="00B71FF9">
        <w:t xml:space="preserve"> </w:t>
      </w:r>
      <w:r w:rsidR="00450270" w:rsidRPr="00BC5CE2">
        <w:t xml:space="preserve">Many of these chemicals have few sources in the Arctic but can </w:t>
      </w:r>
      <w:r w:rsidR="00450270">
        <w:t xml:space="preserve">be </w:t>
      </w:r>
      <w:r w:rsidR="00450270">
        <w:lastRenderedPageBreak/>
        <w:t>transported long distances where they can</w:t>
      </w:r>
      <w:r w:rsidR="00450270" w:rsidRPr="00BC5CE2">
        <w:t xml:space="preserve"> </w:t>
      </w:r>
      <w:proofErr w:type="spellStart"/>
      <w:r w:rsidR="00450270" w:rsidRPr="00BC5CE2">
        <w:t>bioaccumulate</w:t>
      </w:r>
      <w:proofErr w:type="spellEnd"/>
      <w:r w:rsidR="00450270" w:rsidRPr="00BC5CE2">
        <w:t xml:space="preserve"> </w:t>
      </w:r>
      <w:r w:rsidR="00BD1B24">
        <w:t xml:space="preserve">up </w:t>
      </w:r>
      <w:r w:rsidR="00450270" w:rsidRPr="00BC5CE2">
        <w:t xml:space="preserve">to levels high enough in wildlife and humans </w:t>
      </w:r>
      <w:r w:rsidR="00C372DB">
        <w:t xml:space="preserve">to </w:t>
      </w:r>
      <w:r w:rsidR="00450270" w:rsidRPr="00BC5CE2">
        <w:t>cause adverse health effects</w:t>
      </w:r>
      <w:r w:rsidR="00C372DB">
        <w:t xml:space="preserve"> in some instances</w:t>
      </w:r>
      <w:r w:rsidR="00450270" w:rsidRPr="00BC5CE2">
        <w:t xml:space="preserve">. </w:t>
      </w:r>
      <w:r w:rsidR="00BD1B24">
        <w:t>New and emerging contaminants also pose their own unique challenges.  For instance, p</w:t>
      </w:r>
      <w:r w:rsidR="00450270" w:rsidRPr="00BC5CE2">
        <w:t>lastic waste</w:t>
      </w:r>
      <w:r w:rsidR="00BD1B24">
        <w:t>s</w:t>
      </w:r>
      <w:r w:rsidR="00450270">
        <w:t xml:space="preserve"> (</w:t>
      </w:r>
      <w:r w:rsidR="00C372DB">
        <w:t>largely associated with packaging, followed by building and construction materials, or the automotive sector</w:t>
      </w:r>
      <w:r w:rsidR="00450270">
        <w:t>)</w:t>
      </w:r>
      <w:r w:rsidR="00450270" w:rsidRPr="00BC5CE2">
        <w:t xml:space="preserve"> are </w:t>
      </w:r>
      <w:r w:rsidR="00C372DB">
        <w:t xml:space="preserve">also increasingly </w:t>
      </w:r>
      <w:r w:rsidR="00450270" w:rsidRPr="00BC5CE2">
        <w:t>found in the Arctic environment and wildlife</w:t>
      </w:r>
      <w:r w:rsidR="00BD1B24">
        <w:t>.  S</w:t>
      </w:r>
      <w:r w:rsidR="00C372DB">
        <w:t>ingle-use plastics account for between $5.5 and $7.5 billion (CAD) of the Canadian economy</w:t>
      </w:r>
      <w:r w:rsidR="00450270" w:rsidRPr="00BC5CE2">
        <w:t>.</w:t>
      </w:r>
      <w:r w:rsidR="00B71FF9">
        <w:rPr>
          <w:rStyle w:val="FootnoteReference"/>
        </w:rPr>
        <w:footnoteReference w:id="6"/>
      </w:r>
      <w:r w:rsidR="00450270" w:rsidRPr="00BC5CE2">
        <w:t xml:space="preserve">  </w:t>
      </w:r>
      <w:r w:rsidR="00450270" w:rsidRPr="00E1112C">
        <w:t xml:space="preserve">  </w:t>
      </w:r>
    </w:p>
    <w:p w14:paraId="610F658B" w14:textId="26B75E37" w:rsidR="00C07C60" w:rsidRDefault="00C07C60"/>
    <w:p w14:paraId="381A3B08" w14:textId="77777777" w:rsidR="00B128D9" w:rsidRDefault="00B128D9"/>
    <w:p w14:paraId="108BEA1E" w14:textId="0B06B213" w:rsidR="00B128D9" w:rsidRDefault="00697BBA">
      <w:pPr>
        <w:rPr>
          <w:i/>
          <w:iCs/>
        </w:rPr>
      </w:pPr>
      <w:r w:rsidRPr="00717167">
        <w:rPr>
          <w:i/>
          <w:iCs/>
        </w:rPr>
        <w:t xml:space="preserve">Wholistic </w:t>
      </w:r>
      <w:r w:rsidR="009B0521">
        <w:rPr>
          <w:i/>
          <w:iCs/>
        </w:rPr>
        <w:t>Approach with F</w:t>
      </w:r>
      <w:r w:rsidRPr="00717167">
        <w:rPr>
          <w:i/>
          <w:iCs/>
        </w:rPr>
        <w:t>ree</w:t>
      </w:r>
      <w:r w:rsidR="009B0521">
        <w:t xml:space="preserve">, </w:t>
      </w:r>
      <w:r w:rsidR="009B0521" w:rsidRPr="009B0521">
        <w:rPr>
          <w:i/>
          <w:iCs/>
        </w:rPr>
        <w:t xml:space="preserve">Prior, </w:t>
      </w:r>
      <w:r w:rsidR="009B0521">
        <w:rPr>
          <w:i/>
          <w:iCs/>
        </w:rPr>
        <w:t xml:space="preserve">and </w:t>
      </w:r>
      <w:r w:rsidR="009B0521" w:rsidRPr="009B0521">
        <w:rPr>
          <w:i/>
          <w:iCs/>
        </w:rPr>
        <w:t>Informed Consent</w:t>
      </w:r>
    </w:p>
    <w:p w14:paraId="1AEA26A5" w14:textId="77777777" w:rsidR="009B0521" w:rsidRDefault="009B0521"/>
    <w:p w14:paraId="1E4C5E24" w14:textId="3A7EC412" w:rsidR="00717167" w:rsidRDefault="008F0BAE">
      <w:r>
        <w:tab/>
        <w:t xml:space="preserve">From an Indigenous </w:t>
      </w:r>
      <w:r w:rsidR="00B169A4">
        <w:t>perspective</w:t>
      </w:r>
      <w:r>
        <w:t xml:space="preserve">, </w:t>
      </w:r>
      <w:r w:rsidR="00B169A4">
        <w:t>decision-making around development</w:t>
      </w:r>
      <w:r w:rsidR="00283ACB">
        <w:t xml:space="preserve"> and</w:t>
      </w:r>
      <w:r w:rsidR="00B169A4">
        <w:t xml:space="preserve"> conservation </w:t>
      </w:r>
      <w:r>
        <w:t>must be addressed wholistically</w:t>
      </w:r>
      <w:r w:rsidR="00283ACB">
        <w:t>.</w:t>
      </w:r>
      <w:r w:rsidR="007E19F7">
        <w:t xml:space="preserve">  This will require respect for different ways of knowing and understanding the land and approaches to land use.  </w:t>
      </w:r>
      <w:r w:rsidR="00283ACB">
        <w:t xml:space="preserve">  To do this successfully </w:t>
      </w:r>
      <w:r>
        <w:t xml:space="preserve">will require </w:t>
      </w:r>
      <w:r w:rsidR="00283ACB">
        <w:t xml:space="preserve">extensive planning, </w:t>
      </w:r>
      <w:r>
        <w:t xml:space="preserve">strong inter-disciplinary </w:t>
      </w:r>
      <w:r w:rsidR="00283ACB">
        <w:t>knowledge sharing</w:t>
      </w:r>
      <w:r w:rsidR="00BD1B24">
        <w:t>,</w:t>
      </w:r>
      <w:r w:rsidR="00283ACB">
        <w:t xml:space="preserve"> </w:t>
      </w:r>
      <w:r w:rsidR="00697BBA">
        <w:t>and co-developed</w:t>
      </w:r>
      <w:r w:rsidR="00AB365B">
        <w:t xml:space="preserve"> </w:t>
      </w:r>
      <w:r w:rsidR="00283ACB">
        <w:t xml:space="preserve">action-oriented </w:t>
      </w:r>
      <w:r w:rsidR="00697BBA">
        <w:t xml:space="preserve">research </w:t>
      </w:r>
      <w:r w:rsidR="00283ACB">
        <w:t>with community partners</w:t>
      </w:r>
      <w:r w:rsidR="00BD1B24">
        <w:t>.  The work will need</w:t>
      </w:r>
      <w:r w:rsidR="00283ACB">
        <w:t xml:space="preserve"> to </w:t>
      </w:r>
      <w:r w:rsidR="00697BBA">
        <w:t xml:space="preserve">bridge </w:t>
      </w:r>
      <w:r w:rsidR="00BD1B24">
        <w:t>contaminants</w:t>
      </w:r>
      <w:r w:rsidR="00697BBA">
        <w:t xml:space="preserve">, natural gradients, </w:t>
      </w:r>
      <w:r w:rsidR="00283ACB">
        <w:t xml:space="preserve">and </w:t>
      </w:r>
      <w:r w:rsidR="00BD1B24">
        <w:t xml:space="preserve">different </w:t>
      </w:r>
      <w:r w:rsidR="00697BBA">
        <w:t>habitats</w:t>
      </w:r>
      <w:r w:rsidR="00283ACB">
        <w:t xml:space="preserve">.  In short, this </w:t>
      </w:r>
      <w:r w:rsidR="00697BBA">
        <w:t>will require a partnership approach that recognizes that free, prior</w:t>
      </w:r>
      <w:r w:rsidR="00AD5372">
        <w:t>,</w:t>
      </w:r>
      <w:r w:rsidR="00697BBA">
        <w:t xml:space="preserve"> and informed consent is</w:t>
      </w:r>
      <w:r w:rsidR="00AD5372">
        <w:t>n’t a one-off</w:t>
      </w:r>
      <w:r w:rsidR="00A31224">
        <w:t>,</w:t>
      </w:r>
      <w:r w:rsidR="00AD5372">
        <w:t xml:space="preserve"> rather it’s</w:t>
      </w:r>
      <w:r w:rsidR="00697BBA">
        <w:t xml:space="preserve"> an ongoing conversation that requires open dialogue and long-term relationship-building.  </w:t>
      </w:r>
    </w:p>
    <w:p w14:paraId="677307A7" w14:textId="42F9910C" w:rsidR="00717167" w:rsidRDefault="00717167"/>
    <w:p w14:paraId="1C0C3394" w14:textId="6AEACB23" w:rsidR="00CA7219" w:rsidRDefault="00283ACB">
      <w:r>
        <w:tab/>
      </w:r>
      <w:r w:rsidR="00CA7219">
        <w:t>Although we consider it a given that advice provided to communit</w:t>
      </w:r>
      <w:r w:rsidR="00FC3560">
        <w:t>ies</w:t>
      </w:r>
      <w:r w:rsidR="00CA7219">
        <w:t xml:space="preserve"> about toxic substances in the environment should always be culturally appropriate, collaborative, and ethical – that has not always been the case. </w:t>
      </w:r>
      <w:r w:rsidR="00CA7219">
        <w:rPr>
          <w:rStyle w:val="FootnoteReference"/>
        </w:rPr>
        <w:footnoteReference w:id="7"/>
      </w:r>
      <w:r w:rsidR="00CA7219">
        <w:t xml:space="preserve">  </w:t>
      </w:r>
      <w:r>
        <w:t>Knowledge generated in partnership with communities</w:t>
      </w:r>
      <w:r w:rsidR="00CA7219">
        <w:t>, utilizing Indigenous concepts, resources, tools, or territories</w:t>
      </w:r>
      <w:r w:rsidR="00BD1B24">
        <w:t>,</w:t>
      </w:r>
      <w:r w:rsidR="00CA7219">
        <w:t xml:space="preserve"> necessitates Indigenous considerations such as Free Prior and Informed Consent (FPIC</w:t>
      </w:r>
      <w:r w:rsidR="00CA7219">
        <w:rPr>
          <w:rStyle w:val="FootnoteReference"/>
        </w:rPr>
        <w:footnoteReference w:id="8"/>
      </w:r>
      <w:r w:rsidR="00CA7219">
        <w:t>), Collective Benefit, Authority to Control, Responsibility, Ethics (CARE</w:t>
      </w:r>
      <w:r w:rsidR="00CA7219">
        <w:rPr>
          <w:rStyle w:val="FootnoteReference"/>
        </w:rPr>
        <w:footnoteReference w:id="9"/>
      </w:r>
      <w:r w:rsidR="00CA7219">
        <w:t>) and Ownership, Control, Access</w:t>
      </w:r>
      <w:r w:rsidR="00FC3560">
        <w:t>,</w:t>
      </w:r>
      <w:r w:rsidR="00CA7219">
        <w:t xml:space="preserve"> and Possession (OCAP</w:t>
      </w:r>
      <w:r w:rsidR="00CA7219">
        <w:rPr>
          <w:rStyle w:val="FootnoteReference"/>
        </w:rPr>
        <w:footnoteReference w:id="10"/>
      </w:r>
      <w:r w:rsidR="00CA7219">
        <w:t xml:space="preserve">).  Awareness and understanding of these principles </w:t>
      </w:r>
      <w:r w:rsidR="009B0521">
        <w:t>outline</w:t>
      </w:r>
      <w:r w:rsidR="00CA7219">
        <w:t xml:space="preserve"> important concepts and methods required to ensure that information </w:t>
      </w:r>
      <w:proofErr w:type="gramStart"/>
      <w:r w:rsidR="00CA7219">
        <w:t>is shared</w:t>
      </w:r>
      <w:proofErr w:type="gramEnd"/>
      <w:r w:rsidR="00CA7219">
        <w:t xml:space="preserve"> </w:t>
      </w:r>
      <w:r w:rsidR="009B0521">
        <w:t>responsibly,</w:t>
      </w:r>
      <w:r w:rsidR="00CA7219">
        <w:t xml:space="preserve"> </w:t>
      </w:r>
      <w:r w:rsidR="00FC3560">
        <w:t>and that data collected is managed in a manner consistent with National and International Standards.</w:t>
      </w:r>
      <w:r w:rsidR="00FC3560">
        <w:rPr>
          <w:rStyle w:val="FootnoteReference"/>
        </w:rPr>
        <w:footnoteReference w:id="11"/>
      </w:r>
      <w:r w:rsidR="00FC3560">
        <w:t xml:space="preserve">  At all times, approaches </w:t>
      </w:r>
      <w:r w:rsidR="00A31224">
        <w:t xml:space="preserve">must </w:t>
      </w:r>
      <w:r w:rsidR="00FC3560">
        <w:t xml:space="preserve">also be distinctions-based and respectful of the differences between Indigenous Nations and the </w:t>
      </w:r>
      <w:r w:rsidR="00A31224">
        <w:t xml:space="preserve">extraordinary diversity </w:t>
      </w:r>
      <w:r w:rsidR="00FC3560">
        <w:t xml:space="preserve">within </w:t>
      </w:r>
      <w:r w:rsidR="00BD1B24">
        <w:t xml:space="preserve">and between </w:t>
      </w:r>
      <w:r w:rsidR="00276AEF">
        <w:t>First Nations, Inuit and M</w:t>
      </w:r>
      <w:r w:rsidR="00276AEF">
        <w:rPr>
          <w:rFonts w:cstheme="minorHAnsi"/>
        </w:rPr>
        <w:t>é</w:t>
      </w:r>
      <w:r w:rsidR="00276AEF">
        <w:t>tis communities</w:t>
      </w:r>
      <w:r w:rsidR="00FC3560">
        <w:t>.</w:t>
      </w:r>
      <w:r w:rsidR="009B0521">
        <w:rPr>
          <w:rStyle w:val="FootnoteReference"/>
        </w:rPr>
        <w:footnoteReference w:id="12"/>
      </w:r>
      <w:r w:rsidR="009B0521" w:rsidRPr="009B0521">
        <w:rPr>
          <w:vertAlign w:val="superscript"/>
        </w:rPr>
        <w:t>,</w:t>
      </w:r>
      <w:r w:rsidR="009B0521">
        <w:rPr>
          <w:rStyle w:val="FootnoteReference"/>
        </w:rPr>
        <w:footnoteReference w:id="13"/>
      </w:r>
      <w:r w:rsidR="009B0521" w:rsidRPr="009B0521">
        <w:rPr>
          <w:vertAlign w:val="superscript"/>
        </w:rPr>
        <w:t>,</w:t>
      </w:r>
      <w:r w:rsidR="009B0521">
        <w:rPr>
          <w:rStyle w:val="FootnoteReference"/>
        </w:rPr>
        <w:footnoteReference w:id="14"/>
      </w:r>
      <w:r w:rsidR="00FC3560">
        <w:t xml:space="preserve">   </w:t>
      </w:r>
    </w:p>
    <w:p w14:paraId="3BD83C5D" w14:textId="732EF921" w:rsidR="00CA7219" w:rsidRDefault="00CA7219"/>
    <w:p w14:paraId="0002A610" w14:textId="77777777" w:rsidR="00683E47" w:rsidRDefault="00FC3560">
      <w:r>
        <w:lastRenderedPageBreak/>
        <w:tab/>
      </w:r>
    </w:p>
    <w:tbl>
      <w:tblPr>
        <w:tblStyle w:val="TableGrid"/>
        <w:tblW w:w="0" w:type="auto"/>
        <w:tblInd w:w="704" w:type="dxa"/>
        <w:tblLook w:val="04A0" w:firstRow="1" w:lastRow="0" w:firstColumn="1" w:lastColumn="0" w:noHBand="0" w:noVBand="1"/>
      </w:tblPr>
      <w:tblGrid>
        <w:gridCol w:w="8646"/>
      </w:tblGrid>
      <w:tr w:rsidR="00482826" w14:paraId="16CC17CC" w14:textId="77777777" w:rsidTr="00C473EE">
        <w:tc>
          <w:tcPr>
            <w:tcW w:w="8646" w:type="dxa"/>
          </w:tcPr>
          <w:p w14:paraId="119EDE8A" w14:textId="0FC66211" w:rsidR="00482826" w:rsidRDefault="00BD1B24">
            <w:r>
              <w:rPr>
                <w:i/>
                <w:iCs/>
                <w:sz w:val="28"/>
                <w:szCs w:val="28"/>
              </w:rPr>
              <w:t>“</w:t>
            </w:r>
            <w:r w:rsidR="00482826" w:rsidRPr="00C473EE">
              <w:rPr>
                <w:i/>
                <w:iCs/>
                <w:sz w:val="28"/>
                <w:szCs w:val="28"/>
              </w:rPr>
              <w:t xml:space="preserve">Canada has recognized various human rights implicated by hazardous substances and wastes through its ratification of or access to seven United Nations human rights treaties.  Under these treaties, Canada has the obligation to protect, respect and fulfill the human rights to life and dignity, health, security of the person and bodily integrity, safe food and water, adequate housing, safe and healthy working conditions, among others.  Canada has obligations regarding the rights to information, participation, access to justice and remedies and specific obligations regarding the rights of Indigenous </w:t>
            </w:r>
            <w:r w:rsidR="00C473EE">
              <w:rPr>
                <w:i/>
                <w:iCs/>
                <w:sz w:val="28"/>
                <w:szCs w:val="28"/>
              </w:rPr>
              <w:t>p</w:t>
            </w:r>
            <w:r w:rsidR="00C473EE" w:rsidRPr="00C473EE">
              <w:rPr>
                <w:i/>
                <w:iCs/>
                <w:sz w:val="28"/>
                <w:szCs w:val="28"/>
              </w:rPr>
              <w:t>eoples</w:t>
            </w:r>
            <w:r w:rsidR="00482826" w:rsidRPr="00C473EE">
              <w:rPr>
                <w:i/>
                <w:iCs/>
                <w:sz w:val="28"/>
                <w:szCs w:val="28"/>
              </w:rPr>
              <w:t xml:space="preserve">, children, different genders, workings, </w:t>
            </w:r>
            <w:r w:rsidR="00C473EE" w:rsidRPr="00C473EE">
              <w:rPr>
                <w:i/>
                <w:iCs/>
                <w:sz w:val="28"/>
                <w:szCs w:val="28"/>
              </w:rPr>
              <w:t>minorities</w:t>
            </w:r>
            <w:r w:rsidR="00482826" w:rsidRPr="00C473EE">
              <w:rPr>
                <w:i/>
                <w:iCs/>
                <w:sz w:val="28"/>
                <w:szCs w:val="28"/>
              </w:rPr>
              <w:t>, migrants, and persons with disabilities, among other vulnerable groups…. These are all underpinned by the fundamental principle of non-discrimination.</w:t>
            </w:r>
            <w:r>
              <w:rPr>
                <w:i/>
                <w:iCs/>
                <w:sz w:val="28"/>
                <w:szCs w:val="28"/>
              </w:rPr>
              <w:t xml:space="preserve">” </w:t>
            </w:r>
            <w:r w:rsidR="00482826">
              <w:rPr>
                <w:rStyle w:val="FootnoteReference"/>
              </w:rPr>
              <w:footnoteReference w:id="15"/>
            </w:r>
            <w:r w:rsidR="00482826">
              <w:t xml:space="preserve">  </w:t>
            </w:r>
          </w:p>
        </w:tc>
      </w:tr>
    </w:tbl>
    <w:p w14:paraId="3270A5AC" w14:textId="77777777" w:rsidR="00683E47" w:rsidRDefault="00683E47"/>
    <w:p w14:paraId="1340AD89" w14:textId="77777777" w:rsidR="00683E47" w:rsidRDefault="00683E47"/>
    <w:p w14:paraId="33947E29" w14:textId="75582DDD" w:rsidR="00683E47" w:rsidRDefault="00FC3560" w:rsidP="00683E47">
      <w:pPr>
        <w:ind w:firstLine="720"/>
      </w:pPr>
      <w:r>
        <w:t xml:space="preserve">In Canada, the recent adoption of </w:t>
      </w:r>
      <w:r w:rsidRPr="00D268A5">
        <w:t xml:space="preserve">United Nations </w:t>
      </w:r>
      <w:r w:rsidRPr="00592EF9">
        <w:t>Declaration on the Rights of Indigenous Peoples</w:t>
      </w:r>
      <w:r w:rsidR="00340E1E" w:rsidRPr="00592EF9">
        <w:rPr>
          <w:vertAlign w:val="superscript"/>
        </w:rPr>
        <w:t>11</w:t>
      </w:r>
      <w:r w:rsidRPr="00592EF9">
        <w:t xml:space="preserve"> </w:t>
      </w:r>
      <w:r w:rsidR="00D268A5" w:rsidRPr="00592EF9">
        <w:t>and seven United Nations human rights treaties</w:t>
      </w:r>
      <w:r w:rsidR="00C473EE" w:rsidRPr="00592EF9">
        <w:rPr>
          <w:vertAlign w:val="superscript"/>
        </w:rPr>
        <w:t>15</w:t>
      </w:r>
      <w:r w:rsidR="00482826" w:rsidRPr="00592EF9">
        <w:t xml:space="preserve"> </w:t>
      </w:r>
      <w:r w:rsidRPr="00592EF9">
        <w:t xml:space="preserve">has highlighted that work in this area continues to need meaningful </w:t>
      </w:r>
      <w:r w:rsidR="009B0521" w:rsidRPr="00592EF9">
        <w:t xml:space="preserve">dialogue and </w:t>
      </w:r>
      <w:r w:rsidR="007E19F7" w:rsidRPr="00592EF9">
        <w:t xml:space="preserve">additional efforts towards </w:t>
      </w:r>
      <w:r w:rsidR="009B0521" w:rsidRPr="00592EF9">
        <w:t xml:space="preserve">reconciliation.  </w:t>
      </w:r>
      <w:r w:rsidR="00C473EE" w:rsidRPr="00592EF9">
        <w:t xml:space="preserve">Progress in this area includes </w:t>
      </w:r>
      <w:r w:rsidR="007E19F7" w:rsidRPr="00592EF9">
        <w:t xml:space="preserve">Canada’s new Impact Assessment </w:t>
      </w:r>
      <w:r w:rsidR="00A5048D" w:rsidRPr="00592EF9">
        <w:t>Act</w:t>
      </w:r>
      <w:r w:rsidR="007E19F7" w:rsidRPr="00592EF9">
        <w:t xml:space="preserve"> </w:t>
      </w:r>
      <w:r w:rsidR="005802F8" w:rsidRPr="00592EF9">
        <w:t xml:space="preserve">recognizes </w:t>
      </w:r>
      <w:r w:rsidR="007E19F7" w:rsidRPr="00592EF9">
        <w:t xml:space="preserve">Indigenous </w:t>
      </w:r>
      <w:r w:rsidR="005802F8" w:rsidRPr="00592EF9">
        <w:t xml:space="preserve">Peoples </w:t>
      </w:r>
      <w:r w:rsidR="00545B05" w:rsidRPr="00592EF9">
        <w:t xml:space="preserve">as key </w:t>
      </w:r>
      <w:r w:rsidR="000140E6" w:rsidRPr="00592EF9">
        <w:t xml:space="preserve">participants </w:t>
      </w:r>
      <w:r w:rsidR="00545B05" w:rsidRPr="00592EF9">
        <w:t xml:space="preserve">with </w:t>
      </w:r>
      <w:r w:rsidR="005802F8" w:rsidRPr="00592EF9">
        <w:t>unique perspectives and interests</w:t>
      </w:r>
      <w:r w:rsidR="000140E6" w:rsidRPr="00592EF9">
        <w:t xml:space="preserve">.  The intent </w:t>
      </w:r>
      <w:r w:rsidR="00A5048D" w:rsidRPr="00592EF9">
        <w:t xml:space="preserve">of the new Act is </w:t>
      </w:r>
      <w:r w:rsidR="000140E6" w:rsidRPr="00592EF9">
        <w:t>to enable and support Indigenous Peoples through the early identification of potential impacts of proposed projects</w:t>
      </w:r>
      <w:r w:rsidR="005802F8" w:rsidRPr="00592EF9">
        <w:t xml:space="preserve"> and</w:t>
      </w:r>
      <w:r w:rsidR="00A5048D" w:rsidRPr="00592EF9">
        <w:t xml:space="preserve"> by making more space </w:t>
      </w:r>
      <w:r w:rsidR="00BD1B24" w:rsidRPr="00592EF9">
        <w:t xml:space="preserve">for consultation and engagement </w:t>
      </w:r>
      <w:r w:rsidR="005802F8" w:rsidRPr="00592EF9">
        <w:t xml:space="preserve">during the assessment process </w:t>
      </w:r>
      <w:r w:rsidR="000140E6" w:rsidRPr="00592EF9">
        <w:t>(see Crown consultation</w:t>
      </w:r>
      <w:r w:rsidR="005802F8">
        <w:rPr>
          <w:rStyle w:val="FootnoteReference"/>
        </w:rPr>
        <w:footnoteReference w:id="16"/>
      </w:r>
      <w:r w:rsidR="005802F8" w:rsidRPr="005802F8">
        <w:rPr>
          <w:vertAlign w:val="superscript"/>
        </w:rPr>
        <w:t>,</w:t>
      </w:r>
      <w:r w:rsidR="00A5048D">
        <w:rPr>
          <w:rStyle w:val="FootnoteReference"/>
        </w:rPr>
        <w:footnoteReference w:id="17"/>
      </w:r>
      <w:r w:rsidR="000140E6">
        <w:t xml:space="preserve">).  </w:t>
      </w:r>
      <w:r w:rsidR="005802F8">
        <w:t xml:space="preserve">There will also be increased opportunities for Indigenous community participation in follow-up and monitoring programs post development.  </w:t>
      </w:r>
      <w:r w:rsidR="00BD477D">
        <w:t>Thus, c</w:t>
      </w:r>
      <w:r w:rsidR="009B0521">
        <w:t xml:space="preserve">onsultation </w:t>
      </w:r>
      <w:r w:rsidR="00BD477D">
        <w:t xml:space="preserve">can </w:t>
      </w:r>
      <w:r w:rsidR="009B0521">
        <w:t xml:space="preserve">no longer </w:t>
      </w:r>
      <w:r w:rsidR="00BD477D">
        <w:t xml:space="preserve">be </w:t>
      </w:r>
      <w:r w:rsidR="009B0521">
        <w:t xml:space="preserve">an after-thought, rather </w:t>
      </w:r>
      <w:r w:rsidR="00BD477D">
        <w:t xml:space="preserve">it </w:t>
      </w:r>
      <w:r w:rsidR="009B0521">
        <w:t>is now a</w:t>
      </w:r>
      <w:r w:rsidR="00BD477D">
        <w:t xml:space="preserve">n integral part of the impact assessment process.  </w:t>
      </w:r>
    </w:p>
    <w:p w14:paraId="65C7AD50" w14:textId="77777777" w:rsidR="00683E47" w:rsidRDefault="00683E47"/>
    <w:p w14:paraId="5CFB1430" w14:textId="2B289833" w:rsidR="000011A6" w:rsidRPr="000011A6" w:rsidRDefault="000011A6" w:rsidP="000011A6">
      <w:pPr>
        <w:ind w:firstLine="720"/>
        <w:rPr>
          <w:sz w:val="28"/>
          <w:szCs w:val="28"/>
        </w:rPr>
      </w:pPr>
      <w:r w:rsidRPr="000011A6">
        <w:t xml:space="preserve">The Government of Canada is also working </w:t>
      </w:r>
      <w:r w:rsidR="00C473EE">
        <w:t xml:space="preserve">directly </w:t>
      </w:r>
      <w:r w:rsidRPr="000011A6">
        <w:t xml:space="preserve">with Arctic communities under the Northern Contaminants Program (NCP) (Crown-Indigenous Relations and Northern Affairs Canada, CIRNAC) to reduce and, wherever possible, eliminate contaminants in traditionally harvested foods, while providing information that assists informed decision making by individuals and communities in their food use.  </w:t>
      </w:r>
      <w:r w:rsidRPr="000011A6">
        <w:rPr>
          <w:bCs/>
        </w:rPr>
        <w:t xml:space="preserve">Established in 1991, </w:t>
      </w:r>
      <w:r w:rsidRPr="000011A6">
        <w:t xml:space="preserve">the NCP is co-managed by CIRNAC, Environment and Climate Change Canada, Health Canada and five Regional Contaminants Committees representing the Arctic Indigenous communities. Scientific results from NCP feed into domestic and international multilateral environmental agreements (MEAs), including the United Nation Environment Programme (UNEP) Stockholm Convention on POPs, UNEP Minamata Convention on Mercury, and United Nations Economic Commission for Europe </w:t>
      </w:r>
      <w:r w:rsidRPr="000011A6">
        <w:lastRenderedPageBreak/>
        <w:t>(UNECE) Convention on Long-range Transboundary Air Pollution. The work also feeds into Canada’s obligations to the Arctic Council’s Arctic Monitoring and Assessment Programme (AMAP) and Arctic Contaminants Action Program (ACAP).  As a party to these programs and multilateral environmental agreements, Canada provides scientific information in support of the risk assessment and risk management of hazardous substances to reduce their input into the Arctic environment from sources worldwide.  The NCP conducts outreach and communication and encourages western science and Indigenous Knowledge exchange in consultation with the Regional Contaminants Committees to promote awareness of the issue and contaminant information exchange.</w:t>
      </w:r>
    </w:p>
    <w:p w14:paraId="36771B4E" w14:textId="77777777" w:rsidR="00E6004E" w:rsidRPr="000011A6" w:rsidRDefault="00E6004E">
      <w:pPr>
        <w:rPr>
          <w:sz w:val="28"/>
          <w:szCs w:val="28"/>
        </w:rPr>
      </w:pPr>
    </w:p>
    <w:p w14:paraId="48BAC4A4" w14:textId="4B29C033" w:rsidR="009B0521" w:rsidRDefault="007D5A9C">
      <w:r>
        <w:tab/>
        <w:t xml:space="preserve">Indigenous-led initiatives looking at the cumulative effects of </w:t>
      </w:r>
      <w:r w:rsidR="00842062">
        <w:t xml:space="preserve">contaminants </w:t>
      </w:r>
      <w:r>
        <w:t>are also increasingly common in Canada. With a vision that Indigenous Peoples have the capacity and the ability to assess, monitor</w:t>
      </w:r>
      <w:r w:rsidR="00594F52">
        <w:t>,</w:t>
      </w:r>
      <w:r>
        <w:t xml:space="preserve"> and manage the cumulative effects occurring in their lands, </w:t>
      </w:r>
      <w:r w:rsidR="00C313EE">
        <w:t>waters,</w:t>
      </w:r>
      <w:r>
        <w:t xml:space="preserve"> and communities</w:t>
      </w:r>
      <w:r w:rsidR="00692FEC">
        <w:t>, organizations like</w:t>
      </w:r>
      <w:r w:rsidR="00C313EE">
        <w:t xml:space="preserve"> the Indigenous Centre for Cumulative Effects (ICCE)</w:t>
      </w:r>
      <w:r w:rsidR="00C313EE">
        <w:rPr>
          <w:rStyle w:val="FootnoteReference"/>
        </w:rPr>
        <w:footnoteReference w:id="18"/>
      </w:r>
      <w:r w:rsidR="00C313EE">
        <w:t xml:space="preserve"> </w:t>
      </w:r>
      <w:r w:rsidR="00692FEC">
        <w:t xml:space="preserve">have a </w:t>
      </w:r>
      <w:r w:rsidR="00C313EE">
        <w:t>mission to create, develop and share knowledge to empower community-based approaches</w:t>
      </w:r>
      <w:r w:rsidR="00AE6BF6">
        <w:t>.  Conceptually this will enable</w:t>
      </w:r>
      <w:r w:rsidR="00C313EE">
        <w:t xml:space="preserve"> </w:t>
      </w:r>
      <w:r w:rsidR="00AE6BF6">
        <w:t>culturally relevant</w:t>
      </w:r>
      <w:r w:rsidR="00C313EE">
        <w:t xml:space="preserve"> cumulative effects assessment, monitoring, and management to support Indigenous well-being and decision-making.  The guiding principles for ICCE include </w:t>
      </w:r>
      <w:r w:rsidR="00C313EE" w:rsidRPr="00126A3B">
        <w:rPr>
          <w:i/>
          <w:iCs/>
        </w:rPr>
        <w:t>Etuaptmumk</w:t>
      </w:r>
      <w:r w:rsidR="00AE6BF6" w:rsidRPr="00AE6BF6">
        <w:rPr>
          <w:vertAlign w:val="superscript"/>
        </w:rPr>
        <w:t>19,</w:t>
      </w:r>
      <w:r w:rsidR="00692FEC">
        <w:rPr>
          <w:rStyle w:val="FootnoteReference"/>
        </w:rPr>
        <w:footnoteReference w:id="19"/>
      </w:r>
      <w:r w:rsidR="00C313EE">
        <w:t xml:space="preserve"> (Two-Eyed Seeing), or the seeing from one eye the strength of Indigenous knowledge, science</w:t>
      </w:r>
      <w:r w:rsidR="00692FEC">
        <w:t>,</w:t>
      </w:r>
      <w:r w:rsidR="00C313EE">
        <w:t xml:space="preserve"> and ways of knowing, and from the other eye with the strength of western knowledge, science</w:t>
      </w:r>
      <w:r w:rsidR="00692FEC">
        <w:t>,</w:t>
      </w:r>
      <w:r w:rsidR="00C313EE">
        <w:t xml:space="preserve"> and ways of knowing</w:t>
      </w:r>
      <w:r w:rsidR="00594F52">
        <w:t>.</w:t>
      </w:r>
      <w:r w:rsidR="00594F52">
        <w:rPr>
          <w:rStyle w:val="FootnoteReference"/>
        </w:rPr>
        <w:footnoteReference w:id="20"/>
      </w:r>
      <w:r w:rsidR="00594F52">
        <w:t xml:space="preserve">  </w:t>
      </w:r>
      <w:r w:rsidR="00C313EE">
        <w:t xml:space="preserve">  </w:t>
      </w:r>
      <w:r w:rsidR="0004334E">
        <w:t xml:space="preserve">Organizations such as </w:t>
      </w:r>
      <w:proofErr w:type="spellStart"/>
      <w:r w:rsidR="0004334E">
        <w:t>Unama’ki</w:t>
      </w:r>
      <w:proofErr w:type="spellEnd"/>
      <w:r w:rsidR="0004334E">
        <w:t xml:space="preserve"> Institute (UINR) of Natural Resources, for example, was </w:t>
      </w:r>
      <w:r w:rsidR="00F0327D">
        <w:t>formed to represent five Mi’kmaq</w:t>
      </w:r>
      <w:r w:rsidR="0004334E">
        <w:t xml:space="preserve"> communities – </w:t>
      </w:r>
      <w:proofErr w:type="spellStart"/>
      <w:r w:rsidR="0004334E">
        <w:t>Eskasoni</w:t>
      </w:r>
      <w:proofErr w:type="spellEnd"/>
      <w:r w:rsidR="0004334E">
        <w:t xml:space="preserve">, </w:t>
      </w:r>
      <w:proofErr w:type="spellStart"/>
      <w:r w:rsidR="0004334E">
        <w:t>Membertou</w:t>
      </w:r>
      <w:proofErr w:type="spellEnd"/>
      <w:r w:rsidR="0004334E">
        <w:t xml:space="preserve">, </w:t>
      </w:r>
      <w:proofErr w:type="spellStart"/>
      <w:r w:rsidR="0004334E">
        <w:t>Potlotek</w:t>
      </w:r>
      <w:proofErr w:type="spellEnd"/>
      <w:r w:rsidR="0004334E">
        <w:t xml:space="preserve">, </w:t>
      </w:r>
      <w:proofErr w:type="spellStart"/>
      <w:r w:rsidR="0004334E">
        <w:t>Wagmatcook</w:t>
      </w:r>
      <w:proofErr w:type="spellEnd"/>
      <w:r w:rsidR="0004334E">
        <w:t xml:space="preserve">, and </w:t>
      </w:r>
      <w:proofErr w:type="spellStart"/>
      <w:r w:rsidR="0004334E">
        <w:t>We’koqma’q</w:t>
      </w:r>
      <w:proofErr w:type="spellEnd"/>
      <w:r w:rsidR="0004334E">
        <w:t>, to address concerns regard</w:t>
      </w:r>
      <w:r w:rsidR="00F0327D">
        <w:t>ing</w:t>
      </w:r>
      <w:r w:rsidR="0004334E">
        <w:t xml:space="preserve"> natural resources and their sustainability.  Working together</w:t>
      </w:r>
      <w:r w:rsidR="00AE6BF6">
        <w:t>,</w:t>
      </w:r>
      <w:r w:rsidR="0004334E">
        <w:t xml:space="preserve"> the institute has forged partnerships with groups with the same interests and aspirations to protect and preserve the environment for future</w:t>
      </w:r>
      <w:r w:rsidR="00F0327D">
        <w:t xml:space="preserve"> generations, strengthen Mi’kmaq</w:t>
      </w:r>
      <w:r w:rsidR="0004334E">
        <w:t xml:space="preserve"> research, and provide resources for equal participation in resource management in </w:t>
      </w:r>
      <w:proofErr w:type="spellStart"/>
      <w:r w:rsidR="0004334E">
        <w:t>Unama’ki</w:t>
      </w:r>
      <w:proofErr w:type="spellEnd"/>
      <w:r w:rsidR="0004334E">
        <w:t xml:space="preserve"> territory.</w:t>
      </w:r>
      <w:r w:rsidR="0004334E">
        <w:rPr>
          <w:rStyle w:val="FootnoteReference"/>
        </w:rPr>
        <w:footnoteReference w:id="21"/>
      </w:r>
      <w:r w:rsidR="0004334E">
        <w:t xml:space="preserve">  </w:t>
      </w:r>
    </w:p>
    <w:p w14:paraId="193EF307" w14:textId="60C61B91" w:rsidR="00E6004E" w:rsidRDefault="00E6004E" w:rsidP="00E6004E">
      <w:pPr>
        <w:rPr>
          <w:sz w:val="28"/>
          <w:szCs w:val="28"/>
        </w:rPr>
      </w:pPr>
    </w:p>
    <w:tbl>
      <w:tblPr>
        <w:tblStyle w:val="TableGrid"/>
        <w:tblW w:w="0" w:type="auto"/>
        <w:tblInd w:w="988" w:type="dxa"/>
        <w:tblLook w:val="04A0" w:firstRow="1" w:lastRow="0" w:firstColumn="1" w:lastColumn="0" w:noHBand="0" w:noVBand="1"/>
      </w:tblPr>
      <w:tblGrid>
        <w:gridCol w:w="8362"/>
      </w:tblGrid>
      <w:tr w:rsidR="00E6004E" w14:paraId="15FDB2D9" w14:textId="77777777" w:rsidTr="00E6004E">
        <w:tc>
          <w:tcPr>
            <w:tcW w:w="8362" w:type="dxa"/>
          </w:tcPr>
          <w:p w14:paraId="1EFE1F26" w14:textId="7D6468ED" w:rsidR="00E6004E" w:rsidRDefault="00AE6BF6" w:rsidP="00D515B0">
            <w:pPr>
              <w:rPr>
                <w:sz w:val="28"/>
                <w:szCs w:val="28"/>
              </w:rPr>
            </w:pPr>
            <w:r>
              <w:rPr>
                <w:i/>
                <w:iCs/>
                <w:sz w:val="28"/>
                <w:szCs w:val="28"/>
              </w:rPr>
              <w:t>“</w:t>
            </w:r>
            <w:r w:rsidR="00E6004E" w:rsidRPr="00683E47">
              <w:rPr>
                <w:i/>
                <w:iCs/>
                <w:sz w:val="28"/>
                <w:szCs w:val="28"/>
              </w:rPr>
              <w:t xml:space="preserve">…Mi’kmaq eel fisheries were found to be underpinned by the values of kinship </w:t>
            </w:r>
            <w:proofErr w:type="spellStart"/>
            <w:r w:rsidR="00E6004E" w:rsidRPr="00683E47">
              <w:rPr>
                <w:i/>
                <w:iCs/>
                <w:sz w:val="28"/>
                <w:szCs w:val="28"/>
              </w:rPr>
              <w:t>relationality</w:t>
            </w:r>
            <w:proofErr w:type="spellEnd"/>
            <w:r w:rsidR="00E6004E" w:rsidRPr="00683E47">
              <w:rPr>
                <w:i/>
                <w:iCs/>
                <w:sz w:val="28"/>
                <w:szCs w:val="28"/>
              </w:rPr>
              <w:t xml:space="preserve">, generosity and </w:t>
            </w:r>
            <w:proofErr w:type="spellStart"/>
            <w:r w:rsidR="00E6004E" w:rsidRPr="00683E47">
              <w:rPr>
                <w:i/>
                <w:iCs/>
                <w:sz w:val="28"/>
                <w:szCs w:val="28"/>
              </w:rPr>
              <w:t>Netukulimk</w:t>
            </w:r>
            <w:proofErr w:type="spellEnd"/>
            <w:r w:rsidR="00126A3B" w:rsidRPr="00683E47">
              <w:rPr>
                <w:i/>
                <w:iCs/>
                <w:sz w:val="28"/>
                <w:szCs w:val="28"/>
              </w:rPr>
              <w:t xml:space="preserve"> (respectful and sustainable resource use)</w:t>
            </w:r>
            <w:r w:rsidR="00E6004E" w:rsidRPr="00683E47">
              <w:rPr>
                <w:i/>
                <w:iCs/>
                <w:sz w:val="28"/>
                <w:szCs w:val="28"/>
              </w:rPr>
              <w:t xml:space="preserve">, whereas the governmental approach to eel fisheries was found to be governed by a Western scientific worldview that instead </w:t>
            </w:r>
            <w:r w:rsidR="00E6004E" w:rsidRPr="001445A0">
              <w:rPr>
                <w:i/>
                <w:iCs/>
                <w:sz w:val="28"/>
                <w:szCs w:val="28"/>
              </w:rPr>
              <w:t>prioritizes process, compartmentalization, economic benefits and conservation</w:t>
            </w:r>
            <w:r w:rsidRPr="001445A0">
              <w:rPr>
                <w:i/>
                <w:iCs/>
                <w:sz w:val="28"/>
                <w:szCs w:val="28"/>
              </w:rPr>
              <w:t>”</w:t>
            </w:r>
            <w:r w:rsidR="00E6004E" w:rsidRPr="001445A0">
              <w:rPr>
                <w:i/>
                <w:iCs/>
                <w:sz w:val="28"/>
                <w:szCs w:val="28"/>
              </w:rPr>
              <w:t>.</w:t>
            </w:r>
            <w:r w:rsidR="00E6004E" w:rsidRPr="001445A0">
              <w:rPr>
                <w:sz w:val="28"/>
                <w:szCs w:val="28"/>
              </w:rPr>
              <w:t xml:space="preserve"> </w:t>
            </w:r>
            <w:r w:rsidR="001445A0" w:rsidRPr="001445A0">
              <w:rPr>
                <w:sz w:val="28"/>
                <w:szCs w:val="28"/>
                <w:vertAlign w:val="superscript"/>
              </w:rPr>
              <w:t>19</w:t>
            </w:r>
          </w:p>
        </w:tc>
      </w:tr>
    </w:tbl>
    <w:p w14:paraId="40C2F198" w14:textId="77777777" w:rsidR="00E6004E" w:rsidRDefault="00E6004E" w:rsidP="00E6004E">
      <w:pPr>
        <w:rPr>
          <w:sz w:val="28"/>
          <w:szCs w:val="28"/>
        </w:rPr>
      </w:pPr>
    </w:p>
    <w:p w14:paraId="15D1FC6F" w14:textId="3634EA5C" w:rsidR="00126A3B" w:rsidRDefault="00626F68">
      <w:r>
        <w:t xml:space="preserve"> </w:t>
      </w:r>
    </w:p>
    <w:p w14:paraId="57862963" w14:textId="77777777" w:rsidR="00592EF9" w:rsidRDefault="00592EF9">
      <w:pPr>
        <w:rPr>
          <w:i/>
          <w:iCs/>
        </w:rPr>
      </w:pPr>
      <w:r>
        <w:rPr>
          <w:i/>
          <w:iCs/>
        </w:rPr>
        <w:br w:type="page"/>
      </w:r>
    </w:p>
    <w:p w14:paraId="62367737" w14:textId="4B3F53FF" w:rsidR="00444FB2" w:rsidRDefault="00444FB2" w:rsidP="00444FB2">
      <w:pPr>
        <w:rPr>
          <w:i/>
          <w:iCs/>
        </w:rPr>
      </w:pPr>
      <w:r w:rsidRPr="00444FB2">
        <w:rPr>
          <w:i/>
          <w:iCs/>
        </w:rPr>
        <w:lastRenderedPageBreak/>
        <w:t>Community-based monitoring</w:t>
      </w:r>
    </w:p>
    <w:p w14:paraId="730C49AF" w14:textId="77777777" w:rsidR="00444FB2" w:rsidRPr="00444FB2" w:rsidRDefault="00444FB2" w:rsidP="00444FB2">
      <w:pPr>
        <w:rPr>
          <w:i/>
          <w:iCs/>
        </w:rPr>
      </w:pPr>
    </w:p>
    <w:p w14:paraId="0BB4ED03" w14:textId="78D4A499" w:rsidR="00354A8C" w:rsidRDefault="00444FB2">
      <w:r>
        <w:tab/>
        <w:t xml:space="preserve">The most cutting-edge work in community-based partnerships is only beginning to address the needs identified by local partners.  </w:t>
      </w:r>
      <w:proofErr w:type="gramStart"/>
      <w:r w:rsidR="00126A3B">
        <w:t xml:space="preserve">A recent systematic literature review identified 74 published case studies that seek to bridge Indigenous and western sciences in ecological research, </w:t>
      </w:r>
      <w:r w:rsidR="00126A3B" w:rsidRPr="001445A0">
        <w:t>monitoring</w:t>
      </w:r>
      <w:r w:rsidR="00626F68" w:rsidRPr="001445A0">
        <w:t>,</w:t>
      </w:r>
      <w:r w:rsidR="00126A3B" w:rsidRPr="001445A0">
        <w:t xml:space="preserve"> or natural resource management across Canada’s </w:t>
      </w:r>
      <w:r w:rsidR="00626F68" w:rsidRPr="001445A0">
        <w:t>freshwater ecosystems.</w:t>
      </w:r>
      <w:r w:rsidR="00626F68" w:rsidRPr="001445A0">
        <w:rPr>
          <w:vertAlign w:val="superscript"/>
        </w:rPr>
        <w:t>1</w:t>
      </w:r>
      <w:r w:rsidR="00626F68" w:rsidRPr="001445A0">
        <w:t xml:space="preserve">  </w:t>
      </w:r>
      <w:r w:rsidR="00683E47" w:rsidRPr="001445A0">
        <w:t xml:space="preserve"> </w:t>
      </w:r>
      <w:r w:rsidR="00A11361" w:rsidRPr="001445A0">
        <w:t>Although the study highlighted the diversity of ways knowledge systems can be woven</w:t>
      </w:r>
      <w:r w:rsidR="00842062" w:rsidRPr="001445A0">
        <w:t>;</w:t>
      </w:r>
      <w:r w:rsidR="00A11361" w:rsidRPr="001445A0">
        <w:t xml:space="preserve"> it also found</w:t>
      </w:r>
      <w:r w:rsidR="00A11361">
        <w:t xml:space="preserve"> that the application of these approaches </w:t>
      </w:r>
      <w:r w:rsidR="00C473EE">
        <w:t>is</w:t>
      </w:r>
      <w:r w:rsidR="00A11361">
        <w:t xml:space="preserve"> limited to some key regions (Pacific and northern) and species (whitefish and salmon).</w:t>
      </w:r>
      <w:proofErr w:type="gramEnd"/>
      <w:r w:rsidR="00A11361">
        <w:t xml:space="preserve">  This limited extent is perhaps, one of the most significant challenges in eliminating toxic exposures in Indigenous communities as some of the regions are </w:t>
      </w:r>
      <w:r w:rsidR="00354A8C">
        <w:t xml:space="preserve">remote, </w:t>
      </w:r>
      <w:r w:rsidR="00A11361">
        <w:t xml:space="preserve">poorly </w:t>
      </w:r>
      <w:r w:rsidR="00AE6BF6">
        <w:t>studied,</w:t>
      </w:r>
      <w:r w:rsidR="00A11361">
        <w:t xml:space="preserve"> </w:t>
      </w:r>
      <w:r w:rsidR="00B25283">
        <w:t xml:space="preserve">and limited relationship-building has been done to support respectful research with Indigenous partners.  </w:t>
      </w:r>
    </w:p>
    <w:p w14:paraId="4871AB20" w14:textId="10E6DF19" w:rsidR="002D7AC8" w:rsidRDefault="002D7AC8"/>
    <w:p w14:paraId="04098B84" w14:textId="77777777" w:rsidR="00172E89" w:rsidRDefault="00172E89"/>
    <w:tbl>
      <w:tblPr>
        <w:tblStyle w:val="TableGrid"/>
        <w:tblW w:w="0" w:type="auto"/>
        <w:tblInd w:w="846" w:type="dxa"/>
        <w:tblLook w:val="04A0" w:firstRow="1" w:lastRow="0" w:firstColumn="1" w:lastColumn="0" w:noHBand="0" w:noVBand="1"/>
      </w:tblPr>
      <w:tblGrid>
        <w:gridCol w:w="8504"/>
      </w:tblGrid>
      <w:tr w:rsidR="00172E89" w14:paraId="692D7B7A" w14:textId="77777777" w:rsidTr="002539E6">
        <w:tc>
          <w:tcPr>
            <w:tcW w:w="8504" w:type="dxa"/>
          </w:tcPr>
          <w:p w14:paraId="5F5C0B61" w14:textId="2D2FC54B" w:rsidR="00172E89" w:rsidRDefault="00354A8C" w:rsidP="00F0327D">
            <w:r w:rsidRPr="002539E6">
              <w:rPr>
                <w:i/>
                <w:iCs/>
                <w:sz w:val="28"/>
                <w:szCs w:val="28"/>
              </w:rPr>
              <w:t>There is an enormous power imbalance when communities try to bring issues to government.  Awareness of this imbalance and the historical context of these sensitive issues is imperative for meaningful engagement with First Nations, Inuit</w:t>
            </w:r>
            <w:r w:rsidR="00F0327D">
              <w:rPr>
                <w:i/>
                <w:iCs/>
                <w:sz w:val="28"/>
                <w:szCs w:val="28"/>
              </w:rPr>
              <w:t>,</w:t>
            </w:r>
            <w:r w:rsidRPr="002539E6">
              <w:rPr>
                <w:i/>
                <w:iCs/>
                <w:sz w:val="28"/>
                <w:szCs w:val="28"/>
              </w:rPr>
              <w:t xml:space="preserve"> and M</w:t>
            </w:r>
            <w:r w:rsidR="00F0327D">
              <w:rPr>
                <w:rFonts w:cstheme="minorHAnsi"/>
                <w:i/>
                <w:iCs/>
                <w:sz w:val="28"/>
                <w:szCs w:val="28"/>
              </w:rPr>
              <w:t>é</w:t>
            </w:r>
            <w:r w:rsidRPr="002539E6">
              <w:rPr>
                <w:i/>
                <w:iCs/>
                <w:sz w:val="28"/>
                <w:szCs w:val="28"/>
              </w:rPr>
              <w:t>tis Nation governments and communities.</w:t>
            </w:r>
            <w:r w:rsidR="002539E6">
              <w:rPr>
                <w:rStyle w:val="FootnoteReference"/>
              </w:rPr>
              <w:footnoteReference w:id="22"/>
            </w:r>
          </w:p>
        </w:tc>
      </w:tr>
    </w:tbl>
    <w:p w14:paraId="06D64279" w14:textId="49C00E42" w:rsidR="00444FB2" w:rsidRDefault="00444FB2" w:rsidP="00444FB2"/>
    <w:p w14:paraId="67EFE20D" w14:textId="29A86434" w:rsidR="00172E89" w:rsidRDefault="00354A8C" w:rsidP="00444FB2">
      <w:r>
        <w:tab/>
        <w:t xml:space="preserve"> </w:t>
      </w:r>
    </w:p>
    <w:p w14:paraId="76B4C032" w14:textId="77777777" w:rsidR="00172E89" w:rsidRDefault="00172E89" w:rsidP="00444FB2"/>
    <w:p w14:paraId="3AF524FC" w14:textId="04802DD9" w:rsidR="00444FB2" w:rsidRPr="00172E89" w:rsidRDefault="00C473EE" w:rsidP="00444FB2">
      <w:pPr>
        <w:rPr>
          <w:i/>
          <w:iCs/>
        </w:rPr>
      </w:pPr>
      <w:r w:rsidRPr="00172E89">
        <w:rPr>
          <w:i/>
          <w:iCs/>
        </w:rPr>
        <w:t>The way forward</w:t>
      </w:r>
    </w:p>
    <w:p w14:paraId="446B932E" w14:textId="6DFA3223" w:rsidR="00C473EE" w:rsidRDefault="00C473EE" w:rsidP="00444FB2"/>
    <w:p w14:paraId="2BAFA601" w14:textId="1CB0AADC" w:rsidR="00734D30" w:rsidRDefault="00C473EE" w:rsidP="00F90C21">
      <w:r>
        <w:tab/>
        <w:t>As technology and methods for the detection of toxic chemicals in the environment has increased, our understanding of the risks of these substances to humans</w:t>
      </w:r>
      <w:r w:rsidR="00AE6BF6">
        <w:t>,</w:t>
      </w:r>
      <w:r>
        <w:t xml:space="preserve"> animals</w:t>
      </w:r>
      <w:r w:rsidR="00AE6BF6">
        <w:t xml:space="preserve">, and the environment </w:t>
      </w:r>
      <w:r w:rsidR="00172E89">
        <w:t xml:space="preserve">has also increased.  </w:t>
      </w:r>
      <w:r>
        <w:t xml:space="preserve"> </w:t>
      </w:r>
      <w:r w:rsidR="00172E89">
        <w:t>For Indigenous Peoples</w:t>
      </w:r>
      <w:r w:rsidR="00F0327D">
        <w:t>,</w:t>
      </w:r>
      <w:r w:rsidR="00172E89">
        <w:t xml:space="preserve"> the risks are orders of magnitude higher because of the common practice of locating heavy industrial activity near Indigenous communities</w:t>
      </w:r>
      <w:r w:rsidR="00CD0884">
        <w:rPr>
          <w:rStyle w:val="FootnoteReference"/>
        </w:rPr>
        <w:footnoteReference w:id="23"/>
      </w:r>
      <w:r w:rsidR="00172E89">
        <w:t xml:space="preserve"> </w:t>
      </w:r>
      <w:r w:rsidR="00734D30">
        <w:t xml:space="preserve">and the reliance of these communities on country foods for sustenance, medicinal, or other spiritual purposes.  In northern and Arctic communities, although less likely to be near heavy development, must also contend with the long-range transport and accumulation of chemicals in Arctic food webs.  </w:t>
      </w:r>
    </w:p>
    <w:p w14:paraId="6F7B6A37" w14:textId="77777777" w:rsidR="00592EF9" w:rsidRDefault="00592EF9" w:rsidP="00F90C21"/>
    <w:p w14:paraId="6B1CB9BF" w14:textId="18304D07" w:rsidR="00B777FF" w:rsidRDefault="005F05AF" w:rsidP="00734D30">
      <w:pPr>
        <w:ind w:firstLine="720"/>
      </w:pPr>
      <w:r>
        <w:t>Indigenous-led initiatives, such as the First Nations Biomonitoring Initiative</w:t>
      </w:r>
      <w:r>
        <w:rPr>
          <w:rStyle w:val="FootnoteReference"/>
        </w:rPr>
        <w:footnoteReference w:id="24"/>
      </w:r>
      <w:r>
        <w:t xml:space="preserve">, will be </w:t>
      </w:r>
      <w:r w:rsidR="00641EE4">
        <w:t xml:space="preserve">an </w:t>
      </w:r>
      <w:r>
        <w:t xml:space="preserve">important </w:t>
      </w:r>
      <w:r w:rsidR="00641EE4">
        <w:t xml:space="preserve">part of the path forward.  </w:t>
      </w:r>
      <w:r w:rsidR="00B777FF">
        <w:t xml:space="preserve">This initiative is actively testing </w:t>
      </w:r>
      <w:r w:rsidR="00734D30">
        <w:t xml:space="preserve">body burdens of chemicals in </w:t>
      </w:r>
      <w:r w:rsidR="00B777FF">
        <w:t xml:space="preserve">First </w:t>
      </w:r>
      <w:r w:rsidR="00F90C21">
        <w:t>N</w:t>
      </w:r>
      <w:r w:rsidR="00B777FF">
        <w:t xml:space="preserve">ations adults and </w:t>
      </w:r>
      <w:r w:rsidR="00F90C21">
        <w:t>children</w:t>
      </w:r>
      <w:r w:rsidR="00B777FF">
        <w:t xml:space="preserve"> and has found a long list of chemicals among </w:t>
      </w:r>
      <w:r w:rsidR="00F90C21">
        <w:t>the participants</w:t>
      </w:r>
      <w:r w:rsidR="00B777FF">
        <w:t xml:space="preserve">.  Future efforts </w:t>
      </w:r>
      <w:r w:rsidR="00F90C21">
        <w:t xml:space="preserve">in this area </w:t>
      </w:r>
      <w:r w:rsidR="00B777FF">
        <w:t>in other regions are warranted.  However</w:t>
      </w:r>
      <w:r w:rsidR="00641EE4">
        <w:t xml:space="preserve">, given that </w:t>
      </w:r>
      <w:r w:rsidR="00641EE4">
        <w:lastRenderedPageBreak/>
        <w:t xml:space="preserve">the nature of the data collected is highly sensitive and involves supporting human health and sustainable futures </w:t>
      </w:r>
      <w:r>
        <w:t xml:space="preserve">for </w:t>
      </w:r>
      <w:r w:rsidR="00641EE4">
        <w:t xml:space="preserve">future generations, it is essential that these efforts are Indigenous-led and that any data created is </w:t>
      </w:r>
      <w:r w:rsidR="00641EE4" w:rsidRPr="001445A0">
        <w:t>handled in a manner consistent with Indigenous sovereignty using frameworks such as the OCAP principles.</w:t>
      </w:r>
      <w:r w:rsidR="00641EE4" w:rsidRPr="001445A0">
        <w:rPr>
          <w:vertAlign w:val="superscript"/>
        </w:rPr>
        <w:t>10</w:t>
      </w:r>
      <w:r w:rsidR="00F90C21" w:rsidRPr="001445A0">
        <w:t xml:space="preserve">  </w:t>
      </w:r>
      <w:r w:rsidR="00030616" w:rsidRPr="001445A0">
        <w:t xml:space="preserve">Biomonitoring is a powerful tool that is increasingly in the hands of Indigenous governments </w:t>
      </w:r>
      <w:r w:rsidR="00B777FF" w:rsidRPr="001445A0">
        <w:t>enabling</w:t>
      </w:r>
      <w:r w:rsidR="00B777FF">
        <w:t xml:space="preserve"> communities to protect themselves by providing evidence of the toxic chemicals where they live, work, and play.  </w:t>
      </w:r>
      <w:r w:rsidR="00F7088C">
        <w:t xml:space="preserve">Supporting the continuity and coordination of those efforts is where the most help is needed moving forward.  </w:t>
      </w:r>
    </w:p>
    <w:p w14:paraId="7A01AD91" w14:textId="77777777" w:rsidR="00B777FF" w:rsidRDefault="00B777FF"/>
    <w:p w14:paraId="0456469F" w14:textId="32355A7A" w:rsidR="007D5A9C" w:rsidRDefault="00B777FF" w:rsidP="00B777FF">
      <w:pPr>
        <w:ind w:firstLine="720"/>
      </w:pPr>
      <w:r>
        <w:t xml:space="preserve">Chemicals are everywhere and every level of government has a </w:t>
      </w:r>
      <w:r w:rsidR="00B55C4B">
        <w:t xml:space="preserve">part </w:t>
      </w:r>
      <w:r>
        <w:t xml:space="preserve">to play in helping protect </w:t>
      </w:r>
      <w:r w:rsidR="00B55C4B">
        <w:t>against the risks from chemical substances.</w:t>
      </w:r>
      <w:r w:rsidR="00B55C4B">
        <w:rPr>
          <w:rStyle w:val="FootnoteReference"/>
        </w:rPr>
        <w:footnoteReference w:id="25"/>
      </w:r>
      <w:r w:rsidR="00B55C4B">
        <w:t xml:space="preserve">  We would recommend that these efforts extend beyond the standard approach of including municipalities, provinces, territories</w:t>
      </w:r>
      <w:r w:rsidR="00F7088C">
        <w:t>,</w:t>
      </w:r>
      <w:r w:rsidR="00B55C4B">
        <w:t xml:space="preserve"> and the federal government.  Rather, </w:t>
      </w:r>
      <w:r w:rsidR="00F7088C">
        <w:t>there should be more room at the table for Indigenous Nations, governments, and community partners to provide their insights at all stages of research, monitoring, and assessment processes.  Indigenous Peoples have the right to redress for resources which they have traditionally owned or otherwise occupied or used, and which have been used or damaged without their free, prior, and informed consent (see UN Declaration on the Rights of Indigenous Peoples</w:t>
      </w:r>
      <w:r w:rsidR="001445A0">
        <w:rPr>
          <w:vertAlign w:val="superscript"/>
        </w:rPr>
        <w:t>11</w:t>
      </w:r>
      <w:r w:rsidR="00F7088C">
        <w:t xml:space="preserve">) and there is a growing movement that maybe it’s time to take our lands back.  </w:t>
      </w:r>
    </w:p>
    <w:p w14:paraId="4F471BAF" w14:textId="34455895" w:rsidR="00030616" w:rsidRDefault="00030616"/>
    <w:p w14:paraId="63642345" w14:textId="77777777" w:rsidR="00592EF9" w:rsidRDefault="00592EF9"/>
    <w:p w14:paraId="29E37729" w14:textId="77777777" w:rsidR="00030616" w:rsidRPr="00F14CE9" w:rsidRDefault="00030616"/>
    <w:p w14:paraId="4F3BF569" w14:textId="2000493A" w:rsidR="00340E1E" w:rsidRPr="00F14CE9" w:rsidRDefault="00340E1E" w:rsidP="00340E1E">
      <w:pPr>
        <w:spacing w:line="276" w:lineRule="auto"/>
        <w:rPr>
          <w:rFonts w:cstheme="minorHAnsi"/>
          <w:i/>
          <w:iCs/>
        </w:rPr>
      </w:pPr>
      <w:r w:rsidRPr="00F14CE9">
        <w:rPr>
          <w:i/>
        </w:rPr>
        <w:t>Acknowledgements</w:t>
      </w:r>
      <w:r w:rsidRPr="00F14CE9">
        <w:t xml:space="preserve"> - </w:t>
      </w:r>
      <w:r w:rsidRPr="00F14CE9">
        <w:rPr>
          <w:rFonts w:cstheme="minorHAnsi"/>
          <w:iCs/>
        </w:rPr>
        <w:t>The contributors for this effort are from Environment and Climate Change Canada and were (in alphabetical order) Dr</w:t>
      </w:r>
      <w:r w:rsidR="00F14CE9" w:rsidRPr="00F14CE9">
        <w:rPr>
          <w:rFonts w:cstheme="minorHAnsi"/>
          <w:iCs/>
        </w:rPr>
        <w:t>s</w:t>
      </w:r>
      <w:r w:rsidRPr="00F14CE9">
        <w:rPr>
          <w:rFonts w:cstheme="minorHAnsi"/>
          <w:iCs/>
        </w:rPr>
        <w:t>. Alexa Alexander-Trusiak</w:t>
      </w:r>
      <w:r w:rsidR="00BD350C">
        <w:rPr>
          <w:rFonts w:cstheme="minorHAnsi"/>
          <w:iCs/>
        </w:rPr>
        <w:t xml:space="preserve"> and</w:t>
      </w:r>
      <w:r w:rsidRPr="00F14CE9">
        <w:rPr>
          <w:rFonts w:cstheme="minorHAnsi"/>
          <w:iCs/>
        </w:rPr>
        <w:t xml:space="preserve"> Myrle Ballard</w:t>
      </w:r>
      <w:r w:rsidR="00BD350C">
        <w:rPr>
          <w:rFonts w:cstheme="minorHAnsi"/>
          <w:iCs/>
        </w:rPr>
        <w:t xml:space="preserve"> (Indigenous Science Division)</w:t>
      </w:r>
      <w:r w:rsidR="00F14CE9" w:rsidRPr="00F14CE9">
        <w:rPr>
          <w:rFonts w:cstheme="minorHAnsi"/>
          <w:iCs/>
        </w:rPr>
        <w:t xml:space="preserve">, </w:t>
      </w:r>
      <w:r w:rsidR="00BD350C">
        <w:rPr>
          <w:rFonts w:cstheme="minorHAnsi"/>
          <w:iCs/>
        </w:rPr>
        <w:t xml:space="preserve">as well as </w:t>
      </w:r>
      <w:r w:rsidR="00F14CE9" w:rsidRPr="00F14CE9">
        <w:rPr>
          <w:rFonts w:cstheme="minorHAnsi"/>
          <w:iCs/>
        </w:rPr>
        <w:t>Magali Houde, and Hayley Hung</w:t>
      </w:r>
      <w:r w:rsidR="00BD350C">
        <w:rPr>
          <w:rFonts w:cstheme="minorHAnsi"/>
          <w:iCs/>
        </w:rPr>
        <w:t xml:space="preserve"> (Science &amp; Technology)</w:t>
      </w:r>
      <w:r w:rsidRPr="00F14CE9">
        <w:rPr>
          <w:rFonts w:cstheme="minorHAnsi"/>
          <w:iCs/>
        </w:rPr>
        <w:t xml:space="preserve">.  We respectfully acknowledge and give thanks for the portion of this work that </w:t>
      </w:r>
      <w:proofErr w:type="gramStart"/>
      <w:r w:rsidRPr="00F14CE9">
        <w:rPr>
          <w:rFonts w:cstheme="minorHAnsi"/>
          <w:iCs/>
        </w:rPr>
        <w:t>was composed</w:t>
      </w:r>
      <w:proofErr w:type="gramEnd"/>
      <w:r w:rsidRPr="00F14CE9">
        <w:rPr>
          <w:rFonts w:cstheme="minorHAnsi"/>
          <w:iCs/>
        </w:rPr>
        <w:t xml:space="preserve"> at the University of New Brunswick on the </w:t>
      </w:r>
      <w:proofErr w:type="spellStart"/>
      <w:r w:rsidRPr="00F14CE9">
        <w:rPr>
          <w:rFonts w:cstheme="minorHAnsi"/>
          <w:iCs/>
        </w:rPr>
        <w:t>unceded</w:t>
      </w:r>
      <w:proofErr w:type="spellEnd"/>
      <w:r w:rsidRPr="00F14CE9">
        <w:rPr>
          <w:rFonts w:cstheme="minorHAnsi"/>
          <w:iCs/>
        </w:rPr>
        <w:t xml:space="preserve">, traditional territory of the </w:t>
      </w:r>
      <w:proofErr w:type="spellStart"/>
      <w:r w:rsidRPr="00F14CE9">
        <w:rPr>
          <w:rFonts w:cstheme="minorHAnsi"/>
          <w:iCs/>
        </w:rPr>
        <w:t>Wolastoqiyik</w:t>
      </w:r>
      <w:proofErr w:type="spellEnd"/>
      <w:r w:rsidRPr="00F14CE9">
        <w:rPr>
          <w:rFonts w:cstheme="minorHAnsi"/>
          <w:iCs/>
        </w:rPr>
        <w:t xml:space="preserve"> People.  </w:t>
      </w:r>
      <w:proofErr w:type="gramStart"/>
      <w:r w:rsidRPr="00F14CE9">
        <w:rPr>
          <w:rFonts w:cstheme="minorHAnsi"/>
          <w:iCs/>
        </w:rPr>
        <w:t xml:space="preserve">We also respectfully acknowledge and give thanks for the portion of this work that was composed, edited, and revised </w:t>
      </w:r>
      <w:r w:rsidR="00F14CE9" w:rsidRPr="00F14CE9">
        <w:t xml:space="preserve">in </w:t>
      </w:r>
      <w:proofErr w:type="spellStart"/>
      <w:r w:rsidR="00F14CE9" w:rsidRPr="00F14CE9">
        <w:t>Tiohtià:ke</w:t>
      </w:r>
      <w:proofErr w:type="spellEnd"/>
      <w:r w:rsidR="00F14CE9" w:rsidRPr="00F14CE9">
        <w:t>/Montréal situated within the traditional</w:t>
      </w:r>
      <w:r w:rsidR="00592EF9">
        <w:t>,</w:t>
      </w:r>
      <w:r w:rsidR="00F14CE9" w:rsidRPr="00F14CE9">
        <w:t xml:space="preserve"> </w:t>
      </w:r>
      <w:proofErr w:type="spellStart"/>
      <w:r w:rsidR="00F14CE9" w:rsidRPr="00F14CE9">
        <w:t>unceded</w:t>
      </w:r>
      <w:proofErr w:type="spellEnd"/>
      <w:r w:rsidR="00F14CE9" w:rsidRPr="00F14CE9">
        <w:t xml:space="preserve"> Indigenous lands of the </w:t>
      </w:r>
      <w:proofErr w:type="spellStart"/>
      <w:r w:rsidR="00F14CE9" w:rsidRPr="00F14CE9">
        <w:t>Kanien’kehá:ka</w:t>
      </w:r>
      <w:proofErr w:type="spellEnd"/>
      <w:r w:rsidR="00F14CE9" w:rsidRPr="00F14CE9">
        <w:t xml:space="preserve"> (Mohawk) Nation</w:t>
      </w:r>
      <w:r w:rsidR="00592EF9">
        <w:t xml:space="preserve">; </w:t>
      </w:r>
      <w:r w:rsidR="00F14CE9" w:rsidRPr="00F14CE9">
        <w:rPr>
          <w:lang w:eastAsia="zh-TW"/>
        </w:rPr>
        <w:t xml:space="preserve">in </w:t>
      </w:r>
      <w:proofErr w:type="spellStart"/>
      <w:r w:rsidR="00F14CE9" w:rsidRPr="00F14CE9">
        <w:rPr>
          <w:lang w:eastAsia="zh-TW"/>
        </w:rPr>
        <w:t>Tkaronto</w:t>
      </w:r>
      <w:proofErr w:type="spellEnd"/>
      <w:r w:rsidR="00F14CE9" w:rsidRPr="00F14CE9">
        <w:rPr>
          <w:lang w:eastAsia="zh-TW"/>
        </w:rPr>
        <w:t xml:space="preserve">/Toronto, on the traditional territory of the </w:t>
      </w:r>
      <w:proofErr w:type="spellStart"/>
      <w:r w:rsidR="00F14CE9" w:rsidRPr="00F14CE9">
        <w:rPr>
          <w:lang w:eastAsia="zh-TW"/>
        </w:rPr>
        <w:t>Mississaugas</w:t>
      </w:r>
      <w:proofErr w:type="spellEnd"/>
      <w:r w:rsidR="00F14CE9" w:rsidRPr="00F14CE9">
        <w:rPr>
          <w:lang w:eastAsia="zh-TW"/>
        </w:rPr>
        <w:t xml:space="preserve"> of the Credit, </w:t>
      </w:r>
      <w:proofErr w:type="spellStart"/>
      <w:r w:rsidR="00F14CE9" w:rsidRPr="00F14CE9">
        <w:rPr>
          <w:lang w:eastAsia="zh-TW"/>
        </w:rPr>
        <w:t>Anishnabeg</w:t>
      </w:r>
      <w:proofErr w:type="spellEnd"/>
      <w:r w:rsidR="00F14CE9" w:rsidRPr="00F14CE9">
        <w:rPr>
          <w:lang w:eastAsia="zh-TW"/>
        </w:rPr>
        <w:t xml:space="preserve">, Chippewa, Haudenosaunee and </w:t>
      </w:r>
      <w:proofErr w:type="spellStart"/>
      <w:r w:rsidR="00F14CE9" w:rsidRPr="00F14CE9">
        <w:rPr>
          <w:lang w:eastAsia="zh-TW"/>
        </w:rPr>
        <w:t>Wendat</w:t>
      </w:r>
      <w:proofErr w:type="spellEnd"/>
      <w:r w:rsidR="00F14CE9" w:rsidRPr="00F14CE9">
        <w:rPr>
          <w:lang w:eastAsia="zh-TW"/>
        </w:rPr>
        <w:t xml:space="preserve"> Peoples and home to many First Nations, Inuit and Métis</w:t>
      </w:r>
      <w:r w:rsidR="00592EF9">
        <w:rPr>
          <w:lang w:eastAsia="zh-TW"/>
        </w:rPr>
        <w:t>;</w:t>
      </w:r>
      <w:r w:rsidR="00F14CE9" w:rsidRPr="00F14CE9">
        <w:rPr>
          <w:lang w:eastAsia="zh-TW"/>
        </w:rPr>
        <w:t xml:space="preserve"> and</w:t>
      </w:r>
      <w:r w:rsidR="00592EF9">
        <w:rPr>
          <w:lang w:eastAsia="zh-TW"/>
        </w:rPr>
        <w:t>,</w:t>
      </w:r>
      <w:r w:rsidR="00F14CE9" w:rsidRPr="00F14CE9">
        <w:rPr>
          <w:lang w:eastAsia="zh-TW"/>
        </w:rPr>
        <w:t xml:space="preserve"> at the </w:t>
      </w:r>
      <w:r w:rsidRPr="00F14CE9">
        <w:rPr>
          <w:rFonts w:cstheme="minorHAnsi"/>
          <w:iCs/>
        </w:rPr>
        <w:t xml:space="preserve">University of Manitoba, on the original lands and waters of the </w:t>
      </w:r>
      <w:proofErr w:type="spellStart"/>
      <w:r w:rsidRPr="00F14CE9">
        <w:rPr>
          <w:rFonts w:cstheme="minorHAnsi"/>
          <w:iCs/>
        </w:rPr>
        <w:t>Anishinaabe</w:t>
      </w:r>
      <w:proofErr w:type="spellEnd"/>
      <w:r w:rsidRPr="00F14CE9">
        <w:rPr>
          <w:rFonts w:cstheme="minorHAnsi"/>
          <w:iCs/>
        </w:rPr>
        <w:t>, Cree, Oji-Cree, Dakota, and Dene Peoples, and the Homeland of the Métis Nation.</w:t>
      </w:r>
      <w:proofErr w:type="gramEnd"/>
      <w:r w:rsidRPr="00F14CE9">
        <w:rPr>
          <w:rFonts w:cstheme="minorHAnsi"/>
          <w:iCs/>
        </w:rPr>
        <w:t xml:space="preserve">  </w:t>
      </w:r>
    </w:p>
    <w:p w14:paraId="4A42A67E" w14:textId="77777777" w:rsidR="00340E1E" w:rsidRPr="0063055F" w:rsidRDefault="00340E1E" w:rsidP="00340E1E">
      <w:pPr>
        <w:spacing w:line="276" w:lineRule="auto"/>
      </w:pPr>
    </w:p>
    <w:p w14:paraId="372ED291" w14:textId="49993124" w:rsidR="007D5A9C" w:rsidRDefault="007D5A9C"/>
    <w:sectPr w:rsidR="007D5A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22254" w14:textId="77777777" w:rsidR="0089693A" w:rsidRDefault="0089693A" w:rsidP="00B128D9">
      <w:r>
        <w:separator/>
      </w:r>
    </w:p>
  </w:endnote>
  <w:endnote w:type="continuationSeparator" w:id="0">
    <w:p w14:paraId="06639791" w14:textId="77777777" w:rsidR="0089693A" w:rsidRDefault="0089693A" w:rsidP="00B1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8147D" w14:textId="77777777" w:rsidR="0089693A" w:rsidRDefault="0089693A" w:rsidP="00B128D9">
      <w:r>
        <w:separator/>
      </w:r>
    </w:p>
  </w:footnote>
  <w:footnote w:type="continuationSeparator" w:id="0">
    <w:p w14:paraId="79DF75CA" w14:textId="77777777" w:rsidR="0089693A" w:rsidRDefault="0089693A" w:rsidP="00B128D9">
      <w:r>
        <w:continuationSeparator/>
      </w:r>
    </w:p>
  </w:footnote>
  <w:footnote w:id="1">
    <w:p w14:paraId="1B66A17C" w14:textId="23363A32" w:rsidR="00B128D9" w:rsidRDefault="00B128D9">
      <w:pPr>
        <w:pStyle w:val="FootnoteText"/>
      </w:pPr>
      <w:r>
        <w:rPr>
          <w:rStyle w:val="FootnoteReference"/>
        </w:rPr>
        <w:footnoteRef/>
      </w:r>
      <w:r w:rsidRPr="0038194B">
        <w:rPr>
          <w:lang w:val="fr-CA"/>
        </w:rPr>
        <w:t xml:space="preserve"> Alexander, S.M., </w:t>
      </w:r>
      <w:r w:rsidRPr="0038194B">
        <w:rPr>
          <w:i/>
          <w:lang w:val="fr-CA"/>
        </w:rPr>
        <w:t>et al.</w:t>
      </w:r>
      <w:r w:rsidRPr="0038194B">
        <w:rPr>
          <w:lang w:val="fr-CA"/>
        </w:rPr>
        <w:t xml:space="preserve"> 2021.  </w:t>
      </w:r>
      <w:r>
        <w:t>Bridging Indigenous and Western sciences in freshwater research</w:t>
      </w:r>
      <w:r w:rsidR="0038194B">
        <w:t xml:space="preserve">, monitoring, and management in Canada.  </w:t>
      </w:r>
      <w:r w:rsidR="0038194B" w:rsidRPr="0038194B">
        <w:rPr>
          <w:i/>
        </w:rPr>
        <w:t>Ecological Solutions and Evidence</w:t>
      </w:r>
      <w:r w:rsidR="0038194B">
        <w:t xml:space="preserve"> </w:t>
      </w:r>
      <w:r w:rsidR="0038194B" w:rsidRPr="0038194B">
        <w:rPr>
          <w:b/>
        </w:rPr>
        <w:t>2(3):</w:t>
      </w:r>
      <w:r w:rsidR="0038194B">
        <w:t xml:space="preserve"> e12085 </w:t>
      </w:r>
      <w:proofErr w:type="spellStart"/>
      <w:r w:rsidR="0038194B">
        <w:t>doi</w:t>
      </w:r>
      <w:proofErr w:type="spellEnd"/>
      <w:r w:rsidR="0038194B">
        <w:t xml:space="preserve">: </w:t>
      </w:r>
      <w:hyperlink r:id="rId1" w:history="1">
        <w:r w:rsidR="0038194B">
          <w:rPr>
            <w:rStyle w:val="Hyperlink"/>
          </w:rPr>
          <w:t>10.1002/2688-8319.12085</w:t>
        </w:r>
      </w:hyperlink>
      <w:r w:rsidR="0038194B">
        <w:t xml:space="preserve"> </w:t>
      </w:r>
      <w:r w:rsidR="0038194B" w:rsidRPr="0038194B">
        <w:t xml:space="preserve"> </w:t>
      </w:r>
    </w:p>
  </w:footnote>
  <w:footnote w:id="2">
    <w:p w14:paraId="41788269" w14:textId="255CD5F3" w:rsidR="00B7025F" w:rsidRDefault="00B7025F">
      <w:pPr>
        <w:pStyle w:val="FootnoteText"/>
      </w:pPr>
      <w:r>
        <w:rPr>
          <w:rStyle w:val="FootnoteReference"/>
        </w:rPr>
        <w:footnoteRef/>
      </w:r>
      <w:r>
        <w:t xml:space="preserve"> </w:t>
      </w:r>
      <w:r w:rsidR="00450270">
        <w:t xml:space="preserve">Feld, </w:t>
      </w:r>
      <w:r w:rsidR="0038194B">
        <w:t xml:space="preserve">C.K., </w:t>
      </w:r>
      <w:r w:rsidR="00450270" w:rsidRPr="0038194B">
        <w:rPr>
          <w:i/>
        </w:rPr>
        <w:t>et al.</w:t>
      </w:r>
      <w:r w:rsidR="00450270">
        <w:t xml:space="preserve"> 2016. </w:t>
      </w:r>
      <w:r w:rsidR="0038194B">
        <w:t xml:space="preserve">Disentangling the effects of land use and geo-climatic factors on diversity in European freshwater ecosystems.  </w:t>
      </w:r>
      <w:r w:rsidR="0038194B" w:rsidRPr="0038194B">
        <w:rPr>
          <w:i/>
        </w:rPr>
        <w:t>Ecological Indicators</w:t>
      </w:r>
      <w:r w:rsidR="0038194B">
        <w:t xml:space="preserve"> </w:t>
      </w:r>
      <w:r w:rsidR="0038194B" w:rsidRPr="0038194B">
        <w:rPr>
          <w:b/>
        </w:rPr>
        <w:t>60:</w:t>
      </w:r>
      <w:r w:rsidR="0038194B">
        <w:t xml:space="preserve"> 71-83 </w:t>
      </w:r>
      <w:proofErr w:type="spellStart"/>
      <w:r w:rsidR="0038194B">
        <w:t>doi</w:t>
      </w:r>
      <w:proofErr w:type="spellEnd"/>
      <w:r w:rsidR="0038194B">
        <w:t xml:space="preserve">: </w:t>
      </w:r>
      <w:hyperlink r:id="rId2" w:history="1">
        <w:r w:rsidR="0038194B">
          <w:rPr>
            <w:rStyle w:val="Hyperlink"/>
          </w:rPr>
          <w:t>10.1016/j.ecolind.2015.06.024</w:t>
        </w:r>
      </w:hyperlink>
      <w:r w:rsidR="0038194B">
        <w:t xml:space="preserve"> </w:t>
      </w:r>
    </w:p>
  </w:footnote>
  <w:footnote w:id="3">
    <w:p w14:paraId="3FE819E9" w14:textId="2155B2FE" w:rsidR="00542F48" w:rsidRDefault="00542F48">
      <w:pPr>
        <w:pStyle w:val="FootnoteText"/>
      </w:pPr>
      <w:r>
        <w:rPr>
          <w:rStyle w:val="FootnoteReference"/>
        </w:rPr>
        <w:footnoteRef/>
      </w:r>
      <w:r>
        <w:t xml:space="preserve"> For instance: climate change, </w:t>
      </w:r>
      <w:r w:rsidR="00717167">
        <w:t xml:space="preserve">flooding and other hydrological changes, </w:t>
      </w:r>
      <w:r>
        <w:t xml:space="preserve">industrial and agricultural development, urbanization, invasive species, habitat alteration, nutrient enrichment, harmful algal blooms, </w:t>
      </w:r>
      <w:r w:rsidR="00717167">
        <w:t xml:space="preserve">and </w:t>
      </w:r>
      <w:r>
        <w:t xml:space="preserve">toxic substances; including, but not limited to, current, legacy, and emerging contaminants.  </w:t>
      </w:r>
    </w:p>
  </w:footnote>
  <w:footnote w:id="4">
    <w:p w14:paraId="30493DD5" w14:textId="781E2F9E" w:rsidR="00594FA4" w:rsidRPr="0038194B" w:rsidRDefault="00594FA4">
      <w:pPr>
        <w:pStyle w:val="FootnoteText"/>
      </w:pPr>
      <w:r>
        <w:rPr>
          <w:rStyle w:val="FootnoteReference"/>
        </w:rPr>
        <w:footnoteRef/>
      </w:r>
      <w:r w:rsidRPr="0038194B">
        <w:rPr>
          <w:lang w:val="fr-CA"/>
        </w:rPr>
        <w:t xml:space="preserve"> Milly</w:t>
      </w:r>
      <w:r w:rsidR="0038194B">
        <w:rPr>
          <w:lang w:val="fr-CA"/>
        </w:rPr>
        <w:t>, P.C.D.,</w:t>
      </w:r>
      <w:r w:rsidRPr="0038194B">
        <w:rPr>
          <w:lang w:val="fr-CA"/>
        </w:rPr>
        <w:t xml:space="preserve"> </w:t>
      </w:r>
      <w:r w:rsidRPr="0038194B">
        <w:rPr>
          <w:i/>
          <w:lang w:val="fr-CA"/>
        </w:rPr>
        <w:t>et al.</w:t>
      </w:r>
      <w:r w:rsidRPr="0038194B">
        <w:rPr>
          <w:lang w:val="fr-CA"/>
        </w:rPr>
        <w:t xml:space="preserve"> 2005</w:t>
      </w:r>
      <w:r w:rsidR="0038194B">
        <w:rPr>
          <w:lang w:val="fr-CA"/>
        </w:rPr>
        <w:t xml:space="preserve">.  </w:t>
      </w:r>
      <w:r w:rsidR="0038194B" w:rsidRPr="0038194B">
        <w:t>Global pattern of trends in streamflow and w</w:t>
      </w:r>
      <w:r w:rsidR="0038194B">
        <w:t>a</w:t>
      </w:r>
      <w:r w:rsidR="0038194B" w:rsidRPr="0038194B">
        <w:t>ter availability in a changing climate.</w:t>
      </w:r>
      <w:r w:rsidR="0038194B">
        <w:t xml:space="preserve">  </w:t>
      </w:r>
      <w:r w:rsidR="0038194B" w:rsidRPr="0038194B">
        <w:rPr>
          <w:i/>
        </w:rPr>
        <w:t>Nature</w:t>
      </w:r>
      <w:r w:rsidR="0038194B">
        <w:t xml:space="preserve"> </w:t>
      </w:r>
      <w:r w:rsidR="0038194B" w:rsidRPr="0038194B">
        <w:rPr>
          <w:b/>
        </w:rPr>
        <w:t>438(7066):</w:t>
      </w:r>
      <w:r w:rsidR="0038194B">
        <w:t xml:space="preserve"> 347-350</w:t>
      </w:r>
      <w:r w:rsidRPr="0038194B">
        <w:t xml:space="preserve"> </w:t>
      </w:r>
      <w:r w:rsidR="0038194B">
        <w:t xml:space="preserve"> </w:t>
      </w:r>
      <w:proofErr w:type="spellStart"/>
      <w:r w:rsidR="0038194B" w:rsidRPr="0038194B">
        <w:t>doi</w:t>
      </w:r>
      <w:proofErr w:type="spellEnd"/>
      <w:r w:rsidR="0038194B" w:rsidRPr="0038194B">
        <w:t xml:space="preserve">: </w:t>
      </w:r>
      <w:hyperlink r:id="rId3" w:history="1">
        <w:r w:rsidR="0038194B">
          <w:rPr>
            <w:rStyle w:val="Hyperlink"/>
          </w:rPr>
          <w:t>10.1038/nature04312</w:t>
        </w:r>
      </w:hyperlink>
      <w:r w:rsidR="0038194B">
        <w:t xml:space="preserve"> </w:t>
      </w:r>
    </w:p>
  </w:footnote>
  <w:footnote w:id="5">
    <w:p w14:paraId="5A60CAA4" w14:textId="73533C5C" w:rsidR="00594FA4" w:rsidRPr="00DE38D7" w:rsidRDefault="00594FA4">
      <w:pPr>
        <w:pStyle w:val="FootnoteText"/>
      </w:pPr>
      <w:r>
        <w:rPr>
          <w:rStyle w:val="FootnoteReference"/>
        </w:rPr>
        <w:footnoteRef/>
      </w:r>
      <w:r w:rsidRPr="00DE38D7">
        <w:t xml:space="preserve"> </w:t>
      </w:r>
      <w:proofErr w:type="spellStart"/>
      <w:r w:rsidRPr="00DE38D7">
        <w:t>Tilman</w:t>
      </w:r>
      <w:proofErr w:type="spellEnd"/>
      <w:r w:rsidR="0038194B" w:rsidRPr="00DE38D7">
        <w:t xml:space="preserve">, </w:t>
      </w:r>
      <w:r w:rsidR="00DE38D7" w:rsidRPr="00DE38D7">
        <w:t xml:space="preserve">D., </w:t>
      </w:r>
      <w:r w:rsidRPr="00DE38D7">
        <w:rPr>
          <w:i/>
        </w:rPr>
        <w:t>et al.</w:t>
      </w:r>
      <w:r w:rsidRPr="00DE38D7">
        <w:t xml:space="preserve"> 2001</w:t>
      </w:r>
      <w:r w:rsidR="00DE38D7" w:rsidRPr="00DE38D7">
        <w:t>. Forecasting agriculturally driven global environmental change.</w:t>
      </w:r>
      <w:r w:rsidR="00DE38D7">
        <w:t xml:space="preserve">  </w:t>
      </w:r>
      <w:r w:rsidR="00DE38D7" w:rsidRPr="00DE38D7">
        <w:rPr>
          <w:i/>
        </w:rPr>
        <w:t>Science</w:t>
      </w:r>
      <w:r w:rsidR="00DE38D7">
        <w:t xml:space="preserve"> </w:t>
      </w:r>
      <w:r w:rsidR="00DE38D7" w:rsidRPr="00DE38D7">
        <w:rPr>
          <w:b/>
        </w:rPr>
        <w:t>292(5515):</w:t>
      </w:r>
      <w:r w:rsidR="00DE38D7">
        <w:t xml:space="preserve"> 281-284 </w:t>
      </w:r>
      <w:proofErr w:type="spellStart"/>
      <w:r w:rsidR="00DE38D7">
        <w:t>doi</w:t>
      </w:r>
      <w:proofErr w:type="spellEnd"/>
      <w:r w:rsidR="00DE38D7">
        <w:t xml:space="preserve">: </w:t>
      </w:r>
      <w:hyperlink r:id="rId4" w:history="1">
        <w:r w:rsidR="00DE38D7">
          <w:rPr>
            <w:rStyle w:val="Hyperlink"/>
          </w:rPr>
          <w:t>10.1126/science.1057544</w:t>
        </w:r>
      </w:hyperlink>
      <w:r w:rsidR="00DE38D7">
        <w:t xml:space="preserve"> </w:t>
      </w:r>
    </w:p>
  </w:footnote>
  <w:footnote w:id="6">
    <w:p w14:paraId="1A9A57FA" w14:textId="0517D144" w:rsidR="00B71FF9" w:rsidRDefault="00B71FF9">
      <w:pPr>
        <w:pStyle w:val="FootnoteText"/>
      </w:pPr>
      <w:r>
        <w:rPr>
          <w:rStyle w:val="FootnoteReference"/>
        </w:rPr>
        <w:footnoteRef/>
      </w:r>
      <w:r>
        <w:t xml:space="preserve"> </w:t>
      </w:r>
      <w:r w:rsidR="008F0BAE">
        <w:t xml:space="preserve">ENVI </w:t>
      </w:r>
      <w:r>
        <w:t xml:space="preserve">Standing Committee on Environment and Sustainable Development, Francis </w:t>
      </w:r>
      <w:proofErr w:type="spellStart"/>
      <w:r>
        <w:t>Scarpaleggia</w:t>
      </w:r>
      <w:proofErr w:type="spellEnd"/>
      <w:r>
        <w:t xml:space="preserve"> (Chair) </w:t>
      </w:r>
      <w:hyperlink r:id="rId5" w:history="1">
        <w:r w:rsidR="008F0BAE">
          <w:rPr>
            <w:rStyle w:val="Hyperlink"/>
          </w:rPr>
          <w:t>The Impacts of a Ban on Certain Single-Use Plastic Items on Industry Health and the Environment in Canada</w:t>
        </w:r>
      </w:hyperlink>
      <w:r>
        <w:t xml:space="preserve"> </w:t>
      </w:r>
      <w:r w:rsidR="008F0BAE">
        <w:t xml:space="preserve">House of Commons of Canada, </w:t>
      </w:r>
      <w:r>
        <w:t>44</w:t>
      </w:r>
      <w:r w:rsidRPr="00B71FF9">
        <w:rPr>
          <w:vertAlign w:val="superscript"/>
        </w:rPr>
        <w:t>th</w:t>
      </w:r>
      <w:r>
        <w:t xml:space="preserve"> </w:t>
      </w:r>
      <w:r w:rsidR="008F0BAE">
        <w:t>Parliament, 1</w:t>
      </w:r>
      <w:r w:rsidR="008F0BAE" w:rsidRPr="008F0BAE">
        <w:rPr>
          <w:vertAlign w:val="superscript"/>
        </w:rPr>
        <w:t>st</w:t>
      </w:r>
      <w:r w:rsidR="008F0BAE">
        <w:t xml:space="preserve"> Session, 4 April 2022. </w:t>
      </w:r>
    </w:p>
  </w:footnote>
  <w:footnote w:id="7">
    <w:p w14:paraId="474B2FC2" w14:textId="3470073D" w:rsidR="00CA7219" w:rsidRDefault="00CA7219">
      <w:pPr>
        <w:pStyle w:val="FootnoteText"/>
      </w:pPr>
      <w:r>
        <w:rPr>
          <w:rStyle w:val="FootnoteReference"/>
        </w:rPr>
        <w:footnoteRef/>
      </w:r>
      <w:r>
        <w:t xml:space="preserve"> </w:t>
      </w:r>
      <w:r w:rsidR="00340E1E">
        <w:t xml:space="preserve">Editorial.  Closing the door on parachutes and parasites.  </w:t>
      </w:r>
      <w:r w:rsidR="00340E1E" w:rsidRPr="00340E1E">
        <w:rPr>
          <w:i/>
        </w:rPr>
        <w:t>The Lancet Global Health</w:t>
      </w:r>
      <w:r w:rsidR="00340E1E">
        <w:t xml:space="preserve"> </w:t>
      </w:r>
      <w:r w:rsidR="00340E1E" w:rsidRPr="00340E1E">
        <w:rPr>
          <w:b/>
        </w:rPr>
        <w:t>6(6):</w:t>
      </w:r>
      <w:r w:rsidR="00340E1E">
        <w:t xml:space="preserve"> e593 </w:t>
      </w:r>
      <w:proofErr w:type="spellStart"/>
      <w:r w:rsidR="00340E1E">
        <w:t>doi</w:t>
      </w:r>
      <w:proofErr w:type="spellEnd"/>
      <w:r w:rsidR="00340E1E">
        <w:t xml:space="preserve">: </w:t>
      </w:r>
      <w:hyperlink r:id="rId6" w:history="1">
        <w:r w:rsidR="00340E1E">
          <w:rPr>
            <w:rStyle w:val="Hyperlink"/>
          </w:rPr>
          <w:t>10.1016/S2214-109X(18)30239-0</w:t>
        </w:r>
      </w:hyperlink>
      <w:r w:rsidR="00340E1E">
        <w:t xml:space="preserve"> </w:t>
      </w:r>
    </w:p>
  </w:footnote>
  <w:footnote w:id="8">
    <w:p w14:paraId="2E68A02B" w14:textId="70E7612E" w:rsidR="00CA7219" w:rsidRDefault="00CA7219">
      <w:pPr>
        <w:pStyle w:val="FootnoteText"/>
      </w:pPr>
      <w:r>
        <w:rPr>
          <w:rStyle w:val="FootnoteReference"/>
        </w:rPr>
        <w:footnoteRef/>
      </w:r>
      <w:r>
        <w:t xml:space="preserve"> </w:t>
      </w:r>
      <w:r w:rsidR="00FC3560">
        <w:t>FPIC</w:t>
      </w:r>
      <w:r w:rsidR="00340E1E">
        <w:t xml:space="preserve">: </w:t>
      </w:r>
      <w:hyperlink r:id="rId7" w:history="1">
        <w:r w:rsidR="00340E1E" w:rsidRPr="00E9122A">
          <w:rPr>
            <w:rStyle w:val="Hyperlink"/>
          </w:rPr>
          <w:t>https://www.fao.org/indigenous-peoples/our-pillars/fpic/en/</w:t>
        </w:r>
      </w:hyperlink>
      <w:r w:rsidR="00340E1E">
        <w:t xml:space="preserve"> and </w:t>
      </w:r>
      <w:hyperlink r:id="rId8" w:history="1">
        <w:r w:rsidR="00340E1E" w:rsidRPr="00E9122A">
          <w:rPr>
            <w:rStyle w:val="Hyperlink"/>
          </w:rPr>
          <w:t>https://www.fao.org/indigenous-peoples/our-pillars/fpic/en/</w:t>
        </w:r>
      </w:hyperlink>
      <w:r w:rsidR="00340E1E">
        <w:t xml:space="preserve"> </w:t>
      </w:r>
    </w:p>
  </w:footnote>
  <w:footnote w:id="9">
    <w:p w14:paraId="2BEC753D" w14:textId="73FF50B1" w:rsidR="00CA7219" w:rsidRDefault="00CA7219">
      <w:pPr>
        <w:pStyle w:val="FootnoteText"/>
      </w:pPr>
      <w:r>
        <w:rPr>
          <w:rStyle w:val="FootnoteReference"/>
        </w:rPr>
        <w:footnoteRef/>
      </w:r>
      <w:r>
        <w:t xml:space="preserve"> </w:t>
      </w:r>
      <w:r w:rsidR="00340E1E">
        <w:t xml:space="preserve">Global Indigenous Data Alliance.  </w:t>
      </w:r>
      <w:hyperlink r:id="rId9" w:history="1">
        <w:r w:rsidR="00340E1E" w:rsidRPr="00340E1E">
          <w:rPr>
            <w:rStyle w:val="Hyperlink"/>
          </w:rPr>
          <w:t>CARE Principles for Indigenous Data Governance</w:t>
        </w:r>
      </w:hyperlink>
      <w:r w:rsidR="00340E1E">
        <w:t xml:space="preserve">.  </w:t>
      </w:r>
    </w:p>
  </w:footnote>
  <w:footnote w:id="10">
    <w:p w14:paraId="06C097BF" w14:textId="29C1B751" w:rsidR="00CA7219" w:rsidRDefault="00CA7219">
      <w:pPr>
        <w:pStyle w:val="FootnoteText"/>
      </w:pPr>
      <w:r>
        <w:rPr>
          <w:rStyle w:val="FootnoteReference"/>
        </w:rPr>
        <w:footnoteRef/>
      </w:r>
      <w:r>
        <w:t xml:space="preserve"> </w:t>
      </w:r>
      <w:r w:rsidR="00340E1E">
        <w:t xml:space="preserve">First Nations Information Governance Centre (FNIGC).  </w:t>
      </w:r>
      <w:hyperlink r:id="rId10" w:history="1">
        <w:r w:rsidR="00340E1E" w:rsidRPr="00340E1E">
          <w:rPr>
            <w:rStyle w:val="Hyperlink"/>
          </w:rPr>
          <w:t xml:space="preserve">First Nations Principles of </w:t>
        </w:r>
        <w:r w:rsidR="00FC3560" w:rsidRPr="00340E1E">
          <w:rPr>
            <w:rStyle w:val="Hyperlink"/>
          </w:rPr>
          <w:t>OCAP</w:t>
        </w:r>
        <w:r w:rsidR="00340E1E" w:rsidRPr="00340E1E">
          <w:rPr>
            <w:rStyle w:val="Hyperlink"/>
          </w:rPr>
          <w:t>®</w:t>
        </w:r>
      </w:hyperlink>
      <w:r w:rsidR="00340E1E">
        <w:t xml:space="preserve">. </w:t>
      </w:r>
    </w:p>
  </w:footnote>
  <w:footnote w:id="11">
    <w:p w14:paraId="12392DC1" w14:textId="5747B68B" w:rsidR="00FC3560" w:rsidRDefault="00FC3560">
      <w:pPr>
        <w:pStyle w:val="FootnoteText"/>
      </w:pPr>
      <w:r>
        <w:rPr>
          <w:rStyle w:val="FootnoteReference"/>
        </w:rPr>
        <w:footnoteRef/>
      </w:r>
      <w:r>
        <w:t xml:space="preserve"> E.g., </w:t>
      </w:r>
      <w:hyperlink r:id="rId11" w:history="1">
        <w:r w:rsidR="00340E1E" w:rsidRPr="00340E1E">
          <w:rPr>
            <w:rStyle w:val="Hyperlink"/>
          </w:rPr>
          <w:t>United Nations Declaration on the Rights of Indigenous Peoples</w:t>
        </w:r>
      </w:hyperlink>
      <w:r w:rsidR="00340E1E">
        <w:t xml:space="preserve">. </w:t>
      </w:r>
    </w:p>
  </w:footnote>
  <w:footnote w:id="12">
    <w:p w14:paraId="0A9EAE20" w14:textId="4A404837" w:rsidR="009B0521" w:rsidRPr="00340E1E" w:rsidRDefault="009B0521" w:rsidP="00340E1E">
      <w:pPr>
        <w:rPr>
          <w:rFonts w:cstheme="minorHAnsi"/>
          <w:sz w:val="20"/>
          <w:szCs w:val="20"/>
        </w:rPr>
      </w:pPr>
      <w:r w:rsidRPr="00340E1E">
        <w:rPr>
          <w:rStyle w:val="FootnoteReference"/>
          <w:sz w:val="20"/>
          <w:szCs w:val="20"/>
        </w:rPr>
        <w:footnoteRef/>
      </w:r>
      <w:r w:rsidRPr="00340E1E">
        <w:rPr>
          <w:sz w:val="20"/>
          <w:szCs w:val="20"/>
        </w:rPr>
        <w:t xml:space="preserve"> </w:t>
      </w:r>
      <w:r w:rsidR="00340E1E" w:rsidRPr="00340E1E">
        <w:rPr>
          <w:rFonts w:cstheme="minorHAnsi"/>
          <w:sz w:val="20"/>
          <w:szCs w:val="20"/>
        </w:rPr>
        <w:t xml:space="preserve">Métis Centre, National Aboriginal Health Organization. 2010. </w:t>
      </w:r>
      <w:hyperlink r:id="rId12" w:history="1">
        <w:r w:rsidR="00340E1E" w:rsidRPr="00340E1E">
          <w:rPr>
            <w:rStyle w:val="Hyperlink"/>
            <w:rFonts w:cstheme="minorHAnsi"/>
            <w:color w:val="1155CC"/>
            <w:sz w:val="20"/>
            <w:szCs w:val="20"/>
          </w:rPr>
          <w:t>Principles of Ethical Métis Research</w:t>
        </w:r>
      </w:hyperlink>
    </w:p>
  </w:footnote>
  <w:footnote w:id="13">
    <w:p w14:paraId="05A5A66A" w14:textId="1C70B9BF" w:rsidR="009B0521" w:rsidRPr="00340E1E" w:rsidRDefault="009B0521" w:rsidP="00340E1E">
      <w:pPr>
        <w:rPr>
          <w:rFonts w:cstheme="minorHAnsi"/>
          <w:sz w:val="20"/>
          <w:szCs w:val="20"/>
        </w:rPr>
      </w:pPr>
      <w:r w:rsidRPr="00340E1E">
        <w:rPr>
          <w:rStyle w:val="FootnoteReference"/>
          <w:sz w:val="20"/>
          <w:szCs w:val="20"/>
        </w:rPr>
        <w:footnoteRef/>
      </w:r>
      <w:r w:rsidRPr="00340E1E">
        <w:rPr>
          <w:sz w:val="20"/>
          <w:szCs w:val="20"/>
        </w:rPr>
        <w:t xml:space="preserve"> </w:t>
      </w:r>
      <w:r w:rsidR="00340E1E" w:rsidRPr="00340E1E">
        <w:rPr>
          <w:rFonts w:cstheme="minorHAnsi"/>
          <w:sz w:val="20"/>
          <w:szCs w:val="20"/>
        </w:rPr>
        <w:t xml:space="preserve">Inuit </w:t>
      </w:r>
      <w:proofErr w:type="spellStart"/>
      <w:r w:rsidR="00340E1E" w:rsidRPr="00340E1E">
        <w:rPr>
          <w:rFonts w:cstheme="minorHAnsi"/>
          <w:sz w:val="20"/>
          <w:szCs w:val="20"/>
        </w:rPr>
        <w:t>Tapiriit</w:t>
      </w:r>
      <w:proofErr w:type="spellEnd"/>
      <w:r w:rsidR="00340E1E" w:rsidRPr="00340E1E">
        <w:rPr>
          <w:rFonts w:cstheme="minorHAnsi"/>
          <w:sz w:val="20"/>
          <w:szCs w:val="20"/>
        </w:rPr>
        <w:t xml:space="preserve"> </w:t>
      </w:r>
      <w:proofErr w:type="spellStart"/>
      <w:r w:rsidR="00340E1E" w:rsidRPr="00340E1E">
        <w:rPr>
          <w:rFonts w:cstheme="minorHAnsi"/>
          <w:sz w:val="20"/>
          <w:szCs w:val="20"/>
        </w:rPr>
        <w:t>Kanatami</w:t>
      </w:r>
      <w:proofErr w:type="spellEnd"/>
      <w:r w:rsidR="00340E1E" w:rsidRPr="00340E1E">
        <w:rPr>
          <w:rFonts w:cstheme="minorHAnsi"/>
          <w:sz w:val="20"/>
          <w:szCs w:val="20"/>
        </w:rPr>
        <w:t xml:space="preserve"> (ITK). 2018. </w:t>
      </w:r>
      <w:hyperlink r:id="rId13" w:history="1">
        <w:r w:rsidR="00340E1E" w:rsidRPr="00340E1E">
          <w:rPr>
            <w:rStyle w:val="Hyperlink"/>
            <w:rFonts w:cstheme="minorHAnsi"/>
            <w:color w:val="1155CC"/>
            <w:sz w:val="20"/>
            <w:szCs w:val="20"/>
          </w:rPr>
          <w:t>National Inuit Strategy on Research</w:t>
        </w:r>
      </w:hyperlink>
    </w:p>
  </w:footnote>
  <w:footnote w:id="14">
    <w:p w14:paraId="2E2F3468" w14:textId="7B4AFE5E" w:rsidR="009B0521" w:rsidRPr="00340E1E" w:rsidRDefault="009B0521">
      <w:pPr>
        <w:pStyle w:val="FootnoteText"/>
      </w:pPr>
      <w:r w:rsidRPr="00340E1E">
        <w:rPr>
          <w:rStyle w:val="FootnoteReference"/>
        </w:rPr>
        <w:footnoteRef/>
      </w:r>
      <w:r w:rsidRPr="00340E1E">
        <w:t xml:space="preserve"> </w:t>
      </w:r>
      <w:hyperlink r:id="rId14" w:history="1">
        <w:proofErr w:type="spellStart"/>
        <w:r w:rsidR="00340E1E" w:rsidRPr="00340E1E">
          <w:rPr>
            <w:rStyle w:val="Hyperlink"/>
            <w:rFonts w:cstheme="minorHAnsi"/>
          </w:rPr>
          <w:t>Unama’ki</w:t>
        </w:r>
        <w:proofErr w:type="spellEnd"/>
        <w:r w:rsidR="00340E1E" w:rsidRPr="00340E1E">
          <w:rPr>
            <w:rStyle w:val="Hyperlink"/>
            <w:rFonts w:cstheme="minorHAnsi"/>
          </w:rPr>
          <w:t xml:space="preserve"> Institute Partnership Tenets</w:t>
        </w:r>
      </w:hyperlink>
      <w:r w:rsidR="00340E1E" w:rsidRPr="00340E1E">
        <w:rPr>
          <w:rFonts w:cstheme="minorHAnsi"/>
        </w:rPr>
        <w:t xml:space="preserve">, and </w:t>
      </w:r>
      <w:hyperlink r:id="rId15" w:history="1">
        <w:proofErr w:type="spellStart"/>
        <w:r w:rsidR="00340E1E" w:rsidRPr="00340E1E">
          <w:rPr>
            <w:rStyle w:val="Hyperlink"/>
            <w:rFonts w:cstheme="minorHAnsi"/>
          </w:rPr>
          <w:t>Mi’kmaw</w:t>
        </w:r>
        <w:proofErr w:type="spellEnd"/>
        <w:r w:rsidR="00340E1E" w:rsidRPr="00340E1E">
          <w:rPr>
            <w:rStyle w:val="Hyperlink"/>
            <w:rFonts w:cstheme="minorHAnsi"/>
          </w:rPr>
          <w:t xml:space="preserve"> Research Principles and Protocols</w:t>
        </w:r>
      </w:hyperlink>
    </w:p>
  </w:footnote>
  <w:footnote w:id="15">
    <w:p w14:paraId="232D0C18" w14:textId="60998DB5" w:rsidR="00482826" w:rsidRPr="00340E1E" w:rsidRDefault="00482826">
      <w:pPr>
        <w:pStyle w:val="FootnoteText"/>
      </w:pPr>
      <w:r w:rsidRPr="00340E1E">
        <w:rPr>
          <w:rStyle w:val="FootnoteReference"/>
        </w:rPr>
        <w:footnoteRef/>
      </w:r>
      <w:r w:rsidRPr="00340E1E">
        <w:t xml:space="preserve"> Human Rights Council. 2020. </w:t>
      </w:r>
      <w:hyperlink r:id="rId16" w:history="1">
        <w:r w:rsidRPr="00340E1E">
          <w:rPr>
            <w:rStyle w:val="Hyperlink"/>
          </w:rPr>
          <w:t>Report of the Special Rapporteur on the implications for human rights of the environmentally sound management and disposal of hazardous substances and wastes</w:t>
        </w:r>
      </w:hyperlink>
      <w:r w:rsidRPr="00340E1E">
        <w:t xml:space="preserve">.  </w:t>
      </w:r>
      <w:proofErr w:type="gramStart"/>
      <w:r w:rsidRPr="00340E1E">
        <w:t>45</w:t>
      </w:r>
      <w:r w:rsidRPr="00340E1E">
        <w:rPr>
          <w:vertAlign w:val="superscript"/>
        </w:rPr>
        <w:t>th</w:t>
      </w:r>
      <w:proofErr w:type="gramEnd"/>
      <w:r w:rsidRPr="00340E1E">
        <w:t xml:space="preserve"> Session, Visit to Canada.  14 Sept – 2 October 2020.    </w:t>
      </w:r>
    </w:p>
  </w:footnote>
  <w:footnote w:id="16">
    <w:p w14:paraId="4106BE5F" w14:textId="13EF9E2D" w:rsidR="005802F8" w:rsidRPr="00340E1E" w:rsidRDefault="005802F8">
      <w:pPr>
        <w:pStyle w:val="FootnoteText"/>
      </w:pPr>
      <w:r w:rsidRPr="00340E1E">
        <w:rPr>
          <w:rStyle w:val="FootnoteReference"/>
        </w:rPr>
        <w:footnoteRef/>
      </w:r>
      <w:r w:rsidRPr="00340E1E">
        <w:t xml:space="preserve"> </w:t>
      </w:r>
      <w:hyperlink r:id="rId17" w:history="1">
        <w:r w:rsidRPr="00340E1E">
          <w:rPr>
            <w:rStyle w:val="Hyperlink"/>
          </w:rPr>
          <w:t>Impact Assessment Process Overview - Canada.ca</w:t>
        </w:r>
      </w:hyperlink>
    </w:p>
  </w:footnote>
  <w:footnote w:id="17">
    <w:p w14:paraId="12E5C46A" w14:textId="6288E9E2" w:rsidR="00A5048D" w:rsidRPr="00340E1E" w:rsidRDefault="00A5048D">
      <w:pPr>
        <w:pStyle w:val="FootnoteText"/>
      </w:pPr>
      <w:r w:rsidRPr="00340E1E">
        <w:rPr>
          <w:rStyle w:val="FootnoteReference"/>
        </w:rPr>
        <w:footnoteRef/>
      </w:r>
      <w:r w:rsidRPr="00340E1E">
        <w:t xml:space="preserve"> </w:t>
      </w:r>
      <w:hyperlink r:id="rId18" w:history="1">
        <w:r w:rsidRPr="00340E1E">
          <w:rPr>
            <w:rStyle w:val="Hyperlink"/>
          </w:rPr>
          <w:t>Crown consultation with Indigenous Peoples in federal impact assessment</w:t>
        </w:r>
      </w:hyperlink>
    </w:p>
  </w:footnote>
  <w:footnote w:id="18">
    <w:p w14:paraId="3A1D8892" w14:textId="2A31325F" w:rsidR="00C313EE" w:rsidRDefault="00C313EE">
      <w:pPr>
        <w:pStyle w:val="FootnoteText"/>
      </w:pPr>
      <w:r>
        <w:rPr>
          <w:rStyle w:val="FootnoteReference"/>
        </w:rPr>
        <w:footnoteRef/>
      </w:r>
      <w:r>
        <w:t xml:space="preserve"> </w:t>
      </w:r>
      <w:hyperlink r:id="rId19" w:history="1">
        <w:r w:rsidR="00692FEC">
          <w:rPr>
            <w:rStyle w:val="Hyperlink"/>
          </w:rPr>
          <w:t>Institute for Integrative Science &amp; Health</w:t>
        </w:r>
      </w:hyperlink>
      <w:r w:rsidR="00692FEC">
        <w:t xml:space="preserve">  </w:t>
      </w:r>
    </w:p>
  </w:footnote>
  <w:footnote w:id="19">
    <w:p w14:paraId="37896838" w14:textId="39A0A08D" w:rsidR="00692FEC" w:rsidRDefault="00692FEC">
      <w:pPr>
        <w:pStyle w:val="FootnoteText"/>
      </w:pPr>
      <w:r>
        <w:rPr>
          <w:rStyle w:val="FootnoteReference"/>
        </w:rPr>
        <w:footnoteRef/>
      </w:r>
      <w:r>
        <w:t xml:space="preserve"> Reid, A. </w:t>
      </w:r>
      <w:r w:rsidRPr="00C473EE">
        <w:rPr>
          <w:i/>
          <w:iCs/>
        </w:rPr>
        <w:t>et al.</w:t>
      </w:r>
      <w:r>
        <w:t xml:space="preserve">, 2020.  “Two-Eyed Seeing”: an Indigenous framework to transform fisheries research and management.  </w:t>
      </w:r>
      <w:r w:rsidRPr="00C473EE">
        <w:rPr>
          <w:i/>
          <w:iCs/>
        </w:rPr>
        <w:t>Fish and Fisheries</w:t>
      </w:r>
      <w:r w:rsidR="00594F52">
        <w:t xml:space="preserve"> </w:t>
      </w:r>
      <w:r w:rsidR="00594F52" w:rsidRPr="00594F52">
        <w:rPr>
          <w:b/>
          <w:bCs/>
        </w:rPr>
        <w:t>22(2):</w:t>
      </w:r>
      <w:r w:rsidR="00594F52">
        <w:t xml:space="preserve"> 243-261 </w:t>
      </w:r>
      <w:proofErr w:type="spellStart"/>
      <w:r w:rsidR="00594F52">
        <w:t>doi</w:t>
      </w:r>
      <w:proofErr w:type="spellEnd"/>
      <w:r w:rsidR="00594F52">
        <w:t>:</w:t>
      </w:r>
      <w:r>
        <w:t xml:space="preserve"> </w:t>
      </w:r>
      <w:hyperlink r:id="rId20" w:history="1">
        <w:r w:rsidR="00594F52">
          <w:rPr>
            <w:rStyle w:val="Hyperlink"/>
          </w:rPr>
          <w:t>10.1111/faf.12516</w:t>
        </w:r>
      </w:hyperlink>
      <w:r w:rsidR="00594F52">
        <w:t xml:space="preserve"> </w:t>
      </w:r>
    </w:p>
  </w:footnote>
  <w:footnote w:id="20">
    <w:p w14:paraId="381A98A6" w14:textId="4CD7169F" w:rsidR="00594F52" w:rsidRDefault="00594F52">
      <w:pPr>
        <w:pStyle w:val="FootnoteText"/>
      </w:pPr>
      <w:r>
        <w:rPr>
          <w:rStyle w:val="FootnoteReference"/>
        </w:rPr>
        <w:footnoteRef/>
      </w:r>
      <w:r>
        <w:t xml:space="preserve"> As envisaged by Mi’kma</w:t>
      </w:r>
      <w:r w:rsidR="00E16B60">
        <w:t>q</w:t>
      </w:r>
      <w:r>
        <w:t xml:space="preserve"> Elder Dr. Albert Marshall</w:t>
      </w:r>
    </w:p>
  </w:footnote>
  <w:footnote w:id="21">
    <w:p w14:paraId="00DA6E3D" w14:textId="265E77E4" w:rsidR="0004334E" w:rsidRDefault="0004334E">
      <w:pPr>
        <w:pStyle w:val="FootnoteText"/>
      </w:pPr>
      <w:r>
        <w:rPr>
          <w:rStyle w:val="FootnoteReference"/>
        </w:rPr>
        <w:footnoteRef/>
      </w:r>
      <w:r>
        <w:t xml:space="preserve"> </w:t>
      </w:r>
      <w:hyperlink r:id="rId21" w:history="1">
        <w:proofErr w:type="spellStart"/>
        <w:r>
          <w:rPr>
            <w:rStyle w:val="Hyperlink"/>
          </w:rPr>
          <w:t>Unima'ki</w:t>
        </w:r>
        <w:proofErr w:type="spellEnd"/>
        <w:r>
          <w:rPr>
            <w:rStyle w:val="Hyperlink"/>
          </w:rPr>
          <w:t xml:space="preserve"> Institute of Natural Resources (UINR)</w:t>
        </w:r>
      </w:hyperlink>
      <w:r>
        <w:t xml:space="preserve"> </w:t>
      </w:r>
    </w:p>
  </w:footnote>
  <w:footnote w:id="22">
    <w:p w14:paraId="3D401C73" w14:textId="3C096278" w:rsidR="002539E6" w:rsidRDefault="002539E6">
      <w:pPr>
        <w:pStyle w:val="FootnoteText"/>
      </w:pPr>
      <w:r>
        <w:rPr>
          <w:rStyle w:val="FootnoteReference"/>
        </w:rPr>
        <w:footnoteRef/>
      </w:r>
      <w:r>
        <w:t xml:space="preserve"> Truth and Reconciliation Commission of Canada.  2015.  </w:t>
      </w:r>
      <w:hyperlink r:id="rId22" w:anchor="trc-reports" w:history="1">
        <w:r w:rsidRPr="002539E6">
          <w:rPr>
            <w:rStyle w:val="Hyperlink"/>
          </w:rPr>
          <w:t>Honouring the Truth, Reconciling for the Future</w:t>
        </w:r>
      </w:hyperlink>
      <w:r>
        <w:t xml:space="preserve">.  Summary of the Final Report of the Truth and Reconciliation Commission of Canada.  </w:t>
      </w:r>
    </w:p>
  </w:footnote>
  <w:footnote w:id="23">
    <w:p w14:paraId="4BB8A254" w14:textId="49FA6BE2" w:rsidR="00CD0884" w:rsidRPr="005F05AF" w:rsidRDefault="00CD0884" w:rsidP="005F05AF">
      <w:pPr>
        <w:rPr>
          <w:rFonts w:ascii="Times New Roman" w:eastAsia="Times New Roman" w:hAnsi="Times New Roman" w:cs="Times New Roman"/>
        </w:rPr>
      </w:pPr>
      <w:r>
        <w:rPr>
          <w:rStyle w:val="FootnoteReference"/>
        </w:rPr>
        <w:footnoteRef/>
      </w:r>
      <w:r>
        <w:t xml:space="preserve"> </w:t>
      </w:r>
      <w:r w:rsidRPr="00CD0884">
        <w:rPr>
          <w:rFonts w:cstheme="minorHAnsi"/>
          <w:sz w:val="20"/>
          <w:szCs w:val="20"/>
        </w:rPr>
        <w:t xml:space="preserve">Langston, N. 2010.  Toxic Inequities: Chemical Exposures and Indigenous Communities in Canada and the United States.  </w:t>
      </w:r>
      <w:r w:rsidRPr="00CD0884">
        <w:rPr>
          <w:rFonts w:cstheme="minorHAnsi"/>
          <w:i/>
          <w:iCs/>
          <w:sz w:val="20"/>
          <w:szCs w:val="20"/>
        </w:rPr>
        <w:t>Natural Resources Journal</w:t>
      </w:r>
      <w:r w:rsidRPr="00CD0884">
        <w:rPr>
          <w:rFonts w:cstheme="minorHAnsi"/>
          <w:sz w:val="20"/>
          <w:szCs w:val="20"/>
        </w:rPr>
        <w:t xml:space="preserve"> </w:t>
      </w:r>
      <w:r w:rsidRPr="00CD0884">
        <w:rPr>
          <w:rFonts w:cstheme="minorHAnsi"/>
          <w:b/>
          <w:bCs/>
          <w:sz w:val="20"/>
          <w:szCs w:val="20"/>
        </w:rPr>
        <w:t>50(2):</w:t>
      </w:r>
      <w:r w:rsidRPr="00CD0884">
        <w:rPr>
          <w:rFonts w:cstheme="minorHAnsi"/>
          <w:sz w:val="20"/>
          <w:szCs w:val="20"/>
        </w:rPr>
        <w:t xml:space="preserve"> 393-406.  Accessible at </w:t>
      </w:r>
      <w:hyperlink r:id="rId23" w:history="1">
        <w:r w:rsidRPr="00CD0884">
          <w:rPr>
            <w:rStyle w:val="Hyperlink"/>
            <w:rFonts w:eastAsia="Times New Roman" w:cstheme="minorHAnsi"/>
            <w:spacing w:val="-5"/>
            <w:sz w:val="20"/>
            <w:szCs w:val="20"/>
            <w:shd w:val="clear" w:color="auto" w:fill="FFFFFF"/>
          </w:rPr>
          <w:t>https://www.jstor.org/stable/24889683</w:t>
        </w:r>
      </w:hyperlink>
      <w:r>
        <w:rPr>
          <w:rFonts w:ascii="Helvetica" w:eastAsia="Times New Roman" w:hAnsi="Helvetica" w:cs="Times New Roman"/>
          <w:color w:val="676765"/>
          <w:spacing w:val="-5"/>
          <w:sz w:val="21"/>
          <w:szCs w:val="21"/>
          <w:shd w:val="clear" w:color="auto" w:fill="FFFFFF"/>
        </w:rPr>
        <w:t xml:space="preserve"> </w:t>
      </w:r>
    </w:p>
  </w:footnote>
  <w:footnote w:id="24">
    <w:p w14:paraId="6525CE92" w14:textId="00A0CCC2" w:rsidR="005F05AF" w:rsidRDefault="005F05AF">
      <w:pPr>
        <w:pStyle w:val="FootnoteText"/>
      </w:pPr>
      <w:r>
        <w:rPr>
          <w:rStyle w:val="FootnoteReference"/>
        </w:rPr>
        <w:footnoteRef/>
      </w:r>
      <w:r>
        <w:t xml:space="preserve"> Assembly of First Nations.  2009/2010.  First Nations Biomonitoring Initiative Background Paper.  </w:t>
      </w:r>
      <w:r w:rsidR="00641EE4">
        <w:t xml:space="preserve">Accessible at </w:t>
      </w:r>
      <w:hyperlink r:id="rId24" w:history="1">
        <w:r w:rsidR="00641EE4" w:rsidRPr="00A07295">
          <w:rPr>
            <w:rStyle w:val="Hyperlink"/>
          </w:rPr>
          <w:t>https://www.afn.ca/uploads/files/env/backgrounder.pdf</w:t>
        </w:r>
      </w:hyperlink>
      <w:r w:rsidR="00641EE4">
        <w:t xml:space="preserve"> </w:t>
      </w:r>
    </w:p>
  </w:footnote>
  <w:footnote w:id="25">
    <w:p w14:paraId="7D0CF125" w14:textId="062B69B3" w:rsidR="00B55C4B" w:rsidRDefault="00B55C4B">
      <w:pPr>
        <w:pStyle w:val="FootnoteText"/>
      </w:pPr>
      <w:r>
        <w:rPr>
          <w:rStyle w:val="FootnoteReference"/>
        </w:rPr>
        <w:footnoteRef/>
      </w:r>
      <w:r>
        <w:t xml:space="preserve"> </w:t>
      </w:r>
      <w:hyperlink r:id="rId25" w:history="1">
        <w:r w:rsidRPr="00B55C4B">
          <w:rPr>
            <w:rStyle w:val="Hyperlink"/>
          </w:rPr>
          <w:t>Canada’s approach on chemical substances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60"/>
    <w:rsid w:val="000011A6"/>
    <w:rsid w:val="000140E6"/>
    <w:rsid w:val="00030616"/>
    <w:rsid w:val="0004334E"/>
    <w:rsid w:val="00126A3B"/>
    <w:rsid w:val="001445A0"/>
    <w:rsid w:val="00172E89"/>
    <w:rsid w:val="001A38D9"/>
    <w:rsid w:val="001B7A95"/>
    <w:rsid w:val="001C634F"/>
    <w:rsid w:val="0024605C"/>
    <w:rsid w:val="002539E6"/>
    <w:rsid w:val="00276AEF"/>
    <w:rsid w:val="00283ACB"/>
    <w:rsid w:val="002D7AC8"/>
    <w:rsid w:val="00340E1E"/>
    <w:rsid w:val="00341BF9"/>
    <w:rsid w:val="00354A8C"/>
    <w:rsid w:val="0038194B"/>
    <w:rsid w:val="00424107"/>
    <w:rsid w:val="00444FB2"/>
    <w:rsid w:val="00450270"/>
    <w:rsid w:val="00482826"/>
    <w:rsid w:val="004C2A33"/>
    <w:rsid w:val="004C53EB"/>
    <w:rsid w:val="00542F48"/>
    <w:rsid w:val="00545B05"/>
    <w:rsid w:val="00565CF2"/>
    <w:rsid w:val="005802F8"/>
    <w:rsid w:val="00592EF9"/>
    <w:rsid w:val="00594F52"/>
    <w:rsid w:val="00594FA4"/>
    <w:rsid w:val="005E2C7B"/>
    <w:rsid w:val="005F05AF"/>
    <w:rsid w:val="006007D9"/>
    <w:rsid w:val="00626F68"/>
    <w:rsid w:val="00640D1D"/>
    <w:rsid w:val="00641EE4"/>
    <w:rsid w:val="00661D72"/>
    <w:rsid w:val="00683E47"/>
    <w:rsid w:val="00692FEC"/>
    <w:rsid w:val="00697BBA"/>
    <w:rsid w:val="006D3BA5"/>
    <w:rsid w:val="00705693"/>
    <w:rsid w:val="00717167"/>
    <w:rsid w:val="00734D30"/>
    <w:rsid w:val="00742C95"/>
    <w:rsid w:val="00762ADF"/>
    <w:rsid w:val="007D5A9C"/>
    <w:rsid w:val="007E19F7"/>
    <w:rsid w:val="00833E22"/>
    <w:rsid w:val="00842062"/>
    <w:rsid w:val="0084652C"/>
    <w:rsid w:val="008605A3"/>
    <w:rsid w:val="0089693A"/>
    <w:rsid w:val="008F0BAE"/>
    <w:rsid w:val="00925417"/>
    <w:rsid w:val="009B0521"/>
    <w:rsid w:val="00A11361"/>
    <w:rsid w:val="00A31224"/>
    <w:rsid w:val="00A5048D"/>
    <w:rsid w:val="00A57596"/>
    <w:rsid w:val="00A8073D"/>
    <w:rsid w:val="00A86AE5"/>
    <w:rsid w:val="00AB365B"/>
    <w:rsid w:val="00AD5372"/>
    <w:rsid w:val="00AE6BF6"/>
    <w:rsid w:val="00B128D9"/>
    <w:rsid w:val="00B169A4"/>
    <w:rsid w:val="00B25283"/>
    <w:rsid w:val="00B55C4B"/>
    <w:rsid w:val="00B7025F"/>
    <w:rsid w:val="00B71FF9"/>
    <w:rsid w:val="00B777FF"/>
    <w:rsid w:val="00BD1B24"/>
    <w:rsid w:val="00BD350C"/>
    <w:rsid w:val="00BD477D"/>
    <w:rsid w:val="00C07C60"/>
    <w:rsid w:val="00C313EE"/>
    <w:rsid w:val="00C372DB"/>
    <w:rsid w:val="00C473EE"/>
    <w:rsid w:val="00C8060E"/>
    <w:rsid w:val="00CA7219"/>
    <w:rsid w:val="00CB3611"/>
    <w:rsid w:val="00CD0884"/>
    <w:rsid w:val="00D268A5"/>
    <w:rsid w:val="00DB0394"/>
    <w:rsid w:val="00DE38D7"/>
    <w:rsid w:val="00E0003C"/>
    <w:rsid w:val="00E16B60"/>
    <w:rsid w:val="00E6004E"/>
    <w:rsid w:val="00E80D51"/>
    <w:rsid w:val="00EA3616"/>
    <w:rsid w:val="00EE7D6E"/>
    <w:rsid w:val="00F0327D"/>
    <w:rsid w:val="00F14CE9"/>
    <w:rsid w:val="00F7088C"/>
    <w:rsid w:val="00F90C21"/>
    <w:rsid w:val="00FA3879"/>
    <w:rsid w:val="00FC35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E1580"/>
  <w15:chartTrackingRefBased/>
  <w15:docId w15:val="{09042834-C2CA-D549-ACE6-202A8706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C60"/>
    <w:rPr>
      <w:color w:val="0563C1" w:themeColor="hyperlink"/>
      <w:u w:val="single"/>
    </w:rPr>
  </w:style>
  <w:style w:type="character" w:customStyle="1" w:styleId="UnresolvedMention">
    <w:name w:val="Unresolved Mention"/>
    <w:basedOn w:val="DefaultParagraphFont"/>
    <w:uiPriority w:val="99"/>
    <w:semiHidden/>
    <w:unhideWhenUsed/>
    <w:rsid w:val="00C07C60"/>
    <w:rPr>
      <w:color w:val="605E5C"/>
      <w:shd w:val="clear" w:color="auto" w:fill="E1DFDD"/>
    </w:rPr>
  </w:style>
  <w:style w:type="paragraph" w:styleId="FootnoteText">
    <w:name w:val="footnote text"/>
    <w:basedOn w:val="Normal"/>
    <w:link w:val="FootnoteTextChar"/>
    <w:uiPriority w:val="99"/>
    <w:semiHidden/>
    <w:unhideWhenUsed/>
    <w:rsid w:val="00B128D9"/>
    <w:rPr>
      <w:sz w:val="20"/>
      <w:szCs w:val="20"/>
    </w:rPr>
  </w:style>
  <w:style w:type="character" w:customStyle="1" w:styleId="FootnoteTextChar">
    <w:name w:val="Footnote Text Char"/>
    <w:basedOn w:val="DefaultParagraphFont"/>
    <w:link w:val="FootnoteText"/>
    <w:uiPriority w:val="99"/>
    <w:semiHidden/>
    <w:rsid w:val="00B128D9"/>
    <w:rPr>
      <w:sz w:val="20"/>
      <w:szCs w:val="20"/>
    </w:rPr>
  </w:style>
  <w:style w:type="character" w:styleId="FootnoteReference">
    <w:name w:val="footnote reference"/>
    <w:basedOn w:val="DefaultParagraphFont"/>
    <w:uiPriority w:val="99"/>
    <w:semiHidden/>
    <w:unhideWhenUsed/>
    <w:rsid w:val="00B128D9"/>
    <w:rPr>
      <w:vertAlign w:val="superscript"/>
    </w:rPr>
  </w:style>
  <w:style w:type="table" w:styleId="TableGrid">
    <w:name w:val="Table Grid"/>
    <w:basedOn w:val="TableNormal"/>
    <w:uiPriority w:val="39"/>
    <w:rsid w:val="00E1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fao.org/indigenous-peoples/our-pillars/fpic/en/" TargetMode="External"/><Relationship Id="rId13" Type="http://schemas.openxmlformats.org/officeDocument/2006/relationships/hyperlink" Target="https://www.itk.ca/wp-content/uploads/2018/04/ITK_NISR-Report_English_low_res.pdf" TargetMode="External"/><Relationship Id="rId18" Type="http://schemas.openxmlformats.org/officeDocument/2006/relationships/hyperlink" Target="https://www.canada.ca/en/impact-assessment-agency/programs/aboriginal-consultation-federal-environmental-assessment.html" TargetMode="External"/><Relationship Id="rId3" Type="http://schemas.openxmlformats.org/officeDocument/2006/relationships/hyperlink" Target="https://doi.org/10.1038/nature04312" TargetMode="External"/><Relationship Id="rId21" Type="http://schemas.openxmlformats.org/officeDocument/2006/relationships/hyperlink" Target="https://www.uinr.ca/programs/netukulimk/" TargetMode="External"/><Relationship Id="rId7" Type="http://schemas.openxmlformats.org/officeDocument/2006/relationships/hyperlink" Target="https://www.fao.org/indigenous-peoples/our-pillars/fpic/en/" TargetMode="External"/><Relationship Id="rId12" Type="http://schemas.openxmlformats.org/officeDocument/2006/relationships/hyperlink" Target="https://achh.ca/wp-content/uploads/2018/07/Guide_Ethics_NAHOMetisCentre.pdf" TargetMode="External"/><Relationship Id="rId17" Type="http://schemas.openxmlformats.org/officeDocument/2006/relationships/hyperlink" Target="https://www.canada.ca/en/impact-assessment-agency/services/policy-guidance/impact-assessment-process-overview.html" TargetMode="External"/><Relationship Id="rId25" Type="http://schemas.openxmlformats.org/officeDocument/2006/relationships/hyperlink" Target="https://www.canada.ca/en/health-canada/services/chemical-substances/canada-approach-chemicals.html" TargetMode="External"/><Relationship Id="rId2" Type="http://schemas.openxmlformats.org/officeDocument/2006/relationships/hyperlink" Target="https://doi.org/10.1016/j.ecolind.2015.06.024" TargetMode="External"/><Relationship Id="rId16" Type="http://schemas.openxmlformats.org/officeDocument/2006/relationships/hyperlink" Target="https://www.google.com/url?sa=t&amp;rct=j&amp;q=&amp;esrc=s&amp;source=web&amp;cd=&amp;cad=rja&amp;uact=8&amp;ved=2ahUKEwjj9vKI1KL3AhU_FTQIHUNrD9AQFnoECAYQAQ&amp;url=https%3A%2F%2Fwww.ohchr.org%2FEN%2FHRBodies%2FHRC%2FRegularSessions%2FSession45%2FDocuments%2FA_HRC_45_12_Add_1_AUV.docx&amp;usg=AOvVaw1WQAbDandQldIgcVnNVjlA" TargetMode="External"/><Relationship Id="rId20" Type="http://schemas.openxmlformats.org/officeDocument/2006/relationships/hyperlink" Target="https://doi.org/10.1111/faf.12516" TargetMode="External"/><Relationship Id="rId1" Type="http://schemas.openxmlformats.org/officeDocument/2006/relationships/hyperlink" Target="https://doi.org/10.1002/2688-8319.12085" TargetMode="External"/><Relationship Id="rId6" Type="http://schemas.openxmlformats.org/officeDocument/2006/relationships/hyperlink" Target="https://doi.org/10.1016/S2214-109X(18)30239-0" TargetMode="External"/><Relationship Id="rId11" Type="http://schemas.openxmlformats.org/officeDocument/2006/relationships/hyperlink" Target="https://www.un.org/development/desa/indigenouspeoples/declaration-on-the-rights-of-indigenous-peoples.html" TargetMode="External"/><Relationship Id="rId24" Type="http://schemas.openxmlformats.org/officeDocument/2006/relationships/hyperlink" Target="https://www.afn.ca/uploads/files/env/backgrounder.pdf" TargetMode="External"/><Relationship Id="rId5" Type="http://schemas.openxmlformats.org/officeDocument/2006/relationships/hyperlink" Target="https://www.ourcommons.ca/DocumentViewer/en/44-1/ENVI/report-2/" TargetMode="External"/><Relationship Id="rId15" Type="http://schemas.openxmlformats.org/officeDocument/2006/relationships/hyperlink" Target="https://www.cbu.ca/wp-content/uploads/2019/08/MEW-Principles-and-Protocols.pdf" TargetMode="External"/><Relationship Id="rId23" Type="http://schemas.openxmlformats.org/officeDocument/2006/relationships/hyperlink" Target="https://www.jstor.org/stable/24889683" TargetMode="External"/><Relationship Id="rId10" Type="http://schemas.openxmlformats.org/officeDocument/2006/relationships/hyperlink" Target="https://fnigc.ca/ocap-training/" TargetMode="External"/><Relationship Id="rId19" Type="http://schemas.openxmlformats.org/officeDocument/2006/relationships/hyperlink" Target="http://www.integrativescience.ca/Principles/TwoEyedSeeing/" TargetMode="External"/><Relationship Id="rId4" Type="http://schemas.openxmlformats.org/officeDocument/2006/relationships/hyperlink" Target="https://doi.org/10.1126/science.1057544" TargetMode="External"/><Relationship Id="rId9" Type="http://schemas.openxmlformats.org/officeDocument/2006/relationships/hyperlink" Target="https://www.gida-global.org/care" TargetMode="External"/><Relationship Id="rId14" Type="http://schemas.openxmlformats.org/officeDocument/2006/relationships/hyperlink" Target="https://www.uinr.ca/wp-content/uploads/2021/05/UINR-Partnership-Tenets.pdf" TargetMode="External"/><Relationship Id="rId22" Type="http://schemas.openxmlformats.org/officeDocument/2006/relationships/hyperlink" Target="https://nctr.ca/records/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14FEE5C-FE82-4C44-9816-950D6DF2E3F1}">
  <ds:schemaRefs>
    <ds:schemaRef ds:uri="http://schemas.openxmlformats.org/officeDocument/2006/bibliography"/>
  </ds:schemaRefs>
</ds:datastoreItem>
</file>

<file path=customXml/itemProps2.xml><?xml version="1.0" encoding="utf-8"?>
<ds:datastoreItem xmlns:ds="http://schemas.openxmlformats.org/officeDocument/2006/customXml" ds:itemID="{04DE5E37-5DF1-40D4-AD0C-14FBE4EC11D6}"/>
</file>

<file path=customXml/itemProps3.xml><?xml version="1.0" encoding="utf-8"?>
<ds:datastoreItem xmlns:ds="http://schemas.openxmlformats.org/officeDocument/2006/customXml" ds:itemID="{B2E15720-D94D-4EEF-BF09-55800887354F}"/>
</file>

<file path=customXml/itemProps4.xml><?xml version="1.0" encoding="utf-8"?>
<ds:datastoreItem xmlns:ds="http://schemas.openxmlformats.org/officeDocument/2006/customXml" ds:itemID="{CCE06119-9E52-4957-9D9F-AB9D3BA276A3}"/>
</file>

<file path=docProps/app.xml><?xml version="1.0" encoding="utf-8"?>
<Properties xmlns="http://schemas.openxmlformats.org/officeDocument/2006/extended-properties" xmlns:vt="http://schemas.openxmlformats.org/officeDocument/2006/docPropsVTypes">
  <Template>Normal.dotm</Template>
  <TotalTime>1421</TotalTime>
  <Pages>6</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Alexander Trusiak</dc:creator>
  <cp:keywords/>
  <dc:description/>
  <cp:lastModifiedBy>Alexander-Trusiak,Alexa (ECCC)</cp:lastModifiedBy>
  <cp:revision>21</cp:revision>
  <cp:lastPrinted>2022-04-20T19:42:00Z</cp:lastPrinted>
  <dcterms:created xsi:type="dcterms:W3CDTF">2022-04-20T18:20:00Z</dcterms:created>
  <dcterms:modified xsi:type="dcterms:W3CDTF">2022-04-25T14:56:00Z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