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1E66" w14:textId="712CDF80" w:rsidR="00877F93" w:rsidRPr="00513E58" w:rsidRDefault="00B50F1C" w:rsidP="00B50F1C">
      <w:pPr>
        <w:jc w:val="both"/>
        <w:rPr>
          <w:rFonts w:ascii="Times New Roman" w:hAnsi="Times New Roman" w:cs="Times New Roman"/>
          <w:b/>
          <w:bCs/>
          <w:i/>
          <w:iCs/>
          <w:sz w:val="28"/>
          <w:szCs w:val="28"/>
        </w:rPr>
      </w:pPr>
      <w:r w:rsidRPr="00513E58">
        <w:rPr>
          <w:rFonts w:ascii="Times New Roman" w:hAnsi="Times New Roman" w:cs="Times New Roman"/>
          <w:b/>
          <w:bCs/>
          <w:i/>
          <w:iCs/>
          <w:sz w:val="28"/>
          <w:szCs w:val="28"/>
        </w:rPr>
        <w:t>Efectos de la exposición a los agrotóxicos en poblaciones vulnerables. Análisis de las investigaciones académicas locales). Análisis del marco legal e institucional (reglamentos, protocolos, etc. del MSPBS) para intervenir en eventos de IAP</w:t>
      </w:r>
    </w:p>
    <w:p w14:paraId="1E16AB14" w14:textId="451EFE16" w:rsidR="00914188" w:rsidRDefault="00914188" w:rsidP="00B50F1C">
      <w:pPr>
        <w:jc w:val="both"/>
        <w:rPr>
          <w:rFonts w:ascii="Times New Roman" w:hAnsi="Times New Roman" w:cs="Times New Roman"/>
          <w:sz w:val="24"/>
          <w:szCs w:val="24"/>
        </w:rPr>
      </w:pPr>
      <w:r w:rsidRPr="00245FB5">
        <w:rPr>
          <w:rFonts w:ascii="Times New Roman" w:hAnsi="Times New Roman" w:cs="Times New Roman"/>
          <w:sz w:val="24"/>
          <w:szCs w:val="24"/>
        </w:rPr>
        <w:t xml:space="preserve">Dra. Stela Benítez </w:t>
      </w:r>
      <w:proofErr w:type="spellStart"/>
      <w:r w:rsidRPr="00245FB5">
        <w:rPr>
          <w:rFonts w:ascii="Times New Roman" w:hAnsi="Times New Roman" w:cs="Times New Roman"/>
          <w:sz w:val="24"/>
          <w:szCs w:val="24"/>
        </w:rPr>
        <w:t>Leite</w:t>
      </w:r>
      <w:proofErr w:type="spellEnd"/>
      <w:r w:rsidR="00245FB5">
        <w:rPr>
          <w:rFonts w:ascii="Times New Roman" w:hAnsi="Times New Roman" w:cs="Times New Roman"/>
          <w:sz w:val="24"/>
          <w:szCs w:val="24"/>
        </w:rPr>
        <w:t xml:space="preserve">. Profesor </w:t>
      </w:r>
      <w:r w:rsidR="00513E58">
        <w:rPr>
          <w:rFonts w:ascii="Times New Roman" w:hAnsi="Times New Roman" w:cs="Times New Roman"/>
          <w:sz w:val="24"/>
          <w:szCs w:val="24"/>
        </w:rPr>
        <w:t>T</w:t>
      </w:r>
      <w:r w:rsidR="00245FB5">
        <w:rPr>
          <w:rFonts w:ascii="Times New Roman" w:hAnsi="Times New Roman" w:cs="Times New Roman"/>
          <w:sz w:val="24"/>
          <w:szCs w:val="24"/>
        </w:rPr>
        <w:t xml:space="preserve">itular de </w:t>
      </w:r>
      <w:r w:rsidR="00513E58">
        <w:rPr>
          <w:rFonts w:ascii="Times New Roman" w:hAnsi="Times New Roman" w:cs="Times New Roman"/>
          <w:sz w:val="24"/>
          <w:szCs w:val="24"/>
        </w:rPr>
        <w:t>P</w:t>
      </w:r>
      <w:r w:rsidR="00245FB5">
        <w:rPr>
          <w:rFonts w:ascii="Times New Roman" w:hAnsi="Times New Roman" w:cs="Times New Roman"/>
          <w:sz w:val="24"/>
          <w:szCs w:val="24"/>
        </w:rPr>
        <w:t>ediatría</w:t>
      </w:r>
      <w:r w:rsidR="00513E58">
        <w:rPr>
          <w:rFonts w:ascii="Times New Roman" w:hAnsi="Times New Roman" w:cs="Times New Roman"/>
          <w:sz w:val="24"/>
          <w:szCs w:val="24"/>
        </w:rPr>
        <w:t xml:space="preserve"> de la Cátedra y Servicio de Pediatría de la</w:t>
      </w:r>
      <w:r w:rsidR="00245FB5">
        <w:rPr>
          <w:rFonts w:ascii="Times New Roman" w:hAnsi="Times New Roman" w:cs="Times New Roman"/>
          <w:sz w:val="24"/>
          <w:szCs w:val="24"/>
        </w:rPr>
        <w:t xml:space="preserve"> Universidad Nacional de Asunción, Facultad de Ciencias Médicas. Expresidenta de la Sociedad Paraguaya de Pediatría</w:t>
      </w:r>
      <w:r w:rsidR="00513E58">
        <w:rPr>
          <w:rFonts w:ascii="Times New Roman" w:hAnsi="Times New Roman" w:cs="Times New Roman"/>
          <w:sz w:val="24"/>
          <w:szCs w:val="24"/>
        </w:rPr>
        <w:t>. Exencargado de Cátedra de Medicina de la Comunidad de la Universidad Católica Nuestra Señora de la Asunción (UCA).</w:t>
      </w:r>
    </w:p>
    <w:p w14:paraId="5106598C" w14:textId="75C768D7" w:rsidR="00513E58" w:rsidRPr="00245FB5" w:rsidRDefault="00513E58" w:rsidP="00B50F1C">
      <w:pPr>
        <w:jc w:val="both"/>
        <w:rPr>
          <w:rFonts w:ascii="Times New Roman" w:hAnsi="Times New Roman" w:cs="Times New Roman"/>
          <w:sz w:val="24"/>
          <w:szCs w:val="24"/>
        </w:rPr>
      </w:pPr>
      <w:r>
        <w:rPr>
          <w:rFonts w:ascii="Times New Roman" w:hAnsi="Times New Roman" w:cs="Times New Roman"/>
          <w:sz w:val="24"/>
          <w:szCs w:val="24"/>
        </w:rPr>
        <w:t>Este artículo e informe cuenta con la Adhesión de la Sociedad Paraguaya de Pediatría y el Círculo Paraguayo de Médicos.</w:t>
      </w:r>
    </w:p>
    <w:p w14:paraId="2AC9FE4A" w14:textId="37999168" w:rsidR="00B50F1C" w:rsidRPr="0023483F" w:rsidRDefault="00EA1BEE" w:rsidP="00B50F1C">
      <w:pPr>
        <w:jc w:val="both"/>
        <w:rPr>
          <w:rFonts w:ascii="Times New Roman" w:hAnsi="Times New Roman" w:cs="Times New Roman"/>
          <w:b/>
          <w:bCs/>
          <w:sz w:val="24"/>
          <w:szCs w:val="24"/>
        </w:rPr>
      </w:pPr>
      <w:r w:rsidRPr="0023483F">
        <w:rPr>
          <w:rFonts w:ascii="Times New Roman" w:hAnsi="Times New Roman" w:cs="Times New Roman"/>
          <w:b/>
          <w:bCs/>
          <w:sz w:val="24"/>
          <w:szCs w:val="24"/>
        </w:rPr>
        <w:t>Estudios locales</w:t>
      </w:r>
    </w:p>
    <w:p w14:paraId="75DB8373" w14:textId="0A4D17D7" w:rsidR="00412524" w:rsidRDefault="001144F2" w:rsidP="008976DE">
      <w:pPr>
        <w:jc w:val="both"/>
        <w:rPr>
          <w:rFonts w:ascii="Times New Roman" w:hAnsi="Times New Roman" w:cs="Times New Roman"/>
          <w:sz w:val="24"/>
          <w:szCs w:val="24"/>
        </w:rPr>
      </w:pPr>
      <w:r>
        <w:rPr>
          <w:rFonts w:ascii="Times New Roman" w:hAnsi="Times New Roman" w:cs="Times New Roman"/>
          <w:sz w:val="24"/>
          <w:szCs w:val="24"/>
        </w:rPr>
        <w:t xml:space="preserve">Los estudios locales publicados sobre las consecuencias en la salud de la población de la exposición a sustancias tóxicas, en particular </w:t>
      </w:r>
      <w:r w:rsidR="00210051">
        <w:rPr>
          <w:rFonts w:ascii="Times New Roman" w:hAnsi="Times New Roman" w:cs="Times New Roman"/>
          <w:sz w:val="24"/>
          <w:szCs w:val="24"/>
        </w:rPr>
        <w:t xml:space="preserve">a los agroquímicos utilizados en las </w:t>
      </w:r>
      <w:proofErr w:type="spellStart"/>
      <w:r w:rsidR="00210051">
        <w:rPr>
          <w:rFonts w:ascii="Times New Roman" w:hAnsi="Times New Roman" w:cs="Times New Roman"/>
          <w:sz w:val="24"/>
          <w:szCs w:val="24"/>
        </w:rPr>
        <w:t>monoculturas</w:t>
      </w:r>
      <w:proofErr w:type="spellEnd"/>
      <w:r w:rsidR="00210051">
        <w:rPr>
          <w:rFonts w:ascii="Times New Roman" w:hAnsi="Times New Roman" w:cs="Times New Roman"/>
          <w:sz w:val="24"/>
          <w:szCs w:val="24"/>
        </w:rPr>
        <w:t xml:space="preserve"> (soja transgénica, en especial), refieren efectos agudos y crónicos; entre estos últimos, se destacan hallazgos de efectos genotóxicos y citotóxicos en población infantil. A su vez, estos efectos se registran en un contexto de</w:t>
      </w:r>
      <w:r w:rsidR="00D606B9">
        <w:rPr>
          <w:rFonts w:ascii="Times New Roman" w:hAnsi="Times New Roman" w:cs="Times New Roman"/>
          <w:sz w:val="24"/>
          <w:szCs w:val="24"/>
        </w:rPr>
        <w:t xml:space="preserve"> permanente violación de derechos básicos de las personas. Las violaciones referidas, en particular para la población campesina, se producen en el marco de un patrón que combina exposición permanente a pesticidas, progresivo despoblamiento (expulsión de la población) y reducción de cultivos de renta.</w:t>
      </w:r>
      <w:r w:rsidR="008976DE">
        <w:rPr>
          <w:rFonts w:ascii="Times New Roman" w:hAnsi="Times New Roman" w:cs="Times New Roman"/>
          <w:sz w:val="24"/>
          <w:szCs w:val="24"/>
        </w:rPr>
        <w:t xml:space="preserve"> Al mismo tiempo, lo anterior tiene como contexto una e</w:t>
      </w:r>
      <w:r w:rsidR="008976DE" w:rsidRPr="008976DE">
        <w:rPr>
          <w:rFonts w:ascii="Times New Roman" w:hAnsi="Times New Roman" w:cs="Times New Roman"/>
          <w:sz w:val="24"/>
          <w:szCs w:val="24"/>
        </w:rPr>
        <w:t>xtrema debilidad del</w:t>
      </w:r>
      <w:r w:rsidR="008976DE">
        <w:rPr>
          <w:rFonts w:ascii="Times New Roman" w:hAnsi="Times New Roman" w:cs="Times New Roman"/>
          <w:sz w:val="24"/>
          <w:szCs w:val="24"/>
        </w:rPr>
        <w:t xml:space="preserve"> </w:t>
      </w:r>
      <w:r w:rsidR="008976DE" w:rsidRPr="008976DE">
        <w:rPr>
          <w:rFonts w:ascii="Times New Roman" w:hAnsi="Times New Roman" w:cs="Times New Roman"/>
          <w:sz w:val="24"/>
          <w:szCs w:val="24"/>
        </w:rPr>
        <w:t>marco administrativo</w:t>
      </w:r>
      <w:r w:rsidR="008976DE">
        <w:rPr>
          <w:rFonts w:ascii="Times New Roman" w:hAnsi="Times New Roman" w:cs="Times New Roman"/>
          <w:sz w:val="24"/>
          <w:szCs w:val="24"/>
        </w:rPr>
        <w:t xml:space="preserve"> </w:t>
      </w:r>
      <w:r w:rsidR="008976DE" w:rsidRPr="008976DE">
        <w:rPr>
          <w:rFonts w:ascii="Times New Roman" w:hAnsi="Times New Roman" w:cs="Times New Roman"/>
          <w:sz w:val="24"/>
          <w:szCs w:val="24"/>
        </w:rPr>
        <w:t>de control del uso de</w:t>
      </w:r>
      <w:r w:rsidR="008976DE">
        <w:rPr>
          <w:rFonts w:ascii="Times New Roman" w:hAnsi="Times New Roman" w:cs="Times New Roman"/>
          <w:sz w:val="24"/>
          <w:szCs w:val="24"/>
        </w:rPr>
        <w:t xml:space="preserve"> </w:t>
      </w:r>
      <w:r w:rsidR="008976DE" w:rsidRPr="008976DE">
        <w:rPr>
          <w:rFonts w:ascii="Times New Roman" w:hAnsi="Times New Roman" w:cs="Times New Roman"/>
          <w:sz w:val="24"/>
          <w:szCs w:val="24"/>
        </w:rPr>
        <w:t>pesticidas y sanción</w:t>
      </w:r>
      <w:r w:rsidR="008976DE">
        <w:rPr>
          <w:rFonts w:ascii="Times New Roman" w:hAnsi="Times New Roman" w:cs="Times New Roman"/>
          <w:sz w:val="24"/>
          <w:szCs w:val="24"/>
        </w:rPr>
        <w:t xml:space="preserve"> </w:t>
      </w:r>
      <w:r w:rsidR="008976DE" w:rsidRPr="008976DE">
        <w:rPr>
          <w:rFonts w:ascii="Times New Roman" w:hAnsi="Times New Roman" w:cs="Times New Roman"/>
          <w:sz w:val="24"/>
          <w:szCs w:val="24"/>
        </w:rPr>
        <w:t>de prácticas</w:t>
      </w:r>
      <w:r w:rsidR="008976DE">
        <w:rPr>
          <w:rFonts w:ascii="Times New Roman" w:hAnsi="Times New Roman" w:cs="Times New Roman"/>
          <w:sz w:val="24"/>
          <w:szCs w:val="24"/>
        </w:rPr>
        <w:t xml:space="preserve"> </w:t>
      </w:r>
      <w:r w:rsidR="008976DE" w:rsidRPr="008976DE">
        <w:rPr>
          <w:rFonts w:ascii="Times New Roman" w:hAnsi="Times New Roman" w:cs="Times New Roman"/>
          <w:sz w:val="24"/>
          <w:szCs w:val="24"/>
        </w:rPr>
        <w:t>ilegales/impunidad en</w:t>
      </w:r>
      <w:r w:rsidR="008976DE">
        <w:rPr>
          <w:rFonts w:ascii="Times New Roman" w:hAnsi="Times New Roman" w:cs="Times New Roman"/>
          <w:sz w:val="24"/>
          <w:szCs w:val="24"/>
        </w:rPr>
        <w:t xml:space="preserve"> </w:t>
      </w:r>
      <w:r w:rsidR="008976DE" w:rsidRPr="008976DE">
        <w:rPr>
          <w:rFonts w:ascii="Times New Roman" w:hAnsi="Times New Roman" w:cs="Times New Roman"/>
          <w:sz w:val="24"/>
          <w:szCs w:val="24"/>
        </w:rPr>
        <w:t>la esfera penal para</w:t>
      </w:r>
      <w:r w:rsidR="008976DE">
        <w:rPr>
          <w:rFonts w:ascii="Times New Roman" w:hAnsi="Times New Roman" w:cs="Times New Roman"/>
          <w:sz w:val="24"/>
          <w:szCs w:val="24"/>
        </w:rPr>
        <w:t xml:space="preserve"> </w:t>
      </w:r>
      <w:r w:rsidR="008976DE" w:rsidRPr="008976DE">
        <w:rPr>
          <w:rFonts w:ascii="Times New Roman" w:hAnsi="Times New Roman" w:cs="Times New Roman"/>
          <w:sz w:val="24"/>
          <w:szCs w:val="24"/>
        </w:rPr>
        <w:t>los responsables de</w:t>
      </w:r>
      <w:r w:rsidR="008976DE">
        <w:rPr>
          <w:rFonts w:ascii="Times New Roman" w:hAnsi="Times New Roman" w:cs="Times New Roman"/>
          <w:sz w:val="24"/>
          <w:szCs w:val="24"/>
        </w:rPr>
        <w:t xml:space="preserve"> </w:t>
      </w:r>
      <w:r w:rsidR="008976DE" w:rsidRPr="008976DE">
        <w:rPr>
          <w:rFonts w:ascii="Times New Roman" w:hAnsi="Times New Roman" w:cs="Times New Roman"/>
          <w:sz w:val="24"/>
          <w:szCs w:val="24"/>
        </w:rPr>
        <w:t>explotaciones</w:t>
      </w:r>
      <w:r w:rsidR="008976DE">
        <w:rPr>
          <w:rFonts w:ascii="Times New Roman" w:hAnsi="Times New Roman" w:cs="Times New Roman"/>
          <w:sz w:val="24"/>
          <w:szCs w:val="24"/>
        </w:rPr>
        <w:t xml:space="preserve"> </w:t>
      </w:r>
      <w:r w:rsidR="008976DE" w:rsidRPr="008976DE">
        <w:rPr>
          <w:rFonts w:ascii="Times New Roman" w:hAnsi="Times New Roman" w:cs="Times New Roman"/>
          <w:sz w:val="24"/>
          <w:szCs w:val="24"/>
        </w:rPr>
        <w:t>agrícolas que no</w:t>
      </w:r>
      <w:r w:rsidR="008976DE">
        <w:rPr>
          <w:rFonts w:ascii="Times New Roman" w:hAnsi="Times New Roman" w:cs="Times New Roman"/>
          <w:sz w:val="24"/>
          <w:szCs w:val="24"/>
        </w:rPr>
        <w:t xml:space="preserve"> </w:t>
      </w:r>
      <w:r w:rsidR="008976DE" w:rsidRPr="008976DE">
        <w:rPr>
          <w:rFonts w:ascii="Times New Roman" w:hAnsi="Times New Roman" w:cs="Times New Roman"/>
          <w:sz w:val="24"/>
          <w:szCs w:val="24"/>
        </w:rPr>
        <w:t>cumplen normativas.</w:t>
      </w:r>
    </w:p>
    <w:p w14:paraId="395608DF" w14:textId="6CBFEEBB" w:rsidR="000C2E17" w:rsidRPr="0023483F" w:rsidRDefault="00F20058" w:rsidP="008976DE">
      <w:pPr>
        <w:jc w:val="both"/>
        <w:rPr>
          <w:rFonts w:ascii="Times New Roman" w:hAnsi="Times New Roman" w:cs="Times New Roman"/>
          <w:b/>
          <w:bCs/>
          <w:i/>
          <w:iCs/>
          <w:sz w:val="24"/>
          <w:szCs w:val="24"/>
        </w:rPr>
      </w:pPr>
      <w:r w:rsidRPr="0023483F">
        <w:rPr>
          <w:rFonts w:ascii="Times New Roman" w:hAnsi="Times New Roman" w:cs="Times New Roman"/>
          <w:b/>
          <w:bCs/>
          <w:i/>
          <w:iCs/>
          <w:sz w:val="24"/>
          <w:szCs w:val="24"/>
        </w:rPr>
        <w:t>Malformaciones congénitas</w:t>
      </w:r>
    </w:p>
    <w:p w14:paraId="1A367C4A" w14:textId="42B73F16" w:rsidR="00DD24E0" w:rsidRDefault="00DC4D6C" w:rsidP="008976DE">
      <w:pPr>
        <w:jc w:val="both"/>
        <w:rPr>
          <w:rFonts w:ascii="Times New Roman" w:hAnsi="Times New Roman" w:cs="Times New Roman"/>
          <w:sz w:val="24"/>
          <w:szCs w:val="24"/>
        </w:rPr>
      </w:pPr>
      <w:r>
        <w:rPr>
          <w:rFonts w:ascii="Times New Roman" w:hAnsi="Times New Roman" w:cs="Times New Roman"/>
          <w:sz w:val="24"/>
          <w:szCs w:val="24"/>
        </w:rPr>
        <w:t xml:space="preserve">Los defectos congénitos pueden ser de causa desconocida </w:t>
      </w:r>
      <w:r w:rsidR="001543B9">
        <w:rPr>
          <w:rFonts w:ascii="Times New Roman" w:hAnsi="Times New Roman" w:cs="Times New Roman"/>
          <w:sz w:val="24"/>
          <w:szCs w:val="24"/>
        </w:rPr>
        <w:t>o multifactoriales</w:t>
      </w:r>
      <w:r w:rsidR="00387681">
        <w:rPr>
          <w:rFonts w:ascii="Times New Roman" w:hAnsi="Times New Roman" w:cs="Times New Roman"/>
          <w:sz w:val="24"/>
          <w:szCs w:val="24"/>
        </w:rPr>
        <w:t xml:space="preserve"> en</w:t>
      </w:r>
      <w:r w:rsidR="00DD24E0">
        <w:rPr>
          <w:rFonts w:ascii="Times New Roman" w:hAnsi="Times New Roman" w:cs="Times New Roman"/>
          <w:sz w:val="24"/>
          <w:szCs w:val="24"/>
        </w:rPr>
        <w:t xml:space="preserve"> combinación con factores </w:t>
      </w:r>
      <w:r w:rsidR="008939E5">
        <w:rPr>
          <w:rFonts w:ascii="Times New Roman" w:hAnsi="Times New Roman" w:cs="Times New Roman"/>
          <w:sz w:val="24"/>
          <w:szCs w:val="24"/>
        </w:rPr>
        <w:t xml:space="preserve">genéticos y ambientales. </w:t>
      </w:r>
      <w:r w:rsidR="008B700D">
        <w:rPr>
          <w:rFonts w:ascii="Times New Roman" w:hAnsi="Times New Roman" w:cs="Times New Roman"/>
          <w:sz w:val="24"/>
          <w:szCs w:val="24"/>
        </w:rPr>
        <w:t xml:space="preserve">La exposición aguda o crónica pesticidas se describe como factores de </w:t>
      </w:r>
      <w:r>
        <w:rPr>
          <w:rFonts w:ascii="Times New Roman" w:hAnsi="Times New Roman" w:cs="Times New Roman"/>
          <w:sz w:val="24"/>
          <w:szCs w:val="24"/>
        </w:rPr>
        <w:t>riesgo.</w:t>
      </w:r>
      <w:r w:rsidR="008B700D">
        <w:rPr>
          <w:rFonts w:ascii="Times New Roman" w:hAnsi="Times New Roman" w:cs="Times New Roman"/>
          <w:sz w:val="24"/>
          <w:szCs w:val="24"/>
        </w:rPr>
        <w:t xml:space="preserve">  Se estima que la mayoría de las concepciones se pierden antes de termino, muchas dentro de las tres primeras semanas del desarrollo</w:t>
      </w:r>
      <w:r w:rsidR="007F0C24">
        <w:rPr>
          <w:rFonts w:ascii="Times New Roman" w:hAnsi="Times New Roman" w:cs="Times New Roman"/>
          <w:sz w:val="24"/>
          <w:szCs w:val="24"/>
        </w:rPr>
        <w:t>.</w:t>
      </w:r>
    </w:p>
    <w:p w14:paraId="60BC7BD8" w14:textId="18E6FB2A" w:rsidR="00E62832" w:rsidRDefault="00AA3E31" w:rsidP="00AA3E31">
      <w:pPr>
        <w:jc w:val="both"/>
        <w:rPr>
          <w:rFonts w:ascii="Times New Roman" w:hAnsi="Times New Roman" w:cs="Times New Roman"/>
          <w:sz w:val="24"/>
          <w:szCs w:val="24"/>
        </w:rPr>
      </w:pPr>
      <w:proofErr w:type="spellStart"/>
      <w:r>
        <w:rPr>
          <w:rFonts w:ascii="Times New Roman" w:hAnsi="Times New Roman" w:cs="Times New Roman"/>
          <w:sz w:val="24"/>
          <w:szCs w:val="24"/>
        </w:rPr>
        <w:t>Leite</w:t>
      </w:r>
      <w:proofErr w:type="spellEnd"/>
      <w:r>
        <w:rPr>
          <w:rFonts w:ascii="Times New Roman" w:hAnsi="Times New Roman" w:cs="Times New Roman"/>
          <w:sz w:val="24"/>
          <w:szCs w:val="24"/>
        </w:rPr>
        <w:t>; Macchi; Acosta (</w:t>
      </w:r>
      <w:hyperlink r:id="rId8" w:history="1">
        <w:r w:rsidRPr="00F2027A">
          <w:rPr>
            <w:rStyle w:val="Hipervnculo"/>
            <w:rFonts w:ascii="Times New Roman" w:hAnsi="Times New Roman" w:cs="Times New Roman"/>
            <w:sz w:val="24"/>
            <w:szCs w:val="24"/>
          </w:rPr>
          <w:t>2008</w:t>
        </w:r>
      </w:hyperlink>
      <w:r>
        <w:rPr>
          <w:rFonts w:ascii="Times New Roman" w:hAnsi="Times New Roman" w:cs="Times New Roman"/>
          <w:sz w:val="24"/>
          <w:szCs w:val="24"/>
        </w:rPr>
        <w:t xml:space="preserve">) analizan </w:t>
      </w:r>
      <w:r w:rsidRPr="00AA3E31">
        <w:rPr>
          <w:rFonts w:ascii="Times New Roman" w:hAnsi="Times New Roman" w:cs="Times New Roman"/>
          <w:sz w:val="24"/>
          <w:szCs w:val="24"/>
        </w:rPr>
        <w:t>la relación entre</w:t>
      </w:r>
      <w:r>
        <w:rPr>
          <w:rFonts w:ascii="Times New Roman" w:hAnsi="Times New Roman" w:cs="Times New Roman"/>
          <w:sz w:val="24"/>
          <w:szCs w:val="24"/>
        </w:rPr>
        <w:t xml:space="preserve"> </w:t>
      </w:r>
      <w:r w:rsidRPr="00AA3E31">
        <w:rPr>
          <w:rFonts w:ascii="Times New Roman" w:hAnsi="Times New Roman" w:cs="Times New Roman"/>
          <w:sz w:val="24"/>
          <w:szCs w:val="24"/>
        </w:rPr>
        <w:t>exposición a plaguicidas y malformaciones congénitas en neonatos</w:t>
      </w:r>
      <w:r>
        <w:rPr>
          <w:rFonts w:ascii="Times New Roman" w:hAnsi="Times New Roman" w:cs="Times New Roman"/>
          <w:sz w:val="24"/>
          <w:szCs w:val="24"/>
        </w:rPr>
        <w:t xml:space="preserve"> </w:t>
      </w:r>
      <w:r w:rsidRPr="00AA3E31">
        <w:rPr>
          <w:rFonts w:ascii="Times New Roman" w:hAnsi="Times New Roman" w:cs="Times New Roman"/>
          <w:sz w:val="24"/>
          <w:szCs w:val="24"/>
        </w:rPr>
        <w:t xml:space="preserve">en el departamento de Itapúa, donde encontraron, </w:t>
      </w:r>
      <w:r w:rsidR="007C6B1C" w:rsidRPr="00AA36FA">
        <w:rPr>
          <w:rFonts w:ascii="Times New Roman" w:hAnsi="Times New Roman" w:cs="Times New Roman"/>
          <w:sz w:val="24"/>
          <w:szCs w:val="24"/>
        </w:rPr>
        <w:t xml:space="preserve">como factores de riesgo asociados significativamente </w:t>
      </w:r>
      <w:r w:rsidR="00C764F1">
        <w:rPr>
          <w:rFonts w:ascii="Times New Roman" w:hAnsi="Times New Roman" w:cs="Times New Roman"/>
          <w:sz w:val="24"/>
          <w:szCs w:val="24"/>
        </w:rPr>
        <w:t>el</w:t>
      </w:r>
      <w:r w:rsidR="007C6B1C" w:rsidRPr="00AA36FA">
        <w:rPr>
          <w:rFonts w:ascii="Times New Roman" w:hAnsi="Times New Roman" w:cs="Times New Roman"/>
          <w:sz w:val="24"/>
          <w:szCs w:val="24"/>
        </w:rPr>
        <w:t xml:space="preserve"> vivir cerca de campos fumigados </w:t>
      </w:r>
      <w:proofErr w:type="gramStart"/>
      <w:r w:rsidR="007C6B1C" w:rsidRPr="00AA36FA">
        <w:rPr>
          <w:rFonts w:ascii="Times New Roman" w:hAnsi="Times New Roman" w:cs="Times New Roman"/>
          <w:sz w:val="24"/>
          <w:szCs w:val="24"/>
        </w:rPr>
        <w:t>y  la</w:t>
      </w:r>
      <w:proofErr w:type="gramEnd"/>
      <w:r w:rsidR="00C764F1">
        <w:rPr>
          <w:rFonts w:ascii="Times New Roman" w:hAnsi="Times New Roman" w:cs="Times New Roman"/>
          <w:sz w:val="24"/>
          <w:szCs w:val="24"/>
        </w:rPr>
        <w:t xml:space="preserve"> ubicación de</w:t>
      </w:r>
      <w:r w:rsidR="007C6B1C" w:rsidRPr="00AA36FA">
        <w:rPr>
          <w:rFonts w:ascii="Times New Roman" w:hAnsi="Times New Roman" w:cs="Times New Roman"/>
          <w:sz w:val="24"/>
          <w:szCs w:val="24"/>
        </w:rPr>
        <w:t xml:space="preserve"> vivienda a 1 km o menos de los campos con cultivos extensivos.</w:t>
      </w:r>
    </w:p>
    <w:p w14:paraId="03610388" w14:textId="4D434609" w:rsidR="001034C2" w:rsidRDefault="00010826" w:rsidP="00AA3E31">
      <w:pPr>
        <w:jc w:val="both"/>
        <w:rPr>
          <w:rFonts w:ascii="Times New Roman" w:hAnsi="Times New Roman" w:cs="Times New Roman"/>
          <w:sz w:val="24"/>
          <w:szCs w:val="24"/>
        </w:rPr>
      </w:pPr>
      <w:r w:rsidRPr="001A039A">
        <w:rPr>
          <w:rFonts w:ascii="Times New Roman" w:hAnsi="Times New Roman" w:cs="Times New Roman"/>
          <w:sz w:val="24"/>
          <w:szCs w:val="24"/>
        </w:rPr>
        <w:t xml:space="preserve">Ojeda L, Benítez </w:t>
      </w:r>
      <w:proofErr w:type="spellStart"/>
      <w:r w:rsidRPr="001A039A">
        <w:rPr>
          <w:rFonts w:ascii="Times New Roman" w:hAnsi="Times New Roman" w:cs="Times New Roman"/>
          <w:sz w:val="24"/>
          <w:szCs w:val="24"/>
        </w:rPr>
        <w:t>Leite</w:t>
      </w:r>
      <w:proofErr w:type="spellEnd"/>
      <w:r w:rsidRPr="001A039A">
        <w:rPr>
          <w:rFonts w:ascii="Times New Roman" w:hAnsi="Times New Roman" w:cs="Times New Roman"/>
          <w:sz w:val="24"/>
          <w:szCs w:val="24"/>
        </w:rPr>
        <w:t xml:space="preserve"> S</w:t>
      </w:r>
      <w:r w:rsidR="00B4251F" w:rsidRPr="001A039A">
        <w:rPr>
          <w:rFonts w:ascii="Times New Roman" w:hAnsi="Times New Roman" w:cs="Times New Roman"/>
          <w:sz w:val="24"/>
          <w:szCs w:val="24"/>
        </w:rPr>
        <w:t xml:space="preserve"> (</w:t>
      </w:r>
      <w:hyperlink r:id="rId9" w:history="1">
        <w:r w:rsidR="00B4251F" w:rsidRPr="00216878">
          <w:rPr>
            <w:rStyle w:val="Hipervnculo"/>
            <w:rFonts w:ascii="Times New Roman" w:hAnsi="Times New Roman" w:cs="Times New Roman"/>
            <w:sz w:val="24"/>
            <w:szCs w:val="24"/>
          </w:rPr>
          <w:t>2018</w:t>
        </w:r>
      </w:hyperlink>
      <w:r w:rsidR="00B4251F" w:rsidRPr="001A039A">
        <w:rPr>
          <w:rFonts w:ascii="Times New Roman" w:hAnsi="Times New Roman" w:cs="Times New Roman"/>
          <w:sz w:val="24"/>
          <w:szCs w:val="24"/>
        </w:rPr>
        <w:t xml:space="preserve">); investigaron </w:t>
      </w:r>
      <w:r w:rsidRPr="001A039A">
        <w:rPr>
          <w:rFonts w:ascii="Times New Roman" w:hAnsi="Times New Roman" w:cs="Times New Roman"/>
          <w:sz w:val="24"/>
          <w:szCs w:val="24"/>
        </w:rPr>
        <w:t>Factores de riesgo prenatales y su asociación a malformaciones congénitas en un Hospital Universitario de Referencia</w:t>
      </w:r>
      <w:r w:rsidR="00B4251F" w:rsidRPr="001A039A">
        <w:rPr>
          <w:rFonts w:ascii="Times New Roman" w:hAnsi="Times New Roman" w:cs="Times New Roman"/>
          <w:sz w:val="24"/>
          <w:szCs w:val="24"/>
        </w:rPr>
        <w:t>. El objetivo fue determinar los factores de riesgo prenatales y malformaciones congénitas en pacientes internados.</w:t>
      </w:r>
      <w:r w:rsidR="001034C2">
        <w:rPr>
          <w:rFonts w:ascii="Times New Roman" w:hAnsi="Times New Roman" w:cs="Times New Roman"/>
          <w:sz w:val="24"/>
          <w:szCs w:val="24"/>
        </w:rPr>
        <w:t xml:space="preserve"> </w:t>
      </w:r>
      <w:r w:rsidR="00B4251F" w:rsidRPr="001A039A">
        <w:rPr>
          <w:rFonts w:ascii="Times New Roman" w:hAnsi="Times New Roman" w:cs="Times New Roman"/>
          <w:sz w:val="24"/>
          <w:szCs w:val="24"/>
        </w:rPr>
        <w:t xml:space="preserve">Las malformaciones más frecuentes fueron las del sistema nervioso </w:t>
      </w:r>
      <w:r w:rsidR="00513E58" w:rsidRPr="001A039A">
        <w:rPr>
          <w:rFonts w:ascii="Times New Roman" w:hAnsi="Times New Roman" w:cs="Times New Roman"/>
          <w:sz w:val="24"/>
          <w:szCs w:val="24"/>
        </w:rPr>
        <w:t>central, seguidas</w:t>
      </w:r>
      <w:r w:rsidR="00B4251F" w:rsidRPr="001A039A">
        <w:rPr>
          <w:rFonts w:ascii="Times New Roman" w:hAnsi="Times New Roman" w:cs="Times New Roman"/>
          <w:sz w:val="24"/>
          <w:szCs w:val="24"/>
        </w:rPr>
        <w:t xml:space="preserve"> de las cardíacas. </w:t>
      </w:r>
      <w:r w:rsidR="007D4782" w:rsidRPr="001A039A">
        <w:rPr>
          <w:rFonts w:ascii="Times New Roman" w:hAnsi="Times New Roman" w:cs="Times New Roman"/>
          <w:sz w:val="24"/>
          <w:szCs w:val="24"/>
        </w:rPr>
        <w:t xml:space="preserve">La falta de suplementación con ácido fólico, </w:t>
      </w:r>
      <w:r w:rsidR="00513E58" w:rsidRPr="001A039A">
        <w:rPr>
          <w:rFonts w:ascii="Times New Roman" w:hAnsi="Times New Roman" w:cs="Times New Roman"/>
          <w:sz w:val="24"/>
          <w:szCs w:val="24"/>
        </w:rPr>
        <w:t>el antecedente</w:t>
      </w:r>
      <w:r w:rsidR="007D4782" w:rsidRPr="001A039A">
        <w:rPr>
          <w:rFonts w:ascii="Times New Roman" w:hAnsi="Times New Roman" w:cs="Times New Roman"/>
          <w:sz w:val="24"/>
          <w:szCs w:val="24"/>
        </w:rPr>
        <w:t xml:space="preserve"> de malformación congénita en la familia y la</w:t>
      </w:r>
      <w:r w:rsidR="001A039A">
        <w:rPr>
          <w:rFonts w:ascii="Times New Roman" w:hAnsi="Times New Roman" w:cs="Times New Roman"/>
          <w:sz w:val="24"/>
          <w:szCs w:val="24"/>
        </w:rPr>
        <w:t xml:space="preserve"> </w:t>
      </w:r>
      <w:r w:rsidR="007D4782" w:rsidRPr="001A039A">
        <w:rPr>
          <w:rFonts w:ascii="Times New Roman" w:hAnsi="Times New Roman" w:cs="Times New Roman"/>
          <w:sz w:val="24"/>
          <w:szCs w:val="24"/>
        </w:rPr>
        <w:t>exposición materna a agroquímicos tuvieron asociación estadísticamente significativa</w:t>
      </w:r>
    </w:p>
    <w:p w14:paraId="640E7D71" w14:textId="1AEF48AC" w:rsidR="001034C2" w:rsidRDefault="001034C2" w:rsidP="00AA3E31">
      <w:pPr>
        <w:jc w:val="both"/>
        <w:rPr>
          <w:rFonts w:ascii="Times New Roman" w:hAnsi="Times New Roman" w:cs="Times New Roman"/>
          <w:sz w:val="24"/>
          <w:szCs w:val="24"/>
        </w:rPr>
      </w:pPr>
    </w:p>
    <w:p w14:paraId="68C3A22F" w14:textId="77777777" w:rsidR="001034C2" w:rsidRDefault="001034C2" w:rsidP="00AA3E31">
      <w:pPr>
        <w:jc w:val="both"/>
        <w:rPr>
          <w:rFonts w:ascii="Times New Roman" w:hAnsi="Times New Roman" w:cs="Times New Roman"/>
          <w:sz w:val="24"/>
          <w:szCs w:val="24"/>
        </w:rPr>
      </w:pPr>
    </w:p>
    <w:p w14:paraId="76881555" w14:textId="491AEEA1" w:rsidR="007C6B1C" w:rsidRPr="0023483F" w:rsidRDefault="00E5781A" w:rsidP="00AA3E31">
      <w:pPr>
        <w:jc w:val="both"/>
        <w:rPr>
          <w:rFonts w:ascii="Times New Roman" w:hAnsi="Times New Roman" w:cs="Times New Roman"/>
          <w:b/>
          <w:bCs/>
          <w:i/>
          <w:iCs/>
          <w:sz w:val="24"/>
          <w:szCs w:val="24"/>
        </w:rPr>
      </w:pPr>
      <w:r w:rsidRPr="0023483F">
        <w:rPr>
          <w:rFonts w:ascii="Times New Roman" w:hAnsi="Times New Roman" w:cs="Times New Roman"/>
          <w:b/>
          <w:bCs/>
          <w:i/>
          <w:iCs/>
          <w:sz w:val="24"/>
          <w:szCs w:val="24"/>
        </w:rPr>
        <w:t>Genotoxicidad y citotoxicidad</w:t>
      </w:r>
    </w:p>
    <w:p w14:paraId="55B02176" w14:textId="3740AAE1" w:rsidR="00E5781A" w:rsidRDefault="00E5781A" w:rsidP="00AA3E31">
      <w:pPr>
        <w:jc w:val="both"/>
        <w:rPr>
          <w:rFonts w:ascii="Times New Roman" w:hAnsi="Times New Roman" w:cs="Times New Roman"/>
          <w:sz w:val="24"/>
          <w:szCs w:val="24"/>
        </w:rPr>
      </w:pPr>
      <w:r>
        <w:rPr>
          <w:rFonts w:ascii="Times New Roman" w:hAnsi="Times New Roman" w:cs="Times New Roman"/>
          <w:sz w:val="24"/>
          <w:szCs w:val="24"/>
        </w:rPr>
        <w:t>El daño en el material genético</w:t>
      </w:r>
      <w:r w:rsidR="00964D40">
        <w:rPr>
          <w:rFonts w:ascii="Times New Roman" w:hAnsi="Times New Roman" w:cs="Times New Roman"/>
          <w:sz w:val="24"/>
          <w:szCs w:val="24"/>
        </w:rPr>
        <w:t xml:space="preserve"> debido a sustancias toxicas</w:t>
      </w:r>
      <w:r>
        <w:rPr>
          <w:rFonts w:ascii="Times New Roman" w:hAnsi="Times New Roman" w:cs="Times New Roman"/>
          <w:sz w:val="24"/>
          <w:szCs w:val="24"/>
        </w:rPr>
        <w:t xml:space="preserve"> puede tener consecuencias adversas en la salud</w:t>
      </w:r>
      <w:r w:rsidR="00964D40">
        <w:rPr>
          <w:rFonts w:ascii="Times New Roman" w:hAnsi="Times New Roman" w:cs="Times New Roman"/>
          <w:sz w:val="24"/>
          <w:szCs w:val="24"/>
        </w:rPr>
        <w:t xml:space="preserve">, en el presente y en el futuro, y puede conducir a riesgo de </w:t>
      </w:r>
      <w:r w:rsidR="007F0C24">
        <w:rPr>
          <w:rFonts w:ascii="Times New Roman" w:hAnsi="Times New Roman" w:cs="Times New Roman"/>
          <w:sz w:val="24"/>
          <w:szCs w:val="24"/>
        </w:rPr>
        <w:t>cáncer</w:t>
      </w:r>
      <w:r w:rsidR="00964D40">
        <w:rPr>
          <w:rFonts w:ascii="Times New Roman" w:hAnsi="Times New Roman" w:cs="Times New Roman"/>
          <w:sz w:val="24"/>
          <w:szCs w:val="24"/>
        </w:rPr>
        <w:t xml:space="preserve">, obesidad, diabetes, enfermedades respiratorias, trastornos </w:t>
      </w:r>
      <w:proofErr w:type="spellStart"/>
      <w:r w:rsidR="00964D40">
        <w:rPr>
          <w:rFonts w:ascii="Times New Roman" w:hAnsi="Times New Roman" w:cs="Times New Roman"/>
          <w:sz w:val="24"/>
          <w:szCs w:val="24"/>
        </w:rPr>
        <w:t>neurogenerativos</w:t>
      </w:r>
      <w:proofErr w:type="spellEnd"/>
      <w:r w:rsidR="00964D40">
        <w:rPr>
          <w:rFonts w:ascii="Times New Roman" w:hAnsi="Times New Roman" w:cs="Times New Roman"/>
          <w:sz w:val="24"/>
          <w:szCs w:val="24"/>
        </w:rPr>
        <w:t xml:space="preserve"> y del neurodesarrollo</w:t>
      </w:r>
      <w:r w:rsidR="007F0C24">
        <w:rPr>
          <w:rFonts w:ascii="Times New Roman" w:hAnsi="Times New Roman" w:cs="Times New Roman"/>
          <w:sz w:val="24"/>
          <w:szCs w:val="24"/>
        </w:rPr>
        <w:t>.</w:t>
      </w:r>
    </w:p>
    <w:p w14:paraId="7861B779" w14:textId="6E0136D5" w:rsidR="003914F7" w:rsidRDefault="003914F7" w:rsidP="00B83293">
      <w:pPr>
        <w:jc w:val="both"/>
        <w:rPr>
          <w:rFonts w:ascii="Times New Roman" w:hAnsi="Times New Roman" w:cs="Times New Roman"/>
          <w:sz w:val="24"/>
          <w:szCs w:val="24"/>
        </w:rPr>
      </w:pPr>
      <w:proofErr w:type="spellStart"/>
      <w:r>
        <w:rPr>
          <w:rFonts w:ascii="Times New Roman" w:hAnsi="Times New Roman" w:cs="Times New Roman"/>
          <w:sz w:val="24"/>
          <w:szCs w:val="24"/>
        </w:rPr>
        <w:t>Leite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w:t>
      </w:r>
      <w:hyperlink r:id="rId10" w:history="1">
        <w:r w:rsidRPr="00411A76">
          <w:rPr>
            <w:rStyle w:val="Hipervnculo"/>
            <w:rFonts w:ascii="Times New Roman" w:hAnsi="Times New Roman" w:cs="Times New Roman"/>
            <w:sz w:val="24"/>
            <w:szCs w:val="24"/>
          </w:rPr>
          <w:t>2010</w:t>
        </w:r>
      </w:hyperlink>
      <w:r>
        <w:rPr>
          <w:rFonts w:ascii="Times New Roman" w:hAnsi="Times New Roman" w:cs="Times New Roman"/>
          <w:sz w:val="24"/>
          <w:szCs w:val="24"/>
        </w:rPr>
        <w:t xml:space="preserve">) </w:t>
      </w:r>
      <w:r w:rsidR="007E3439" w:rsidRPr="007E3439">
        <w:rPr>
          <w:rFonts w:ascii="Times New Roman" w:hAnsi="Times New Roman" w:cs="Times New Roman"/>
          <w:sz w:val="24"/>
          <w:szCs w:val="24"/>
        </w:rPr>
        <w:t>indaga</w:t>
      </w:r>
      <w:r w:rsidR="007E3439">
        <w:rPr>
          <w:rFonts w:ascii="Times New Roman" w:hAnsi="Times New Roman" w:cs="Times New Roman"/>
          <w:sz w:val="24"/>
          <w:szCs w:val="24"/>
        </w:rPr>
        <w:t>n</w:t>
      </w:r>
      <w:r w:rsidR="007E3439" w:rsidRPr="007E3439">
        <w:rPr>
          <w:rFonts w:ascii="Times New Roman" w:hAnsi="Times New Roman" w:cs="Times New Roman"/>
          <w:sz w:val="24"/>
          <w:szCs w:val="24"/>
        </w:rPr>
        <w:t xml:space="preserve"> el daño en el material</w:t>
      </w:r>
      <w:r w:rsidR="007E3439">
        <w:rPr>
          <w:rFonts w:ascii="Times New Roman" w:hAnsi="Times New Roman" w:cs="Times New Roman"/>
          <w:sz w:val="24"/>
          <w:szCs w:val="24"/>
        </w:rPr>
        <w:t xml:space="preserve"> </w:t>
      </w:r>
      <w:r w:rsidR="007E3439" w:rsidRPr="007E3439">
        <w:rPr>
          <w:rFonts w:ascii="Times New Roman" w:hAnsi="Times New Roman" w:cs="Times New Roman"/>
          <w:sz w:val="24"/>
          <w:szCs w:val="24"/>
        </w:rPr>
        <w:t>genético de una población infantil expuesta potencialmente a</w:t>
      </w:r>
      <w:r w:rsidR="007E3439">
        <w:rPr>
          <w:rFonts w:ascii="Times New Roman" w:hAnsi="Times New Roman" w:cs="Times New Roman"/>
          <w:sz w:val="24"/>
          <w:szCs w:val="24"/>
        </w:rPr>
        <w:t xml:space="preserve"> </w:t>
      </w:r>
      <w:r w:rsidR="007E3439" w:rsidRPr="007E3439">
        <w:rPr>
          <w:rFonts w:ascii="Times New Roman" w:hAnsi="Times New Roman" w:cs="Times New Roman"/>
          <w:sz w:val="24"/>
          <w:szCs w:val="24"/>
        </w:rPr>
        <w:t>pesticidas en el ambiente</w:t>
      </w:r>
      <w:r w:rsidR="007E3439">
        <w:rPr>
          <w:rFonts w:ascii="Times New Roman" w:hAnsi="Times New Roman" w:cs="Times New Roman"/>
          <w:sz w:val="24"/>
          <w:szCs w:val="24"/>
        </w:rPr>
        <w:t xml:space="preserve"> mediante un</w:t>
      </w:r>
      <w:r w:rsidR="007E3439" w:rsidRPr="007E3439">
        <w:rPr>
          <w:rFonts w:ascii="Times New Roman" w:hAnsi="Times New Roman" w:cs="Times New Roman"/>
          <w:sz w:val="24"/>
          <w:szCs w:val="24"/>
        </w:rPr>
        <w:t xml:space="preserve"> diseño metodológico de tipo</w:t>
      </w:r>
      <w:r w:rsidR="007E3439">
        <w:rPr>
          <w:rFonts w:ascii="Times New Roman" w:hAnsi="Times New Roman" w:cs="Times New Roman"/>
          <w:sz w:val="24"/>
          <w:szCs w:val="24"/>
        </w:rPr>
        <w:t xml:space="preserve"> </w:t>
      </w:r>
      <w:r w:rsidR="007E3439" w:rsidRPr="007E3439">
        <w:rPr>
          <w:rFonts w:ascii="Times New Roman" w:hAnsi="Times New Roman" w:cs="Times New Roman"/>
          <w:sz w:val="24"/>
          <w:szCs w:val="24"/>
        </w:rPr>
        <w:t>observacional y transversal. Participaron en el estudio 48 niños</w:t>
      </w:r>
      <w:r w:rsidR="008141FC">
        <w:rPr>
          <w:rFonts w:ascii="Times New Roman" w:hAnsi="Times New Roman" w:cs="Times New Roman"/>
          <w:sz w:val="24"/>
          <w:szCs w:val="24"/>
        </w:rPr>
        <w:t>/as sanos</w:t>
      </w:r>
      <w:r w:rsidR="007E3439">
        <w:rPr>
          <w:rFonts w:ascii="Times New Roman" w:hAnsi="Times New Roman" w:cs="Times New Roman"/>
          <w:sz w:val="24"/>
          <w:szCs w:val="24"/>
        </w:rPr>
        <w:t xml:space="preserve"> </w:t>
      </w:r>
      <w:r w:rsidR="007E3439" w:rsidRPr="007E3439">
        <w:rPr>
          <w:rFonts w:ascii="Times New Roman" w:hAnsi="Times New Roman" w:cs="Times New Roman"/>
          <w:sz w:val="24"/>
          <w:szCs w:val="24"/>
        </w:rPr>
        <w:t>expuestos potencialmente a pesticidas</w:t>
      </w:r>
      <w:r w:rsidR="007E3439">
        <w:rPr>
          <w:rFonts w:ascii="Times New Roman" w:hAnsi="Times New Roman" w:cs="Times New Roman"/>
          <w:sz w:val="24"/>
          <w:szCs w:val="24"/>
        </w:rPr>
        <w:t xml:space="preserve"> </w:t>
      </w:r>
      <w:r w:rsidR="007E3439" w:rsidRPr="007E3439">
        <w:rPr>
          <w:rFonts w:ascii="Times New Roman" w:hAnsi="Times New Roman" w:cs="Times New Roman"/>
          <w:sz w:val="24"/>
          <w:szCs w:val="24"/>
        </w:rPr>
        <w:t>niño/as sanos, en</w:t>
      </w:r>
      <w:r w:rsidR="007E3439">
        <w:rPr>
          <w:rFonts w:ascii="Times New Roman" w:hAnsi="Times New Roman" w:cs="Times New Roman"/>
          <w:sz w:val="24"/>
          <w:szCs w:val="24"/>
        </w:rPr>
        <w:t xml:space="preserve"> </w:t>
      </w:r>
      <w:r w:rsidR="007E3439" w:rsidRPr="007E3439">
        <w:rPr>
          <w:rFonts w:ascii="Times New Roman" w:hAnsi="Times New Roman" w:cs="Times New Roman"/>
          <w:sz w:val="24"/>
          <w:szCs w:val="24"/>
        </w:rPr>
        <w:t>edad escolar</w:t>
      </w:r>
      <w:r w:rsidR="008141FC">
        <w:rPr>
          <w:rFonts w:ascii="Times New Roman" w:hAnsi="Times New Roman" w:cs="Times New Roman"/>
          <w:sz w:val="24"/>
          <w:szCs w:val="24"/>
        </w:rPr>
        <w:t xml:space="preserve"> de</w:t>
      </w:r>
      <w:r w:rsidR="00583FE7">
        <w:rPr>
          <w:rFonts w:ascii="Times New Roman" w:hAnsi="Times New Roman" w:cs="Times New Roman"/>
          <w:sz w:val="24"/>
          <w:szCs w:val="24"/>
        </w:rPr>
        <w:t xml:space="preserve"> la ciudad de Ñemby, departamento Central. La escuela a la que asisten los niños </w:t>
      </w:r>
      <w:r w:rsidR="00B83293" w:rsidRPr="00B83293">
        <w:rPr>
          <w:rFonts w:ascii="Times New Roman" w:hAnsi="Times New Roman" w:cs="Times New Roman"/>
          <w:sz w:val="24"/>
          <w:szCs w:val="24"/>
        </w:rPr>
        <w:t xml:space="preserve">se </w:t>
      </w:r>
      <w:r w:rsidR="00B52A87">
        <w:rPr>
          <w:rFonts w:ascii="Times New Roman" w:hAnsi="Times New Roman" w:cs="Times New Roman"/>
          <w:sz w:val="24"/>
          <w:szCs w:val="24"/>
        </w:rPr>
        <w:t>encontraba</w:t>
      </w:r>
      <w:r w:rsidR="00B83293" w:rsidRPr="00B83293">
        <w:rPr>
          <w:rFonts w:ascii="Times New Roman" w:hAnsi="Times New Roman" w:cs="Times New Roman"/>
          <w:sz w:val="24"/>
          <w:szCs w:val="24"/>
        </w:rPr>
        <w:t xml:space="preserve"> situada a 50 metros de una</w:t>
      </w:r>
      <w:r w:rsidR="00B83293">
        <w:rPr>
          <w:rFonts w:ascii="Times New Roman" w:hAnsi="Times New Roman" w:cs="Times New Roman"/>
          <w:sz w:val="24"/>
          <w:szCs w:val="24"/>
        </w:rPr>
        <w:t xml:space="preserve"> </w:t>
      </w:r>
      <w:r w:rsidR="00B83293" w:rsidRPr="00B83293">
        <w:rPr>
          <w:rFonts w:ascii="Times New Roman" w:hAnsi="Times New Roman" w:cs="Times New Roman"/>
          <w:sz w:val="24"/>
          <w:szCs w:val="24"/>
        </w:rPr>
        <w:t>fábrica que sintetiza</w:t>
      </w:r>
      <w:r w:rsidR="00B52A87">
        <w:rPr>
          <w:rFonts w:ascii="Times New Roman" w:hAnsi="Times New Roman" w:cs="Times New Roman"/>
          <w:sz w:val="24"/>
          <w:szCs w:val="24"/>
        </w:rPr>
        <w:t>ba</w:t>
      </w:r>
      <w:r w:rsidR="00B83293" w:rsidRPr="00B83293">
        <w:rPr>
          <w:rFonts w:ascii="Times New Roman" w:hAnsi="Times New Roman" w:cs="Times New Roman"/>
          <w:sz w:val="24"/>
          <w:szCs w:val="24"/>
        </w:rPr>
        <w:t xml:space="preserve"> y formula</w:t>
      </w:r>
      <w:r w:rsidR="00B52A87">
        <w:rPr>
          <w:rFonts w:ascii="Times New Roman" w:hAnsi="Times New Roman" w:cs="Times New Roman"/>
          <w:sz w:val="24"/>
          <w:szCs w:val="24"/>
        </w:rPr>
        <w:t>ba</w:t>
      </w:r>
      <w:r w:rsidR="00B83293" w:rsidRPr="00B83293">
        <w:rPr>
          <w:rFonts w:ascii="Times New Roman" w:hAnsi="Times New Roman" w:cs="Times New Roman"/>
          <w:sz w:val="24"/>
          <w:szCs w:val="24"/>
        </w:rPr>
        <w:t xml:space="preserve"> pesticidas</w:t>
      </w:r>
      <w:r w:rsidR="00B83293">
        <w:rPr>
          <w:rFonts w:ascii="Times New Roman" w:hAnsi="Times New Roman" w:cs="Times New Roman"/>
          <w:sz w:val="24"/>
          <w:szCs w:val="24"/>
        </w:rPr>
        <w:t>,</w:t>
      </w:r>
      <w:r w:rsidR="007E3439">
        <w:rPr>
          <w:rFonts w:ascii="Times New Roman" w:hAnsi="Times New Roman" w:cs="Times New Roman"/>
          <w:sz w:val="24"/>
          <w:szCs w:val="24"/>
        </w:rPr>
        <w:t xml:space="preserve"> </w:t>
      </w:r>
      <w:r w:rsidR="007E3439" w:rsidRPr="007E3439">
        <w:rPr>
          <w:rFonts w:ascii="Times New Roman" w:hAnsi="Times New Roman" w:cs="Times New Roman"/>
          <w:sz w:val="24"/>
          <w:szCs w:val="24"/>
        </w:rPr>
        <w:t>y 46 niños no expuestos</w:t>
      </w:r>
      <w:r w:rsidR="00B83293">
        <w:rPr>
          <w:rFonts w:ascii="Times New Roman" w:hAnsi="Times New Roman" w:cs="Times New Roman"/>
          <w:sz w:val="24"/>
          <w:szCs w:val="24"/>
        </w:rPr>
        <w:t xml:space="preserve"> de la ciudad de San Lorenzo, departamento Central</w:t>
      </w:r>
      <w:r w:rsidR="007E3439" w:rsidRPr="007E3439">
        <w:rPr>
          <w:rFonts w:ascii="Times New Roman" w:hAnsi="Times New Roman" w:cs="Times New Roman"/>
          <w:sz w:val="24"/>
          <w:szCs w:val="24"/>
        </w:rPr>
        <w:t>.</w:t>
      </w:r>
      <w:r w:rsidR="007E3439">
        <w:rPr>
          <w:rFonts w:ascii="Times New Roman" w:hAnsi="Times New Roman" w:cs="Times New Roman"/>
          <w:sz w:val="24"/>
          <w:szCs w:val="24"/>
        </w:rPr>
        <w:t xml:space="preserve"> </w:t>
      </w:r>
      <w:r w:rsidR="007E3439" w:rsidRPr="007E3439">
        <w:rPr>
          <w:rFonts w:ascii="Times New Roman" w:hAnsi="Times New Roman" w:cs="Times New Roman"/>
          <w:sz w:val="24"/>
          <w:szCs w:val="24"/>
        </w:rPr>
        <w:t>Se obtuvo muestra de la mucosa bucal para determinar daño en</w:t>
      </w:r>
      <w:r w:rsidR="007E3439">
        <w:rPr>
          <w:rFonts w:ascii="Times New Roman" w:hAnsi="Times New Roman" w:cs="Times New Roman"/>
          <w:sz w:val="24"/>
          <w:szCs w:val="24"/>
        </w:rPr>
        <w:t xml:space="preserve"> </w:t>
      </w:r>
      <w:r w:rsidR="007E3439" w:rsidRPr="007E3439">
        <w:rPr>
          <w:rFonts w:ascii="Times New Roman" w:hAnsi="Times New Roman" w:cs="Times New Roman"/>
          <w:sz w:val="24"/>
          <w:szCs w:val="24"/>
        </w:rPr>
        <w:t>el material genético a través de la frecuencia de micronúcleos</w:t>
      </w:r>
      <w:r w:rsidR="008141FC">
        <w:rPr>
          <w:rFonts w:ascii="Times New Roman" w:hAnsi="Times New Roman" w:cs="Times New Roman"/>
          <w:sz w:val="24"/>
          <w:szCs w:val="24"/>
        </w:rPr>
        <w:t xml:space="preserve">. </w:t>
      </w:r>
      <w:r w:rsidR="00583FE7">
        <w:rPr>
          <w:rFonts w:ascii="Times New Roman" w:hAnsi="Times New Roman" w:cs="Times New Roman"/>
          <w:sz w:val="24"/>
          <w:szCs w:val="24"/>
        </w:rPr>
        <w:t xml:space="preserve">El estudio </w:t>
      </w:r>
      <w:r w:rsidR="00583FE7" w:rsidRPr="00583FE7">
        <w:rPr>
          <w:rFonts w:ascii="Times New Roman" w:hAnsi="Times New Roman" w:cs="Times New Roman"/>
          <w:sz w:val="24"/>
          <w:szCs w:val="24"/>
        </w:rPr>
        <w:t>encontró mayor frecuencia de marcadores biológicos</w:t>
      </w:r>
      <w:r w:rsidR="00583FE7">
        <w:rPr>
          <w:rFonts w:ascii="Times New Roman" w:hAnsi="Times New Roman" w:cs="Times New Roman"/>
          <w:sz w:val="24"/>
          <w:szCs w:val="24"/>
        </w:rPr>
        <w:t xml:space="preserve"> </w:t>
      </w:r>
      <w:r w:rsidR="00583FE7" w:rsidRPr="00583FE7">
        <w:rPr>
          <w:rFonts w:ascii="Times New Roman" w:hAnsi="Times New Roman" w:cs="Times New Roman"/>
          <w:sz w:val="24"/>
          <w:szCs w:val="24"/>
        </w:rPr>
        <w:t>de daño celular, en la población infantil potencialmente</w:t>
      </w:r>
      <w:r w:rsidR="00583FE7">
        <w:rPr>
          <w:rFonts w:ascii="Times New Roman" w:hAnsi="Times New Roman" w:cs="Times New Roman"/>
          <w:sz w:val="24"/>
          <w:szCs w:val="24"/>
        </w:rPr>
        <w:t xml:space="preserve"> </w:t>
      </w:r>
      <w:r w:rsidR="00583FE7" w:rsidRPr="00583FE7">
        <w:rPr>
          <w:rFonts w:ascii="Times New Roman" w:hAnsi="Times New Roman" w:cs="Times New Roman"/>
          <w:sz w:val="24"/>
          <w:szCs w:val="24"/>
        </w:rPr>
        <w:t>expuesta a pesticidas en el ambiente, al compararla con</w:t>
      </w:r>
      <w:r w:rsidR="00583FE7">
        <w:rPr>
          <w:rFonts w:ascii="Times New Roman" w:hAnsi="Times New Roman" w:cs="Times New Roman"/>
          <w:sz w:val="24"/>
          <w:szCs w:val="24"/>
        </w:rPr>
        <w:t xml:space="preserve"> </w:t>
      </w:r>
      <w:r w:rsidR="00583FE7" w:rsidRPr="00583FE7">
        <w:rPr>
          <w:rFonts w:ascii="Times New Roman" w:hAnsi="Times New Roman" w:cs="Times New Roman"/>
          <w:sz w:val="24"/>
          <w:szCs w:val="24"/>
        </w:rPr>
        <w:t>una población similar no expuesta. Las diferencias</w:t>
      </w:r>
      <w:r w:rsidR="00583FE7">
        <w:rPr>
          <w:rFonts w:ascii="Times New Roman" w:hAnsi="Times New Roman" w:cs="Times New Roman"/>
          <w:sz w:val="24"/>
          <w:szCs w:val="24"/>
        </w:rPr>
        <w:t xml:space="preserve"> </w:t>
      </w:r>
      <w:r w:rsidR="00583FE7" w:rsidRPr="00583FE7">
        <w:rPr>
          <w:rFonts w:ascii="Times New Roman" w:hAnsi="Times New Roman" w:cs="Times New Roman"/>
          <w:sz w:val="24"/>
          <w:szCs w:val="24"/>
        </w:rPr>
        <w:t>observadas en los marcadores celulares no pueden ser</w:t>
      </w:r>
      <w:r w:rsidR="00583FE7">
        <w:rPr>
          <w:rFonts w:ascii="Times New Roman" w:hAnsi="Times New Roman" w:cs="Times New Roman"/>
          <w:sz w:val="24"/>
          <w:szCs w:val="24"/>
        </w:rPr>
        <w:t xml:space="preserve"> </w:t>
      </w:r>
      <w:r w:rsidR="00583FE7" w:rsidRPr="00583FE7">
        <w:rPr>
          <w:rFonts w:ascii="Times New Roman" w:hAnsi="Times New Roman" w:cs="Times New Roman"/>
          <w:sz w:val="24"/>
          <w:szCs w:val="24"/>
        </w:rPr>
        <w:t>explicadas por la influencia de otros factores</w:t>
      </w:r>
      <w:r w:rsidR="00583FE7">
        <w:rPr>
          <w:rFonts w:ascii="Times New Roman" w:hAnsi="Times New Roman" w:cs="Times New Roman"/>
          <w:sz w:val="24"/>
          <w:szCs w:val="24"/>
        </w:rPr>
        <w:t xml:space="preserve"> </w:t>
      </w:r>
      <w:r w:rsidR="00583FE7" w:rsidRPr="00583FE7">
        <w:rPr>
          <w:rFonts w:ascii="Times New Roman" w:hAnsi="Times New Roman" w:cs="Times New Roman"/>
          <w:sz w:val="24"/>
          <w:szCs w:val="24"/>
        </w:rPr>
        <w:t>demográficos o ambientales examinados.</w:t>
      </w:r>
    </w:p>
    <w:p w14:paraId="03310733" w14:textId="0196C7AA" w:rsidR="00E11304" w:rsidRDefault="002F1134" w:rsidP="00B83293">
      <w:pPr>
        <w:jc w:val="both"/>
        <w:rPr>
          <w:rFonts w:ascii="Times New Roman" w:hAnsi="Times New Roman" w:cs="Times New Roman"/>
          <w:sz w:val="24"/>
          <w:szCs w:val="24"/>
        </w:rPr>
      </w:pPr>
      <w:r>
        <w:rPr>
          <w:rFonts w:ascii="Times New Roman" w:hAnsi="Times New Roman" w:cs="Times New Roman"/>
          <w:sz w:val="24"/>
          <w:szCs w:val="24"/>
        </w:rPr>
        <w:t xml:space="preserve">Franco D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w:t>
      </w:r>
      <w:hyperlink r:id="rId11" w:history="1">
        <w:r w:rsidRPr="00111034">
          <w:rPr>
            <w:rStyle w:val="Hipervnculo"/>
            <w:rFonts w:ascii="Times New Roman" w:hAnsi="Times New Roman" w:cs="Times New Roman"/>
            <w:sz w:val="24"/>
            <w:szCs w:val="24"/>
          </w:rPr>
          <w:t>2018</w:t>
        </w:r>
      </w:hyperlink>
      <w:r>
        <w:rPr>
          <w:rFonts w:ascii="Times New Roman" w:hAnsi="Times New Roman" w:cs="Times New Roman"/>
          <w:sz w:val="24"/>
          <w:szCs w:val="24"/>
        </w:rPr>
        <w:t xml:space="preserve">) </w:t>
      </w:r>
      <w:r w:rsidR="00EC43AA">
        <w:rPr>
          <w:rFonts w:ascii="Times New Roman" w:hAnsi="Times New Roman" w:cs="Times New Roman"/>
          <w:sz w:val="24"/>
          <w:szCs w:val="24"/>
        </w:rPr>
        <w:t xml:space="preserve">investigaron el daño en el material genético en mujeres recicladoras en el vertedero de </w:t>
      </w:r>
      <w:proofErr w:type="spellStart"/>
      <w:r w:rsidR="00EC43AA">
        <w:rPr>
          <w:rFonts w:ascii="Times New Roman" w:hAnsi="Times New Roman" w:cs="Times New Roman"/>
          <w:sz w:val="24"/>
          <w:szCs w:val="24"/>
        </w:rPr>
        <w:t>Cateura</w:t>
      </w:r>
      <w:proofErr w:type="spellEnd"/>
      <w:r w:rsidR="00EC43AA">
        <w:rPr>
          <w:rFonts w:ascii="Times New Roman" w:hAnsi="Times New Roman" w:cs="Times New Roman"/>
          <w:sz w:val="24"/>
          <w:szCs w:val="24"/>
        </w:rPr>
        <w:t>. Encontraron mayor daño en el ADN a través del ensayo cometa y test de micronúcleos comparados con mujeres no expuestas ocupacionalmente.</w:t>
      </w:r>
    </w:p>
    <w:p w14:paraId="63839198" w14:textId="28E2A648" w:rsidR="0023483F" w:rsidRDefault="00E11304" w:rsidP="00B83293">
      <w:pPr>
        <w:jc w:val="both"/>
        <w:rPr>
          <w:rFonts w:ascii="Times New Roman" w:hAnsi="Times New Roman" w:cs="Times New Roman"/>
          <w:sz w:val="24"/>
          <w:szCs w:val="24"/>
        </w:rPr>
      </w:pPr>
      <w:proofErr w:type="spellStart"/>
      <w:r>
        <w:rPr>
          <w:rFonts w:ascii="Times New Roman" w:hAnsi="Times New Roman" w:cs="Times New Roman"/>
          <w:sz w:val="24"/>
          <w:szCs w:val="24"/>
        </w:rPr>
        <w:t>Leite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w:t>
      </w:r>
      <w:hyperlink r:id="rId12" w:history="1">
        <w:r w:rsidRPr="00411A76">
          <w:rPr>
            <w:rStyle w:val="Hipervnculo"/>
            <w:rFonts w:ascii="Times New Roman" w:hAnsi="Times New Roman" w:cs="Times New Roman"/>
            <w:sz w:val="24"/>
            <w:szCs w:val="24"/>
          </w:rPr>
          <w:t>2019</w:t>
        </w:r>
      </w:hyperlink>
      <w:r w:rsidR="00DF40A6">
        <w:rPr>
          <w:rFonts w:ascii="Times New Roman" w:hAnsi="Times New Roman" w:cs="Times New Roman"/>
          <w:sz w:val="24"/>
          <w:szCs w:val="24"/>
        </w:rPr>
        <w:t xml:space="preserve">) </w:t>
      </w:r>
      <w:r w:rsidR="00DF40A6" w:rsidRPr="001B45AC">
        <w:rPr>
          <w:rFonts w:ascii="Times New Roman" w:hAnsi="Times New Roman" w:cs="Times New Roman"/>
          <w:sz w:val="24"/>
          <w:szCs w:val="24"/>
        </w:rPr>
        <w:t>analizan</w:t>
      </w:r>
      <w:r w:rsidRPr="001B45AC">
        <w:rPr>
          <w:rFonts w:ascii="Times New Roman" w:hAnsi="Times New Roman" w:cs="Times New Roman"/>
          <w:sz w:val="24"/>
          <w:szCs w:val="24"/>
        </w:rPr>
        <w:t xml:space="preserve"> la frecuencia de daño en el ADN mediante el ensayo cometa y la prueba de micronúcleos (MN) en dos grupos de niños menores de 10 años que viven en zonas rurales de Paraguay y en relación con la exposición a plaguicidas.</w:t>
      </w:r>
      <w:r>
        <w:rPr>
          <w:rFonts w:ascii="Times New Roman" w:hAnsi="Times New Roman" w:cs="Times New Roman"/>
          <w:sz w:val="24"/>
          <w:szCs w:val="24"/>
        </w:rPr>
        <w:t xml:space="preserve"> El estudio publicado señala</w:t>
      </w:r>
      <w:r w:rsidRPr="00E406C1">
        <w:rPr>
          <w:rFonts w:ascii="Times New Roman" w:hAnsi="Times New Roman" w:cs="Times New Roman"/>
          <w:sz w:val="24"/>
          <w:szCs w:val="24"/>
        </w:rPr>
        <w:t xml:space="preserve"> un mayor efecto genotóxico y citotóxico en los niños expuestos a plaguicidas en comparación con los no expuestos. Hubo un mayor daño en el ADN de los niños expuestos a pesticidas en comparación con los no expuestos.</w:t>
      </w:r>
    </w:p>
    <w:p w14:paraId="55A7DD76" w14:textId="0411CB39" w:rsidR="007F0C24" w:rsidRPr="0023483F" w:rsidRDefault="00E11304" w:rsidP="00B83293">
      <w:pPr>
        <w:jc w:val="both"/>
        <w:rPr>
          <w:rFonts w:ascii="Times New Roman" w:hAnsi="Times New Roman" w:cs="Times New Roman"/>
          <w:b/>
          <w:bCs/>
          <w:i/>
          <w:iCs/>
          <w:sz w:val="24"/>
          <w:szCs w:val="24"/>
        </w:rPr>
      </w:pPr>
      <w:r w:rsidRPr="0023483F">
        <w:rPr>
          <w:rFonts w:ascii="Times New Roman" w:hAnsi="Times New Roman" w:cs="Times New Roman"/>
          <w:b/>
          <w:bCs/>
          <w:i/>
          <w:iCs/>
          <w:sz w:val="24"/>
          <w:szCs w:val="24"/>
        </w:rPr>
        <w:t>Cáncer y otras enfermedades</w:t>
      </w:r>
    </w:p>
    <w:p w14:paraId="61F68FD5" w14:textId="37E5AD27" w:rsidR="00E11304" w:rsidRDefault="00E11304" w:rsidP="00E11304">
      <w:pPr>
        <w:jc w:val="both"/>
        <w:rPr>
          <w:rFonts w:ascii="Times New Roman" w:hAnsi="Times New Roman" w:cs="Times New Roman"/>
          <w:sz w:val="24"/>
          <w:szCs w:val="24"/>
        </w:rPr>
      </w:pPr>
      <w:r>
        <w:rPr>
          <w:rFonts w:ascii="Times New Roman" w:hAnsi="Times New Roman" w:cs="Times New Roman"/>
          <w:sz w:val="24"/>
          <w:szCs w:val="24"/>
        </w:rPr>
        <w:t xml:space="preserve">Gamarra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w:t>
      </w:r>
      <w:hyperlink r:id="rId13" w:history="1">
        <w:r w:rsidRPr="00A01ACB">
          <w:rPr>
            <w:rStyle w:val="Hipervnculo"/>
            <w:rFonts w:ascii="Times New Roman" w:hAnsi="Times New Roman" w:cs="Times New Roman"/>
            <w:sz w:val="24"/>
            <w:szCs w:val="24"/>
          </w:rPr>
          <w:t>2019</w:t>
        </w:r>
      </w:hyperlink>
      <w:r>
        <w:rPr>
          <w:rFonts w:ascii="Times New Roman" w:hAnsi="Times New Roman" w:cs="Times New Roman"/>
          <w:sz w:val="24"/>
          <w:szCs w:val="24"/>
        </w:rPr>
        <w:t xml:space="preserve">), mediante la utilización del </w:t>
      </w:r>
      <w:r w:rsidRPr="00F109E6">
        <w:rPr>
          <w:rFonts w:ascii="Times New Roman" w:hAnsi="Times New Roman" w:cs="Times New Roman"/>
          <w:sz w:val="24"/>
          <w:szCs w:val="24"/>
        </w:rPr>
        <w:t>Sistema Georreferenciado de Evaluación de Casos</w:t>
      </w:r>
      <w:r>
        <w:rPr>
          <w:rFonts w:ascii="Times New Roman" w:hAnsi="Times New Roman" w:cs="Times New Roman"/>
          <w:sz w:val="24"/>
          <w:szCs w:val="24"/>
        </w:rPr>
        <w:t xml:space="preserve"> </w:t>
      </w:r>
      <w:r w:rsidRPr="00F109E6">
        <w:rPr>
          <w:rFonts w:ascii="Times New Roman" w:hAnsi="Times New Roman" w:cs="Times New Roman"/>
          <w:sz w:val="24"/>
          <w:szCs w:val="24"/>
        </w:rPr>
        <w:t>de afecciones a la Salud (SIGEC)</w:t>
      </w:r>
      <w:r>
        <w:rPr>
          <w:rFonts w:ascii="Times New Roman" w:hAnsi="Times New Roman" w:cs="Times New Roman"/>
          <w:sz w:val="24"/>
          <w:szCs w:val="24"/>
        </w:rPr>
        <w:t xml:space="preserve"> para relacionar </w:t>
      </w:r>
      <w:r w:rsidRPr="00F109E6">
        <w:rPr>
          <w:rFonts w:ascii="Times New Roman" w:hAnsi="Times New Roman" w:cs="Times New Roman"/>
          <w:sz w:val="24"/>
          <w:szCs w:val="24"/>
        </w:rPr>
        <w:t>datos del egreso hospitalario de</w:t>
      </w:r>
      <w:r>
        <w:rPr>
          <w:rFonts w:ascii="Times New Roman" w:hAnsi="Times New Roman" w:cs="Times New Roman"/>
          <w:sz w:val="24"/>
          <w:szCs w:val="24"/>
        </w:rPr>
        <w:t xml:space="preserve"> </w:t>
      </w:r>
      <w:r w:rsidRPr="00F109E6">
        <w:rPr>
          <w:rFonts w:ascii="Times New Roman" w:hAnsi="Times New Roman" w:cs="Times New Roman"/>
          <w:sz w:val="24"/>
          <w:szCs w:val="24"/>
        </w:rPr>
        <w:t>enfermedades trazadoras (EH) 2011 – 2015, en mapas</w:t>
      </w:r>
      <w:r>
        <w:rPr>
          <w:rFonts w:ascii="Times New Roman" w:hAnsi="Times New Roman" w:cs="Times New Roman"/>
          <w:sz w:val="24"/>
          <w:szCs w:val="24"/>
        </w:rPr>
        <w:t xml:space="preserve"> </w:t>
      </w:r>
      <w:r w:rsidRPr="00F109E6">
        <w:rPr>
          <w:rFonts w:ascii="Times New Roman" w:hAnsi="Times New Roman" w:cs="Times New Roman"/>
          <w:sz w:val="24"/>
          <w:szCs w:val="24"/>
        </w:rPr>
        <w:t>por Departamentos, Regiones del Piloto y por</w:t>
      </w:r>
      <w:r>
        <w:rPr>
          <w:rFonts w:ascii="Times New Roman" w:hAnsi="Times New Roman" w:cs="Times New Roman"/>
          <w:sz w:val="24"/>
          <w:szCs w:val="24"/>
        </w:rPr>
        <w:t xml:space="preserve"> </w:t>
      </w:r>
      <w:r w:rsidRPr="00F109E6">
        <w:rPr>
          <w:rFonts w:ascii="Times New Roman" w:hAnsi="Times New Roman" w:cs="Times New Roman"/>
          <w:sz w:val="24"/>
          <w:szCs w:val="24"/>
        </w:rPr>
        <w:t>Distritos,</w:t>
      </w:r>
      <w:r>
        <w:rPr>
          <w:rFonts w:ascii="Times New Roman" w:hAnsi="Times New Roman" w:cs="Times New Roman"/>
          <w:sz w:val="24"/>
          <w:szCs w:val="24"/>
        </w:rPr>
        <w:t xml:space="preserve"> muestran </w:t>
      </w:r>
      <w:r w:rsidRPr="00195923">
        <w:rPr>
          <w:rFonts w:ascii="Times New Roman" w:hAnsi="Times New Roman" w:cs="Times New Roman"/>
          <w:sz w:val="24"/>
          <w:szCs w:val="24"/>
        </w:rPr>
        <w:t>una concentración de las mismas</w:t>
      </w:r>
      <w:r>
        <w:rPr>
          <w:rFonts w:ascii="Times New Roman" w:hAnsi="Times New Roman" w:cs="Times New Roman"/>
          <w:sz w:val="24"/>
          <w:szCs w:val="24"/>
        </w:rPr>
        <w:t xml:space="preserve"> </w:t>
      </w:r>
      <w:r w:rsidRPr="00195923">
        <w:rPr>
          <w:rFonts w:ascii="Times New Roman" w:hAnsi="Times New Roman" w:cs="Times New Roman"/>
          <w:sz w:val="24"/>
          <w:szCs w:val="24"/>
        </w:rPr>
        <w:t>en 3 a 4 regiones relacionadas con uso de plaguicidas,</w:t>
      </w:r>
      <w:r>
        <w:rPr>
          <w:rFonts w:ascii="Times New Roman" w:hAnsi="Times New Roman" w:cs="Times New Roman"/>
          <w:sz w:val="24"/>
          <w:szCs w:val="24"/>
        </w:rPr>
        <w:t xml:space="preserve"> </w:t>
      </w:r>
      <w:r w:rsidRPr="00195923">
        <w:rPr>
          <w:rFonts w:ascii="Times New Roman" w:hAnsi="Times New Roman" w:cs="Times New Roman"/>
          <w:sz w:val="24"/>
          <w:szCs w:val="24"/>
        </w:rPr>
        <w:t>repitiéndose dicha situación en casi todas las</w:t>
      </w:r>
      <w:r>
        <w:rPr>
          <w:rFonts w:ascii="Times New Roman" w:hAnsi="Times New Roman" w:cs="Times New Roman"/>
          <w:sz w:val="24"/>
          <w:szCs w:val="24"/>
        </w:rPr>
        <w:t xml:space="preserve"> </w:t>
      </w:r>
      <w:r w:rsidRPr="00195923">
        <w:rPr>
          <w:rFonts w:ascii="Times New Roman" w:hAnsi="Times New Roman" w:cs="Times New Roman"/>
          <w:sz w:val="24"/>
          <w:szCs w:val="24"/>
        </w:rPr>
        <w:t>patologías con concentraciones más altas o</w:t>
      </w:r>
      <w:r>
        <w:rPr>
          <w:rFonts w:ascii="Times New Roman" w:hAnsi="Times New Roman" w:cs="Times New Roman"/>
          <w:sz w:val="24"/>
          <w:szCs w:val="24"/>
        </w:rPr>
        <w:t xml:space="preserve"> </w:t>
      </w:r>
      <w:r w:rsidRPr="00195923">
        <w:rPr>
          <w:rFonts w:ascii="Times New Roman" w:hAnsi="Times New Roman" w:cs="Times New Roman"/>
          <w:sz w:val="24"/>
          <w:szCs w:val="24"/>
        </w:rPr>
        <w:t>intermedias, con posible asociación casual o causal</w:t>
      </w:r>
      <w:r>
        <w:rPr>
          <w:rFonts w:ascii="Times New Roman" w:hAnsi="Times New Roman" w:cs="Times New Roman"/>
          <w:sz w:val="24"/>
          <w:szCs w:val="24"/>
        </w:rPr>
        <w:t xml:space="preserve">. Es así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w:t>
      </w:r>
      <w:r w:rsidRPr="00195923">
        <w:rPr>
          <w:rFonts w:ascii="Times New Roman" w:hAnsi="Times New Roman" w:cs="Times New Roman"/>
          <w:sz w:val="24"/>
          <w:szCs w:val="24"/>
        </w:rPr>
        <w:t>en</w:t>
      </w:r>
      <w:r>
        <w:rPr>
          <w:rFonts w:ascii="Times New Roman" w:hAnsi="Times New Roman" w:cs="Times New Roman"/>
          <w:sz w:val="24"/>
          <w:szCs w:val="24"/>
        </w:rPr>
        <w:t xml:space="preserve"> el departamento de</w:t>
      </w:r>
      <w:r w:rsidRPr="00195923">
        <w:rPr>
          <w:rFonts w:ascii="Times New Roman" w:hAnsi="Times New Roman" w:cs="Times New Roman"/>
          <w:sz w:val="24"/>
          <w:szCs w:val="24"/>
        </w:rPr>
        <w:t xml:space="preserve"> San Pedro, de las 7</w:t>
      </w:r>
      <w:r>
        <w:rPr>
          <w:rFonts w:ascii="Times New Roman" w:hAnsi="Times New Roman" w:cs="Times New Roman"/>
          <w:sz w:val="24"/>
          <w:szCs w:val="24"/>
        </w:rPr>
        <w:t xml:space="preserve"> </w:t>
      </w:r>
      <w:r w:rsidRPr="00195923">
        <w:rPr>
          <w:rFonts w:ascii="Times New Roman" w:hAnsi="Times New Roman" w:cs="Times New Roman"/>
          <w:sz w:val="24"/>
          <w:szCs w:val="24"/>
        </w:rPr>
        <w:t>enfermedades trazadoras revisadas, 3 de ellas</w:t>
      </w:r>
      <w:r>
        <w:rPr>
          <w:rFonts w:ascii="Times New Roman" w:hAnsi="Times New Roman" w:cs="Times New Roman"/>
          <w:sz w:val="24"/>
          <w:szCs w:val="24"/>
        </w:rPr>
        <w:t xml:space="preserve"> </w:t>
      </w:r>
      <w:r w:rsidRPr="00195923">
        <w:rPr>
          <w:rFonts w:ascii="Times New Roman" w:hAnsi="Times New Roman" w:cs="Times New Roman"/>
          <w:sz w:val="24"/>
          <w:szCs w:val="24"/>
        </w:rPr>
        <w:t>(malformaciones congénitas, tumor maligno de</w:t>
      </w:r>
      <w:r>
        <w:rPr>
          <w:rFonts w:ascii="Times New Roman" w:hAnsi="Times New Roman" w:cs="Times New Roman"/>
          <w:sz w:val="24"/>
          <w:szCs w:val="24"/>
        </w:rPr>
        <w:t xml:space="preserve"> </w:t>
      </w:r>
      <w:r w:rsidRPr="00195923">
        <w:rPr>
          <w:rFonts w:ascii="Times New Roman" w:hAnsi="Times New Roman" w:cs="Times New Roman"/>
          <w:sz w:val="24"/>
          <w:szCs w:val="24"/>
        </w:rPr>
        <w:t>encéfalo y páncreas), se encuentran dentro del rango</w:t>
      </w:r>
      <w:r>
        <w:rPr>
          <w:rFonts w:ascii="Times New Roman" w:hAnsi="Times New Roman" w:cs="Times New Roman"/>
          <w:sz w:val="24"/>
          <w:szCs w:val="24"/>
        </w:rPr>
        <w:t xml:space="preserve"> </w:t>
      </w:r>
      <w:r w:rsidRPr="00195923">
        <w:rPr>
          <w:rFonts w:ascii="Times New Roman" w:hAnsi="Times New Roman" w:cs="Times New Roman"/>
          <w:sz w:val="24"/>
          <w:szCs w:val="24"/>
        </w:rPr>
        <w:t>de los registros más altos. Cuatro de ellas (abortos, tumor de testículo,</w:t>
      </w:r>
      <w:r>
        <w:rPr>
          <w:rFonts w:ascii="Times New Roman" w:hAnsi="Times New Roman" w:cs="Times New Roman"/>
          <w:sz w:val="24"/>
          <w:szCs w:val="24"/>
        </w:rPr>
        <w:t xml:space="preserve"> </w:t>
      </w:r>
      <w:r w:rsidRPr="00195923">
        <w:rPr>
          <w:rFonts w:ascii="Times New Roman" w:hAnsi="Times New Roman" w:cs="Times New Roman"/>
          <w:sz w:val="24"/>
          <w:szCs w:val="24"/>
        </w:rPr>
        <w:t xml:space="preserve">linfoma de </w:t>
      </w:r>
      <w:proofErr w:type="spellStart"/>
      <w:r w:rsidRPr="00195923">
        <w:rPr>
          <w:rFonts w:ascii="Times New Roman" w:hAnsi="Times New Roman" w:cs="Times New Roman"/>
          <w:sz w:val="24"/>
          <w:szCs w:val="24"/>
        </w:rPr>
        <w:t>Hodking</w:t>
      </w:r>
      <w:proofErr w:type="spellEnd"/>
      <w:r w:rsidRPr="00195923">
        <w:rPr>
          <w:rFonts w:ascii="Times New Roman" w:hAnsi="Times New Roman" w:cs="Times New Roman"/>
          <w:sz w:val="24"/>
          <w:szCs w:val="24"/>
        </w:rPr>
        <w:t xml:space="preserve"> y No </w:t>
      </w:r>
      <w:proofErr w:type="spellStart"/>
      <w:proofErr w:type="gramStart"/>
      <w:r w:rsidRPr="00195923">
        <w:rPr>
          <w:rFonts w:ascii="Times New Roman" w:hAnsi="Times New Roman" w:cs="Times New Roman"/>
          <w:sz w:val="24"/>
          <w:szCs w:val="24"/>
        </w:rPr>
        <w:t>Hodking</w:t>
      </w:r>
      <w:proofErr w:type="spellEnd"/>
      <w:r w:rsidRPr="00195923">
        <w:rPr>
          <w:rFonts w:ascii="Times New Roman" w:hAnsi="Times New Roman" w:cs="Times New Roman"/>
          <w:sz w:val="24"/>
          <w:szCs w:val="24"/>
        </w:rPr>
        <w:t xml:space="preserve"> ,</w:t>
      </w:r>
      <w:proofErr w:type="gramEnd"/>
      <w:r w:rsidRPr="00195923">
        <w:rPr>
          <w:rFonts w:ascii="Times New Roman" w:hAnsi="Times New Roman" w:cs="Times New Roman"/>
          <w:sz w:val="24"/>
          <w:szCs w:val="24"/>
        </w:rPr>
        <w:t xml:space="preserve"> se encuentra entre</w:t>
      </w:r>
      <w:r>
        <w:rPr>
          <w:rFonts w:ascii="Times New Roman" w:hAnsi="Times New Roman" w:cs="Times New Roman"/>
          <w:sz w:val="24"/>
          <w:szCs w:val="24"/>
        </w:rPr>
        <w:t xml:space="preserve"> </w:t>
      </w:r>
      <w:r w:rsidRPr="00195923">
        <w:rPr>
          <w:rFonts w:ascii="Times New Roman" w:hAnsi="Times New Roman" w:cs="Times New Roman"/>
          <w:sz w:val="24"/>
          <w:szCs w:val="24"/>
        </w:rPr>
        <w:t>los que refieren una carga intermedia.</w:t>
      </w:r>
      <w:r>
        <w:rPr>
          <w:rFonts w:ascii="Times New Roman" w:hAnsi="Times New Roman" w:cs="Times New Roman"/>
          <w:sz w:val="24"/>
          <w:szCs w:val="24"/>
        </w:rPr>
        <w:t xml:space="preserve"> </w:t>
      </w:r>
    </w:p>
    <w:p w14:paraId="4AF8C64E" w14:textId="77777777" w:rsidR="00E11304" w:rsidRDefault="00E11304" w:rsidP="00E11304">
      <w:pPr>
        <w:jc w:val="both"/>
        <w:rPr>
          <w:rFonts w:ascii="Times New Roman" w:hAnsi="Times New Roman" w:cs="Times New Roman"/>
          <w:sz w:val="24"/>
          <w:szCs w:val="24"/>
        </w:rPr>
      </w:pPr>
      <w:r w:rsidRPr="00195923">
        <w:rPr>
          <w:rFonts w:ascii="Times New Roman" w:hAnsi="Times New Roman" w:cs="Times New Roman"/>
          <w:sz w:val="24"/>
          <w:szCs w:val="24"/>
        </w:rPr>
        <w:lastRenderedPageBreak/>
        <w:t>Los otros dos distritos que siguen de cerca a San Pedro</w:t>
      </w:r>
      <w:r>
        <w:rPr>
          <w:rFonts w:ascii="Times New Roman" w:hAnsi="Times New Roman" w:cs="Times New Roman"/>
          <w:sz w:val="24"/>
          <w:szCs w:val="24"/>
        </w:rPr>
        <w:t xml:space="preserve"> </w:t>
      </w:r>
      <w:r w:rsidRPr="00195923">
        <w:rPr>
          <w:rFonts w:ascii="Times New Roman" w:hAnsi="Times New Roman" w:cs="Times New Roman"/>
          <w:sz w:val="24"/>
          <w:szCs w:val="24"/>
        </w:rPr>
        <w:t xml:space="preserve">son Nueva Germania y </w:t>
      </w:r>
      <w:proofErr w:type="spellStart"/>
      <w:r w:rsidRPr="00195923">
        <w:rPr>
          <w:rFonts w:ascii="Times New Roman" w:hAnsi="Times New Roman" w:cs="Times New Roman"/>
          <w:sz w:val="24"/>
          <w:szCs w:val="24"/>
        </w:rPr>
        <w:t>Guayaibi</w:t>
      </w:r>
      <w:proofErr w:type="spellEnd"/>
      <w:r w:rsidRPr="00195923">
        <w:rPr>
          <w:rFonts w:ascii="Times New Roman" w:hAnsi="Times New Roman" w:cs="Times New Roman"/>
          <w:sz w:val="24"/>
          <w:szCs w:val="24"/>
        </w:rPr>
        <w:t>; Nueva Germania se</w:t>
      </w:r>
      <w:r>
        <w:rPr>
          <w:rFonts w:ascii="Times New Roman" w:hAnsi="Times New Roman" w:cs="Times New Roman"/>
          <w:sz w:val="24"/>
          <w:szCs w:val="24"/>
        </w:rPr>
        <w:t xml:space="preserve"> distingue por sus registros más altos</w:t>
      </w:r>
      <w:r w:rsidRPr="00195923">
        <w:rPr>
          <w:rFonts w:ascii="Times New Roman" w:hAnsi="Times New Roman" w:cs="Times New Roman"/>
          <w:sz w:val="24"/>
          <w:szCs w:val="24"/>
        </w:rPr>
        <w:t>, para tres enfermedades</w:t>
      </w:r>
      <w:r>
        <w:rPr>
          <w:rFonts w:ascii="Times New Roman" w:hAnsi="Times New Roman" w:cs="Times New Roman"/>
          <w:sz w:val="24"/>
          <w:szCs w:val="24"/>
        </w:rPr>
        <w:t xml:space="preserve"> </w:t>
      </w:r>
      <w:r w:rsidRPr="00195923">
        <w:rPr>
          <w:rFonts w:ascii="Times New Roman" w:hAnsi="Times New Roman" w:cs="Times New Roman"/>
          <w:sz w:val="24"/>
          <w:szCs w:val="24"/>
        </w:rPr>
        <w:t xml:space="preserve">trazadoras (abortos, linfoma de </w:t>
      </w:r>
      <w:proofErr w:type="spellStart"/>
      <w:r w:rsidRPr="00195923">
        <w:rPr>
          <w:rFonts w:ascii="Times New Roman" w:hAnsi="Times New Roman" w:cs="Times New Roman"/>
          <w:sz w:val="24"/>
          <w:szCs w:val="24"/>
        </w:rPr>
        <w:t>Hodking</w:t>
      </w:r>
      <w:proofErr w:type="spellEnd"/>
      <w:r w:rsidRPr="00195923">
        <w:rPr>
          <w:rFonts w:ascii="Times New Roman" w:hAnsi="Times New Roman" w:cs="Times New Roman"/>
          <w:sz w:val="24"/>
          <w:szCs w:val="24"/>
        </w:rPr>
        <w:t xml:space="preserve"> y no</w:t>
      </w:r>
      <w:r>
        <w:rPr>
          <w:rFonts w:ascii="Times New Roman" w:hAnsi="Times New Roman" w:cs="Times New Roman"/>
          <w:sz w:val="24"/>
          <w:szCs w:val="24"/>
        </w:rPr>
        <w:t xml:space="preserve"> </w:t>
      </w:r>
      <w:proofErr w:type="spellStart"/>
      <w:r w:rsidRPr="00195923">
        <w:rPr>
          <w:rFonts w:ascii="Times New Roman" w:hAnsi="Times New Roman" w:cs="Times New Roman"/>
          <w:sz w:val="24"/>
          <w:szCs w:val="24"/>
        </w:rPr>
        <w:t>Hodking</w:t>
      </w:r>
      <w:proofErr w:type="spellEnd"/>
      <w:r w:rsidRPr="00195923">
        <w:rPr>
          <w:rFonts w:ascii="Times New Roman" w:hAnsi="Times New Roman" w:cs="Times New Roman"/>
          <w:sz w:val="24"/>
          <w:szCs w:val="24"/>
        </w:rPr>
        <w:t xml:space="preserve">) y </w:t>
      </w:r>
      <w:r>
        <w:rPr>
          <w:rFonts w:ascii="Times New Roman" w:hAnsi="Times New Roman" w:cs="Times New Roman"/>
          <w:sz w:val="24"/>
          <w:szCs w:val="24"/>
        </w:rPr>
        <w:t>se sitúa con concentración intermedia para</w:t>
      </w:r>
      <w:r w:rsidRPr="00195923">
        <w:rPr>
          <w:rFonts w:ascii="Times New Roman" w:hAnsi="Times New Roman" w:cs="Times New Roman"/>
          <w:sz w:val="24"/>
          <w:szCs w:val="24"/>
        </w:rPr>
        <w:t xml:space="preserve"> tumores malignos de</w:t>
      </w:r>
      <w:r>
        <w:rPr>
          <w:rFonts w:ascii="Times New Roman" w:hAnsi="Times New Roman" w:cs="Times New Roman"/>
          <w:sz w:val="24"/>
          <w:szCs w:val="24"/>
        </w:rPr>
        <w:t xml:space="preserve"> </w:t>
      </w:r>
      <w:r w:rsidRPr="00195923">
        <w:rPr>
          <w:rFonts w:ascii="Times New Roman" w:hAnsi="Times New Roman" w:cs="Times New Roman"/>
          <w:sz w:val="24"/>
          <w:szCs w:val="24"/>
        </w:rPr>
        <w:t>encéfalo y tumores de testículo. Esto es similar a lo</w:t>
      </w:r>
      <w:r>
        <w:rPr>
          <w:rFonts w:ascii="Times New Roman" w:hAnsi="Times New Roman" w:cs="Times New Roman"/>
          <w:sz w:val="24"/>
          <w:szCs w:val="24"/>
        </w:rPr>
        <w:t xml:space="preserve"> </w:t>
      </w:r>
      <w:r w:rsidRPr="00195923">
        <w:rPr>
          <w:rFonts w:ascii="Times New Roman" w:hAnsi="Times New Roman" w:cs="Times New Roman"/>
          <w:sz w:val="24"/>
          <w:szCs w:val="24"/>
        </w:rPr>
        <w:t xml:space="preserve">que ocurre en el distrito de </w:t>
      </w:r>
      <w:proofErr w:type="spellStart"/>
      <w:r w:rsidRPr="00195923">
        <w:rPr>
          <w:rFonts w:ascii="Times New Roman" w:hAnsi="Times New Roman" w:cs="Times New Roman"/>
          <w:sz w:val="24"/>
          <w:szCs w:val="24"/>
        </w:rPr>
        <w:t>Guayaibi</w:t>
      </w:r>
      <w:proofErr w:type="spellEnd"/>
      <w:r w:rsidRPr="00195923">
        <w:rPr>
          <w:rFonts w:ascii="Times New Roman" w:hAnsi="Times New Roman" w:cs="Times New Roman"/>
          <w:sz w:val="24"/>
          <w:szCs w:val="24"/>
        </w:rPr>
        <w:t xml:space="preserve">, que </w:t>
      </w:r>
      <w:r>
        <w:rPr>
          <w:rFonts w:ascii="Times New Roman" w:hAnsi="Times New Roman" w:cs="Times New Roman"/>
          <w:sz w:val="24"/>
          <w:szCs w:val="24"/>
        </w:rPr>
        <w:t>tiene alta concentración para</w:t>
      </w:r>
      <w:r w:rsidRPr="00195923">
        <w:rPr>
          <w:rFonts w:ascii="Times New Roman" w:hAnsi="Times New Roman" w:cs="Times New Roman"/>
          <w:sz w:val="24"/>
          <w:szCs w:val="24"/>
        </w:rPr>
        <w:t xml:space="preserve"> aborto</w:t>
      </w:r>
      <w:r>
        <w:rPr>
          <w:rFonts w:ascii="Times New Roman" w:hAnsi="Times New Roman" w:cs="Times New Roman"/>
          <w:sz w:val="24"/>
          <w:szCs w:val="24"/>
        </w:rPr>
        <w:t xml:space="preserve">, mientras que posee concentración intermedia para casos de </w:t>
      </w:r>
      <w:r w:rsidRPr="00776B24">
        <w:rPr>
          <w:rFonts w:ascii="Times New Roman" w:hAnsi="Times New Roman" w:cs="Times New Roman"/>
          <w:sz w:val="24"/>
          <w:szCs w:val="24"/>
        </w:rPr>
        <w:t>malformaciones congénitas, tumor de páncreas,</w:t>
      </w:r>
      <w:r>
        <w:rPr>
          <w:rFonts w:ascii="Times New Roman" w:hAnsi="Times New Roman" w:cs="Times New Roman"/>
          <w:sz w:val="24"/>
          <w:szCs w:val="24"/>
        </w:rPr>
        <w:t xml:space="preserve"> </w:t>
      </w:r>
      <w:r w:rsidRPr="00776B24">
        <w:rPr>
          <w:rFonts w:ascii="Times New Roman" w:hAnsi="Times New Roman" w:cs="Times New Roman"/>
          <w:sz w:val="24"/>
          <w:szCs w:val="24"/>
        </w:rPr>
        <w:t xml:space="preserve">testículo y </w:t>
      </w:r>
      <w:proofErr w:type="spellStart"/>
      <w:r w:rsidRPr="00776B24">
        <w:rPr>
          <w:rFonts w:ascii="Times New Roman" w:hAnsi="Times New Roman" w:cs="Times New Roman"/>
          <w:sz w:val="24"/>
          <w:szCs w:val="24"/>
        </w:rPr>
        <w:t>linfona</w:t>
      </w:r>
      <w:proofErr w:type="spellEnd"/>
      <w:r w:rsidRPr="00776B24">
        <w:rPr>
          <w:rFonts w:ascii="Times New Roman" w:hAnsi="Times New Roman" w:cs="Times New Roman"/>
          <w:sz w:val="24"/>
          <w:szCs w:val="24"/>
        </w:rPr>
        <w:t xml:space="preserve"> no </w:t>
      </w:r>
      <w:proofErr w:type="spellStart"/>
      <w:r w:rsidRPr="00776B24">
        <w:rPr>
          <w:rFonts w:ascii="Times New Roman" w:hAnsi="Times New Roman" w:cs="Times New Roman"/>
          <w:sz w:val="24"/>
          <w:szCs w:val="24"/>
        </w:rPr>
        <w:t>Hodking</w:t>
      </w:r>
      <w:proofErr w:type="spellEnd"/>
      <w:r>
        <w:rPr>
          <w:rFonts w:ascii="Times New Roman" w:hAnsi="Times New Roman" w:cs="Times New Roman"/>
          <w:sz w:val="24"/>
          <w:szCs w:val="24"/>
        </w:rPr>
        <w:t>.</w:t>
      </w:r>
    </w:p>
    <w:p w14:paraId="589C4C49" w14:textId="71A1D3AF" w:rsidR="00E11304" w:rsidRDefault="00E11304" w:rsidP="00E11304">
      <w:pPr>
        <w:jc w:val="both"/>
        <w:rPr>
          <w:rFonts w:ascii="Times New Roman" w:hAnsi="Times New Roman" w:cs="Times New Roman"/>
          <w:sz w:val="24"/>
          <w:szCs w:val="24"/>
        </w:rPr>
      </w:pPr>
      <w:r>
        <w:rPr>
          <w:rFonts w:ascii="Times New Roman" w:hAnsi="Times New Roman" w:cs="Times New Roman"/>
          <w:sz w:val="24"/>
          <w:szCs w:val="24"/>
        </w:rPr>
        <w:t xml:space="preserve">Martínez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w:t>
      </w:r>
      <w:hyperlink r:id="rId14" w:history="1">
        <w:r w:rsidRPr="008C6B17">
          <w:rPr>
            <w:rStyle w:val="Hipervnculo"/>
            <w:rFonts w:ascii="Times New Roman" w:hAnsi="Times New Roman" w:cs="Times New Roman"/>
            <w:sz w:val="24"/>
            <w:szCs w:val="24"/>
          </w:rPr>
          <w:t>2022</w:t>
        </w:r>
      </w:hyperlink>
      <w:r>
        <w:rPr>
          <w:rFonts w:ascii="Times New Roman" w:hAnsi="Times New Roman" w:cs="Times New Roman"/>
          <w:sz w:val="24"/>
          <w:szCs w:val="24"/>
        </w:rPr>
        <w:t xml:space="preserve">) al </w:t>
      </w:r>
      <w:r w:rsidRPr="005703A3">
        <w:rPr>
          <w:rFonts w:ascii="Times New Roman" w:hAnsi="Times New Roman" w:cs="Times New Roman"/>
          <w:sz w:val="24"/>
          <w:szCs w:val="24"/>
        </w:rPr>
        <w:t>analizar los factores de riesgo ambientales, parentales y</w:t>
      </w:r>
      <w:r>
        <w:rPr>
          <w:rFonts w:ascii="Times New Roman" w:hAnsi="Times New Roman" w:cs="Times New Roman"/>
          <w:sz w:val="24"/>
          <w:szCs w:val="24"/>
        </w:rPr>
        <w:t xml:space="preserve"> </w:t>
      </w:r>
      <w:r w:rsidRPr="005703A3">
        <w:rPr>
          <w:rFonts w:ascii="Times New Roman" w:hAnsi="Times New Roman" w:cs="Times New Roman"/>
          <w:sz w:val="24"/>
          <w:szCs w:val="24"/>
        </w:rPr>
        <w:t>perinatales de los niños con Leucemia linfoblástica aguda</w:t>
      </w:r>
      <w:r>
        <w:rPr>
          <w:rFonts w:ascii="Times New Roman" w:hAnsi="Times New Roman" w:cs="Times New Roman"/>
          <w:sz w:val="24"/>
          <w:szCs w:val="24"/>
        </w:rPr>
        <w:t xml:space="preserve"> </w:t>
      </w:r>
      <w:r w:rsidRPr="005703A3">
        <w:rPr>
          <w:rFonts w:ascii="Times New Roman" w:hAnsi="Times New Roman" w:cs="Times New Roman"/>
          <w:sz w:val="24"/>
          <w:szCs w:val="24"/>
        </w:rPr>
        <w:t>(LLA) en tratamiento en el servicio de oncología de un</w:t>
      </w:r>
      <w:r>
        <w:rPr>
          <w:rFonts w:ascii="Times New Roman" w:hAnsi="Times New Roman" w:cs="Times New Roman"/>
          <w:sz w:val="24"/>
          <w:szCs w:val="24"/>
        </w:rPr>
        <w:t xml:space="preserve"> </w:t>
      </w:r>
      <w:r w:rsidRPr="005703A3">
        <w:rPr>
          <w:rFonts w:ascii="Times New Roman" w:hAnsi="Times New Roman" w:cs="Times New Roman"/>
          <w:sz w:val="24"/>
          <w:szCs w:val="24"/>
        </w:rPr>
        <w:t>hospital pediátrico</w:t>
      </w:r>
      <w:r>
        <w:rPr>
          <w:rFonts w:ascii="Times New Roman" w:hAnsi="Times New Roman" w:cs="Times New Roman"/>
          <w:sz w:val="24"/>
          <w:szCs w:val="24"/>
        </w:rPr>
        <w:t xml:space="preserve">, mediante un estudio caso-control, </w:t>
      </w:r>
      <w:r w:rsidRPr="005703A3">
        <w:rPr>
          <w:rFonts w:ascii="Times New Roman" w:hAnsi="Times New Roman" w:cs="Times New Roman"/>
          <w:sz w:val="24"/>
          <w:szCs w:val="24"/>
        </w:rPr>
        <w:t>encontr</w:t>
      </w:r>
      <w:r>
        <w:rPr>
          <w:rFonts w:ascii="Times New Roman" w:hAnsi="Times New Roman" w:cs="Times New Roman"/>
          <w:sz w:val="24"/>
          <w:szCs w:val="24"/>
        </w:rPr>
        <w:t>aron</w:t>
      </w:r>
      <w:r w:rsidRPr="005703A3">
        <w:rPr>
          <w:rFonts w:ascii="Times New Roman" w:hAnsi="Times New Roman" w:cs="Times New Roman"/>
          <w:sz w:val="24"/>
          <w:szCs w:val="24"/>
        </w:rPr>
        <w:t xml:space="preserve"> asociación entre la LLA en una</w:t>
      </w:r>
      <w:r>
        <w:rPr>
          <w:rFonts w:ascii="Times New Roman" w:hAnsi="Times New Roman" w:cs="Times New Roman"/>
          <w:sz w:val="24"/>
          <w:szCs w:val="24"/>
        </w:rPr>
        <w:t xml:space="preserve"> </w:t>
      </w:r>
      <w:r w:rsidRPr="005703A3">
        <w:rPr>
          <w:rFonts w:ascii="Times New Roman" w:hAnsi="Times New Roman" w:cs="Times New Roman"/>
          <w:sz w:val="24"/>
          <w:szCs w:val="24"/>
        </w:rPr>
        <w:t>población pediátrica y la residencia en los</w:t>
      </w:r>
      <w:r>
        <w:rPr>
          <w:rFonts w:ascii="Times New Roman" w:hAnsi="Times New Roman" w:cs="Times New Roman"/>
          <w:sz w:val="24"/>
          <w:szCs w:val="24"/>
        </w:rPr>
        <w:t xml:space="preserve"> </w:t>
      </w:r>
      <w:r w:rsidRPr="005703A3">
        <w:rPr>
          <w:rFonts w:ascii="Times New Roman" w:hAnsi="Times New Roman" w:cs="Times New Roman"/>
          <w:sz w:val="24"/>
          <w:szCs w:val="24"/>
        </w:rPr>
        <w:t>departamentos con mayor extensión de cultivos,</w:t>
      </w:r>
      <w:r>
        <w:rPr>
          <w:rFonts w:ascii="Times New Roman" w:hAnsi="Times New Roman" w:cs="Times New Roman"/>
          <w:sz w:val="24"/>
          <w:szCs w:val="24"/>
        </w:rPr>
        <w:t xml:space="preserve"> </w:t>
      </w:r>
      <w:r w:rsidRPr="005703A3">
        <w:rPr>
          <w:rFonts w:ascii="Times New Roman" w:hAnsi="Times New Roman" w:cs="Times New Roman"/>
          <w:sz w:val="24"/>
          <w:szCs w:val="24"/>
        </w:rPr>
        <w:t>principalmente de soja</w:t>
      </w:r>
      <w:r>
        <w:rPr>
          <w:rFonts w:ascii="Times New Roman" w:hAnsi="Times New Roman" w:cs="Times New Roman"/>
          <w:sz w:val="24"/>
          <w:szCs w:val="24"/>
        </w:rPr>
        <w:t xml:space="preserve">. </w:t>
      </w:r>
    </w:p>
    <w:p w14:paraId="39ADF757" w14:textId="44F27D83" w:rsidR="00E11304" w:rsidRPr="0023483F" w:rsidRDefault="00E11304" w:rsidP="00B83293">
      <w:pPr>
        <w:jc w:val="both"/>
        <w:rPr>
          <w:rFonts w:ascii="Times New Roman" w:hAnsi="Times New Roman" w:cs="Times New Roman"/>
          <w:b/>
          <w:bCs/>
          <w:i/>
          <w:iCs/>
          <w:sz w:val="24"/>
          <w:szCs w:val="24"/>
        </w:rPr>
      </w:pPr>
      <w:proofErr w:type="spellStart"/>
      <w:r w:rsidRPr="0023483F">
        <w:rPr>
          <w:rFonts w:ascii="Times New Roman" w:hAnsi="Times New Roman" w:cs="Times New Roman"/>
          <w:b/>
          <w:bCs/>
          <w:i/>
          <w:iCs/>
          <w:sz w:val="24"/>
          <w:szCs w:val="24"/>
        </w:rPr>
        <w:t>Globocan</w:t>
      </w:r>
      <w:proofErr w:type="spellEnd"/>
      <w:r w:rsidRPr="0023483F">
        <w:rPr>
          <w:rFonts w:ascii="Times New Roman" w:hAnsi="Times New Roman" w:cs="Times New Roman"/>
          <w:b/>
          <w:bCs/>
          <w:i/>
          <w:iCs/>
          <w:sz w:val="24"/>
          <w:szCs w:val="24"/>
        </w:rPr>
        <w:t xml:space="preserve"> 2020</w:t>
      </w:r>
      <w:r w:rsidR="00D42004" w:rsidRPr="0023483F">
        <w:rPr>
          <w:rStyle w:val="Refdenotaalpie"/>
          <w:rFonts w:ascii="Times New Roman" w:hAnsi="Times New Roman" w:cs="Times New Roman"/>
          <w:b/>
          <w:bCs/>
          <w:i/>
          <w:iCs/>
          <w:sz w:val="24"/>
          <w:szCs w:val="24"/>
        </w:rPr>
        <w:footnoteReference w:id="1"/>
      </w:r>
    </w:p>
    <w:p w14:paraId="37273677" w14:textId="3C15559D" w:rsidR="00E11304" w:rsidRDefault="00E11304" w:rsidP="00B83293">
      <w:pPr>
        <w:jc w:val="both"/>
        <w:rPr>
          <w:rFonts w:ascii="Times New Roman" w:hAnsi="Times New Roman" w:cs="Times New Roman"/>
          <w:sz w:val="24"/>
          <w:szCs w:val="24"/>
        </w:rPr>
      </w:pPr>
      <w:r>
        <w:rPr>
          <w:rFonts w:ascii="Times New Roman" w:hAnsi="Times New Roman" w:cs="Times New Roman"/>
          <w:sz w:val="24"/>
          <w:szCs w:val="24"/>
        </w:rPr>
        <w:t xml:space="preserve">Según las estimaciones dadas por </w:t>
      </w:r>
      <w:proofErr w:type="spellStart"/>
      <w:r w:rsidR="007C292F">
        <w:rPr>
          <w:rFonts w:ascii="Times New Roman" w:hAnsi="Times New Roman" w:cs="Times New Roman"/>
          <w:sz w:val="24"/>
          <w:szCs w:val="24"/>
        </w:rPr>
        <w:t>G</w:t>
      </w:r>
      <w:r>
        <w:rPr>
          <w:rFonts w:ascii="Times New Roman" w:hAnsi="Times New Roman" w:cs="Times New Roman"/>
          <w:sz w:val="24"/>
          <w:szCs w:val="24"/>
        </w:rPr>
        <w:t>lobocan</w:t>
      </w:r>
      <w:proofErr w:type="spellEnd"/>
      <w:r w:rsidR="001B0D29">
        <w:rPr>
          <w:rFonts w:ascii="Times New Roman" w:hAnsi="Times New Roman" w:cs="Times New Roman"/>
          <w:sz w:val="24"/>
          <w:szCs w:val="24"/>
        </w:rPr>
        <w:t>, en el año</w:t>
      </w:r>
      <w:hyperlink r:id="rId15" w:history="1">
        <w:r w:rsidR="001B0D29" w:rsidRPr="00083AFC">
          <w:rPr>
            <w:rStyle w:val="Hipervnculo"/>
            <w:rFonts w:ascii="Times New Roman" w:hAnsi="Times New Roman" w:cs="Times New Roman"/>
            <w:sz w:val="24"/>
            <w:szCs w:val="24"/>
          </w:rPr>
          <w:t xml:space="preserve"> 2020</w:t>
        </w:r>
      </w:hyperlink>
      <w:r w:rsidR="001B0D29">
        <w:rPr>
          <w:rFonts w:ascii="Times New Roman" w:hAnsi="Times New Roman" w:cs="Times New Roman"/>
          <w:sz w:val="24"/>
          <w:szCs w:val="24"/>
        </w:rPr>
        <w:t>, e</w:t>
      </w:r>
      <w:r w:rsidR="001B0D29" w:rsidRPr="001B0D29">
        <w:rPr>
          <w:rFonts w:ascii="Times New Roman" w:hAnsi="Times New Roman" w:cs="Times New Roman"/>
          <w:sz w:val="24"/>
          <w:szCs w:val="24"/>
        </w:rPr>
        <w:t>n Paraguay el cáncer de cuello uterino ocupó el segundo lugar en incidencia luego del cáncer de mama con 1175 casos de cáncer de cuello uterino, aproximadamente 3 casos diagnosticados por día. Además, es el primero en mortalidad, produciendo 648 muertes unas 2 muertes por día.</w:t>
      </w:r>
      <w:r>
        <w:rPr>
          <w:rFonts w:ascii="Times New Roman" w:hAnsi="Times New Roman" w:cs="Times New Roman"/>
          <w:sz w:val="24"/>
          <w:szCs w:val="24"/>
        </w:rPr>
        <w:t xml:space="preserve"> </w:t>
      </w:r>
      <w:r w:rsidR="00596197">
        <w:rPr>
          <w:rFonts w:ascii="Times New Roman" w:hAnsi="Times New Roman" w:cs="Times New Roman"/>
          <w:sz w:val="24"/>
          <w:szCs w:val="24"/>
        </w:rPr>
        <w:t>E</w:t>
      </w:r>
      <w:r>
        <w:rPr>
          <w:rFonts w:ascii="Times New Roman" w:hAnsi="Times New Roman" w:cs="Times New Roman"/>
          <w:sz w:val="24"/>
          <w:szCs w:val="24"/>
        </w:rPr>
        <w:t>l cáncer de mama en las mujeres y el cáncer de próstata de los varones ocupan la primer</w:t>
      </w:r>
      <w:r w:rsidR="00A26A62">
        <w:rPr>
          <w:rFonts w:ascii="Times New Roman" w:hAnsi="Times New Roman" w:cs="Times New Roman"/>
          <w:sz w:val="24"/>
          <w:szCs w:val="24"/>
        </w:rPr>
        <w:t>a</w:t>
      </w:r>
      <w:r>
        <w:rPr>
          <w:rFonts w:ascii="Times New Roman" w:hAnsi="Times New Roman" w:cs="Times New Roman"/>
          <w:sz w:val="24"/>
          <w:szCs w:val="24"/>
        </w:rPr>
        <w:t xml:space="preserve"> causa. </w:t>
      </w:r>
      <w:r w:rsidR="00EE01F5">
        <w:rPr>
          <w:rFonts w:ascii="Times New Roman" w:hAnsi="Times New Roman" w:cs="Times New Roman"/>
          <w:sz w:val="24"/>
          <w:szCs w:val="24"/>
        </w:rPr>
        <w:t xml:space="preserve">Ambos cánceres pueden ser </w:t>
      </w:r>
      <w:proofErr w:type="spellStart"/>
      <w:r w:rsidR="00EE01F5">
        <w:rPr>
          <w:rFonts w:ascii="Times New Roman" w:hAnsi="Times New Roman" w:cs="Times New Roman"/>
          <w:sz w:val="24"/>
          <w:szCs w:val="24"/>
        </w:rPr>
        <w:t>hormonodependientes</w:t>
      </w:r>
      <w:proofErr w:type="spellEnd"/>
      <w:r w:rsidR="00744DC6">
        <w:rPr>
          <w:rFonts w:ascii="Times New Roman" w:hAnsi="Times New Roman" w:cs="Times New Roman"/>
          <w:sz w:val="24"/>
          <w:szCs w:val="24"/>
        </w:rPr>
        <w:t xml:space="preserve">. </w:t>
      </w:r>
    </w:p>
    <w:p w14:paraId="7E804113" w14:textId="60F3521C" w:rsidR="00B5746C" w:rsidRDefault="00EE01F5" w:rsidP="00652136">
      <w:pPr>
        <w:jc w:val="both"/>
        <w:rPr>
          <w:rFonts w:ascii="Times New Roman" w:hAnsi="Times New Roman" w:cs="Times New Roman"/>
          <w:sz w:val="24"/>
          <w:szCs w:val="24"/>
        </w:rPr>
      </w:pPr>
      <w:r>
        <w:rPr>
          <w:rFonts w:ascii="Times New Roman" w:hAnsi="Times New Roman" w:cs="Times New Roman"/>
          <w:sz w:val="24"/>
          <w:szCs w:val="24"/>
        </w:rPr>
        <w:t xml:space="preserve">Vigilancia de la salud a través de su departamento de enfermedades no transmisibles, describe los números de casos en el departamento </w:t>
      </w:r>
      <w:r w:rsidR="009713F4">
        <w:rPr>
          <w:rFonts w:ascii="Times New Roman" w:hAnsi="Times New Roman" w:cs="Times New Roman"/>
          <w:sz w:val="24"/>
          <w:szCs w:val="24"/>
        </w:rPr>
        <w:t>C</w:t>
      </w:r>
      <w:r>
        <w:rPr>
          <w:rFonts w:ascii="Times New Roman" w:hAnsi="Times New Roman" w:cs="Times New Roman"/>
          <w:sz w:val="24"/>
          <w:szCs w:val="24"/>
        </w:rPr>
        <w:t xml:space="preserve">entral y </w:t>
      </w:r>
      <w:r w:rsidR="009713F4">
        <w:rPr>
          <w:rFonts w:ascii="Times New Roman" w:hAnsi="Times New Roman" w:cs="Times New Roman"/>
          <w:sz w:val="24"/>
          <w:szCs w:val="24"/>
        </w:rPr>
        <w:t>C</w:t>
      </w:r>
      <w:r>
        <w:rPr>
          <w:rFonts w:ascii="Times New Roman" w:hAnsi="Times New Roman" w:cs="Times New Roman"/>
          <w:sz w:val="24"/>
          <w:szCs w:val="24"/>
        </w:rPr>
        <w:t>apital.</w:t>
      </w:r>
    </w:p>
    <w:p w14:paraId="5776E1FC" w14:textId="53E47599" w:rsidR="00EE01F5" w:rsidRPr="0023483F" w:rsidRDefault="00EE01F5" w:rsidP="00652136">
      <w:pPr>
        <w:jc w:val="both"/>
        <w:rPr>
          <w:rFonts w:ascii="Times New Roman" w:hAnsi="Times New Roman" w:cs="Times New Roman"/>
          <w:b/>
          <w:bCs/>
          <w:i/>
          <w:iCs/>
          <w:sz w:val="24"/>
          <w:szCs w:val="24"/>
        </w:rPr>
      </w:pPr>
      <w:r w:rsidRPr="0023483F">
        <w:rPr>
          <w:rFonts w:ascii="Times New Roman" w:hAnsi="Times New Roman" w:cs="Times New Roman"/>
          <w:b/>
          <w:bCs/>
          <w:i/>
          <w:iCs/>
          <w:sz w:val="24"/>
          <w:szCs w:val="24"/>
        </w:rPr>
        <w:t>Intoxicación aguda por plaguicidas</w:t>
      </w:r>
    </w:p>
    <w:p w14:paraId="150C355B" w14:textId="32E15A2C" w:rsidR="00E62832" w:rsidRDefault="00E62832" w:rsidP="00195923">
      <w:pPr>
        <w:jc w:val="both"/>
        <w:rPr>
          <w:rFonts w:ascii="Times New Roman" w:hAnsi="Times New Roman" w:cs="Times New Roman"/>
          <w:sz w:val="24"/>
          <w:szCs w:val="24"/>
        </w:rPr>
      </w:pPr>
      <w:r w:rsidRPr="00E62832">
        <w:rPr>
          <w:rFonts w:ascii="Times New Roman" w:hAnsi="Times New Roman" w:cs="Times New Roman"/>
          <w:sz w:val="24"/>
          <w:szCs w:val="24"/>
        </w:rPr>
        <w:t xml:space="preserve">Pedrozo </w:t>
      </w:r>
      <w:proofErr w:type="spellStart"/>
      <w:r w:rsidRPr="00E62832">
        <w:rPr>
          <w:rFonts w:ascii="Times New Roman" w:hAnsi="Times New Roman" w:cs="Times New Roman"/>
          <w:sz w:val="24"/>
          <w:szCs w:val="24"/>
        </w:rPr>
        <w:t>et.al</w:t>
      </w:r>
      <w:proofErr w:type="spellEnd"/>
      <w:r w:rsidRPr="00E62832">
        <w:rPr>
          <w:rFonts w:ascii="Times New Roman" w:hAnsi="Times New Roman" w:cs="Times New Roman"/>
          <w:sz w:val="24"/>
          <w:szCs w:val="24"/>
        </w:rPr>
        <w:t xml:space="preserve"> (</w:t>
      </w:r>
      <w:hyperlink r:id="rId16" w:history="1">
        <w:r w:rsidRPr="00864E7C">
          <w:rPr>
            <w:rStyle w:val="Hipervnculo"/>
            <w:rFonts w:ascii="Times New Roman" w:hAnsi="Times New Roman" w:cs="Times New Roman"/>
            <w:sz w:val="24"/>
            <w:szCs w:val="24"/>
          </w:rPr>
          <w:t>2017</w:t>
        </w:r>
      </w:hyperlink>
      <w:r w:rsidRPr="00E62832">
        <w:rPr>
          <w:rFonts w:ascii="Times New Roman" w:hAnsi="Times New Roman" w:cs="Times New Roman"/>
          <w:sz w:val="24"/>
          <w:szCs w:val="24"/>
        </w:rPr>
        <w:t xml:space="preserve">) analizan 15 casos de intoxicación aguda en diez mujeres y cinco hombres entre los 5 y los 67 </w:t>
      </w:r>
      <w:r w:rsidR="00596197" w:rsidRPr="00E62832">
        <w:rPr>
          <w:rFonts w:ascii="Times New Roman" w:hAnsi="Times New Roman" w:cs="Times New Roman"/>
          <w:sz w:val="24"/>
          <w:szCs w:val="24"/>
        </w:rPr>
        <w:t>años</w:t>
      </w:r>
      <w:r w:rsidRPr="00E62832">
        <w:rPr>
          <w:rFonts w:ascii="Times New Roman" w:hAnsi="Times New Roman" w:cs="Times New Roman"/>
          <w:sz w:val="24"/>
          <w:szCs w:val="24"/>
        </w:rPr>
        <w:t>, procedentes de una comunidad rural, cuyos síntomas se iniciaron después de haber utilizado el agua contaminada con plaguicidas de la red comunitaria. Los síntomas más frecuentes registrados fueron náuseas y vómito, seguidos de dolor abdominal, cefalea, fiebre, prurito, hiperemia conjuntival y sudoración. En cinco de los pacientes se hizo el hemograma y se midieron los valores de las funciones renal y hepática, así como de la colinesterasa sérica, con resultados dentro de los valores de referencia</w:t>
      </w:r>
      <w:r w:rsidR="009E0736">
        <w:rPr>
          <w:rFonts w:ascii="Times New Roman" w:hAnsi="Times New Roman" w:cs="Times New Roman"/>
          <w:sz w:val="24"/>
          <w:szCs w:val="24"/>
        </w:rPr>
        <w:t xml:space="preserve">, se aclara que las muestras fueron tomadas muy tardíamente, entre el 5-6 día </w:t>
      </w:r>
      <w:r w:rsidR="006645A6">
        <w:rPr>
          <w:rFonts w:ascii="Times New Roman" w:hAnsi="Times New Roman" w:cs="Times New Roman"/>
          <w:sz w:val="24"/>
          <w:szCs w:val="24"/>
        </w:rPr>
        <w:t>de iniciado los síntomas</w:t>
      </w:r>
      <w:r w:rsidRPr="00E62832">
        <w:rPr>
          <w:rFonts w:ascii="Times New Roman" w:hAnsi="Times New Roman" w:cs="Times New Roman"/>
          <w:sz w:val="24"/>
          <w:szCs w:val="24"/>
        </w:rPr>
        <w:t xml:space="preserve">; solo uno de los afectados presentó alteración de las enzimas hepáticas. Asimismo, en dos muestras de agua de la red comunitaria, se detectó un compuesto organofosforado cuyo ingrediente activo era el </w:t>
      </w:r>
      <w:proofErr w:type="spellStart"/>
      <w:r w:rsidRPr="00E62832">
        <w:rPr>
          <w:rFonts w:ascii="Times New Roman" w:hAnsi="Times New Roman" w:cs="Times New Roman"/>
          <w:sz w:val="24"/>
          <w:szCs w:val="24"/>
        </w:rPr>
        <w:t>profenofos</w:t>
      </w:r>
      <w:proofErr w:type="spellEnd"/>
      <w:r w:rsidRPr="00E62832">
        <w:rPr>
          <w:rFonts w:ascii="Times New Roman" w:hAnsi="Times New Roman" w:cs="Times New Roman"/>
          <w:sz w:val="24"/>
          <w:szCs w:val="24"/>
        </w:rPr>
        <w:t>.</w:t>
      </w:r>
      <w:r w:rsidR="00EE01F5">
        <w:rPr>
          <w:rFonts w:ascii="Times New Roman" w:hAnsi="Times New Roman" w:cs="Times New Roman"/>
          <w:sz w:val="24"/>
          <w:szCs w:val="24"/>
        </w:rPr>
        <w:t xml:space="preserve"> </w:t>
      </w:r>
    </w:p>
    <w:p w14:paraId="7E2383CF" w14:textId="5447A728" w:rsidR="00961B49" w:rsidRDefault="00961B49" w:rsidP="00195923">
      <w:pPr>
        <w:jc w:val="both"/>
        <w:rPr>
          <w:rFonts w:ascii="Times New Roman" w:hAnsi="Times New Roman" w:cs="Times New Roman"/>
          <w:sz w:val="24"/>
          <w:szCs w:val="24"/>
        </w:rPr>
      </w:pPr>
      <w:r w:rsidRPr="00A91064">
        <w:rPr>
          <w:rFonts w:ascii="Times New Roman" w:hAnsi="Times New Roman" w:cs="Times New Roman"/>
          <w:sz w:val="24"/>
          <w:szCs w:val="24"/>
        </w:rPr>
        <w:t>El Centro Nacional de Toxicología</w:t>
      </w:r>
      <w:r w:rsidR="00596197">
        <w:rPr>
          <w:rFonts w:ascii="Times New Roman" w:hAnsi="Times New Roman" w:cs="Times New Roman"/>
          <w:sz w:val="24"/>
          <w:szCs w:val="24"/>
        </w:rPr>
        <w:t xml:space="preserve"> (</w:t>
      </w:r>
      <w:proofErr w:type="spellStart"/>
      <w:r w:rsidR="00596197">
        <w:rPr>
          <w:rFonts w:ascii="Times New Roman" w:hAnsi="Times New Roman" w:cs="Times New Roman"/>
          <w:sz w:val="24"/>
          <w:szCs w:val="24"/>
        </w:rPr>
        <w:t>Cntox</w:t>
      </w:r>
      <w:proofErr w:type="spellEnd"/>
      <w:r w:rsidR="00596197">
        <w:rPr>
          <w:rFonts w:ascii="Times New Roman" w:hAnsi="Times New Roman" w:cs="Times New Roman"/>
          <w:sz w:val="24"/>
          <w:szCs w:val="24"/>
        </w:rPr>
        <w:t>)</w:t>
      </w:r>
      <w:r w:rsidRPr="00A91064">
        <w:rPr>
          <w:rFonts w:ascii="Times New Roman" w:hAnsi="Times New Roman" w:cs="Times New Roman"/>
          <w:sz w:val="24"/>
          <w:szCs w:val="24"/>
        </w:rPr>
        <w:t xml:space="preserve"> posee datos de pacientes internados en dicho centro y no cubre la información de todo el país</w:t>
      </w:r>
      <w:r w:rsidR="00A91064">
        <w:rPr>
          <w:rFonts w:ascii="Times New Roman" w:hAnsi="Times New Roman" w:cs="Times New Roman"/>
          <w:sz w:val="24"/>
          <w:szCs w:val="24"/>
        </w:rPr>
        <w:t>.</w:t>
      </w:r>
    </w:p>
    <w:p w14:paraId="757DDB23" w14:textId="6B5C501D" w:rsidR="0008562F" w:rsidRDefault="0008562F" w:rsidP="002E7832">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Leite</w:t>
      </w:r>
      <w:proofErr w:type="spellEnd"/>
      <w:r>
        <w:rPr>
          <w:rFonts w:ascii="Times New Roman" w:hAnsi="Times New Roman" w:cs="Times New Roman"/>
          <w:sz w:val="24"/>
          <w:szCs w:val="24"/>
        </w:rPr>
        <w:t>; Corvalán (</w:t>
      </w:r>
      <w:hyperlink r:id="rId17" w:history="1">
        <w:r w:rsidRPr="00130B44">
          <w:rPr>
            <w:rStyle w:val="Hipervnculo"/>
            <w:rFonts w:ascii="Times New Roman" w:hAnsi="Times New Roman" w:cs="Times New Roman"/>
            <w:sz w:val="24"/>
            <w:szCs w:val="24"/>
          </w:rPr>
          <w:t>2018</w:t>
        </w:r>
      </w:hyperlink>
      <w:r>
        <w:rPr>
          <w:rFonts w:ascii="Times New Roman" w:hAnsi="Times New Roman" w:cs="Times New Roman"/>
          <w:sz w:val="24"/>
          <w:szCs w:val="24"/>
        </w:rPr>
        <w:t>)</w:t>
      </w:r>
      <w:r w:rsidRPr="0008562F">
        <w:rPr>
          <w:rFonts w:ascii="Times New Roman" w:hAnsi="Times New Roman" w:cs="Times New Roman"/>
          <w:sz w:val="24"/>
          <w:szCs w:val="24"/>
        </w:rPr>
        <w:t xml:space="preserve"> an</w:t>
      </w:r>
      <w:r>
        <w:rPr>
          <w:rFonts w:ascii="Times New Roman" w:hAnsi="Times New Roman" w:cs="Times New Roman"/>
          <w:sz w:val="24"/>
          <w:szCs w:val="24"/>
        </w:rPr>
        <w:t>alizan</w:t>
      </w:r>
      <w:r w:rsidRPr="0008562F">
        <w:rPr>
          <w:rFonts w:ascii="Times New Roman" w:hAnsi="Times New Roman" w:cs="Times New Roman"/>
          <w:sz w:val="24"/>
          <w:szCs w:val="24"/>
        </w:rPr>
        <w:t xml:space="preserve"> estudios</w:t>
      </w:r>
      <w:r>
        <w:rPr>
          <w:rFonts w:ascii="Times New Roman" w:hAnsi="Times New Roman" w:cs="Times New Roman"/>
          <w:sz w:val="24"/>
          <w:szCs w:val="24"/>
        </w:rPr>
        <w:t xml:space="preserve"> publicados</w:t>
      </w:r>
      <w:r w:rsidR="002E7832">
        <w:rPr>
          <w:rFonts w:ascii="Times New Roman" w:hAnsi="Times New Roman" w:cs="Times New Roman"/>
          <w:sz w:val="24"/>
          <w:szCs w:val="24"/>
        </w:rPr>
        <w:t xml:space="preserve"> en el país</w:t>
      </w:r>
      <w:r>
        <w:rPr>
          <w:rFonts w:ascii="Times New Roman" w:hAnsi="Times New Roman" w:cs="Times New Roman"/>
          <w:sz w:val="24"/>
          <w:szCs w:val="24"/>
        </w:rPr>
        <w:t xml:space="preserve"> </w:t>
      </w:r>
      <w:r w:rsidRPr="0008562F">
        <w:rPr>
          <w:rFonts w:ascii="Times New Roman" w:hAnsi="Times New Roman" w:cs="Times New Roman"/>
          <w:sz w:val="24"/>
          <w:szCs w:val="24"/>
        </w:rPr>
        <w:t>sobre poblaciones expuestas a sustancias tóxicas en</w:t>
      </w:r>
      <w:r>
        <w:rPr>
          <w:rFonts w:ascii="Times New Roman" w:hAnsi="Times New Roman" w:cs="Times New Roman"/>
          <w:sz w:val="24"/>
          <w:szCs w:val="24"/>
        </w:rPr>
        <w:t xml:space="preserve"> </w:t>
      </w:r>
      <w:r w:rsidRPr="0008562F">
        <w:rPr>
          <w:rFonts w:ascii="Times New Roman" w:hAnsi="Times New Roman" w:cs="Times New Roman"/>
          <w:sz w:val="24"/>
          <w:szCs w:val="24"/>
        </w:rPr>
        <w:t>diferentes contextos</w:t>
      </w:r>
      <w:r w:rsidR="002E7832">
        <w:rPr>
          <w:rFonts w:ascii="Times New Roman" w:hAnsi="Times New Roman" w:cs="Times New Roman"/>
          <w:sz w:val="24"/>
          <w:szCs w:val="24"/>
        </w:rPr>
        <w:t>. Constatan que en todas las publicaciones</w:t>
      </w:r>
      <w:r w:rsidR="002E7832" w:rsidRPr="002E7832">
        <w:rPr>
          <w:rFonts w:ascii="Times New Roman" w:hAnsi="Times New Roman" w:cs="Times New Roman"/>
          <w:sz w:val="24"/>
          <w:szCs w:val="24"/>
        </w:rPr>
        <w:t xml:space="preserve"> se encuentran poblaciones expuestas</w:t>
      </w:r>
      <w:r w:rsidR="002E7832">
        <w:rPr>
          <w:rFonts w:ascii="Times New Roman" w:hAnsi="Times New Roman" w:cs="Times New Roman"/>
          <w:sz w:val="24"/>
          <w:szCs w:val="24"/>
        </w:rPr>
        <w:t xml:space="preserve"> a sustancias tóxicas,</w:t>
      </w:r>
      <w:r w:rsidR="002E7832" w:rsidRPr="002E7832">
        <w:rPr>
          <w:rFonts w:ascii="Times New Roman" w:hAnsi="Times New Roman" w:cs="Times New Roman"/>
          <w:sz w:val="24"/>
          <w:szCs w:val="24"/>
        </w:rPr>
        <w:t xml:space="preserve"> sin</w:t>
      </w:r>
      <w:r w:rsidR="002E7832">
        <w:rPr>
          <w:rFonts w:ascii="Times New Roman" w:hAnsi="Times New Roman" w:cs="Times New Roman"/>
          <w:sz w:val="24"/>
          <w:szCs w:val="24"/>
        </w:rPr>
        <w:t xml:space="preserve"> </w:t>
      </w:r>
      <w:r w:rsidR="002E7832" w:rsidRPr="002E7832">
        <w:rPr>
          <w:rFonts w:ascii="Times New Roman" w:hAnsi="Times New Roman" w:cs="Times New Roman"/>
          <w:sz w:val="24"/>
          <w:szCs w:val="24"/>
        </w:rPr>
        <w:t>protección alguna, y cuando dichas</w:t>
      </w:r>
      <w:r w:rsidR="002E7832">
        <w:rPr>
          <w:rFonts w:ascii="Times New Roman" w:hAnsi="Times New Roman" w:cs="Times New Roman"/>
          <w:sz w:val="24"/>
          <w:szCs w:val="24"/>
        </w:rPr>
        <w:t xml:space="preserve"> </w:t>
      </w:r>
      <w:r w:rsidR="002E7832" w:rsidRPr="002E7832">
        <w:rPr>
          <w:rFonts w:ascii="Times New Roman" w:hAnsi="Times New Roman" w:cs="Times New Roman"/>
          <w:sz w:val="24"/>
          <w:szCs w:val="24"/>
        </w:rPr>
        <w:t>sustancias forman parte de un paquete tecnológico</w:t>
      </w:r>
      <w:r w:rsidR="002E7832">
        <w:rPr>
          <w:rFonts w:ascii="Times New Roman" w:hAnsi="Times New Roman" w:cs="Times New Roman"/>
          <w:sz w:val="24"/>
          <w:szCs w:val="24"/>
        </w:rPr>
        <w:t xml:space="preserve"> </w:t>
      </w:r>
      <w:r w:rsidR="002E7832" w:rsidRPr="002E7832">
        <w:rPr>
          <w:rFonts w:ascii="Times New Roman" w:hAnsi="Times New Roman" w:cs="Times New Roman"/>
          <w:sz w:val="24"/>
          <w:szCs w:val="24"/>
        </w:rPr>
        <w:t>asociado con el monocultivo de la soja transgénica,</w:t>
      </w:r>
      <w:r w:rsidR="002E7832">
        <w:rPr>
          <w:rFonts w:ascii="Times New Roman" w:hAnsi="Times New Roman" w:cs="Times New Roman"/>
          <w:sz w:val="24"/>
          <w:szCs w:val="24"/>
        </w:rPr>
        <w:t xml:space="preserve"> </w:t>
      </w:r>
      <w:r w:rsidR="002E7832" w:rsidRPr="002E7832">
        <w:rPr>
          <w:rFonts w:ascii="Times New Roman" w:hAnsi="Times New Roman" w:cs="Times New Roman"/>
          <w:sz w:val="24"/>
          <w:szCs w:val="24"/>
        </w:rPr>
        <w:t>incluso, se registran una serie de violaciones de</w:t>
      </w:r>
      <w:r w:rsidR="002E7832">
        <w:rPr>
          <w:rFonts w:ascii="Times New Roman" w:hAnsi="Times New Roman" w:cs="Times New Roman"/>
          <w:sz w:val="24"/>
          <w:szCs w:val="24"/>
        </w:rPr>
        <w:t xml:space="preserve"> </w:t>
      </w:r>
      <w:r w:rsidR="002E7832" w:rsidRPr="002E7832">
        <w:rPr>
          <w:rFonts w:ascii="Times New Roman" w:hAnsi="Times New Roman" w:cs="Times New Roman"/>
          <w:sz w:val="24"/>
          <w:szCs w:val="24"/>
        </w:rPr>
        <w:t>derechos humanos básicos, sin que las autoridades</w:t>
      </w:r>
      <w:r w:rsidR="002E7832">
        <w:rPr>
          <w:rFonts w:ascii="Times New Roman" w:hAnsi="Times New Roman" w:cs="Times New Roman"/>
          <w:sz w:val="24"/>
          <w:szCs w:val="24"/>
        </w:rPr>
        <w:t xml:space="preserve"> </w:t>
      </w:r>
      <w:r w:rsidR="002E7832" w:rsidRPr="002E7832">
        <w:rPr>
          <w:rFonts w:ascii="Times New Roman" w:hAnsi="Times New Roman" w:cs="Times New Roman"/>
          <w:sz w:val="24"/>
          <w:szCs w:val="24"/>
        </w:rPr>
        <w:t>responsables de garantizar el cumplimiento de normas</w:t>
      </w:r>
      <w:r w:rsidR="002E7832">
        <w:rPr>
          <w:rFonts w:ascii="Times New Roman" w:hAnsi="Times New Roman" w:cs="Times New Roman"/>
          <w:sz w:val="24"/>
          <w:szCs w:val="24"/>
        </w:rPr>
        <w:t xml:space="preserve"> </w:t>
      </w:r>
      <w:r w:rsidR="002E7832" w:rsidRPr="002E7832">
        <w:rPr>
          <w:rFonts w:ascii="Times New Roman" w:hAnsi="Times New Roman" w:cs="Times New Roman"/>
          <w:sz w:val="24"/>
          <w:szCs w:val="24"/>
        </w:rPr>
        <w:t>mínimas actúen para proteger dichos derechos</w:t>
      </w:r>
      <w:r w:rsidR="002E7832">
        <w:rPr>
          <w:rFonts w:ascii="Times New Roman" w:hAnsi="Times New Roman" w:cs="Times New Roman"/>
          <w:sz w:val="24"/>
          <w:szCs w:val="24"/>
        </w:rPr>
        <w:t xml:space="preserve"> </w:t>
      </w:r>
      <w:r w:rsidR="002E7832" w:rsidRPr="002E7832">
        <w:rPr>
          <w:rFonts w:ascii="Times New Roman" w:hAnsi="Times New Roman" w:cs="Times New Roman"/>
          <w:sz w:val="24"/>
          <w:szCs w:val="24"/>
        </w:rPr>
        <w:t>constitucionalmente reconocidos.</w:t>
      </w:r>
    </w:p>
    <w:p w14:paraId="4BA49C63" w14:textId="2EBC90EB" w:rsidR="00B5746C" w:rsidRPr="00B5746C" w:rsidRDefault="00B5746C" w:rsidP="002E7832">
      <w:pPr>
        <w:jc w:val="both"/>
        <w:rPr>
          <w:rFonts w:ascii="Times New Roman" w:hAnsi="Times New Roman" w:cs="Times New Roman"/>
          <w:b/>
          <w:bCs/>
          <w:i/>
          <w:iCs/>
          <w:sz w:val="24"/>
          <w:szCs w:val="24"/>
        </w:rPr>
      </w:pPr>
      <w:r w:rsidRPr="00B5746C">
        <w:rPr>
          <w:rFonts w:ascii="Times New Roman" w:hAnsi="Times New Roman" w:cs="Times New Roman"/>
          <w:b/>
          <w:bCs/>
          <w:i/>
          <w:iCs/>
          <w:sz w:val="24"/>
          <w:szCs w:val="24"/>
        </w:rPr>
        <w:t>Vulneración de derechos</w:t>
      </w:r>
    </w:p>
    <w:p w14:paraId="1310474A" w14:textId="184D7E57" w:rsidR="00B5746C" w:rsidRDefault="00B5746C" w:rsidP="002E7832">
      <w:pPr>
        <w:jc w:val="both"/>
        <w:rPr>
          <w:rFonts w:ascii="Times New Roman" w:hAnsi="Times New Roman" w:cs="Times New Roman"/>
          <w:sz w:val="24"/>
          <w:szCs w:val="24"/>
        </w:rPr>
      </w:pPr>
      <w:proofErr w:type="spellStart"/>
      <w:r w:rsidRPr="00B5746C">
        <w:rPr>
          <w:rFonts w:ascii="Times New Roman" w:hAnsi="Times New Roman" w:cs="Times New Roman"/>
          <w:sz w:val="24"/>
          <w:szCs w:val="24"/>
        </w:rPr>
        <w:t>Leite</w:t>
      </w:r>
      <w:proofErr w:type="spellEnd"/>
      <w:r w:rsidRPr="00B5746C">
        <w:rPr>
          <w:rFonts w:ascii="Times New Roman" w:hAnsi="Times New Roman" w:cs="Times New Roman"/>
          <w:sz w:val="24"/>
          <w:szCs w:val="24"/>
        </w:rPr>
        <w:t xml:space="preserve"> </w:t>
      </w:r>
      <w:proofErr w:type="spellStart"/>
      <w:r w:rsidRPr="00B5746C">
        <w:rPr>
          <w:rFonts w:ascii="Times New Roman" w:hAnsi="Times New Roman" w:cs="Times New Roman"/>
          <w:sz w:val="24"/>
          <w:szCs w:val="24"/>
        </w:rPr>
        <w:t>et.al</w:t>
      </w:r>
      <w:proofErr w:type="spellEnd"/>
      <w:r w:rsidRPr="00B5746C">
        <w:rPr>
          <w:rFonts w:ascii="Times New Roman" w:hAnsi="Times New Roman" w:cs="Times New Roman"/>
          <w:sz w:val="24"/>
          <w:szCs w:val="24"/>
        </w:rPr>
        <w:t xml:space="preserve"> (</w:t>
      </w:r>
      <w:hyperlink r:id="rId18" w:history="1">
        <w:r w:rsidRPr="00083AFC">
          <w:rPr>
            <w:rStyle w:val="Hipervnculo"/>
            <w:rFonts w:ascii="Times New Roman" w:hAnsi="Times New Roman" w:cs="Times New Roman"/>
            <w:sz w:val="24"/>
            <w:szCs w:val="24"/>
          </w:rPr>
          <w:t>2016</w:t>
        </w:r>
      </w:hyperlink>
      <w:r w:rsidRPr="00B5746C">
        <w:rPr>
          <w:rFonts w:ascii="Times New Roman" w:hAnsi="Times New Roman" w:cs="Times New Roman"/>
          <w:sz w:val="24"/>
          <w:szCs w:val="24"/>
        </w:rPr>
        <w:t>) publican un estudio sobre derechos vulnerados en población campesina expuesta al cultivo de soja transgénica que tuvo como objetivo indagar las condiciones de riesgo de exposición a pesticidas en población dedicada al cultivo de subsistencia y rodeada por cultivos OGM a través del análisis de cumplimiento de obligaciones estatales para garantizar derechos básicos. Se constató que la población campesina estudiada tiene riesgo de exposición permanente a pesticidas en un contexto de violación reiterada de derechos humanos. Las fumigaciones aéreas se efectúan sin que se tengan en cuenta las condiciones climáticas, tampoco la población es avisada ni fue capacitada en el conocimiento y manejo de agroquímicos. Se describe manejo irregular en la conservación inadecuada de envases, falta de uso de equipo adecuado de fumigación, lavado de ropas y resguardo de niños dentro del hogar durante fumigaciones masivas.</w:t>
      </w:r>
    </w:p>
    <w:p w14:paraId="7765FABA" w14:textId="65AF60EC" w:rsidR="00E62832" w:rsidRPr="006E0C81" w:rsidRDefault="00A617D3" w:rsidP="005703A3">
      <w:pPr>
        <w:jc w:val="both"/>
        <w:rPr>
          <w:rFonts w:ascii="Times New Roman" w:hAnsi="Times New Roman" w:cs="Times New Roman"/>
          <w:b/>
          <w:bCs/>
          <w:sz w:val="24"/>
          <w:szCs w:val="24"/>
        </w:rPr>
      </w:pPr>
      <w:r w:rsidRPr="006E0C81">
        <w:rPr>
          <w:rFonts w:ascii="Times New Roman" w:hAnsi="Times New Roman" w:cs="Times New Roman"/>
          <w:b/>
          <w:bCs/>
          <w:sz w:val="24"/>
          <w:szCs w:val="24"/>
        </w:rPr>
        <w:t>Sobre el marco</w:t>
      </w:r>
      <w:r w:rsidR="009C5BD8" w:rsidRPr="006E0C81">
        <w:rPr>
          <w:rFonts w:ascii="Times New Roman" w:hAnsi="Times New Roman" w:cs="Times New Roman"/>
          <w:b/>
          <w:bCs/>
          <w:sz w:val="24"/>
          <w:szCs w:val="24"/>
        </w:rPr>
        <w:t xml:space="preserve"> institucional</w:t>
      </w:r>
    </w:p>
    <w:p w14:paraId="4DD58F37" w14:textId="73EA4121" w:rsidR="00CE604C" w:rsidRDefault="00AA48B9" w:rsidP="005703A3">
      <w:pPr>
        <w:jc w:val="both"/>
        <w:rPr>
          <w:rFonts w:ascii="Times New Roman" w:hAnsi="Times New Roman" w:cs="Times New Roman"/>
          <w:sz w:val="24"/>
          <w:szCs w:val="24"/>
        </w:rPr>
      </w:pPr>
      <w:r>
        <w:rPr>
          <w:rFonts w:ascii="Times New Roman" w:hAnsi="Times New Roman" w:cs="Times New Roman"/>
          <w:sz w:val="24"/>
          <w:szCs w:val="24"/>
        </w:rPr>
        <w:t xml:space="preserve">En cuanto al marco institucional, debe señalarse que la Ley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1032/1996 “Que crea el Sistema Nacional de Salud”, </w:t>
      </w:r>
      <w:r w:rsidR="00DC30FE">
        <w:rPr>
          <w:rFonts w:ascii="Times New Roman" w:hAnsi="Times New Roman" w:cs="Times New Roman"/>
          <w:sz w:val="24"/>
          <w:szCs w:val="24"/>
        </w:rPr>
        <w:t>y</w:t>
      </w:r>
      <w:r>
        <w:rPr>
          <w:rFonts w:ascii="Times New Roman" w:hAnsi="Times New Roman" w:cs="Times New Roman"/>
          <w:sz w:val="24"/>
          <w:szCs w:val="24"/>
        </w:rPr>
        <w:t xml:space="preserve"> </w:t>
      </w:r>
      <w:r w:rsidR="00DC30FE">
        <w:rPr>
          <w:rFonts w:ascii="Times New Roman" w:hAnsi="Times New Roman" w:cs="Times New Roman"/>
          <w:sz w:val="24"/>
          <w:szCs w:val="24"/>
        </w:rPr>
        <w:t>su</w:t>
      </w:r>
      <w:r>
        <w:rPr>
          <w:rFonts w:ascii="Times New Roman" w:hAnsi="Times New Roman" w:cs="Times New Roman"/>
          <w:sz w:val="24"/>
          <w:szCs w:val="24"/>
        </w:rPr>
        <w:t xml:space="preserve"> Decreto Reglamentario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19996/1998</w:t>
      </w:r>
      <w:r w:rsidR="00DC30FE">
        <w:rPr>
          <w:rFonts w:ascii="Times New Roman" w:hAnsi="Times New Roman" w:cs="Times New Roman"/>
          <w:sz w:val="24"/>
          <w:szCs w:val="24"/>
        </w:rPr>
        <w:t xml:space="preserve"> apuntaron a la autogestión municipal como alternativa ante un proceso de desfinanciación central que experimentaba el Estado fundamentalmente a partir de la década del 90 del pasado siglo</w:t>
      </w:r>
      <w:r w:rsidR="00374569">
        <w:rPr>
          <w:rFonts w:ascii="Times New Roman" w:hAnsi="Times New Roman" w:cs="Times New Roman"/>
          <w:sz w:val="24"/>
          <w:szCs w:val="24"/>
        </w:rPr>
        <w:t>. En ese contexto, desde el marco normativo se opta por otorgar competencias a los municipios para la administración de los servicios sanitarios públicos, incluyendo la vigilancia sanitaria y epidemiológica local. Se destaca que estas últimas funciones rectoras en la práctica no llegaron a ser asumidas (</w:t>
      </w:r>
      <w:hyperlink r:id="rId19" w:history="1">
        <w:r w:rsidR="00374569" w:rsidRPr="00452C8A">
          <w:rPr>
            <w:rStyle w:val="Hipervnculo"/>
            <w:rFonts w:ascii="Times New Roman" w:hAnsi="Times New Roman" w:cs="Times New Roman"/>
            <w:sz w:val="24"/>
            <w:szCs w:val="24"/>
          </w:rPr>
          <w:t>Martínez, M.M.; Pereira, PL., 2020</w:t>
        </w:r>
      </w:hyperlink>
      <w:r w:rsidR="00374569">
        <w:rPr>
          <w:rFonts w:ascii="Times New Roman" w:hAnsi="Times New Roman" w:cs="Times New Roman"/>
          <w:sz w:val="24"/>
          <w:szCs w:val="24"/>
        </w:rPr>
        <w:t>).</w:t>
      </w:r>
    </w:p>
    <w:p w14:paraId="7D3E6421" w14:textId="19281661" w:rsidR="006F52B8" w:rsidRDefault="006F52B8" w:rsidP="0047215D">
      <w:pPr>
        <w:jc w:val="both"/>
        <w:rPr>
          <w:rFonts w:ascii="Times New Roman" w:hAnsi="Times New Roman" w:cs="Times New Roman"/>
          <w:sz w:val="24"/>
          <w:szCs w:val="24"/>
        </w:rPr>
      </w:pPr>
      <w:r>
        <w:rPr>
          <w:rFonts w:ascii="Times New Roman" w:hAnsi="Times New Roman" w:cs="Times New Roman"/>
          <w:sz w:val="24"/>
          <w:szCs w:val="24"/>
        </w:rPr>
        <w:t>En este contexto</w:t>
      </w:r>
      <w:r w:rsidR="00E24E00">
        <w:rPr>
          <w:rFonts w:ascii="Times New Roman" w:hAnsi="Times New Roman" w:cs="Times New Roman"/>
          <w:sz w:val="24"/>
          <w:szCs w:val="24"/>
        </w:rPr>
        <w:t>, en el 2008 se aprobó las “Políticas públicas para la calidad de vida y salud con equidad” bajo los principios de universalidad, integralidad, participación social e interculturalidad. También se aprobó la estrategia de atención Primaria de la Salud (APS), con un objetivo inicial de llegar a 1.300 Unidades de Salud Familiar (USF</w:t>
      </w:r>
      <w:proofErr w:type="gramStart"/>
      <w:r w:rsidR="00E24E00">
        <w:rPr>
          <w:rFonts w:ascii="Times New Roman" w:hAnsi="Times New Roman" w:cs="Times New Roman"/>
          <w:sz w:val="24"/>
          <w:szCs w:val="24"/>
        </w:rPr>
        <w:t>) ,</w:t>
      </w:r>
      <w:proofErr w:type="gramEnd"/>
      <w:r w:rsidR="00E24E00">
        <w:rPr>
          <w:rFonts w:ascii="Times New Roman" w:hAnsi="Times New Roman" w:cs="Times New Roman"/>
          <w:sz w:val="24"/>
          <w:szCs w:val="24"/>
        </w:rPr>
        <w:t xml:space="preserve"> entre otros. Así, entre 2008 y 2012 se crearon 704 </w:t>
      </w:r>
      <w:proofErr w:type="gramStart"/>
      <w:r w:rsidR="00E24E00">
        <w:rPr>
          <w:rFonts w:ascii="Times New Roman" w:hAnsi="Times New Roman" w:cs="Times New Roman"/>
          <w:sz w:val="24"/>
          <w:szCs w:val="24"/>
        </w:rPr>
        <w:t>USF</w:t>
      </w:r>
      <w:proofErr w:type="gramEnd"/>
      <w:r w:rsidR="00E24E00">
        <w:rPr>
          <w:rFonts w:ascii="Times New Roman" w:hAnsi="Times New Roman" w:cs="Times New Roman"/>
          <w:sz w:val="24"/>
          <w:szCs w:val="24"/>
        </w:rPr>
        <w:t xml:space="preserve"> pero luego, y hasta el 2019 se registró una desaceleración y precarización de esta estrategia. Una investigación desarrollada en el marco de la pandemia del COVID 19 </w:t>
      </w:r>
      <w:r w:rsidR="0047215D">
        <w:rPr>
          <w:rFonts w:ascii="Times New Roman" w:hAnsi="Times New Roman" w:cs="Times New Roman"/>
          <w:sz w:val="24"/>
          <w:szCs w:val="24"/>
        </w:rPr>
        <w:t>constató precisamente que “</w:t>
      </w:r>
      <w:r w:rsidR="0047215D" w:rsidRPr="0047215D">
        <w:rPr>
          <w:rFonts w:ascii="Times New Roman" w:hAnsi="Times New Roman" w:cs="Times New Roman"/>
          <w:sz w:val="24"/>
          <w:szCs w:val="24"/>
        </w:rPr>
        <w:t>las USF no tienen las condiciones adecuadas para enfrentar</w:t>
      </w:r>
      <w:r w:rsidR="0047215D">
        <w:rPr>
          <w:rFonts w:ascii="Times New Roman" w:hAnsi="Times New Roman" w:cs="Times New Roman"/>
          <w:sz w:val="24"/>
          <w:szCs w:val="24"/>
        </w:rPr>
        <w:t xml:space="preserve"> </w:t>
      </w:r>
      <w:r w:rsidR="0047215D" w:rsidRPr="0047215D">
        <w:rPr>
          <w:rFonts w:ascii="Times New Roman" w:hAnsi="Times New Roman" w:cs="Times New Roman"/>
          <w:sz w:val="24"/>
          <w:szCs w:val="24"/>
        </w:rPr>
        <w:t>esta y otras pandemias eventuales. Las deficiencias en lo estructural afectan al proceso de</w:t>
      </w:r>
      <w:r w:rsidR="0047215D">
        <w:rPr>
          <w:rFonts w:ascii="Times New Roman" w:hAnsi="Times New Roman" w:cs="Times New Roman"/>
          <w:sz w:val="24"/>
          <w:szCs w:val="24"/>
        </w:rPr>
        <w:t xml:space="preserve"> </w:t>
      </w:r>
      <w:r w:rsidR="0047215D" w:rsidRPr="0047215D">
        <w:rPr>
          <w:rFonts w:ascii="Times New Roman" w:hAnsi="Times New Roman" w:cs="Times New Roman"/>
          <w:sz w:val="24"/>
          <w:szCs w:val="24"/>
        </w:rPr>
        <w:t>atención y a los resultados, la situación es crítica en logística de comunicación, transporte y</w:t>
      </w:r>
      <w:r w:rsidR="0047215D">
        <w:rPr>
          <w:rFonts w:ascii="Times New Roman" w:hAnsi="Times New Roman" w:cs="Times New Roman"/>
          <w:sz w:val="24"/>
          <w:szCs w:val="24"/>
        </w:rPr>
        <w:t xml:space="preserve"> </w:t>
      </w:r>
      <w:r w:rsidR="0047215D" w:rsidRPr="0047215D">
        <w:rPr>
          <w:rFonts w:ascii="Times New Roman" w:hAnsi="Times New Roman" w:cs="Times New Roman"/>
          <w:sz w:val="24"/>
          <w:szCs w:val="24"/>
        </w:rPr>
        <w:t>medicamentos. La estrategia de APS no está del todo apropiada por los E</w:t>
      </w:r>
      <w:r w:rsidR="008E4F55">
        <w:rPr>
          <w:rFonts w:ascii="Times New Roman" w:hAnsi="Times New Roman" w:cs="Times New Roman"/>
          <w:sz w:val="24"/>
          <w:szCs w:val="24"/>
        </w:rPr>
        <w:t xml:space="preserve">quipos de </w:t>
      </w:r>
      <w:r w:rsidR="0047215D" w:rsidRPr="0047215D">
        <w:rPr>
          <w:rFonts w:ascii="Times New Roman" w:hAnsi="Times New Roman" w:cs="Times New Roman"/>
          <w:sz w:val="24"/>
          <w:szCs w:val="24"/>
        </w:rPr>
        <w:t>S</w:t>
      </w:r>
      <w:r w:rsidR="008E4F55">
        <w:rPr>
          <w:rFonts w:ascii="Times New Roman" w:hAnsi="Times New Roman" w:cs="Times New Roman"/>
          <w:sz w:val="24"/>
          <w:szCs w:val="24"/>
        </w:rPr>
        <w:t xml:space="preserve">alud </w:t>
      </w:r>
      <w:r w:rsidR="0047215D" w:rsidRPr="0047215D">
        <w:rPr>
          <w:rFonts w:ascii="Times New Roman" w:hAnsi="Times New Roman" w:cs="Times New Roman"/>
          <w:sz w:val="24"/>
          <w:szCs w:val="24"/>
        </w:rPr>
        <w:t>F</w:t>
      </w:r>
      <w:r w:rsidR="008E4F55">
        <w:rPr>
          <w:rFonts w:ascii="Times New Roman" w:hAnsi="Times New Roman" w:cs="Times New Roman"/>
          <w:sz w:val="24"/>
          <w:szCs w:val="24"/>
        </w:rPr>
        <w:t>amiliar (ESF)</w:t>
      </w:r>
      <w:r w:rsidR="0047215D" w:rsidRPr="0047215D">
        <w:rPr>
          <w:rFonts w:ascii="Times New Roman" w:hAnsi="Times New Roman" w:cs="Times New Roman"/>
          <w:sz w:val="24"/>
          <w:szCs w:val="24"/>
        </w:rPr>
        <w:t>, la inversión en</w:t>
      </w:r>
      <w:r w:rsidR="0047215D">
        <w:rPr>
          <w:rFonts w:ascii="Times New Roman" w:hAnsi="Times New Roman" w:cs="Times New Roman"/>
          <w:sz w:val="24"/>
          <w:szCs w:val="24"/>
        </w:rPr>
        <w:t xml:space="preserve"> </w:t>
      </w:r>
      <w:r w:rsidR="0047215D" w:rsidRPr="0047215D">
        <w:rPr>
          <w:rFonts w:ascii="Times New Roman" w:hAnsi="Times New Roman" w:cs="Times New Roman"/>
          <w:sz w:val="24"/>
          <w:szCs w:val="24"/>
        </w:rPr>
        <w:t>la estrategia es baja. La reconversión de puestos de salud a USF no se está concretando y el</w:t>
      </w:r>
      <w:r w:rsidR="0047215D">
        <w:rPr>
          <w:rFonts w:ascii="Times New Roman" w:hAnsi="Times New Roman" w:cs="Times New Roman"/>
          <w:sz w:val="24"/>
          <w:szCs w:val="24"/>
        </w:rPr>
        <w:t xml:space="preserve"> </w:t>
      </w:r>
      <w:r w:rsidR="0047215D" w:rsidRPr="0047215D">
        <w:rPr>
          <w:rFonts w:ascii="Times New Roman" w:hAnsi="Times New Roman" w:cs="Times New Roman"/>
          <w:sz w:val="24"/>
          <w:szCs w:val="24"/>
        </w:rPr>
        <w:t>no contar con equipo completo afecta el trabajo promocional. Los datos estadísticos no son</w:t>
      </w:r>
      <w:r w:rsidR="0047215D">
        <w:rPr>
          <w:rFonts w:ascii="Times New Roman" w:hAnsi="Times New Roman" w:cs="Times New Roman"/>
          <w:sz w:val="24"/>
          <w:szCs w:val="24"/>
        </w:rPr>
        <w:t xml:space="preserve"> </w:t>
      </w:r>
      <w:r w:rsidR="0047215D" w:rsidRPr="0047215D">
        <w:rPr>
          <w:rFonts w:ascii="Times New Roman" w:hAnsi="Times New Roman" w:cs="Times New Roman"/>
          <w:sz w:val="24"/>
          <w:szCs w:val="24"/>
        </w:rPr>
        <w:t xml:space="preserve">analizados y utilizados para planificar </w:t>
      </w:r>
      <w:r w:rsidR="0047215D" w:rsidRPr="0047215D">
        <w:rPr>
          <w:rFonts w:ascii="Times New Roman" w:hAnsi="Times New Roman" w:cs="Times New Roman"/>
          <w:sz w:val="24"/>
          <w:szCs w:val="24"/>
        </w:rPr>
        <w:lastRenderedPageBreak/>
        <w:t>acciones. La contra referencia no existe, perdiéndose la</w:t>
      </w:r>
      <w:r w:rsidR="0047215D">
        <w:rPr>
          <w:rFonts w:ascii="Times New Roman" w:hAnsi="Times New Roman" w:cs="Times New Roman"/>
          <w:sz w:val="24"/>
          <w:szCs w:val="24"/>
        </w:rPr>
        <w:t xml:space="preserve"> </w:t>
      </w:r>
      <w:r w:rsidR="0047215D" w:rsidRPr="0047215D">
        <w:rPr>
          <w:rFonts w:ascii="Times New Roman" w:hAnsi="Times New Roman" w:cs="Times New Roman"/>
          <w:sz w:val="24"/>
          <w:szCs w:val="24"/>
        </w:rPr>
        <w:t>continuidad e integralidad en la atención</w:t>
      </w:r>
      <w:r w:rsidR="0047215D">
        <w:rPr>
          <w:rFonts w:ascii="Times New Roman" w:hAnsi="Times New Roman" w:cs="Times New Roman"/>
          <w:sz w:val="24"/>
          <w:szCs w:val="24"/>
        </w:rPr>
        <w:t>” (</w:t>
      </w:r>
      <w:hyperlink r:id="rId20" w:history="1">
        <w:r w:rsidR="0047215D" w:rsidRPr="00452C8A">
          <w:rPr>
            <w:rStyle w:val="Hipervnculo"/>
            <w:rFonts w:ascii="Times New Roman" w:hAnsi="Times New Roman" w:cs="Times New Roman"/>
            <w:sz w:val="24"/>
            <w:szCs w:val="24"/>
          </w:rPr>
          <w:t>Decidamos, 2021</w:t>
        </w:r>
      </w:hyperlink>
      <w:r w:rsidR="0047215D">
        <w:rPr>
          <w:rFonts w:ascii="Times New Roman" w:hAnsi="Times New Roman" w:cs="Times New Roman"/>
          <w:sz w:val="24"/>
          <w:szCs w:val="24"/>
        </w:rPr>
        <w:t>)</w:t>
      </w:r>
      <w:r w:rsidR="0047215D" w:rsidRPr="0047215D">
        <w:rPr>
          <w:rFonts w:ascii="Times New Roman" w:hAnsi="Times New Roman" w:cs="Times New Roman"/>
          <w:sz w:val="24"/>
          <w:szCs w:val="24"/>
        </w:rPr>
        <w:t>.</w:t>
      </w:r>
    </w:p>
    <w:p w14:paraId="3A6363C4" w14:textId="19A8AF04" w:rsidR="0047215D" w:rsidRDefault="0047215D" w:rsidP="0047215D">
      <w:pPr>
        <w:jc w:val="both"/>
        <w:rPr>
          <w:rFonts w:ascii="Times New Roman" w:hAnsi="Times New Roman" w:cs="Times New Roman"/>
          <w:sz w:val="24"/>
          <w:szCs w:val="24"/>
        </w:rPr>
      </w:pPr>
      <w:r>
        <w:rPr>
          <w:rFonts w:ascii="Times New Roman" w:hAnsi="Times New Roman" w:cs="Times New Roman"/>
          <w:sz w:val="24"/>
          <w:szCs w:val="24"/>
        </w:rPr>
        <w:t xml:space="preserve">Debe señalarse que, conforme al Manual de Funciones, </w:t>
      </w:r>
      <w:r w:rsidR="005F7D22">
        <w:rPr>
          <w:rFonts w:ascii="Times New Roman" w:hAnsi="Times New Roman" w:cs="Times New Roman"/>
          <w:sz w:val="24"/>
          <w:szCs w:val="24"/>
        </w:rPr>
        <w:t xml:space="preserve">la USF incluye puntualmente </w:t>
      </w:r>
      <w:r w:rsidR="00EC14D2">
        <w:rPr>
          <w:rFonts w:ascii="Times New Roman" w:hAnsi="Times New Roman" w:cs="Times New Roman"/>
          <w:sz w:val="24"/>
          <w:szCs w:val="24"/>
        </w:rPr>
        <w:t>con relación a</w:t>
      </w:r>
      <w:r w:rsidR="005F7D22">
        <w:rPr>
          <w:rFonts w:ascii="Times New Roman" w:hAnsi="Times New Roman" w:cs="Times New Roman"/>
          <w:sz w:val="24"/>
          <w:szCs w:val="24"/>
        </w:rPr>
        <w:t xml:space="preserve"> lo epidemiológico acciones relacionadas con desarrollar procesos de investigación con criterios éticos, epidemiológico y de interés nacional, y con enfoque en salud familiar y comunitaria, además de establecer vínculos con las comunidades y los distintos estamentos para incidir positivamente en los determinantes sociales. La no disponibilidad, por parte </w:t>
      </w:r>
      <w:r w:rsidR="00E01B24">
        <w:rPr>
          <w:rFonts w:ascii="Times New Roman" w:hAnsi="Times New Roman" w:cs="Times New Roman"/>
          <w:sz w:val="24"/>
          <w:szCs w:val="24"/>
        </w:rPr>
        <w:t>de la Dirección de Vigilancia de Enfermedades no Transmisibles de estadísticas sobre casos de cáncer desagregadas por departamentos, se vincula con la precarización de las USF que se constituyen en el primer contacto del sistema de salud con las comunidades. Puntualmente con relación a los casos de cáncer disponibles en el Registro de Cáncer de Base Poblacional</w:t>
      </w:r>
      <w:r w:rsidR="00D26C04">
        <w:rPr>
          <w:rFonts w:ascii="Times New Roman" w:hAnsi="Times New Roman" w:cs="Times New Roman"/>
          <w:sz w:val="24"/>
          <w:szCs w:val="24"/>
        </w:rPr>
        <w:t xml:space="preserve"> (RCBP)</w:t>
      </w:r>
      <w:r w:rsidR="00E01B24">
        <w:rPr>
          <w:rFonts w:ascii="Times New Roman" w:hAnsi="Times New Roman" w:cs="Times New Roman"/>
          <w:sz w:val="24"/>
          <w:szCs w:val="24"/>
        </w:rPr>
        <w:t>, esta instancia sólo cuenta con datos correspondientes al área geográfica de Central y Capital que es el área definida por el RCBP para vigilancia</w:t>
      </w:r>
      <w:r w:rsidR="00D26C04">
        <w:rPr>
          <w:rFonts w:ascii="Times New Roman" w:hAnsi="Times New Roman" w:cs="Times New Roman"/>
          <w:sz w:val="24"/>
          <w:szCs w:val="24"/>
        </w:rPr>
        <w:t>.</w:t>
      </w:r>
    </w:p>
    <w:p w14:paraId="01C61636" w14:textId="44DB808F" w:rsidR="005F6D1E" w:rsidRDefault="00596197" w:rsidP="0047215D">
      <w:pPr>
        <w:jc w:val="both"/>
        <w:rPr>
          <w:rFonts w:ascii="Times New Roman" w:hAnsi="Times New Roman" w:cs="Times New Roman"/>
          <w:sz w:val="24"/>
          <w:szCs w:val="24"/>
        </w:rPr>
      </w:pPr>
      <w:r>
        <w:rPr>
          <w:rFonts w:ascii="Times New Roman" w:hAnsi="Times New Roman" w:cs="Times New Roman"/>
          <w:sz w:val="24"/>
          <w:szCs w:val="24"/>
        </w:rPr>
        <w:t>En relación con</w:t>
      </w:r>
      <w:r w:rsidR="00F329AF">
        <w:rPr>
          <w:rFonts w:ascii="Times New Roman" w:hAnsi="Times New Roman" w:cs="Times New Roman"/>
          <w:sz w:val="24"/>
          <w:szCs w:val="24"/>
        </w:rPr>
        <w:t xml:space="preserve"> registro y notificación de casos, se destaca que en la </w:t>
      </w:r>
      <w:hyperlink r:id="rId21" w:history="1">
        <w:r w:rsidR="00F329AF" w:rsidRPr="003207A9">
          <w:rPr>
            <w:rStyle w:val="Hipervnculo"/>
            <w:rFonts w:ascii="Times New Roman" w:hAnsi="Times New Roman" w:cs="Times New Roman"/>
            <w:sz w:val="24"/>
            <w:szCs w:val="24"/>
          </w:rPr>
          <w:t>Guía Nacional de Vigilancia y Control de Enfermedades</w:t>
        </w:r>
      </w:hyperlink>
      <w:r w:rsidR="009870CC">
        <w:rPr>
          <w:rFonts w:ascii="Times New Roman" w:hAnsi="Times New Roman" w:cs="Times New Roman"/>
          <w:sz w:val="24"/>
          <w:szCs w:val="24"/>
        </w:rPr>
        <w:t>, las intoxicaciones por pesticidas (</w:t>
      </w:r>
      <w:r w:rsidR="009870CC" w:rsidRPr="00D55D24">
        <w:rPr>
          <w:rFonts w:ascii="Times New Roman" w:hAnsi="Times New Roman" w:cs="Times New Roman"/>
          <w:i/>
          <w:iCs/>
          <w:sz w:val="24"/>
          <w:szCs w:val="24"/>
        </w:rPr>
        <w:t>denominación del evento a notificar</w:t>
      </w:r>
      <w:r w:rsidR="009870CC">
        <w:rPr>
          <w:rFonts w:ascii="Times New Roman" w:hAnsi="Times New Roman" w:cs="Times New Roman"/>
          <w:sz w:val="24"/>
          <w:szCs w:val="24"/>
        </w:rPr>
        <w:t>) figuran entre los eventos de notificación obligatoria. Asimismo, en el capítulo 3 de la referida Guía (</w:t>
      </w:r>
      <w:r w:rsidR="009870CC" w:rsidRPr="00BF1F37">
        <w:rPr>
          <w:rFonts w:ascii="Times New Roman" w:hAnsi="Times New Roman" w:cs="Times New Roman"/>
          <w:i/>
          <w:iCs/>
          <w:sz w:val="24"/>
          <w:szCs w:val="24"/>
        </w:rPr>
        <w:t>Protocolos individuales de los eventos bajo notificación obligatoria</w:t>
      </w:r>
      <w:r w:rsidR="009870CC">
        <w:rPr>
          <w:rFonts w:ascii="Times New Roman" w:hAnsi="Times New Roman" w:cs="Times New Roman"/>
          <w:sz w:val="24"/>
          <w:szCs w:val="24"/>
        </w:rPr>
        <w:t xml:space="preserve">), </w:t>
      </w:r>
      <w:r w:rsidR="00676C30">
        <w:rPr>
          <w:rFonts w:ascii="Times New Roman" w:hAnsi="Times New Roman" w:cs="Times New Roman"/>
          <w:sz w:val="24"/>
          <w:szCs w:val="24"/>
        </w:rPr>
        <w:t>se describen las Intoxicaciones agudas por plaguicidas (IAP), distinguiéndose los plaguicidas según su estructura química con sus correspondientes características clínicas, además de la descripción de los procedimientos de investigación</w:t>
      </w:r>
      <w:r w:rsidR="005B4E64">
        <w:rPr>
          <w:rFonts w:ascii="Times New Roman" w:hAnsi="Times New Roman" w:cs="Times New Roman"/>
          <w:sz w:val="24"/>
          <w:szCs w:val="24"/>
        </w:rPr>
        <w:t xml:space="preserve">; además, se identifican las instituciones responsables de las acciones de control del ambiente </w:t>
      </w:r>
      <w:r w:rsidR="00D55D24">
        <w:rPr>
          <w:rFonts w:ascii="Times New Roman" w:hAnsi="Times New Roman" w:cs="Times New Roman"/>
          <w:sz w:val="24"/>
          <w:szCs w:val="24"/>
        </w:rPr>
        <w:t xml:space="preserve">ante probable brote de IAP: Dirección General de Salud (DIGESA) y </w:t>
      </w:r>
      <w:r w:rsidR="00D55D24" w:rsidRPr="00D55D24">
        <w:rPr>
          <w:rFonts w:ascii="Times New Roman" w:hAnsi="Times New Roman" w:cs="Times New Roman"/>
          <w:sz w:val="24"/>
          <w:szCs w:val="24"/>
        </w:rPr>
        <w:t>Servicio Nacional de Calidad y Sanidad Vegetal y de Semillas (SENAVE)</w:t>
      </w:r>
      <w:r w:rsidR="00D55D24">
        <w:rPr>
          <w:rFonts w:ascii="Times New Roman" w:hAnsi="Times New Roman" w:cs="Times New Roman"/>
          <w:sz w:val="24"/>
          <w:szCs w:val="24"/>
        </w:rPr>
        <w:t>. La Guía también cuenta con una Ficha de Notificación e Investigación de eventos de Intoxicación aguda por químicos (incluye plaguicidas)</w:t>
      </w:r>
      <w:r w:rsidR="00BF1F37">
        <w:rPr>
          <w:rFonts w:ascii="Times New Roman" w:hAnsi="Times New Roman" w:cs="Times New Roman"/>
          <w:sz w:val="24"/>
          <w:szCs w:val="24"/>
        </w:rPr>
        <w:t>.</w:t>
      </w:r>
    </w:p>
    <w:p w14:paraId="123DE383" w14:textId="77777777" w:rsidR="00BF1F37" w:rsidRDefault="00BF1F37" w:rsidP="0047215D">
      <w:pPr>
        <w:jc w:val="both"/>
        <w:rPr>
          <w:rFonts w:ascii="Times New Roman" w:hAnsi="Times New Roman" w:cs="Times New Roman"/>
          <w:sz w:val="24"/>
          <w:szCs w:val="24"/>
        </w:rPr>
      </w:pPr>
    </w:p>
    <w:p w14:paraId="557360CF" w14:textId="2573E785" w:rsidR="00196CFB" w:rsidRPr="00BF1F37" w:rsidRDefault="00BF1F37" w:rsidP="0047215D">
      <w:pPr>
        <w:jc w:val="both"/>
        <w:rPr>
          <w:rFonts w:ascii="Times New Roman" w:hAnsi="Times New Roman" w:cs="Times New Roman"/>
          <w:b/>
          <w:bCs/>
          <w:i/>
          <w:iCs/>
          <w:sz w:val="24"/>
          <w:szCs w:val="24"/>
        </w:rPr>
      </w:pPr>
      <w:r w:rsidRPr="00BF1F37">
        <w:rPr>
          <w:rFonts w:ascii="Times New Roman" w:hAnsi="Times New Roman" w:cs="Times New Roman"/>
          <w:b/>
          <w:bCs/>
          <w:i/>
          <w:iCs/>
          <w:sz w:val="24"/>
          <w:szCs w:val="24"/>
        </w:rPr>
        <w:t>Consejo Nacional de Ciencia y Tecnología de Paraguay (CONACYT) y el financiamiento a la investigación.</w:t>
      </w:r>
    </w:p>
    <w:p w14:paraId="3E88E9FB" w14:textId="0A59C46B" w:rsidR="00196CFB" w:rsidRDefault="00BF1F37" w:rsidP="0047215D">
      <w:pPr>
        <w:jc w:val="both"/>
        <w:rPr>
          <w:rFonts w:ascii="Times New Roman" w:hAnsi="Times New Roman" w:cs="Times New Roman"/>
          <w:sz w:val="24"/>
          <w:szCs w:val="24"/>
        </w:rPr>
      </w:pPr>
      <w:r>
        <w:rPr>
          <w:rFonts w:ascii="Times New Roman" w:hAnsi="Times New Roman" w:cs="Times New Roman"/>
          <w:sz w:val="24"/>
          <w:szCs w:val="24"/>
        </w:rPr>
        <w:t>En marzo del 2019, la Unión de Gremios de la Producción (UGP), presentó una nota al CONACYT</w:t>
      </w:r>
      <w:r w:rsidR="00B5153F">
        <w:rPr>
          <w:rFonts w:ascii="Times New Roman" w:hAnsi="Times New Roman" w:cs="Times New Roman"/>
          <w:sz w:val="24"/>
          <w:szCs w:val="24"/>
        </w:rPr>
        <w:t xml:space="preserve"> solicitando información sobre la metodología empleada por el estudio titulado: “</w:t>
      </w:r>
      <w:r w:rsidR="00B5153F" w:rsidRPr="00B5153F">
        <w:rPr>
          <w:rFonts w:ascii="Times New Roman" w:hAnsi="Times New Roman" w:cs="Times New Roman"/>
          <w:i/>
          <w:iCs/>
          <w:sz w:val="24"/>
          <w:szCs w:val="24"/>
        </w:rPr>
        <w:t>Exposición potencial a plaguicidas y evaluación de daño en el ADN a través del ensayo cometa y test de micronúcleos y nivel de colinesterasa plasmática en niños de población rural</w:t>
      </w:r>
      <w:r w:rsidR="00B5153F">
        <w:rPr>
          <w:rFonts w:ascii="Times New Roman" w:hAnsi="Times New Roman" w:cs="Times New Roman"/>
          <w:sz w:val="24"/>
          <w:szCs w:val="24"/>
        </w:rPr>
        <w:t>”, financiado por el CONACYT y que en sus conclusiones señalaba la existencia de daño en el ADN de niños expuestos a la fumigación de agroquímicos empleados en cultivos de soja en la comunidad rural San Juan del departamento de Canindeyú. En los días previos – segunda quincena de marzo- en las redes sociales se había iniciado una campaña de ataque y cuestionamientos a la financiación de determinados proyectos de investigación por parte del CONACYT</w:t>
      </w:r>
      <w:r w:rsidR="002C4C74">
        <w:rPr>
          <w:rFonts w:ascii="Times New Roman" w:hAnsi="Times New Roman" w:cs="Times New Roman"/>
          <w:sz w:val="24"/>
          <w:szCs w:val="24"/>
        </w:rPr>
        <w:t xml:space="preserve">. Fundamentalmente se apuntaba a estudios que discutían los impactos negativos del modelo de desarrollo paraguayo y en particular del </w:t>
      </w:r>
      <w:r w:rsidR="00596197">
        <w:rPr>
          <w:rFonts w:ascii="Times New Roman" w:hAnsi="Times New Roman" w:cs="Times New Roman"/>
          <w:sz w:val="24"/>
          <w:szCs w:val="24"/>
        </w:rPr>
        <w:t>agronegocio</w:t>
      </w:r>
      <w:r w:rsidR="002C4C74">
        <w:rPr>
          <w:rFonts w:ascii="Times New Roman" w:hAnsi="Times New Roman" w:cs="Times New Roman"/>
          <w:sz w:val="24"/>
          <w:szCs w:val="24"/>
        </w:rPr>
        <w:t xml:space="preserve">. Posterior a las referidas publicaciones en redes sociales y periodísticas, las críticas de los sectores empresariales se trasladaron a la sala de sesiones del CONACYT en su sesión del 2 de abril de 2019, decidió que la adjudicación de fondos del CONACYT para la financiación de </w:t>
      </w:r>
      <w:r w:rsidR="002C4C74">
        <w:rPr>
          <w:rFonts w:ascii="Times New Roman" w:hAnsi="Times New Roman" w:cs="Times New Roman"/>
          <w:sz w:val="24"/>
          <w:szCs w:val="24"/>
        </w:rPr>
        <w:lastRenderedPageBreak/>
        <w:t>proyectos de investigación estará sujeta a la aprobación individual de cada uno de los consejeros.</w:t>
      </w:r>
      <w:r w:rsidR="00B1313E">
        <w:rPr>
          <w:rFonts w:ascii="Times New Roman" w:hAnsi="Times New Roman" w:cs="Times New Roman"/>
          <w:sz w:val="24"/>
          <w:szCs w:val="24"/>
        </w:rPr>
        <w:t xml:space="preserve"> </w:t>
      </w:r>
      <w:r w:rsidR="00B1313E" w:rsidRPr="00EC14D2">
        <w:rPr>
          <w:rFonts w:ascii="Times New Roman" w:hAnsi="Times New Roman" w:cs="Times New Roman"/>
          <w:sz w:val="24"/>
          <w:szCs w:val="24"/>
        </w:rPr>
        <w:t>Cabe destacar que en el consejo de CONACYT están representados corporativamente gremios vinculados al agronegocio: la Asociación Rural del Paraguay, la Unión Industrial Paraguaya y la Federación de la Producción, la Industria y el Comercio.</w:t>
      </w:r>
      <w:r w:rsidR="004253DA" w:rsidRPr="00EC14D2">
        <w:rPr>
          <w:rFonts w:ascii="Times New Roman" w:hAnsi="Times New Roman" w:cs="Times New Roman"/>
          <w:sz w:val="24"/>
          <w:szCs w:val="24"/>
        </w:rPr>
        <w:t xml:space="preserve"> </w:t>
      </w:r>
      <w:r w:rsidR="004253DA">
        <w:rPr>
          <w:rFonts w:ascii="Times New Roman" w:hAnsi="Times New Roman" w:cs="Times New Roman"/>
          <w:sz w:val="24"/>
          <w:szCs w:val="24"/>
        </w:rPr>
        <w:t xml:space="preserve">También se decidió </w:t>
      </w:r>
      <w:r w:rsidR="00914188">
        <w:rPr>
          <w:rFonts w:ascii="Times New Roman" w:hAnsi="Times New Roman" w:cs="Times New Roman"/>
          <w:sz w:val="24"/>
          <w:szCs w:val="24"/>
        </w:rPr>
        <w:t>que,</w:t>
      </w:r>
      <w:r w:rsidR="004253DA">
        <w:rPr>
          <w:rFonts w:ascii="Times New Roman" w:hAnsi="Times New Roman" w:cs="Times New Roman"/>
          <w:sz w:val="24"/>
          <w:szCs w:val="24"/>
        </w:rPr>
        <w:t xml:space="preserve"> en las próximas convocatorias, </w:t>
      </w:r>
      <w:r w:rsidR="00B1313E">
        <w:rPr>
          <w:rFonts w:ascii="Times New Roman" w:hAnsi="Times New Roman" w:cs="Times New Roman"/>
          <w:sz w:val="24"/>
          <w:szCs w:val="24"/>
        </w:rPr>
        <w:t>primeramente,</w:t>
      </w:r>
      <w:r w:rsidR="004253DA">
        <w:rPr>
          <w:rFonts w:ascii="Times New Roman" w:hAnsi="Times New Roman" w:cs="Times New Roman"/>
          <w:sz w:val="24"/>
          <w:szCs w:val="24"/>
        </w:rPr>
        <w:t xml:space="preserve"> el Consejo Directivo del CONACYT evaluará los proyectos presentados para luego remitirlos a los científicos evaluadores del extranjero</w:t>
      </w:r>
      <w:r w:rsidR="002C066A">
        <w:rPr>
          <w:rFonts w:ascii="Times New Roman" w:hAnsi="Times New Roman" w:cs="Times New Roman"/>
          <w:sz w:val="24"/>
          <w:szCs w:val="24"/>
        </w:rPr>
        <w:t xml:space="preserve"> (</w:t>
      </w:r>
      <w:hyperlink r:id="rId22" w:history="1">
        <w:r w:rsidR="002C066A" w:rsidRPr="003207A9">
          <w:rPr>
            <w:rStyle w:val="Hipervnculo"/>
            <w:rFonts w:ascii="Times New Roman" w:hAnsi="Times New Roman" w:cs="Times New Roman"/>
            <w:sz w:val="24"/>
            <w:szCs w:val="24"/>
          </w:rPr>
          <w:t>Pereira, H., 2020</w:t>
        </w:r>
      </w:hyperlink>
      <w:r w:rsidR="002C066A">
        <w:rPr>
          <w:rFonts w:ascii="Times New Roman" w:hAnsi="Times New Roman" w:cs="Times New Roman"/>
          <w:sz w:val="24"/>
          <w:szCs w:val="24"/>
        </w:rPr>
        <w:t>).</w:t>
      </w:r>
    </w:p>
    <w:p w14:paraId="326039AE" w14:textId="321B0B69" w:rsidR="000D52AE" w:rsidRPr="000D52AE" w:rsidRDefault="000D52AE" w:rsidP="0047215D">
      <w:pPr>
        <w:jc w:val="both"/>
        <w:rPr>
          <w:rFonts w:ascii="Times New Roman" w:hAnsi="Times New Roman" w:cs="Times New Roman"/>
          <w:b/>
          <w:bCs/>
          <w:sz w:val="24"/>
          <w:szCs w:val="24"/>
        </w:rPr>
      </w:pPr>
      <w:r w:rsidRPr="000D52AE">
        <w:rPr>
          <w:rFonts w:ascii="Times New Roman" w:hAnsi="Times New Roman" w:cs="Times New Roman"/>
          <w:b/>
          <w:bCs/>
          <w:sz w:val="24"/>
          <w:szCs w:val="24"/>
        </w:rPr>
        <w:t>Conclusión</w:t>
      </w:r>
    </w:p>
    <w:p w14:paraId="52917EE1" w14:textId="67C0AD8D" w:rsidR="000D52AE" w:rsidRDefault="000D52AE" w:rsidP="003941D0">
      <w:pPr>
        <w:jc w:val="both"/>
        <w:rPr>
          <w:rFonts w:ascii="Times New Roman" w:hAnsi="Times New Roman" w:cs="Times New Roman"/>
          <w:sz w:val="24"/>
          <w:szCs w:val="24"/>
        </w:rPr>
      </w:pPr>
      <w:r>
        <w:rPr>
          <w:rFonts w:ascii="Times New Roman" w:hAnsi="Times New Roman" w:cs="Times New Roman"/>
          <w:sz w:val="24"/>
          <w:szCs w:val="24"/>
        </w:rPr>
        <w:t xml:space="preserve">La literatura revisada describe, a nivel local, diferentes impactos producidos en poblaciones vulnerables la exposición a agrotóxicos. Dichos impactos abarcan desde los efectos agudos hasta los crónicos, destacándose los efectos </w:t>
      </w:r>
      <w:r w:rsidR="00914188">
        <w:rPr>
          <w:rFonts w:ascii="Times New Roman" w:hAnsi="Times New Roman" w:cs="Times New Roman"/>
          <w:sz w:val="24"/>
          <w:szCs w:val="24"/>
        </w:rPr>
        <w:t>genotóxicos y</w:t>
      </w:r>
      <w:r>
        <w:rPr>
          <w:rFonts w:ascii="Times New Roman" w:hAnsi="Times New Roman" w:cs="Times New Roman"/>
          <w:sz w:val="24"/>
          <w:szCs w:val="24"/>
        </w:rPr>
        <w:t xml:space="preserve"> </w:t>
      </w:r>
      <w:r w:rsidR="00386A2F">
        <w:rPr>
          <w:rFonts w:ascii="Times New Roman" w:hAnsi="Times New Roman" w:cs="Times New Roman"/>
          <w:sz w:val="24"/>
          <w:szCs w:val="24"/>
        </w:rPr>
        <w:t>cit</w:t>
      </w:r>
      <w:r>
        <w:rPr>
          <w:rFonts w:ascii="Times New Roman" w:hAnsi="Times New Roman" w:cs="Times New Roman"/>
          <w:sz w:val="24"/>
          <w:szCs w:val="24"/>
        </w:rPr>
        <w:t>otóxicos en población infantil. Al mismo tiempo, el sistema de salud no dispone de mecanismos institucionales y de programas relacionados con el monitoreo de la población afectada en términos de</w:t>
      </w:r>
      <w:r w:rsidR="003A070C">
        <w:rPr>
          <w:rFonts w:ascii="Times New Roman" w:hAnsi="Times New Roman" w:cs="Times New Roman"/>
          <w:sz w:val="24"/>
          <w:szCs w:val="24"/>
        </w:rPr>
        <w:t xml:space="preserve"> seguimiento de las consecuencias en la salud de los efectos de la exposición; tampoco se disponen de registros epidemiológicos que permitan un monitoreo y medición de la magnitud del problema</w:t>
      </w:r>
      <w:r w:rsidR="003941D0">
        <w:rPr>
          <w:rFonts w:ascii="Times New Roman" w:hAnsi="Times New Roman" w:cs="Times New Roman"/>
          <w:sz w:val="24"/>
          <w:szCs w:val="24"/>
        </w:rPr>
        <w:t xml:space="preserve">. </w:t>
      </w:r>
    </w:p>
    <w:p w14:paraId="54F0B6A5" w14:textId="3FC534EA" w:rsidR="00C22D9A" w:rsidRPr="00C22D9A" w:rsidRDefault="00C22D9A" w:rsidP="003941D0">
      <w:pPr>
        <w:jc w:val="both"/>
        <w:rPr>
          <w:rFonts w:ascii="Times New Roman" w:hAnsi="Times New Roman" w:cs="Times New Roman"/>
          <w:b/>
          <w:bCs/>
          <w:sz w:val="24"/>
          <w:szCs w:val="24"/>
        </w:rPr>
      </w:pPr>
      <w:r w:rsidRPr="00C22D9A">
        <w:rPr>
          <w:rFonts w:ascii="Times New Roman" w:hAnsi="Times New Roman" w:cs="Times New Roman"/>
          <w:b/>
          <w:bCs/>
          <w:sz w:val="24"/>
          <w:szCs w:val="24"/>
        </w:rPr>
        <w:t>Recomendaciones</w:t>
      </w:r>
    </w:p>
    <w:p w14:paraId="7CB59F15" w14:textId="77777777" w:rsidR="00EB156A" w:rsidRDefault="004530F9" w:rsidP="003941D0">
      <w:pPr>
        <w:jc w:val="both"/>
        <w:rPr>
          <w:rFonts w:ascii="Times New Roman" w:hAnsi="Times New Roman" w:cs="Times New Roman"/>
          <w:sz w:val="24"/>
          <w:szCs w:val="24"/>
        </w:rPr>
      </w:pPr>
      <w:r w:rsidRPr="00EB156A">
        <w:rPr>
          <w:rFonts w:ascii="Times New Roman" w:hAnsi="Times New Roman" w:cs="Times New Roman"/>
          <w:sz w:val="24"/>
          <w:szCs w:val="24"/>
        </w:rPr>
        <w:t xml:space="preserve">En ese sentido, pueden asumirse como prioritarias igualmente las Recomendaciones formuladas en el trabajo de </w:t>
      </w:r>
      <w:proofErr w:type="spellStart"/>
      <w:r w:rsidRPr="00EB156A">
        <w:rPr>
          <w:rFonts w:ascii="Times New Roman" w:hAnsi="Times New Roman" w:cs="Times New Roman"/>
          <w:sz w:val="24"/>
          <w:szCs w:val="24"/>
        </w:rPr>
        <w:t>Kretschmer</w:t>
      </w:r>
      <w:proofErr w:type="spellEnd"/>
      <w:r w:rsidRPr="00EB156A">
        <w:rPr>
          <w:rFonts w:ascii="Times New Roman" w:hAnsi="Times New Roman" w:cs="Times New Roman"/>
          <w:sz w:val="24"/>
          <w:szCs w:val="24"/>
        </w:rPr>
        <w:t>, R.; Areco, A.; Palau, M., (</w:t>
      </w:r>
      <w:hyperlink r:id="rId23" w:history="1">
        <w:r w:rsidRPr="00EB156A">
          <w:rPr>
            <w:rStyle w:val="Hipervnculo"/>
            <w:rFonts w:ascii="Times New Roman" w:hAnsi="Times New Roman" w:cs="Times New Roman"/>
            <w:sz w:val="24"/>
            <w:szCs w:val="24"/>
          </w:rPr>
          <w:t>2020</w:t>
        </w:r>
      </w:hyperlink>
      <w:r w:rsidRPr="00EB156A">
        <w:rPr>
          <w:rFonts w:ascii="Times New Roman" w:hAnsi="Times New Roman" w:cs="Times New Roman"/>
          <w:sz w:val="24"/>
          <w:szCs w:val="24"/>
        </w:rPr>
        <w:t>). Las mismas señalan recomendaciones dirigidas al Ministerio de la Niñez y Adolescencia, al Ministerio de Educación y Cultura, al MADES y SENAVE, y recomendaciones para mejorar el marco legal y su aplicación, y otras a CONACYT y Universidades.</w:t>
      </w:r>
      <w:r w:rsidR="00EB156A">
        <w:rPr>
          <w:rFonts w:ascii="Times New Roman" w:hAnsi="Times New Roman" w:cs="Times New Roman"/>
          <w:sz w:val="24"/>
          <w:szCs w:val="24"/>
        </w:rPr>
        <w:t xml:space="preserve"> Pueden destacarse las siguientes:</w:t>
      </w:r>
    </w:p>
    <w:p w14:paraId="49B2FA05" w14:textId="77777777" w:rsidR="00EB156A" w:rsidRDefault="00EB156A" w:rsidP="003941D0">
      <w:pPr>
        <w:jc w:val="both"/>
        <w:rPr>
          <w:rFonts w:ascii="Times New Roman" w:hAnsi="Times New Roman" w:cs="Times New Roman"/>
          <w:sz w:val="24"/>
          <w:szCs w:val="24"/>
        </w:rPr>
      </w:pPr>
      <w:r>
        <w:rPr>
          <w:rFonts w:ascii="Times New Roman" w:hAnsi="Times New Roman" w:cs="Times New Roman"/>
          <w:sz w:val="24"/>
          <w:szCs w:val="24"/>
        </w:rPr>
        <w:t>Al Ministerio de la Niñez y la Adolescencia:</w:t>
      </w:r>
    </w:p>
    <w:p w14:paraId="727BEF10" w14:textId="4EAEC58A" w:rsidR="00EB156A" w:rsidRPr="00EB156A" w:rsidRDefault="00EB156A" w:rsidP="00EB156A">
      <w:pPr>
        <w:jc w:val="both"/>
        <w:rPr>
          <w:rFonts w:ascii="Times New Roman" w:hAnsi="Times New Roman" w:cs="Times New Roman"/>
          <w:sz w:val="24"/>
          <w:szCs w:val="24"/>
        </w:rPr>
      </w:pPr>
      <w:r>
        <w:rPr>
          <w:rFonts w:ascii="Times New Roman" w:hAnsi="Times New Roman" w:cs="Times New Roman"/>
          <w:sz w:val="24"/>
          <w:szCs w:val="24"/>
        </w:rPr>
        <w:t>i.</w:t>
      </w:r>
      <w:r w:rsidR="004530F9">
        <w:rPr>
          <w:rFonts w:ascii="Times New Roman" w:hAnsi="Times New Roman" w:cs="Times New Roman"/>
          <w:sz w:val="24"/>
          <w:szCs w:val="24"/>
        </w:rPr>
        <w:t xml:space="preserve"> </w:t>
      </w:r>
      <w:r w:rsidRPr="00EB156A">
        <w:rPr>
          <w:rFonts w:ascii="Times New Roman" w:hAnsi="Times New Roman" w:cs="Times New Roman"/>
          <w:sz w:val="24"/>
          <w:szCs w:val="24"/>
        </w:rPr>
        <w:t>Establecer protocolos de gestión de riesgos ante denuncias de exposición</w:t>
      </w:r>
      <w:r>
        <w:rPr>
          <w:rFonts w:ascii="Times New Roman" w:hAnsi="Times New Roman" w:cs="Times New Roman"/>
          <w:sz w:val="24"/>
          <w:szCs w:val="24"/>
        </w:rPr>
        <w:t xml:space="preserve"> </w:t>
      </w:r>
      <w:r w:rsidRPr="00EB156A">
        <w:rPr>
          <w:rFonts w:ascii="Times New Roman" w:hAnsi="Times New Roman" w:cs="Times New Roman"/>
          <w:sz w:val="24"/>
          <w:szCs w:val="24"/>
        </w:rPr>
        <w:t>a pesticidas de centros educativos, de salud, recreativos y caminos</w:t>
      </w:r>
      <w:r>
        <w:rPr>
          <w:rFonts w:ascii="Times New Roman" w:hAnsi="Times New Roman" w:cs="Times New Roman"/>
          <w:sz w:val="24"/>
          <w:szCs w:val="24"/>
        </w:rPr>
        <w:t xml:space="preserve"> </w:t>
      </w:r>
      <w:r w:rsidRPr="00EB156A">
        <w:rPr>
          <w:rFonts w:ascii="Times New Roman" w:hAnsi="Times New Roman" w:cs="Times New Roman"/>
          <w:sz w:val="24"/>
          <w:szCs w:val="24"/>
        </w:rPr>
        <w:t xml:space="preserve">donde exista afluencia de </w:t>
      </w:r>
      <w:r w:rsidR="00D05AA3" w:rsidRPr="00EB156A">
        <w:rPr>
          <w:rFonts w:ascii="Times New Roman" w:hAnsi="Times New Roman" w:cs="Times New Roman"/>
          <w:sz w:val="24"/>
          <w:szCs w:val="24"/>
        </w:rPr>
        <w:t>niños</w:t>
      </w:r>
      <w:r w:rsidRPr="00EB156A">
        <w:rPr>
          <w:rFonts w:ascii="Times New Roman" w:hAnsi="Times New Roman" w:cs="Times New Roman"/>
          <w:sz w:val="24"/>
          <w:szCs w:val="24"/>
        </w:rPr>
        <w:t>.</w:t>
      </w:r>
    </w:p>
    <w:p w14:paraId="1F02E619" w14:textId="38CF9BE7" w:rsidR="00EB156A" w:rsidRPr="00EB156A" w:rsidRDefault="00EB156A" w:rsidP="00EB156A">
      <w:pPr>
        <w:jc w:val="both"/>
        <w:rPr>
          <w:rFonts w:ascii="Times New Roman" w:hAnsi="Times New Roman" w:cs="Times New Roman"/>
          <w:sz w:val="24"/>
          <w:szCs w:val="24"/>
        </w:rPr>
      </w:pPr>
      <w:proofErr w:type="spellStart"/>
      <w:r w:rsidRPr="00EB156A">
        <w:rPr>
          <w:rFonts w:ascii="Times New Roman" w:hAnsi="Times New Roman" w:cs="Times New Roman"/>
          <w:sz w:val="24"/>
          <w:szCs w:val="24"/>
        </w:rPr>
        <w:t>ii</w:t>
      </w:r>
      <w:proofErr w:type="spellEnd"/>
      <w:r w:rsidRPr="00EB156A">
        <w:rPr>
          <w:rFonts w:ascii="Times New Roman" w:hAnsi="Times New Roman" w:cs="Times New Roman"/>
          <w:sz w:val="24"/>
          <w:szCs w:val="24"/>
        </w:rPr>
        <w:t>. Desarrollar un monitoreo permanente de estos locales por parte de la</w:t>
      </w:r>
      <w:r>
        <w:rPr>
          <w:rFonts w:ascii="Times New Roman" w:hAnsi="Times New Roman" w:cs="Times New Roman"/>
          <w:sz w:val="24"/>
          <w:szCs w:val="24"/>
        </w:rPr>
        <w:t xml:space="preserve"> </w:t>
      </w:r>
      <w:r w:rsidRPr="00EB156A">
        <w:rPr>
          <w:rFonts w:ascii="Times New Roman" w:hAnsi="Times New Roman" w:cs="Times New Roman"/>
          <w:sz w:val="24"/>
          <w:szCs w:val="24"/>
        </w:rPr>
        <w:t>Consejería Municipal por los Derechos del Niño, Niña y Adolescente</w:t>
      </w:r>
      <w:r>
        <w:rPr>
          <w:rFonts w:ascii="Times New Roman" w:hAnsi="Times New Roman" w:cs="Times New Roman"/>
          <w:sz w:val="24"/>
          <w:szCs w:val="24"/>
        </w:rPr>
        <w:t xml:space="preserve"> </w:t>
      </w:r>
      <w:r w:rsidRPr="00EB156A">
        <w:rPr>
          <w:rFonts w:ascii="Times New Roman" w:hAnsi="Times New Roman" w:cs="Times New Roman"/>
          <w:sz w:val="24"/>
          <w:szCs w:val="24"/>
        </w:rPr>
        <w:t>(CODENI).</w:t>
      </w:r>
    </w:p>
    <w:p w14:paraId="4CEBE0E4" w14:textId="54DA2DE5" w:rsidR="00C22D9A" w:rsidRDefault="00EB156A" w:rsidP="00EB156A">
      <w:pPr>
        <w:jc w:val="both"/>
        <w:rPr>
          <w:rFonts w:ascii="Times New Roman" w:hAnsi="Times New Roman" w:cs="Times New Roman"/>
          <w:sz w:val="24"/>
          <w:szCs w:val="24"/>
        </w:rPr>
      </w:pPr>
      <w:proofErr w:type="spellStart"/>
      <w:r w:rsidRPr="00EB156A">
        <w:rPr>
          <w:rFonts w:ascii="Times New Roman" w:hAnsi="Times New Roman" w:cs="Times New Roman"/>
          <w:sz w:val="24"/>
          <w:szCs w:val="24"/>
        </w:rPr>
        <w:t>iii</w:t>
      </w:r>
      <w:proofErr w:type="spellEnd"/>
      <w:r w:rsidRPr="00EB156A">
        <w:rPr>
          <w:rFonts w:ascii="Times New Roman" w:hAnsi="Times New Roman" w:cs="Times New Roman"/>
          <w:sz w:val="24"/>
          <w:szCs w:val="24"/>
        </w:rPr>
        <w:t>. Establecer protocolos para derivar denuncias por fumigación de escuelas,</w:t>
      </w:r>
      <w:r>
        <w:rPr>
          <w:rFonts w:ascii="Times New Roman" w:hAnsi="Times New Roman" w:cs="Times New Roman"/>
          <w:sz w:val="24"/>
          <w:szCs w:val="24"/>
        </w:rPr>
        <w:t xml:space="preserve"> </w:t>
      </w:r>
      <w:r w:rsidRPr="00EB156A">
        <w:rPr>
          <w:rFonts w:ascii="Times New Roman" w:hAnsi="Times New Roman" w:cs="Times New Roman"/>
          <w:sz w:val="24"/>
          <w:szCs w:val="24"/>
        </w:rPr>
        <w:t>a los órganos competentes.</w:t>
      </w:r>
    </w:p>
    <w:p w14:paraId="511F89CD" w14:textId="0E9BD351" w:rsidR="00EB156A" w:rsidRDefault="00EB156A" w:rsidP="00EB156A">
      <w:pPr>
        <w:jc w:val="both"/>
        <w:rPr>
          <w:rFonts w:ascii="Times New Roman" w:hAnsi="Times New Roman" w:cs="Times New Roman"/>
          <w:sz w:val="24"/>
          <w:szCs w:val="24"/>
        </w:rPr>
      </w:pPr>
      <w:r>
        <w:rPr>
          <w:rFonts w:ascii="Times New Roman" w:hAnsi="Times New Roman" w:cs="Times New Roman"/>
          <w:sz w:val="24"/>
          <w:szCs w:val="24"/>
        </w:rPr>
        <w:t>Al Ministerio de Educación y Ciencias:</w:t>
      </w:r>
    </w:p>
    <w:p w14:paraId="1BAD2C26" w14:textId="655E123B" w:rsidR="00EB156A" w:rsidRPr="00EB156A" w:rsidRDefault="00EB156A" w:rsidP="00EB156A">
      <w:pPr>
        <w:jc w:val="both"/>
        <w:rPr>
          <w:rFonts w:ascii="Times New Roman" w:hAnsi="Times New Roman" w:cs="Times New Roman"/>
          <w:sz w:val="24"/>
          <w:szCs w:val="24"/>
        </w:rPr>
      </w:pPr>
      <w:r w:rsidRPr="00EB156A">
        <w:rPr>
          <w:rFonts w:ascii="Times New Roman" w:hAnsi="Times New Roman" w:cs="Times New Roman"/>
          <w:sz w:val="24"/>
          <w:szCs w:val="24"/>
        </w:rPr>
        <w:t>i. Impulsar una mesa interinstitucional que establezca acciones coordinadas</w:t>
      </w:r>
      <w:r>
        <w:rPr>
          <w:rFonts w:ascii="Times New Roman" w:hAnsi="Times New Roman" w:cs="Times New Roman"/>
          <w:sz w:val="24"/>
          <w:szCs w:val="24"/>
        </w:rPr>
        <w:t xml:space="preserve"> </w:t>
      </w:r>
      <w:r w:rsidRPr="00EB156A">
        <w:rPr>
          <w:rFonts w:ascii="Times New Roman" w:hAnsi="Times New Roman" w:cs="Times New Roman"/>
          <w:sz w:val="24"/>
          <w:szCs w:val="24"/>
        </w:rPr>
        <w:t>de protección de escuelas, con la participación de la comunidad</w:t>
      </w:r>
      <w:r>
        <w:rPr>
          <w:rFonts w:ascii="Times New Roman" w:hAnsi="Times New Roman" w:cs="Times New Roman"/>
          <w:sz w:val="24"/>
          <w:szCs w:val="24"/>
        </w:rPr>
        <w:t xml:space="preserve"> </w:t>
      </w:r>
      <w:r w:rsidRPr="00EB156A">
        <w:rPr>
          <w:rFonts w:ascii="Times New Roman" w:hAnsi="Times New Roman" w:cs="Times New Roman"/>
          <w:sz w:val="24"/>
          <w:szCs w:val="24"/>
        </w:rPr>
        <w:t>educativa (docentes, estudiantes y padres/ madres).</w:t>
      </w:r>
    </w:p>
    <w:p w14:paraId="0B068326" w14:textId="111583C9" w:rsidR="00EB156A" w:rsidRDefault="00EB156A" w:rsidP="00EB156A">
      <w:pPr>
        <w:jc w:val="both"/>
        <w:rPr>
          <w:rFonts w:ascii="Times New Roman" w:hAnsi="Times New Roman" w:cs="Times New Roman"/>
          <w:sz w:val="24"/>
          <w:szCs w:val="24"/>
        </w:rPr>
      </w:pPr>
      <w:proofErr w:type="spellStart"/>
      <w:r w:rsidRPr="00EB156A">
        <w:rPr>
          <w:rFonts w:ascii="Times New Roman" w:hAnsi="Times New Roman" w:cs="Times New Roman"/>
          <w:sz w:val="24"/>
          <w:szCs w:val="24"/>
        </w:rPr>
        <w:t>ii</w:t>
      </w:r>
      <w:proofErr w:type="spellEnd"/>
      <w:r w:rsidRPr="00EB156A">
        <w:rPr>
          <w:rFonts w:ascii="Times New Roman" w:hAnsi="Times New Roman" w:cs="Times New Roman"/>
          <w:sz w:val="24"/>
          <w:szCs w:val="24"/>
        </w:rPr>
        <w:t>. Contar con un registro actualizado de las escuelas que se encuentran</w:t>
      </w:r>
      <w:r>
        <w:rPr>
          <w:rFonts w:ascii="Times New Roman" w:hAnsi="Times New Roman" w:cs="Times New Roman"/>
          <w:sz w:val="24"/>
          <w:szCs w:val="24"/>
        </w:rPr>
        <w:t xml:space="preserve"> </w:t>
      </w:r>
      <w:r w:rsidRPr="00EB156A">
        <w:rPr>
          <w:rFonts w:ascii="Times New Roman" w:hAnsi="Times New Roman" w:cs="Times New Roman"/>
          <w:sz w:val="24"/>
          <w:szCs w:val="24"/>
        </w:rPr>
        <w:t>expuestas a fumigaciones</w:t>
      </w:r>
      <w:r>
        <w:rPr>
          <w:rFonts w:ascii="Times New Roman" w:hAnsi="Times New Roman" w:cs="Times New Roman"/>
          <w:sz w:val="24"/>
          <w:szCs w:val="24"/>
        </w:rPr>
        <w:t>.</w:t>
      </w:r>
    </w:p>
    <w:p w14:paraId="5587E597" w14:textId="0F831D7C" w:rsidR="00EB156A" w:rsidRPr="00EB156A" w:rsidRDefault="00EB156A" w:rsidP="00EB156A">
      <w:pPr>
        <w:jc w:val="both"/>
        <w:rPr>
          <w:rFonts w:ascii="Times New Roman" w:hAnsi="Times New Roman" w:cs="Times New Roman"/>
          <w:sz w:val="24"/>
          <w:szCs w:val="24"/>
        </w:rPr>
      </w:pPr>
      <w:proofErr w:type="spellStart"/>
      <w:r w:rsidRPr="00EB156A">
        <w:rPr>
          <w:rFonts w:ascii="Times New Roman" w:hAnsi="Times New Roman" w:cs="Times New Roman"/>
          <w:sz w:val="24"/>
          <w:szCs w:val="24"/>
        </w:rPr>
        <w:t>i</w:t>
      </w:r>
      <w:r>
        <w:rPr>
          <w:rFonts w:ascii="Times New Roman" w:hAnsi="Times New Roman" w:cs="Times New Roman"/>
          <w:sz w:val="24"/>
          <w:szCs w:val="24"/>
        </w:rPr>
        <w:t>ii</w:t>
      </w:r>
      <w:proofErr w:type="spellEnd"/>
      <w:r w:rsidRPr="00EB156A">
        <w:rPr>
          <w:rFonts w:ascii="Times New Roman" w:hAnsi="Times New Roman" w:cs="Times New Roman"/>
          <w:sz w:val="24"/>
          <w:szCs w:val="24"/>
        </w:rPr>
        <w:t>. Diseñar un Protocolo e instrumentos de monitoreo de las normas ambientales</w:t>
      </w:r>
      <w:r>
        <w:rPr>
          <w:rFonts w:ascii="Times New Roman" w:hAnsi="Times New Roman" w:cs="Times New Roman"/>
          <w:sz w:val="24"/>
          <w:szCs w:val="24"/>
        </w:rPr>
        <w:t xml:space="preserve"> </w:t>
      </w:r>
      <w:r w:rsidRPr="00EB156A">
        <w:rPr>
          <w:rFonts w:ascii="Times New Roman" w:hAnsi="Times New Roman" w:cs="Times New Roman"/>
          <w:sz w:val="24"/>
          <w:szCs w:val="24"/>
        </w:rPr>
        <w:t>y creación de responsables de esta área.</w:t>
      </w:r>
    </w:p>
    <w:p w14:paraId="53227FD1" w14:textId="340EE59B" w:rsidR="00EB156A" w:rsidRPr="00EB156A" w:rsidRDefault="00EB156A" w:rsidP="00EB156A">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w:t>
      </w:r>
      <w:r w:rsidRPr="00EB156A">
        <w:rPr>
          <w:rFonts w:ascii="Times New Roman" w:hAnsi="Times New Roman" w:cs="Times New Roman"/>
          <w:sz w:val="24"/>
          <w:szCs w:val="24"/>
        </w:rPr>
        <w:t>v</w:t>
      </w:r>
      <w:proofErr w:type="spellEnd"/>
      <w:r w:rsidRPr="00EB156A">
        <w:rPr>
          <w:rFonts w:ascii="Times New Roman" w:hAnsi="Times New Roman" w:cs="Times New Roman"/>
          <w:sz w:val="24"/>
          <w:szCs w:val="24"/>
        </w:rPr>
        <w:t>. Realizar campañas de información y de aplicación de protocolos contra</w:t>
      </w:r>
      <w:r>
        <w:rPr>
          <w:rFonts w:ascii="Times New Roman" w:hAnsi="Times New Roman" w:cs="Times New Roman"/>
          <w:sz w:val="24"/>
          <w:szCs w:val="24"/>
        </w:rPr>
        <w:t xml:space="preserve"> </w:t>
      </w:r>
      <w:r w:rsidRPr="00EB156A">
        <w:rPr>
          <w:rFonts w:ascii="Times New Roman" w:hAnsi="Times New Roman" w:cs="Times New Roman"/>
          <w:sz w:val="24"/>
          <w:szCs w:val="24"/>
        </w:rPr>
        <w:t>contaminación a docentes, supervisores y otros responsables respecto a</w:t>
      </w:r>
      <w:r>
        <w:rPr>
          <w:rFonts w:ascii="Times New Roman" w:hAnsi="Times New Roman" w:cs="Times New Roman"/>
          <w:sz w:val="24"/>
          <w:szCs w:val="24"/>
        </w:rPr>
        <w:t xml:space="preserve"> </w:t>
      </w:r>
      <w:r w:rsidRPr="00EB156A">
        <w:rPr>
          <w:rFonts w:ascii="Times New Roman" w:hAnsi="Times New Roman" w:cs="Times New Roman"/>
          <w:sz w:val="24"/>
          <w:szCs w:val="24"/>
        </w:rPr>
        <w:t>la normatividad ambiental.</w:t>
      </w:r>
    </w:p>
    <w:p w14:paraId="016D7BA2" w14:textId="03CAA2F3" w:rsidR="00EB156A" w:rsidRDefault="00EB156A" w:rsidP="00EB156A">
      <w:pPr>
        <w:jc w:val="both"/>
        <w:rPr>
          <w:rFonts w:ascii="Times New Roman" w:hAnsi="Times New Roman" w:cs="Times New Roman"/>
          <w:sz w:val="24"/>
          <w:szCs w:val="24"/>
        </w:rPr>
      </w:pPr>
      <w:r w:rsidRPr="00EB156A">
        <w:rPr>
          <w:rFonts w:ascii="Times New Roman" w:hAnsi="Times New Roman" w:cs="Times New Roman"/>
          <w:sz w:val="24"/>
          <w:szCs w:val="24"/>
        </w:rPr>
        <w:t>v. Capacitar a la comunidad educativa sobre riesgos e impactos del agronegocio.</w:t>
      </w:r>
    </w:p>
    <w:p w14:paraId="0FD9E699" w14:textId="7D871527" w:rsidR="00611A4F" w:rsidRDefault="00611A4F" w:rsidP="00EB156A">
      <w:pPr>
        <w:jc w:val="both"/>
        <w:rPr>
          <w:rFonts w:ascii="Times New Roman" w:hAnsi="Times New Roman" w:cs="Times New Roman"/>
          <w:sz w:val="24"/>
          <w:szCs w:val="24"/>
        </w:rPr>
      </w:pPr>
      <w:r>
        <w:rPr>
          <w:rFonts w:ascii="Times New Roman" w:hAnsi="Times New Roman" w:cs="Times New Roman"/>
          <w:sz w:val="24"/>
          <w:szCs w:val="24"/>
        </w:rPr>
        <w:t>Al MADES y SENAVE</w:t>
      </w:r>
    </w:p>
    <w:p w14:paraId="3CAA5C4E" w14:textId="3BF654A4" w:rsidR="00611A4F" w:rsidRPr="00611A4F" w:rsidRDefault="00611A4F" w:rsidP="00611A4F">
      <w:pPr>
        <w:jc w:val="both"/>
        <w:rPr>
          <w:rFonts w:ascii="Times New Roman" w:hAnsi="Times New Roman" w:cs="Times New Roman"/>
          <w:sz w:val="24"/>
          <w:szCs w:val="24"/>
        </w:rPr>
      </w:pPr>
      <w:r w:rsidRPr="00611A4F">
        <w:rPr>
          <w:rFonts w:ascii="Times New Roman" w:hAnsi="Times New Roman" w:cs="Times New Roman"/>
          <w:sz w:val="24"/>
          <w:szCs w:val="24"/>
        </w:rPr>
        <w:t>i. El MADES y el SENAVE deben promover la instalación de un sistema</w:t>
      </w:r>
      <w:r>
        <w:rPr>
          <w:rFonts w:ascii="Times New Roman" w:hAnsi="Times New Roman" w:cs="Times New Roman"/>
          <w:sz w:val="24"/>
          <w:szCs w:val="24"/>
        </w:rPr>
        <w:t xml:space="preserve"> </w:t>
      </w:r>
      <w:r w:rsidRPr="00611A4F">
        <w:rPr>
          <w:rFonts w:ascii="Times New Roman" w:hAnsi="Times New Roman" w:cs="Times New Roman"/>
          <w:sz w:val="24"/>
          <w:szCs w:val="24"/>
        </w:rPr>
        <w:t>de monitoreo, que permita construir una base de datos pública de control</w:t>
      </w:r>
      <w:r>
        <w:rPr>
          <w:rFonts w:ascii="Times New Roman" w:hAnsi="Times New Roman" w:cs="Times New Roman"/>
          <w:sz w:val="24"/>
          <w:szCs w:val="24"/>
        </w:rPr>
        <w:t xml:space="preserve"> </w:t>
      </w:r>
      <w:r w:rsidRPr="00611A4F">
        <w:rPr>
          <w:rFonts w:ascii="Times New Roman" w:hAnsi="Times New Roman" w:cs="Times New Roman"/>
          <w:sz w:val="24"/>
          <w:szCs w:val="24"/>
        </w:rPr>
        <w:t>de pulverizaciones. Los datos deberán ser de acceso ciudadano y las</w:t>
      </w:r>
      <w:r>
        <w:rPr>
          <w:rFonts w:ascii="Times New Roman" w:hAnsi="Times New Roman" w:cs="Times New Roman"/>
          <w:sz w:val="24"/>
          <w:szCs w:val="24"/>
        </w:rPr>
        <w:t xml:space="preserve"> </w:t>
      </w:r>
      <w:r w:rsidRPr="00611A4F">
        <w:rPr>
          <w:rFonts w:ascii="Times New Roman" w:hAnsi="Times New Roman" w:cs="Times New Roman"/>
          <w:sz w:val="24"/>
          <w:szCs w:val="24"/>
        </w:rPr>
        <w:t>irregularidades que pudieran constituir hechos punibles ambientales,</w:t>
      </w:r>
      <w:r>
        <w:rPr>
          <w:rFonts w:ascii="Times New Roman" w:hAnsi="Times New Roman" w:cs="Times New Roman"/>
          <w:sz w:val="24"/>
          <w:szCs w:val="24"/>
        </w:rPr>
        <w:t xml:space="preserve"> </w:t>
      </w:r>
      <w:r w:rsidRPr="00611A4F">
        <w:rPr>
          <w:rFonts w:ascii="Times New Roman" w:hAnsi="Times New Roman" w:cs="Times New Roman"/>
          <w:sz w:val="24"/>
          <w:szCs w:val="24"/>
        </w:rPr>
        <w:t>deberán ser comunicadas por el MADES y el SENAVE al Ministerio</w:t>
      </w:r>
      <w:r>
        <w:rPr>
          <w:rFonts w:ascii="Times New Roman" w:hAnsi="Times New Roman" w:cs="Times New Roman"/>
          <w:sz w:val="24"/>
          <w:szCs w:val="24"/>
        </w:rPr>
        <w:t xml:space="preserve"> </w:t>
      </w:r>
      <w:r w:rsidRPr="00611A4F">
        <w:rPr>
          <w:rFonts w:ascii="Times New Roman" w:hAnsi="Times New Roman" w:cs="Times New Roman"/>
          <w:sz w:val="24"/>
          <w:szCs w:val="24"/>
        </w:rPr>
        <w:t>Público inmediatamente.</w:t>
      </w:r>
    </w:p>
    <w:p w14:paraId="424384C3" w14:textId="0D8DD4F6" w:rsidR="00611A4F" w:rsidRDefault="00611A4F" w:rsidP="00611A4F">
      <w:pPr>
        <w:jc w:val="both"/>
        <w:rPr>
          <w:rFonts w:ascii="Times New Roman" w:hAnsi="Times New Roman" w:cs="Times New Roman"/>
          <w:sz w:val="24"/>
          <w:szCs w:val="24"/>
        </w:rPr>
      </w:pPr>
      <w:proofErr w:type="spellStart"/>
      <w:r w:rsidRPr="00611A4F">
        <w:rPr>
          <w:rFonts w:ascii="Times New Roman" w:hAnsi="Times New Roman" w:cs="Times New Roman"/>
          <w:sz w:val="24"/>
          <w:szCs w:val="24"/>
        </w:rPr>
        <w:t>ii</w:t>
      </w:r>
      <w:proofErr w:type="spellEnd"/>
      <w:r w:rsidRPr="00611A4F">
        <w:rPr>
          <w:rFonts w:ascii="Times New Roman" w:hAnsi="Times New Roman" w:cs="Times New Roman"/>
          <w:sz w:val="24"/>
          <w:szCs w:val="24"/>
        </w:rPr>
        <w:t>. El SENAVE debe impulsar de inmediato la constitución de Comités de</w:t>
      </w:r>
      <w:r>
        <w:rPr>
          <w:rFonts w:ascii="Times New Roman" w:hAnsi="Times New Roman" w:cs="Times New Roman"/>
          <w:sz w:val="24"/>
          <w:szCs w:val="24"/>
        </w:rPr>
        <w:t xml:space="preserve"> </w:t>
      </w:r>
      <w:r w:rsidRPr="00611A4F">
        <w:rPr>
          <w:rFonts w:ascii="Times New Roman" w:hAnsi="Times New Roman" w:cs="Times New Roman"/>
          <w:sz w:val="24"/>
          <w:szCs w:val="24"/>
        </w:rPr>
        <w:t>Evaluación de los efectos nocivos de los plaguicidas como manda la</w:t>
      </w:r>
      <w:r>
        <w:rPr>
          <w:rFonts w:ascii="Times New Roman" w:hAnsi="Times New Roman" w:cs="Times New Roman"/>
          <w:sz w:val="24"/>
          <w:szCs w:val="24"/>
        </w:rPr>
        <w:t xml:space="preserve"> </w:t>
      </w:r>
      <w:r w:rsidRPr="00611A4F">
        <w:rPr>
          <w:rFonts w:ascii="Times New Roman" w:hAnsi="Times New Roman" w:cs="Times New Roman"/>
          <w:sz w:val="24"/>
          <w:szCs w:val="24"/>
        </w:rPr>
        <w:t>Ley, integrado por representantes de las Asociación de Cooperadoras</w:t>
      </w:r>
      <w:r>
        <w:rPr>
          <w:rFonts w:ascii="Times New Roman" w:hAnsi="Times New Roman" w:cs="Times New Roman"/>
          <w:sz w:val="24"/>
          <w:szCs w:val="24"/>
        </w:rPr>
        <w:t xml:space="preserve"> </w:t>
      </w:r>
      <w:r w:rsidRPr="00611A4F">
        <w:rPr>
          <w:rFonts w:ascii="Times New Roman" w:hAnsi="Times New Roman" w:cs="Times New Roman"/>
          <w:sz w:val="24"/>
          <w:szCs w:val="24"/>
        </w:rPr>
        <w:t>Escolares y/o integrantes de la comunidad educativa de las comunidades</w:t>
      </w:r>
      <w:r>
        <w:rPr>
          <w:rFonts w:ascii="Times New Roman" w:hAnsi="Times New Roman" w:cs="Times New Roman"/>
          <w:sz w:val="24"/>
          <w:szCs w:val="24"/>
        </w:rPr>
        <w:t xml:space="preserve"> </w:t>
      </w:r>
      <w:r w:rsidRPr="00611A4F">
        <w:rPr>
          <w:rFonts w:ascii="Times New Roman" w:hAnsi="Times New Roman" w:cs="Times New Roman"/>
          <w:sz w:val="24"/>
          <w:szCs w:val="24"/>
        </w:rPr>
        <w:t>más expuestas a los impactos de los pesticidas en un primer momento,</w:t>
      </w:r>
      <w:r>
        <w:rPr>
          <w:rFonts w:ascii="Times New Roman" w:hAnsi="Times New Roman" w:cs="Times New Roman"/>
          <w:sz w:val="24"/>
          <w:szCs w:val="24"/>
        </w:rPr>
        <w:t xml:space="preserve"> </w:t>
      </w:r>
      <w:r w:rsidRPr="00611A4F">
        <w:rPr>
          <w:rFonts w:ascii="Times New Roman" w:hAnsi="Times New Roman" w:cs="Times New Roman"/>
          <w:sz w:val="24"/>
          <w:szCs w:val="24"/>
        </w:rPr>
        <w:t>y ampliar a todo el país de forma gradual.</w:t>
      </w:r>
    </w:p>
    <w:p w14:paraId="248CD331" w14:textId="335EF2EB" w:rsidR="00611A4F" w:rsidRPr="00611A4F" w:rsidRDefault="00611A4F" w:rsidP="00611A4F">
      <w:pPr>
        <w:jc w:val="both"/>
        <w:rPr>
          <w:rFonts w:ascii="Times New Roman" w:hAnsi="Times New Roman" w:cs="Times New Roman"/>
          <w:sz w:val="24"/>
          <w:szCs w:val="24"/>
        </w:rPr>
      </w:pPr>
      <w:r>
        <w:rPr>
          <w:rFonts w:ascii="Times New Roman" w:hAnsi="Times New Roman" w:cs="Times New Roman"/>
          <w:sz w:val="24"/>
          <w:szCs w:val="24"/>
        </w:rPr>
        <w:t xml:space="preserve">Al </w:t>
      </w:r>
      <w:r w:rsidRPr="00611A4F">
        <w:rPr>
          <w:rFonts w:ascii="Times New Roman" w:hAnsi="Times New Roman" w:cs="Times New Roman"/>
          <w:sz w:val="24"/>
          <w:szCs w:val="24"/>
        </w:rPr>
        <w:t>CONACYT y Universidades</w:t>
      </w:r>
    </w:p>
    <w:p w14:paraId="152F9AC4" w14:textId="110670CD" w:rsidR="00611A4F" w:rsidRDefault="00611A4F" w:rsidP="00611A4F">
      <w:pPr>
        <w:jc w:val="both"/>
        <w:rPr>
          <w:rFonts w:ascii="Times New Roman" w:hAnsi="Times New Roman" w:cs="Times New Roman"/>
          <w:sz w:val="24"/>
          <w:szCs w:val="24"/>
        </w:rPr>
      </w:pPr>
      <w:r w:rsidRPr="00611A4F">
        <w:rPr>
          <w:rFonts w:ascii="Times New Roman" w:hAnsi="Times New Roman" w:cs="Times New Roman"/>
          <w:sz w:val="24"/>
          <w:szCs w:val="24"/>
        </w:rPr>
        <w:t>Desarrollar investigaciones sobre las consecuencias -para la salud de la</w:t>
      </w:r>
      <w:r>
        <w:rPr>
          <w:rFonts w:ascii="Times New Roman" w:hAnsi="Times New Roman" w:cs="Times New Roman"/>
          <w:sz w:val="24"/>
          <w:szCs w:val="24"/>
        </w:rPr>
        <w:t xml:space="preserve"> </w:t>
      </w:r>
      <w:r w:rsidRPr="00611A4F">
        <w:rPr>
          <w:rFonts w:ascii="Times New Roman" w:hAnsi="Times New Roman" w:cs="Times New Roman"/>
          <w:sz w:val="24"/>
          <w:szCs w:val="24"/>
        </w:rPr>
        <w:t>población y el ambiente- generadas por las diversas formas de producción,</w:t>
      </w:r>
      <w:r>
        <w:rPr>
          <w:rFonts w:ascii="Times New Roman" w:hAnsi="Times New Roman" w:cs="Times New Roman"/>
          <w:sz w:val="24"/>
          <w:szCs w:val="24"/>
        </w:rPr>
        <w:t xml:space="preserve"> </w:t>
      </w:r>
      <w:r w:rsidRPr="00611A4F">
        <w:rPr>
          <w:rFonts w:ascii="Times New Roman" w:hAnsi="Times New Roman" w:cs="Times New Roman"/>
          <w:sz w:val="24"/>
          <w:szCs w:val="24"/>
        </w:rPr>
        <w:t>de tal manera a eliminar sus externalidades y efectos negativos en las comunidades.</w:t>
      </w:r>
    </w:p>
    <w:p w14:paraId="3F223114" w14:textId="12C4C9F2" w:rsidR="00611A4F" w:rsidRDefault="00611A4F" w:rsidP="00611A4F">
      <w:pPr>
        <w:jc w:val="both"/>
        <w:rPr>
          <w:rFonts w:ascii="Times New Roman" w:hAnsi="Times New Roman" w:cs="Times New Roman"/>
          <w:sz w:val="24"/>
          <w:szCs w:val="24"/>
        </w:rPr>
      </w:pPr>
      <w:r>
        <w:rPr>
          <w:rFonts w:ascii="Times New Roman" w:hAnsi="Times New Roman" w:cs="Times New Roman"/>
          <w:sz w:val="24"/>
          <w:szCs w:val="24"/>
        </w:rPr>
        <w:t>Además:</w:t>
      </w:r>
    </w:p>
    <w:p w14:paraId="7DEB23CF" w14:textId="0D210896" w:rsidR="00C24E07" w:rsidRPr="003207A9" w:rsidRDefault="00C22D9A" w:rsidP="003207A9">
      <w:pPr>
        <w:jc w:val="both"/>
        <w:rPr>
          <w:rFonts w:ascii="Times New Roman" w:hAnsi="Times New Roman" w:cs="Times New Roman"/>
          <w:sz w:val="24"/>
          <w:szCs w:val="24"/>
        </w:rPr>
      </w:pPr>
      <w:r w:rsidRPr="003207A9">
        <w:rPr>
          <w:rFonts w:ascii="Times New Roman" w:hAnsi="Times New Roman" w:cs="Times New Roman"/>
          <w:sz w:val="24"/>
          <w:szCs w:val="24"/>
        </w:rPr>
        <w:t>E</w:t>
      </w:r>
      <w:r w:rsidR="005E32E1" w:rsidRPr="003207A9">
        <w:rPr>
          <w:rFonts w:ascii="Times New Roman" w:hAnsi="Times New Roman" w:cs="Times New Roman"/>
          <w:sz w:val="24"/>
          <w:szCs w:val="24"/>
        </w:rPr>
        <w:t xml:space="preserve">l Ministerio de Salud Pública y Bienestar Social </w:t>
      </w:r>
      <w:r w:rsidRPr="003207A9">
        <w:rPr>
          <w:rFonts w:ascii="Times New Roman" w:hAnsi="Times New Roman" w:cs="Times New Roman"/>
          <w:sz w:val="24"/>
          <w:szCs w:val="24"/>
        </w:rPr>
        <w:t>debe avanzar</w:t>
      </w:r>
      <w:r w:rsidR="005E32E1" w:rsidRPr="003207A9">
        <w:rPr>
          <w:rFonts w:ascii="Times New Roman" w:hAnsi="Times New Roman" w:cs="Times New Roman"/>
          <w:sz w:val="24"/>
          <w:szCs w:val="24"/>
        </w:rPr>
        <w:t xml:space="preserve"> en el mejoramiento del sistema de monitoreo epidemiológico de la población afectada y/o potencialmente afectada por la exposición a agrotóxicos, mediante el fortalecimiento de las USF, particularmente en el desarrollo de aquellas funciones mencionadas en este </w:t>
      </w:r>
      <w:r w:rsidRPr="003207A9">
        <w:rPr>
          <w:rFonts w:ascii="Times New Roman" w:hAnsi="Times New Roman" w:cs="Times New Roman"/>
          <w:sz w:val="24"/>
          <w:szCs w:val="24"/>
        </w:rPr>
        <w:t>informe</w:t>
      </w:r>
      <w:r w:rsidR="005E32E1" w:rsidRPr="003207A9">
        <w:rPr>
          <w:rFonts w:ascii="Times New Roman" w:hAnsi="Times New Roman" w:cs="Times New Roman"/>
          <w:sz w:val="24"/>
          <w:szCs w:val="24"/>
        </w:rPr>
        <w:t>.</w:t>
      </w:r>
    </w:p>
    <w:p w14:paraId="6D9CEB51" w14:textId="37FC7D29" w:rsidR="00A97A3C" w:rsidRDefault="00A97A3C" w:rsidP="003941D0">
      <w:pPr>
        <w:jc w:val="both"/>
        <w:rPr>
          <w:rFonts w:ascii="Times New Roman" w:hAnsi="Times New Roman" w:cs="Times New Roman"/>
          <w:sz w:val="24"/>
          <w:szCs w:val="24"/>
        </w:rPr>
      </w:pPr>
    </w:p>
    <w:p w14:paraId="46438E23" w14:textId="19481968" w:rsidR="00931307" w:rsidRDefault="00D05AA3" w:rsidP="00AA3FBF">
      <w:pPr>
        <w:jc w:val="both"/>
        <w:rPr>
          <w:rFonts w:ascii="Times New Roman" w:hAnsi="Times New Roman" w:cs="Times New Roman"/>
          <w:sz w:val="24"/>
          <w:szCs w:val="24"/>
        </w:rPr>
      </w:pPr>
      <w:r>
        <w:rPr>
          <w:noProof/>
        </w:rPr>
        <w:drawing>
          <wp:inline distT="0" distB="0" distL="0" distR="0" wp14:anchorId="6E25C9D2" wp14:editId="5CAC773B">
            <wp:extent cx="1168433" cy="922758"/>
            <wp:effectExtent l="0" t="0" r="0" b="0"/>
            <wp:docPr id="1" name="Imagen 1" descr="Imagen que contiene anim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animal&#10;&#10;Descripción generada automáticamen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0500" cy="932288"/>
                    </a:xfrm>
                    <a:prstGeom prst="rect">
                      <a:avLst/>
                    </a:prstGeom>
                    <a:noFill/>
                    <a:ln>
                      <a:noFill/>
                    </a:ln>
                  </pic:spPr>
                </pic:pic>
              </a:graphicData>
            </a:graphic>
          </wp:inline>
        </w:drawing>
      </w:r>
    </w:p>
    <w:p w14:paraId="3D30164E" w14:textId="78D49117" w:rsidR="00D05AA3" w:rsidRDefault="00D05AA3" w:rsidP="00AA3FBF">
      <w:pPr>
        <w:jc w:val="both"/>
        <w:rPr>
          <w:rFonts w:ascii="Times New Roman" w:hAnsi="Times New Roman" w:cs="Times New Roman"/>
          <w:sz w:val="24"/>
          <w:szCs w:val="24"/>
        </w:rPr>
      </w:pPr>
    </w:p>
    <w:p w14:paraId="0DCF08A2" w14:textId="0CF08146" w:rsidR="00D05AA3" w:rsidRDefault="00D05AA3" w:rsidP="00AA3FBF">
      <w:pPr>
        <w:jc w:val="both"/>
        <w:rPr>
          <w:rFonts w:ascii="Times New Roman" w:hAnsi="Times New Roman" w:cs="Times New Roman"/>
          <w:sz w:val="24"/>
          <w:szCs w:val="24"/>
        </w:rPr>
      </w:pP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Stela Benítez </w:t>
      </w:r>
      <w:proofErr w:type="spellStart"/>
      <w:r>
        <w:rPr>
          <w:rFonts w:ascii="Times New Roman" w:hAnsi="Times New Roman" w:cs="Times New Roman"/>
          <w:sz w:val="24"/>
          <w:szCs w:val="24"/>
        </w:rPr>
        <w:t>Leite</w:t>
      </w:r>
      <w:proofErr w:type="spellEnd"/>
    </w:p>
    <w:sectPr w:rsidR="00D05AA3">
      <w:head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3C58" w14:textId="77777777" w:rsidR="007C6035" w:rsidRDefault="007C6035" w:rsidP="00D42004">
      <w:pPr>
        <w:spacing w:after="0" w:line="240" w:lineRule="auto"/>
      </w:pPr>
      <w:r>
        <w:separator/>
      </w:r>
    </w:p>
  </w:endnote>
  <w:endnote w:type="continuationSeparator" w:id="0">
    <w:p w14:paraId="22D5E53C" w14:textId="77777777" w:rsidR="007C6035" w:rsidRDefault="007C6035" w:rsidP="00D4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5F8F" w14:textId="77777777" w:rsidR="007C6035" w:rsidRDefault="007C6035" w:rsidP="00D42004">
      <w:pPr>
        <w:spacing w:after="0" w:line="240" w:lineRule="auto"/>
      </w:pPr>
      <w:r>
        <w:separator/>
      </w:r>
    </w:p>
  </w:footnote>
  <w:footnote w:type="continuationSeparator" w:id="0">
    <w:p w14:paraId="58FD2506" w14:textId="77777777" w:rsidR="007C6035" w:rsidRDefault="007C6035" w:rsidP="00D42004">
      <w:pPr>
        <w:spacing w:after="0" w:line="240" w:lineRule="auto"/>
      </w:pPr>
      <w:r>
        <w:continuationSeparator/>
      </w:r>
    </w:p>
  </w:footnote>
  <w:footnote w:id="1">
    <w:p w14:paraId="25C5D61F" w14:textId="54F86ECE" w:rsidR="00D42004" w:rsidRDefault="00D42004">
      <w:pPr>
        <w:pStyle w:val="Textonotapie"/>
      </w:pPr>
      <w:r>
        <w:rPr>
          <w:rStyle w:val="Refdenotaalpie"/>
        </w:rPr>
        <w:footnoteRef/>
      </w:r>
      <w:r>
        <w:t xml:space="preserve"> </w:t>
      </w:r>
      <w:r w:rsidRPr="00D42004">
        <w:t xml:space="preserve">El Global </w:t>
      </w:r>
      <w:proofErr w:type="spellStart"/>
      <w:r w:rsidRPr="00D42004">
        <w:t>Cancer</w:t>
      </w:r>
      <w:proofErr w:type="spellEnd"/>
      <w:r w:rsidRPr="00D42004">
        <w:t xml:space="preserve"> </w:t>
      </w:r>
      <w:proofErr w:type="spellStart"/>
      <w:r w:rsidRPr="00D42004">
        <w:t>Observatory</w:t>
      </w:r>
      <w:proofErr w:type="spellEnd"/>
      <w:r w:rsidRPr="00D42004">
        <w:t xml:space="preserve"> (GCO) es una plataforma web interactiva desarrollada por el Centro Internacional de Investigaciones sobre el Cáncer (IARC, por sus siglas en inglés), un órgano que forma parte de la Organización Mundial de la Salud (OMS).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89081"/>
      <w:docPartObj>
        <w:docPartGallery w:val="Page Numbers (Top of Page)"/>
        <w:docPartUnique/>
      </w:docPartObj>
    </w:sdtPr>
    <w:sdtContent>
      <w:p w14:paraId="2B2E5336" w14:textId="28807132" w:rsidR="00AA36FA" w:rsidRDefault="00AA36FA">
        <w:pPr>
          <w:pStyle w:val="Encabezado"/>
          <w:jc w:val="center"/>
        </w:pPr>
        <w:r>
          <w:fldChar w:fldCharType="begin"/>
        </w:r>
        <w:r>
          <w:instrText>PAGE   \* MERGEFORMAT</w:instrText>
        </w:r>
        <w:r>
          <w:fldChar w:fldCharType="separate"/>
        </w:r>
        <w:r w:rsidR="00A01ACB" w:rsidRPr="00A01ACB">
          <w:rPr>
            <w:noProof/>
            <w:lang w:val="es-ES"/>
          </w:rPr>
          <w:t>3</w:t>
        </w:r>
        <w:r>
          <w:fldChar w:fldCharType="end"/>
        </w:r>
      </w:p>
    </w:sdtContent>
  </w:sdt>
  <w:p w14:paraId="5F31A49D" w14:textId="77777777" w:rsidR="00AA36FA" w:rsidRDefault="00AA36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732C0"/>
    <w:multiLevelType w:val="hybridMultilevel"/>
    <w:tmpl w:val="17C42D0A"/>
    <w:lvl w:ilvl="0" w:tplc="879C0E18">
      <w:start w:val="17"/>
      <w:numFmt w:val="bullet"/>
      <w:lvlText w:val="-"/>
      <w:lvlJc w:val="left"/>
      <w:pPr>
        <w:ind w:left="720" w:hanging="360"/>
      </w:pPr>
      <w:rPr>
        <w:rFonts w:ascii="Times New Roman" w:eastAsiaTheme="minorHAns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620D4B5D"/>
    <w:multiLevelType w:val="hybridMultilevel"/>
    <w:tmpl w:val="06B6F016"/>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16cid:durableId="1261177285">
    <w:abstractNumId w:val="1"/>
  </w:num>
  <w:num w:numId="2" w16cid:durableId="135195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1C"/>
    <w:rsid w:val="00001077"/>
    <w:rsid w:val="00010826"/>
    <w:rsid w:val="00015FED"/>
    <w:rsid w:val="00057504"/>
    <w:rsid w:val="0007554F"/>
    <w:rsid w:val="00083AFC"/>
    <w:rsid w:val="0008562F"/>
    <w:rsid w:val="00091B2E"/>
    <w:rsid w:val="000A14BE"/>
    <w:rsid w:val="000B21B5"/>
    <w:rsid w:val="000C020C"/>
    <w:rsid w:val="000C2E17"/>
    <w:rsid w:val="000D52AE"/>
    <w:rsid w:val="001034C2"/>
    <w:rsid w:val="00111034"/>
    <w:rsid w:val="00111F43"/>
    <w:rsid w:val="001144F2"/>
    <w:rsid w:val="00130B44"/>
    <w:rsid w:val="001543B9"/>
    <w:rsid w:val="00195923"/>
    <w:rsid w:val="00196CFB"/>
    <w:rsid w:val="001A039A"/>
    <w:rsid w:val="001B0D29"/>
    <w:rsid w:val="001B45AC"/>
    <w:rsid w:val="001E56A5"/>
    <w:rsid w:val="00210051"/>
    <w:rsid w:val="00216878"/>
    <w:rsid w:val="0023483F"/>
    <w:rsid w:val="002411CE"/>
    <w:rsid w:val="00245FB5"/>
    <w:rsid w:val="002764DD"/>
    <w:rsid w:val="00292FD9"/>
    <w:rsid w:val="0029377F"/>
    <w:rsid w:val="002C066A"/>
    <w:rsid w:val="002C4C74"/>
    <w:rsid w:val="002E06C8"/>
    <w:rsid w:val="002E7832"/>
    <w:rsid w:val="002F1134"/>
    <w:rsid w:val="002F31A7"/>
    <w:rsid w:val="002F6827"/>
    <w:rsid w:val="00313FD8"/>
    <w:rsid w:val="003207A9"/>
    <w:rsid w:val="00324A97"/>
    <w:rsid w:val="003356BB"/>
    <w:rsid w:val="00340E94"/>
    <w:rsid w:val="00374569"/>
    <w:rsid w:val="00386A2F"/>
    <w:rsid w:val="00387681"/>
    <w:rsid w:val="003914F7"/>
    <w:rsid w:val="003941D0"/>
    <w:rsid w:val="003A070C"/>
    <w:rsid w:val="003B6E20"/>
    <w:rsid w:val="00411A76"/>
    <w:rsid w:val="00412524"/>
    <w:rsid w:val="004253DA"/>
    <w:rsid w:val="00452C8A"/>
    <w:rsid w:val="004530F9"/>
    <w:rsid w:val="00466076"/>
    <w:rsid w:val="0047215D"/>
    <w:rsid w:val="00487A59"/>
    <w:rsid w:val="0049163A"/>
    <w:rsid w:val="004F10C2"/>
    <w:rsid w:val="00513E58"/>
    <w:rsid w:val="00542128"/>
    <w:rsid w:val="005703A3"/>
    <w:rsid w:val="00583FE7"/>
    <w:rsid w:val="00587595"/>
    <w:rsid w:val="00596197"/>
    <w:rsid w:val="0059792A"/>
    <w:rsid w:val="005B4E64"/>
    <w:rsid w:val="005E32E1"/>
    <w:rsid w:val="005F6D1E"/>
    <w:rsid w:val="005F7D22"/>
    <w:rsid w:val="00611A4F"/>
    <w:rsid w:val="00652136"/>
    <w:rsid w:val="006645A6"/>
    <w:rsid w:val="0066755E"/>
    <w:rsid w:val="00676C30"/>
    <w:rsid w:val="006825FE"/>
    <w:rsid w:val="006A07D2"/>
    <w:rsid w:val="006B4B8C"/>
    <w:rsid w:val="006E0C81"/>
    <w:rsid w:val="006F52B8"/>
    <w:rsid w:val="00716906"/>
    <w:rsid w:val="00732C5C"/>
    <w:rsid w:val="00734E0D"/>
    <w:rsid w:val="00744DC6"/>
    <w:rsid w:val="00763CE8"/>
    <w:rsid w:val="00774DDC"/>
    <w:rsid w:val="00776B24"/>
    <w:rsid w:val="007C292F"/>
    <w:rsid w:val="007C2E39"/>
    <w:rsid w:val="007C6035"/>
    <w:rsid w:val="007C6B1C"/>
    <w:rsid w:val="007D4782"/>
    <w:rsid w:val="007E3439"/>
    <w:rsid w:val="007F0C24"/>
    <w:rsid w:val="008141FC"/>
    <w:rsid w:val="00823CCD"/>
    <w:rsid w:val="00832835"/>
    <w:rsid w:val="0085671C"/>
    <w:rsid w:val="00864E7C"/>
    <w:rsid w:val="00877F93"/>
    <w:rsid w:val="008939E5"/>
    <w:rsid w:val="008976DE"/>
    <w:rsid w:val="008A1FCD"/>
    <w:rsid w:val="008B3C4D"/>
    <w:rsid w:val="008B700D"/>
    <w:rsid w:val="008C6B17"/>
    <w:rsid w:val="008D7D11"/>
    <w:rsid w:val="008E4F55"/>
    <w:rsid w:val="00914188"/>
    <w:rsid w:val="00931307"/>
    <w:rsid w:val="00956F1E"/>
    <w:rsid w:val="00961B49"/>
    <w:rsid w:val="00964D40"/>
    <w:rsid w:val="009668F9"/>
    <w:rsid w:val="009713F4"/>
    <w:rsid w:val="009870CC"/>
    <w:rsid w:val="009C0549"/>
    <w:rsid w:val="009C5BD8"/>
    <w:rsid w:val="009D2FA4"/>
    <w:rsid w:val="009E0736"/>
    <w:rsid w:val="009E1C48"/>
    <w:rsid w:val="00A01ACB"/>
    <w:rsid w:val="00A20394"/>
    <w:rsid w:val="00A26A62"/>
    <w:rsid w:val="00A617D3"/>
    <w:rsid w:val="00A7172E"/>
    <w:rsid w:val="00A91064"/>
    <w:rsid w:val="00A97A3C"/>
    <w:rsid w:val="00AA36FA"/>
    <w:rsid w:val="00AA3E31"/>
    <w:rsid w:val="00AA3FBF"/>
    <w:rsid w:val="00AA48B9"/>
    <w:rsid w:val="00AB48E5"/>
    <w:rsid w:val="00AD4F25"/>
    <w:rsid w:val="00B0182E"/>
    <w:rsid w:val="00B1313E"/>
    <w:rsid w:val="00B159E0"/>
    <w:rsid w:val="00B4251F"/>
    <w:rsid w:val="00B50F1C"/>
    <w:rsid w:val="00B5153F"/>
    <w:rsid w:val="00B52A87"/>
    <w:rsid w:val="00B5746C"/>
    <w:rsid w:val="00B83293"/>
    <w:rsid w:val="00BA205A"/>
    <w:rsid w:val="00BB59D2"/>
    <w:rsid w:val="00BF110B"/>
    <w:rsid w:val="00BF1F37"/>
    <w:rsid w:val="00C16D8F"/>
    <w:rsid w:val="00C22D9A"/>
    <w:rsid w:val="00C24E07"/>
    <w:rsid w:val="00C25DA0"/>
    <w:rsid w:val="00C764F1"/>
    <w:rsid w:val="00C85EFC"/>
    <w:rsid w:val="00CA6AD2"/>
    <w:rsid w:val="00CB13EF"/>
    <w:rsid w:val="00CE562D"/>
    <w:rsid w:val="00CE604C"/>
    <w:rsid w:val="00D05AA3"/>
    <w:rsid w:val="00D26C04"/>
    <w:rsid w:val="00D42004"/>
    <w:rsid w:val="00D55D24"/>
    <w:rsid w:val="00D606B9"/>
    <w:rsid w:val="00D93282"/>
    <w:rsid w:val="00DC30FE"/>
    <w:rsid w:val="00DC4D6C"/>
    <w:rsid w:val="00DD24E0"/>
    <w:rsid w:val="00DD7943"/>
    <w:rsid w:val="00DF40A6"/>
    <w:rsid w:val="00DF4D62"/>
    <w:rsid w:val="00E01B24"/>
    <w:rsid w:val="00E10AD5"/>
    <w:rsid w:val="00E11304"/>
    <w:rsid w:val="00E24E00"/>
    <w:rsid w:val="00E406C1"/>
    <w:rsid w:val="00E50D8E"/>
    <w:rsid w:val="00E5781A"/>
    <w:rsid w:val="00E62832"/>
    <w:rsid w:val="00EA1BEE"/>
    <w:rsid w:val="00EB156A"/>
    <w:rsid w:val="00EC14D2"/>
    <w:rsid w:val="00EC43AA"/>
    <w:rsid w:val="00EE01F5"/>
    <w:rsid w:val="00EE407B"/>
    <w:rsid w:val="00EE413B"/>
    <w:rsid w:val="00F01CA6"/>
    <w:rsid w:val="00F109E6"/>
    <w:rsid w:val="00F11133"/>
    <w:rsid w:val="00F17E8B"/>
    <w:rsid w:val="00F20058"/>
    <w:rsid w:val="00F2027A"/>
    <w:rsid w:val="00F329AF"/>
    <w:rsid w:val="00F440BB"/>
    <w:rsid w:val="00F56444"/>
    <w:rsid w:val="00F86A4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DE43"/>
  <w15:chartTrackingRefBased/>
  <w15:docId w15:val="{A2E324C7-47AB-40E7-B821-54C6F4AB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111F43"/>
    <w:pPr>
      <w:spacing w:after="120"/>
    </w:pPr>
  </w:style>
  <w:style w:type="character" w:customStyle="1" w:styleId="TextoindependienteCar">
    <w:name w:val="Texto independiente Car"/>
    <w:basedOn w:val="Fuentedeprrafopredeter"/>
    <w:link w:val="Textoindependiente"/>
    <w:uiPriority w:val="99"/>
    <w:rsid w:val="00111F43"/>
  </w:style>
  <w:style w:type="paragraph" w:styleId="Textonotapie">
    <w:name w:val="footnote text"/>
    <w:basedOn w:val="Normal"/>
    <w:link w:val="TextonotapieCar"/>
    <w:uiPriority w:val="99"/>
    <w:semiHidden/>
    <w:unhideWhenUsed/>
    <w:rsid w:val="00D420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2004"/>
    <w:rPr>
      <w:sz w:val="20"/>
      <w:szCs w:val="20"/>
    </w:rPr>
  </w:style>
  <w:style w:type="character" w:styleId="Refdenotaalpie">
    <w:name w:val="footnote reference"/>
    <w:basedOn w:val="Fuentedeprrafopredeter"/>
    <w:uiPriority w:val="99"/>
    <w:semiHidden/>
    <w:unhideWhenUsed/>
    <w:rsid w:val="00D42004"/>
    <w:rPr>
      <w:vertAlign w:val="superscript"/>
    </w:rPr>
  </w:style>
  <w:style w:type="paragraph" w:styleId="Encabezado">
    <w:name w:val="header"/>
    <w:basedOn w:val="Normal"/>
    <w:link w:val="EncabezadoCar"/>
    <w:uiPriority w:val="99"/>
    <w:unhideWhenUsed/>
    <w:rsid w:val="00AA3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6FA"/>
  </w:style>
  <w:style w:type="paragraph" w:styleId="Piedepgina">
    <w:name w:val="footer"/>
    <w:basedOn w:val="Normal"/>
    <w:link w:val="PiedepginaCar"/>
    <w:uiPriority w:val="99"/>
    <w:unhideWhenUsed/>
    <w:rsid w:val="00AA3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6FA"/>
  </w:style>
  <w:style w:type="character" w:styleId="Hipervnculo">
    <w:name w:val="Hyperlink"/>
    <w:basedOn w:val="Fuentedeprrafopredeter"/>
    <w:uiPriority w:val="99"/>
    <w:unhideWhenUsed/>
    <w:rsid w:val="00386A2F"/>
    <w:rPr>
      <w:color w:val="0563C1" w:themeColor="hyperlink"/>
      <w:u w:val="single"/>
    </w:rPr>
  </w:style>
  <w:style w:type="character" w:customStyle="1" w:styleId="Mencinsinresolver1">
    <w:name w:val="Mención sin resolver1"/>
    <w:basedOn w:val="Fuentedeprrafopredeter"/>
    <w:uiPriority w:val="99"/>
    <w:semiHidden/>
    <w:unhideWhenUsed/>
    <w:rsid w:val="00386A2F"/>
    <w:rPr>
      <w:color w:val="605E5C"/>
      <w:shd w:val="clear" w:color="auto" w:fill="E1DFDD"/>
    </w:rPr>
  </w:style>
  <w:style w:type="character" w:styleId="Hipervnculovisitado">
    <w:name w:val="FollowedHyperlink"/>
    <w:basedOn w:val="Fuentedeprrafopredeter"/>
    <w:uiPriority w:val="99"/>
    <w:semiHidden/>
    <w:unhideWhenUsed/>
    <w:rsid w:val="00F2027A"/>
    <w:rPr>
      <w:color w:val="954F72" w:themeColor="followedHyperlink"/>
      <w:u w:val="single"/>
    </w:rPr>
  </w:style>
  <w:style w:type="character" w:styleId="Mencinsinresolver">
    <w:name w:val="Unresolved Mention"/>
    <w:basedOn w:val="Fuentedeprrafopredeter"/>
    <w:uiPriority w:val="99"/>
    <w:semiHidden/>
    <w:unhideWhenUsed/>
    <w:rsid w:val="008C6B17"/>
    <w:rPr>
      <w:color w:val="605E5C"/>
      <w:shd w:val="clear" w:color="auto" w:fill="E1DFDD"/>
    </w:rPr>
  </w:style>
  <w:style w:type="character" w:styleId="Refdecomentario">
    <w:name w:val="annotation reference"/>
    <w:basedOn w:val="Fuentedeprrafopredeter"/>
    <w:uiPriority w:val="99"/>
    <w:semiHidden/>
    <w:unhideWhenUsed/>
    <w:rsid w:val="006E0C81"/>
    <w:rPr>
      <w:sz w:val="16"/>
      <w:szCs w:val="16"/>
    </w:rPr>
  </w:style>
  <w:style w:type="paragraph" w:styleId="Textocomentario">
    <w:name w:val="annotation text"/>
    <w:basedOn w:val="Normal"/>
    <w:link w:val="TextocomentarioCar"/>
    <w:uiPriority w:val="99"/>
    <w:semiHidden/>
    <w:unhideWhenUsed/>
    <w:rsid w:val="006E0C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0C81"/>
    <w:rPr>
      <w:sz w:val="20"/>
      <w:szCs w:val="20"/>
    </w:rPr>
  </w:style>
  <w:style w:type="paragraph" w:styleId="Asuntodelcomentario">
    <w:name w:val="annotation subject"/>
    <w:basedOn w:val="Textocomentario"/>
    <w:next w:val="Textocomentario"/>
    <w:link w:val="AsuntodelcomentarioCar"/>
    <w:uiPriority w:val="99"/>
    <w:semiHidden/>
    <w:unhideWhenUsed/>
    <w:rsid w:val="006E0C81"/>
    <w:rPr>
      <w:b/>
      <w:bCs/>
    </w:rPr>
  </w:style>
  <w:style w:type="character" w:customStyle="1" w:styleId="AsuntodelcomentarioCar">
    <w:name w:val="Asunto del comentario Car"/>
    <w:basedOn w:val="TextocomentarioCar"/>
    <w:link w:val="Asuntodelcomentario"/>
    <w:uiPriority w:val="99"/>
    <w:semiHidden/>
    <w:rsid w:val="006E0C81"/>
    <w:rPr>
      <w:b/>
      <w:bCs/>
      <w:sz w:val="20"/>
      <w:szCs w:val="20"/>
    </w:rPr>
  </w:style>
  <w:style w:type="paragraph" w:styleId="Prrafodelista">
    <w:name w:val="List Paragraph"/>
    <w:basedOn w:val="Normal"/>
    <w:uiPriority w:val="34"/>
    <w:qFormat/>
    <w:rsid w:val="00C22D9A"/>
    <w:pPr>
      <w:ind w:left="720"/>
      <w:contextualSpacing/>
    </w:pPr>
  </w:style>
  <w:style w:type="character" w:customStyle="1" w:styleId="Ninguno">
    <w:name w:val="Ninguno"/>
    <w:rsid w:val="0019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lo.cl/scielo.php?script=sci_arttext&amp;pid=S0370-41062009000400010" TargetMode="External"/><Relationship Id="rId13" Type="http://schemas.openxmlformats.org/officeDocument/2006/relationships/hyperlink" Target="http://revistas.ins.gov.py/index.php/rspp/article/view/33" TargetMode="External"/><Relationship Id="rId18" Type="http://schemas.openxmlformats.org/officeDocument/2006/relationships/hyperlink" Target="file:///C:\Users\CORVALAN\Downloads\10.9734\BJMMR\2016\2548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gvs.mspbs.gov.py/files/guiaNacional/Guia_de_Vigilancia_2022_act_6_junio.pdf" TargetMode="External"/><Relationship Id="rId7" Type="http://schemas.openxmlformats.org/officeDocument/2006/relationships/endnotes" Target="endnotes.xml"/><Relationship Id="rId12" Type="http://schemas.openxmlformats.org/officeDocument/2006/relationships/hyperlink" Target="chrome-extension://dagcmkpagjlhakfdhnbomgmjdpkdklff/enhanced-reader.html?openApp&amp;pdf=https%3A%2F%2Fwww.ncbi.nlm.nih.gov%2Fpmc%2Farticles%2FPMC6886144%2Fpdf%2FIJMR-150-290.pdf" TargetMode="External"/><Relationship Id="rId17" Type="http://schemas.openxmlformats.org/officeDocument/2006/relationships/hyperlink" Target="https://doi.org/10.31698/ped.4501201801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7705/biomedica.v37i3.3264" TargetMode="External"/><Relationship Id="rId20" Type="http://schemas.openxmlformats.org/officeDocument/2006/relationships/hyperlink" Target="https://www.decidamos.org.py/wp-content/uploads/2021/03/Resumen-%C2%BFSon-las-USF-parte-de-la-respuesta-.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abs/pii/S1383571818300998?via%3Dihub"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gco.iarc.fr/today/data/factsheets/populations/600-paraguay-fact-sheets.pdf" TargetMode="External"/><Relationship Id="rId23" Type="http://schemas.openxmlformats.org/officeDocument/2006/relationships/hyperlink" Target="https://escuelasfumigadas.org/wp-content/uploads/2021/02/Escuelas-rurales-fumigadas-en-Paraguay.pdf" TargetMode="External"/><Relationship Id="rId28" Type="http://schemas.openxmlformats.org/officeDocument/2006/relationships/customXml" Target="../customXml/item2.xml"/><Relationship Id="rId10" Type="http://schemas.openxmlformats.org/officeDocument/2006/relationships/hyperlink" Target="https://revistaspp.org/index.php/pediatria/article/view/202" TargetMode="External"/><Relationship Id="rId19" Type="http://schemas.openxmlformats.org/officeDocument/2006/relationships/hyperlink" Target="https://ddhh2020.codehupy.org.py/un-pais-que-vive-en-emergencia/" TargetMode="External"/><Relationship Id="rId4" Type="http://schemas.openxmlformats.org/officeDocument/2006/relationships/settings" Target="settings.xml"/><Relationship Id="rId9" Type="http://schemas.openxmlformats.org/officeDocument/2006/relationships/hyperlink" Target="https://www.revistaspp.org/index.php/pediatria/article/view/434" TargetMode="External"/><Relationship Id="rId14" Type="http://schemas.openxmlformats.org/officeDocument/2006/relationships/hyperlink" Target="https://doi.org/10.31698/ped.49022022002" TargetMode="External"/><Relationship Id="rId22" Type="http://schemas.openxmlformats.org/officeDocument/2006/relationships/hyperlink" Target="http://ceri.org.py/wp-content/uploads/2020/12/Libro_Impacto-de-la-glocalizaci%C3%B3n-Hugo-Pereira_Dic-2020.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55E3A20-7189-45A9-AA50-FFD0685D03F3}"/>
</file>

<file path=customXml/itemProps2.xml><?xml version="1.0" encoding="utf-8"?>
<ds:datastoreItem xmlns:ds="http://schemas.openxmlformats.org/officeDocument/2006/customXml" ds:itemID="{B1F84005-E6C9-4AC0-955C-8B3D3BE0B6AF}"/>
</file>

<file path=customXml/itemProps3.xml><?xml version="1.0" encoding="utf-8"?>
<ds:datastoreItem xmlns:ds="http://schemas.openxmlformats.org/officeDocument/2006/customXml" ds:itemID="{DBCE0D7A-BF22-4EAA-BB2F-AC5B64B5F54A}"/>
</file>

<file path=customXml/itemProps4.xml><?xml version="1.0" encoding="utf-8"?>
<ds:datastoreItem xmlns:ds="http://schemas.openxmlformats.org/officeDocument/2006/customXml" ds:itemID="{A2287BF8-D38F-44CC-99B7-4357A3B956AB}"/>
</file>

<file path=docProps/app.xml><?xml version="1.0" encoding="utf-8"?>
<Properties xmlns="http://schemas.openxmlformats.org/officeDocument/2006/extended-properties" xmlns:vt="http://schemas.openxmlformats.org/officeDocument/2006/docPropsVTypes">
  <Template>Normal.dotm</Template>
  <TotalTime>3</TotalTime>
  <Pages>7</Pages>
  <Words>3284</Words>
  <Characters>18067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Corvalan</dc:creator>
  <cp:keywords/>
  <dc:description/>
  <cp:lastModifiedBy>Stela Benítez</cp:lastModifiedBy>
  <cp:revision>2</cp:revision>
  <dcterms:created xsi:type="dcterms:W3CDTF">2022-09-06T22:03:00Z</dcterms:created>
  <dcterms:modified xsi:type="dcterms:W3CDTF">2022-09-06T22:03:00Z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