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E2BC5" w14:textId="77777777" w:rsidR="00026AFB" w:rsidRDefault="00026AFB" w:rsidP="00026AFB">
      <w:pPr>
        <w:tabs>
          <w:tab w:val="left" w:pos="1140"/>
        </w:tabs>
        <w:jc w:val="both"/>
        <w:rPr>
          <w:sz w:val="22"/>
          <w:szCs w:val="22"/>
        </w:rPr>
      </w:pPr>
      <w:r w:rsidRPr="00D769E5">
        <w:rPr>
          <w:b/>
          <w:sz w:val="22"/>
          <w:szCs w:val="22"/>
        </w:rPr>
        <w:t>Note:</w:t>
      </w:r>
      <w:r>
        <w:rPr>
          <w:sz w:val="22"/>
          <w:szCs w:val="22"/>
        </w:rPr>
        <w:t xml:space="preserve"> The record of discussions following this question towards a recommendation can be viewed under </w:t>
      </w:r>
      <w:hyperlink r:id="rId7" w:history="1">
        <w:r w:rsidRPr="00966754">
          <w:rPr>
            <w:rStyle w:val="Hyperlink"/>
            <w:sz w:val="22"/>
            <w:szCs w:val="22"/>
          </w:rPr>
          <w:t>www.mared.org</w:t>
        </w:r>
      </w:hyperlink>
      <w:r>
        <w:rPr>
          <w:sz w:val="22"/>
          <w:szCs w:val="22"/>
        </w:rPr>
        <w:t xml:space="preserve"> “Recommendation Tracking”</w:t>
      </w:r>
    </w:p>
    <w:p w14:paraId="7331D69E" w14:textId="77777777" w:rsidR="00026AFB" w:rsidRDefault="00026AFB" w:rsidP="00026AFB">
      <w:pPr>
        <w:tabs>
          <w:tab w:val="left" w:pos="1140"/>
        </w:tabs>
        <w:jc w:val="both"/>
        <w:rPr>
          <w:sz w:val="22"/>
          <w:szCs w:val="22"/>
        </w:rPr>
      </w:pPr>
    </w:p>
    <w:p w14:paraId="5A035220" w14:textId="77777777" w:rsidR="00D70FD1" w:rsidRPr="00D70FD1" w:rsidRDefault="00D70FD1" w:rsidP="00026AFB">
      <w:pPr>
        <w:tabs>
          <w:tab w:val="left" w:pos="1140"/>
        </w:tabs>
        <w:jc w:val="both"/>
        <w:rPr>
          <w:b/>
          <w:sz w:val="22"/>
          <w:szCs w:val="22"/>
        </w:rPr>
      </w:pPr>
      <w:r w:rsidRPr="00D70FD1">
        <w:rPr>
          <w:b/>
        </w:rPr>
        <w:t>The issue addressed below has been discussed by MarED HC 37 and is published “for consideration” by MED stakeholders.</w:t>
      </w:r>
    </w:p>
    <w:p w14:paraId="4C7270AA" w14:textId="77777777" w:rsidR="00D70FD1" w:rsidRDefault="00D70FD1" w:rsidP="00026AFB">
      <w:pPr>
        <w:tabs>
          <w:tab w:val="left" w:pos="1140"/>
        </w:tabs>
        <w:jc w:val="both"/>
        <w:rPr>
          <w:sz w:val="22"/>
          <w:szCs w:val="22"/>
        </w:rPr>
      </w:pPr>
    </w:p>
    <w:p w14:paraId="5D58F7D5" w14:textId="77777777" w:rsidR="00026AFB" w:rsidRDefault="00026AFB" w:rsidP="00026AFB">
      <w:pPr>
        <w:tabs>
          <w:tab w:val="left" w:pos="1140"/>
        </w:tabs>
        <w:jc w:val="both"/>
        <w:rPr>
          <w:sz w:val="22"/>
          <w:szCs w:val="22"/>
        </w:rPr>
      </w:pPr>
      <w:r>
        <w:rPr>
          <w:sz w:val="22"/>
          <w:szCs w:val="22"/>
        </w:rPr>
        <w:t xml:space="preserve">Origin </w:t>
      </w:r>
      <w:r w:rsidR="0076422C">
        <w:rPr>
          <w:sz w:val="22"/>
          <w:szCs w:val="22"/>
        </w:rPr>
        <w:t>of the question: Question from Manufacturer</w:t>
      </w:r>
    </w:p>
    <w:p w14:paraId="39288A8F" w14:textId="77777777" w:rsidR="00026AFB" w:rsidRDefault="00026AFB" w:rsidP="00026AFB">
      <w:pPr>
        <w:tabs>
          <w:tab w:val="left" w:pos="1140"/>
        </w:tabs>
        <w:jc w:val="both"/>
        <w:rPr>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3"/>
      </w:tblGrid>
      <w:tr w:rsidR="00026AFB" w:rsidRPr="00AC1EC8" w14:paraId="14473177" w14:textId="77777777" w:rsidTr="005A1661">
        <w:tc>
          <w:tcPr>
            <w:tcW w:w="9923" w:type="dxa"/>
            <w:tcBorders>
              <w:top w:val="single" w:sz="4" w:space="0" w:color="auto"/>
              <w:left w:val="single" w:sz="4" w:space="0" w:color="auto"/>
              <w:bottom w:val="single" w:sz="4" w:space="0" w:color="auto"/>
              <w:right w:val="single" w:sz="4" w:space="0" w:color="auto"/>
            </w:tcBorders>
            <w:hideMark/>
          </w:tcPr>
          <w:p w14:paraId="6358642B" w14:textId="77777777" w:rsidR="00026AFB" w:rsidRDefault="00026AFB" w:rsidP="005A1661">
            <w:r>
              <w:rPr>
                <w:b/>
              </w:rPr>
              <w:t>Reference:</w:t>
            </w:r>
          </w:p>
          <w:p w14:paraId="5107A5C1" w14:textId="77777777" w:rsidR="00026AFB" w:rsidRDefault="00026AFB" w:rsidP="00026AFB">
            <w:pPr>
              <w:rPr>
                <w:color w:val="000000"/>
                <w:sz w:val="22"/>
                <w:szCs w:val="22"/>
              </w:rPr>
            </w:pPr>
            <w:r>
              <w:rPr>
                <w:color w:val="000000"/>
                <w:sz w:val="22"/>
                <w:szCs w:val="22"/>
              </w:rPr>
              <w:t xml:space="preserve">Directive 2014/90/EU </w:t>
            </w:r>
          </w:p>
          <w:p w14:paraId="2D6EB8AD" w14:textId="77777777" w:rsidR="00026AFB" w:rsidRDefault="00026AFB" w:rsidP="008601DC">
            <w:pPr>
              <w:tabs>
                <w:tab w:val="left" w:pos="2268"/>
              </w:tabs>
              <w:rPr>
                <w:color w:val="000000"/>
                <w:sz w:val="22"/>
                <w:szCs w:val="22"/>
              </w:rPr>
            </w:pPr>
            <w:r>
              <w:rPr>
                <w:color w:val="000000"/>
                <w:sz w:val="22"/>
                <w:szCs w:val="22"/>
              </w:rPr>
              <w:t>Article</w:t>
            </w:r>
            <w:r>
              <w:rPr>
                <w:color w:val="000000"/>
                <w:sz w:val="22"/>
                <w:szCs w:val="22"/>
              </w:rPr>
              <w:tab/>
            </w:r>
            <w:r w:rsidR="00520F90">
              <w:rPr>
                <w:color w:val="000000"/>
                <w:sz w:val="22"/>
                <w:szCs w:val="22"/>
              </w:rPr>
              <w:t>Sewage Systems</w:t>
            </w:r>
          </w:p>
          <w:p w14:paraId="0BAF9D57" w14:textId="77777777" w:rsidR="00026AFB" w:rsidRDefault="00026AFB" w:rsidP="008601DC">
            <w:pPr>
              <w:tabs>
                <w:tab w:val="left" w:pos="2268"/>
              </w:tabs>
              <w:rPr>
                <w:color w:val="000000"/>
                <w:sz w:val="22"/>
                <w:szCs w:val="22"/>
              </w:rPr>
            </w:pPr>
            <w:r>
              <w:rPr>
                <w:color w:val="000000"/>
                <w:sz w:val="22"/>
                <w:szCs w:val="22"/>
              </w:rPr>
              <w:t>Annex</w:t>
            </w:r>
            <w:r>
              <w:rPr>
                <w:color w:val="000000"/>
                <w:sz w:val="22"/>
                <w:szCs w:val="22"/>
              </w:rPr>
              <w:tab/>
            </w:r>
            <w:r w:rsidR="00520F90">
              <w:rPr>
                <w:color w:val="000000"/>
                <w:sz w:val="22"/>
                <w:szCs w:val="22"/>
              </w:rPr>
              <w:t>2018/773</w:t>
            </w:r>
          </w:p>
          <w:p w14:paraId="6B33D9EF" w14:textId="77777777" w:rsidR="00026AFB" w:rsidRDefault="00026AFB" w:rsidP="008601DC">
            <w:pPr>
              <w:tabs>
                <w:tab w:val="left" w:pos="2268"/>
              </w:tabs>
              <w:rPr>
                <w:color w:val="000000"/>
                <w:sz w:val="22"/>
                <w:szCs w:val="22"/>
              </w:rPr>
            </w:pPr>
            <w:r>
              <w:rPr>
                <w:color w:val="000000"/>
                <w:sz w:val="22"/>
                <w:szCs w:val="22"/>
              </w:rPr>
              <w:t>Item No.</w:t>
            </w:r>
            <w:r>
              <w:rPr>
                <w:color w:val="000000"/>
                <w:sz w:val="22"/>
                <w:szCs w:val="22"/>
              </w:rPr>
              <w:tab/>
            </w:r>
            <w:r w:rsidR="00520F90">
              <w:rPr>
                <w:color w:val="000000"/>
                <w:sz w:val="22"/>
                <w:szCs w:val="22"/>
              </w:rPr>
              <w:t>2.6</w:t>
            </w:r>
          </w:p>
          <w:p w14:paraId="3F3CA308" w14:textId="77777777" w:rsidR="00026AFB" w:rsidRDefault="00026AFB" w:rsidP="00520F90">
            <w:pPr>
              <w:tabs>
                <w:tab w:val="left" w:pos="2268"/>
              </w:tabs>
            </w:pPr>
            <w:r>
              <w:rPr>
                <w:color w:val="000000"/>
                <w:sz w:val="22"/>
                <w:szCs w:val="22"/>
              </w:rPr>
              <w:t>Regulation/Standard</w:t>
            </w:r>
            <w:r>
              <w:rPr>
                <w:color w:val="000000"/>
                <w:sz w:val="22"/>
                <w:szCs w:val="22"/>
              </w:rPr>
              <w:tab/>
            </w:r>
            <w:r w:rsidR="00520F90">
              <w:rPr>
                <w:color w:val="000000"/>
                <w:sz w:val="22"/>
                <w:szCs w:val="22"/>
              </w:rPr>
              <w:t>MARPOL 73/78 Annex IV, Reg 9 (IMO Res. MEPC.227(64)</w:t>
            </w:r>
            <w:r w:rsidR="000E4477">
              <w:rPr>
                <w:color w:val="000000"/>
                <w:sz w:val="22"/>
                <w:szCs w:val="22"/>
              </w:rPr>
              <w:t>)</w:t>
            </w:r>
          </w:p>
        </w:tc>
      </w:tr>
      <w:tr w:rsidR="00026AFB" w:rsidRPr="00AC1EC8" w14:paraId="48D73099" w14:textId="77777777" w:rsidTr="005A1661">
        <w:tc>
          <w:tcPr>
            <w:tcW w:w="9923" w:type="dxa"/>
            <w:tcBorders>
              <w:top w:val="single" w:sz="4" w:space="0" w:color="auto"/>
              <w:left w:val="single" w:sz="4" w:space="0" w:color="auto"/>
              <w:bottom w:val="single" w:sz="4" w:space="0" w:color="auto"/>
              <w:right w:val="single" w:sz="4" w:space="0" w:color="auto"/>
            </w:tcBorders>
            <w:hideMark/>
          </w:tcPr>
          <w:p w14:paraId="0A41679E" w14:textId="77777777" w:rsidR="00026AFB" w:rsidRDefault="00026AFB" w:rsidP="005A1661">
            <w:pPr>
              <w:rPr>
                <w:b/>
              </w:rPr>
            </w:pPr>
            <w:r>
              <w:rPr>
                <w:b/>
              </w:rPr>
              <w:t xml:space="preserve">Key </w:t>
            </w:r>
            <w:proofErr w:type="gramStart"/>
            <w:r>
              <w:rPr>
                <w:b/>
              </w:rPr>
              <w:t>words :</w:t>
            </w:r>
            <w:proofErr w:type="gramEnd"/>
          </w:p>
          <w:p w14:paraId="0A30D385" w14:textId="77777777" w:rsidR="00026AFB" w:rsidRDefault="00520F90" w:rsidP="005A1661">
            <w:pPr>
              <w:rPr>
                <w:sz w:val="22"/>
                <w:szCs w:val="22"/>
              </w:rPr>
            </w:pPr>
            <w:r>
              <w:rPr>
                <w:sz w:val="22"/>
                <w:szCs w:val="22"/>
              </w:rPr>
              <w:t>Sewage Treatment Plants (STP) Technical Lay-out, Dilution, Sludge and Chlorination</w:t>
            </w:r>
          </w:p>
          <w:p w14:paraId="0E2F54DC" w14:textId="77777777" w:rsidR="00026AFB" w:rsidRDefault="00026AFB" w:rsidP="005A1661"/>
        </w:tc>
      </w:tr>
    </w:tbl>
    <w:p w14:paraId="02702BA9" w14:textId="77777777" w:rsidR="00236D5C" w:rsidRDefault="00236D5C">
      <w:pPr>
        <w:tabs>
          <w:tab w:val="right" w:leader="underscore" w:pos="9639"/>
        </w:tabs>
        <w:jc w:val="both"/>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56"/>
      </w:tblGrid>
      <w:tr w:rsidR="00236D5C" w:rsidRPr="005D2641" w14:paraId="497DFA32" w14:textId="77777777">
        <w:tc>
          <w:tcPr>
            <w:tcW w:w="10056" w:type="dxa"/>
          </w:tcPr>
          <w:p w14:paraId="2447B036" w14:textId="77777777" w:rsidR="008601DC" w:rsidRPr="005D2641" w:rsidRDefault="00A90663">
            <w:pPr>
              <w:pStyle w:val="Header"/>
              <w:tabs>
                <w:tab w:val="clear" w:pos="4320"/>
                <w:tab w:val="clear" w:pos="8640"/>
              </w:tabs>
              <w:rPr>
                <w:b/>
                <w:bCs/>
                <w:sz w:val="22"/>
                <w:szCs w:val="22"/>
              </w:rPr>
            </w:pPr>
            <w:r w:rsidRPr="005D2641">
              <w:rPr>
                <w:b/>
                <w:bCs/>
                <w:sz w:val="22"/>
                <w:szCs w:val="22"/>
              </w:rPr>
              <w:t>Text/Explanations:</w:t>
            </w:r>
          </w:p>
          <w:p w14:paraId="6D3FDBD6" w14:textId="77777777" w:rsidR="00E96A76" w:rsidRPr="005D2641" w:rsidRDefault="00520F90">
            <w:pPr>
              <w:pStyle w:val="Header"/>
              <w:tabs>
                <w:tab w:val="clear" w:pos="4320"/>
                <w:tab w:val="clear" w:pos="8640"/>
              </w:tabs>
              <w:rPr>
                <w:sz w:val="22"/>
                <w:szCs w:val="22"/>
              </w:rPr>
            </w:pPr>
            <w:r w:rsidRPr="005D2641">
              <w:rPr>
                <w:sz w:val="22"/>
                <w:szCs w:val="22"/>
              </w:rPr>
              <w:t xml:space="preserve">Reportedly the approval procedures for Sewage Systems are open for interpretation. </w:t>
            </w:r>
            <w:r w:rsidR="00E96A76" w:rsidRPr="005D2641">
              <w:rPr>
                <w:sz w:val="22"/>
                <w:szCs w:val="22"/>
              </w:rPr>
              <w:t>The MARPOL Convener has received several questions from a European Maker who is questioning MED Approvals issued by various Notified Bodies for Other Makers.</w:t>
            </w:r>
          </w:p>
          <w:p w14:paraId="45E197E1" w14:textId="77777777" w:rsidR="00E96A76" w:rsidRPr="005D2641" w:rsidRDefault="00E96A76">
            <w:pPr>
              <w:pStyle w:val="Header"/>
              <w:tabs>
                <w:tab w:val="clear" w:pos="4320"/>
                <w:tab w:val="clear" w:pos="8640"/>
              </w:tabs>
              <w:rPr>
                <w:sz w:val="22"/>
                <w:szCs w:val="22"/>
              </w:rPr>
            </w:pPr>
          </w:p>
          <w:p w14:paraId="7A8C6562" w14:textId="77777777" w:rsidR="00E96A76" w:rsidRPr="005D2641" w:rsidRDefault="00E96A76">
            <w:pPr>
              <w:pStyle w:val="Header"/>
              <w:tabs>
                <w:tab w:val="clear" w:pos="4320"/>
                <w:tab w:val="clear" w:pos="8640"/>
              </w:tabs>
              <w:rPr>
                <w:sz w:val="22"/>
                <w:szCs w:val="22"/>
              </w:rPr>
            </w:pPr>
            <w:r w:rsidRPr="005D2641">
              <w:rPr>
                <w:sz w:val="22"/>
                <w:szCs w:val="22"/>
              </w:rPr>
              <w:t>The questions are among other related to</w:t>
            </w:r>
          </w:p>
          <w:p w14:paraId="771A47DA" w14:textId="77777777" w:rsidR="00026AFB" w:rsidRPr="005D2641" w:rsidRDefault="00E96A76" w:rsidP="00E96A76">
            <w:pPr>
              <w:pStyle w:val="Header"/>
              <w:numPr>
                <w:ilvl w:val="0"/>
                <w:numId w:val="2"/>
              </w:numPr>
              <w:tabs>
                <w:tab w:val="clear" w:pos="4320"/>
                <w:tab w:val="clear" w:pos="8640"/>
              </w:tabs>
              <w:rPr>
                <w:sz w:val="22"/>
                <w:szCs w:val="22"/>
              </w:rPr>
            </w:pPr>
            <w:r w:rsidRPr="005D2641">
              <w:rPr>
                <w:sz w:val="22"/>
                <w:szCs w:val="22"/>
              </w:rPr>
              <w:t xml:space="preserve">The existing POL-010 </w:t>
            </w:r>
            <w:proofErr w:type="gramStart"/>
            <w:r w:rsidRPr="005D2641">
              <w:rPr>
                <w:sz w:val="22"/>
                <w:szCs w:val="22"/>
              </w:rPr>
              <w:t>( Grey</w:t>
            </w:r>
            <w:proofErr w:type="gramEnd"/>
            <w:r w:rsidRPr="005D2641">
              <w:rPr>
                <w:sz w:val="22"/>
                <w:szCs w:val="22"/>
              </w:rPr>
              <w:t xml:space="preserve"> Water Connection to final stage)</w:t>
            </w:r>
          </w:p>
          <w:p w14:paraId="46435BB9" w14:textId="77777777" w:rsidR="00E96A76" w:rsidRPr="005D2641" w:rsidRDefault="00E96A76" w:rsidP="00E96A76">
            <w:pPr>
              <w:pStyle w:val="Header"/>
              <w:numPr>
                <w:ilvl w:val="0"/>
                <w:numId w:val="2"/>
              </w:numPr>
              <w:tabs>
                <w:tab w:val="clear" w:pos="4320"/>
                <w:tab w:val="clear" w:pos="8640"/>
              </w:tabs>
              <w:rPr>
                <w:sz w:val="22"/>
                <w:szCs w:val="22"/>
              </w:rPr>
            </w:pPr>
            <w:r w:rsidRPr="005D2641">
              <w:rPr>
                <w:sz w:val="22"/>
                <w:szCs w:val="22"/>
              </w:rPr>
              <w:t>Claims from makers that their Sewage Systems are free from sludge, and accordingly no sludge/sediment discharge is existing</w:t>
            </w:r>
            <w:r w:rsidR="00294198" w:rsidRPr="005D2641">
              <w:rPr>
                <w:sz w:val="22"/>
                <w:szCs w:val="22"/>
              </w:rPr>
              <w:t>, and or required</w:t>
            </w:r>
            <w:r w:rsidRPr="005D2641">
              <w:rPr>
                <w:sz w:val="22"/>
                <w:szCs w:val="22"/>
              </w:rPr>
              <w:t>)</w:t>
            </w:r>
          </w:p>
          <w:p w14:paraId="2122A6D8" w14:textId="77777777" w:rsidR="00E96A76" w:rsidRPr="005D2641" w:rsidRDefault="00E96A76" w:rsidP="00E96A76">
            <w:pPr>
              <w:pStyle w:val="Header"/>
              <w:numPr>
                <w:ilvl w:val="0"/>
                <w:numId w:val="2"/>
              </w:numPr>
              <w:tabs>
                <w:tab w:val="clear" w:pos="4320"/>
                <w:tab w:val="clear" w:pos="8640"/>
              </w:tabs>
              <w:rPr>
                <w:sz w:val="22"/>
                <w:szCs w:val="22"/>
              </w:rPr>
            </w:pPr>
            <w:r w:rsidRPr="005D2641">
              <w:rPr>
                <w:sz w:val="22"/>
                <w:szCs w:val="22"/>
              </w:rPr>
              <w:t>Recirculation of effluent from Sewage System to Mixing Tank, allowing for “</w:t>
            </w:r>
            <w:r w:rsidR="00294198" w:rsidRPr="005D2641">
              <w:rPr>
                <w:sz w:val="22"/>
                <w:szCs w:val="22"/>
              </w:rPr>
              <w:t>improved</w:t>
            </w:r>
            <w:r w:rsidRPr="005D2641">
              <w:rPr>
                <w:sz w:val="22"/>
                <w:szCs w:val="22"/>
              </w:rPr>
              <w:t>” results of the outgoing effluent</w:t>
            </w:r>
          </w:p>
          <w:p w14:paraId="49676FC1" w14:textId="77777777" w:rsidR="00E96A76" w:rsidRPr="005D2641" w:rsidRDefault="00E96A76" w:rsidP="00E96A76">
            <w:pPr>
              <w:pStyle w:val="Header"/>
              <w:numPr>
                <w:ilvl w:val="0"/>
                <w:numId w:val="2"/>
              </w:numPr>
              <w:tabs>
                <w:tab w:val="clear" w:pos="4320"/>
                <w:tab w:val="clear" w:pos="8640"/>
              </w:tabs>
              <w:rPr>
                <w:sz w:val="22"/>
                <w:szCs w:val="22"/>
              </w:rPr>
            </w:pPr>
            <w:r w:rsidRPr="005D2641">
              <w:rPr>
                <w:sz w:val="22"/>
                <w:szCs w:val="22"/>
              </w:rPr>
              <w:t xml:space="preserve">Chlorination system, without dechlorinating, which will </w:t>
            </w:r>
            <w:r w:rsidR="00656ED5" w:rsidRPr="005D2641">
              <w:rPr>
                <w:sz w:val="22"/>
                <w:szCs w:val="22"/>
              </w:rPr>
              <w:t xml:space="preserve">positively </w:t>
            </w:r>
            <w:r w:rsidRPr="005D2641">
              <w:rPr>
                <w:sz w:val="22"/>
                <w:szCs w:val="22"/>
              </w:rPr>
              <w:t>affect the laboratory test results.</w:t>
            </w:r>
          </w:p>
          <w:p w14:paraId="20371D4D" w14:textId="77777777" w:rsidR="00656ED5" w:rsidRPr="005D2641" w:rsidRDefault="00656ED5" w:rsidP="00656ED5">
            <w:pPr>
              <w:pStyle w:val="Header"/>
              <w:tabs>
                <w:tab w:val="clear" w:pos="4320"/>
                <w:tab w:val="clear" w:pos="8640"/>
              </w:tabs>
              <w:rPr>
                <w:sz w:val="22"/>
                <w:szCs w:val="22"/>
              </w:rPr>
            </w:pPr>
          </w:p>
          <w:p w14:paraId="7D6BD2CF" w14:textId="77777777" w:rsidR="00656ED5" w:rsidRPr="005D2641" w:rsidRDefault="00656ED5" w:rsidP="00294198">
            <w:pPr>
              <w:pStyle w:val="Header"/>
              <w:tabs>
                <w:tab w:val="clear" w:pos="4320"/>
                <w:tab w:val="clear" w:pos="8640"/>
              </w:tabs>
              <w:jc w:val="both"/>
              <w:rPr>
                <w:sz w:val="22"/>
                <w:szCs w:val="22"/>
              </w:rPr>
            </w:pPr>
            <w:r w:rsidRPr="005D2641">
              <w:rPr>
                <w:sz w:val="22"/>
                <w:szCs w:val="22"/>
              </w:rPr>
              <w:t xml:space="preserve">The questions appear to be valid, as reportedly the approval processes used, and the samples taken for the laboratory tests may not be covering exactly the requirements of the Resolution. On the other </w:t>
            </w:r>
            <w:proofErr w:type="gramStart"/>
            <w:r w:rsidRPr="005D2641">
              <w:rPr>
                <w:sz w:val="22"/>
                <w:szCs w:val="22"/>
              </w:rPr>
              <w:t>hand</w:t>
            </w:r>
            <w:proofErr w:type="gramEnd"/>
            <w:r w:rsidRPr="005D2641">
              <w:rPr>
                <w:sz w:val="22"/>
                <w:szCs w:val="22"/>
              </w:rPr>
              <w:t xml:space="preserve"> the Resolution is a guideline on the implementation of effluent standards, and how performance tests should be carried out. The Resolution is not a technical guidance on how a sewage system must be </w:t>
            </w:r>
            <w:proofErr w:type="gramStart"/>
            <w:r w:rsidRPr="005D2641">
              <w:rPr>
                <w:sz w:val="22"/>
                <w:szCs w:val="22"/>
              </w:rPr>
              <w:t>designed, and</w:t>
            </w:r>
            <w:proofErr w:type="gramEnd"/>
            <w:r w:rsidRPr="005D2641">
              <w:rPr>
                <w:sz w:val="22"/>
                <w:szCs w:val="22"/>
              </w:rPr>
              <w:t xml:space="preserve"> is not prescribing its lay-out.</w:t>
            </w:r>
          </w:p>
          <w:p w14:paraId="2C83461D" w14:textId="77777777" w:rsidR="00656ED5" w:rsidRPr="005D2641" w:rsidRDefault="00656ED5" w:rsidP="00294198">
            <w:pPr>
              <w:pStyle w:val="Header"/>
              <w:tabs>
                <w:tab w:val="clear" w:pos="4320"/>
                <w:tab w:val="clear" w:pos="8640"/>
              </w:tabs>
              <w:jc w:val="both"/>
              <w:rPr>
                <w:sz w:val="22"/>
                <w:szCs w:val="22"/>
              </w:rPr>
            </w:pPr>
          </w:p>
          <w:p w14:paraId="43258434" w14:textId="77777777" w:rsidR="00656ED5" w:rsidRPr="005D2641" w:rsidRDefault="00656ED5" w:rsidP="00294198">
            <w:pPr>
              <w:pStyle w:val="Header"/>
              <w:tabs>
                <w:tab w:val="clear" w:pos="4320"/>
                <w:tab w:val="clear" w:pos="8640"/>
              </w:tabs>
              <w:jc w:val="both"/>
              <w:rPr>
                <w:sz w:val="22"/>
                <w:szCs w:val="22"/>
              </w:rPr>
            </w:pPr>
            <w:r w:rsidRPr="005D2641">
              <w:rPr>
                <w:sz w:val="22"/>
                <w:szCs w:val="22"/>
              </w:rPr>
              <w:t xml:space="preserve">It is obvious that the approval of the Sewage System should be carried out according to the Resolution, and that the system tested in the </w:t>
            </w:r>
            <w:r w:rsidR="00CD6104" w:rsidRPr="005D2641">
              <w:rPr>
                <w:sz w:val="22"/>
                <w:szCs w:val="22"/>
              </w:rPr>
              <w:t>manufacturer’s</w:t>
            </w:r>
            <w:r w:rsidRPr="005D2641">
              <w:rPr>
                <w:sz w:val="22"/>
                <w:szCs w:val="22"/>
              </w:rPr>
              <w:t xml:space="preserve"> workshop, and or in the testing laboratory should be identical to the systems which will be placed on board. Accordingly without additional re-circulation connections and or additional arrangements for dilution (which may affect the test results</w:t>
            </w:r>
            <w:r w:rsidR="00CD6104" w:rsidRPr="005D2641">
              <w:rPr>
                <w:sz w:val="22"/>
                <w:szCs w:val="22"/>
              </w:rPr>
              <w:t>)</w:t>
            </w:r>
            <w:r w:rsidR="00294198" w:rsidRPr="005D2641">
              <w:rPr>
                <w:sz w:val="22"/>
                <w:szCs w:val="22"/>
              </w:rPr>
              <w:t xml:space="preserve"> Same applies to the fact that the chlorinating should be stopped by dechlorinating to stop further chlorination in the sample bottle (which will result into a better performance of the sewage system than the sewage system installed on board)</w:t>
            </w:r>
          </w:p>
          <w:p w14:paraId="114D852D" w14:textId="77777777" w:rsidR="00294198" w:rsidRPr="005D2641" w:rsidRDefault="00294198" w:rsidP="00294198">
            <w:pPr>
              <w:pStyle w:val="Header"/>
              <w:tabs>
                <w:tab w:val="clear" w:pos="4320"/>
                <w:tab w:val="clear" w:pos="8640"/>
              </w:tabs>
              <w:jc w:val="both"/>
              <w:rPr>
                <w:sz w:val="22"/>
                <w:szCs w:val="22"/>
              </w:rPr>
            </w:pPr>
            <w:r w:rsidRPr="005D2641">
              <w:rPr>
                <w:sz w:val="22"/>
                <w:szCs w:val="22"/>
              </w:rPr>
              <w:t>The above comments are received from one manufacturer, it is anticipated that similar questions, comments may be available from other manufacturers, however not yet received by the MARPOL Group.</w:t>
            </w:r>
          </w:p>
          <w:p w14:paraId="65FAD15C" w14:textId="77777777" w:rsidR="00656ED5" w:rsidRPr="005D2641" w:rsidRDefault="00294198" w:rsidP="00294198">
            <w:pPr>
              <w:pStyle w:val="Header"/>
              <w:tabs>
                <w:tab w:val="clear" w:pos="4320"/>
                <w:tab w:val="clear" w:pos="8640"/>
              </w:tabs>
              <w:jc w:val="both"/>
              <w:rPr>
                <w:sz w:val="22"/>
                <w:szCs w:val="22"/>
              </w:rPr>
            </w:pPr>
            <w:r w:rsidRPr="005D2641">
              <w:rPr>
                <w:sz w:val="22"/>
                <w:szCs w:val="22"/>
              </w:rPr>
              <w:lastRenderedPageBreak/>
              <w:t xml:space="preserve">It appears that Notified Body’s the MEPC 227(64) gives room for interpretation of the performance tests, and that the attending inspector should be very </w:t>
            </w:r>
            <w:proofErr w:type="gramStart"/>
            <w:r w:rsidRPr="005D2641">
              <w:rPr>
                <w:sz w:val="22"/>
                <w:szCs w:val="22"/>
              </w:rPr>
              <w:t>well aware</w:t>
            </w:r>
            <w:proofErr w:type="gramEnd"/>
            <w:r w:rsidRPr="005D2641">
              <w:rPr>
                <w:sz w:val="22"/>
                <w:szCs w:val="22"/>
              </w:rPr>
              <w:t xml:space="preserve"> of the </w:t>
            </w:r>
            <w:r w:rsidR="003B4252" w:rsidRPr="005D2641">
              <w:rPr>
                <w:sz w:val="22"/>
                <w:szCs w:val="22"/>
              </w:rPr>
              <w:t xml:space="preserve">possibilities of the manufacturer to “improve” the outcome of the performance tests. </w:t>
            </w:r>
          </w:p>
          <w:p w14:paraId="623E913C" w14:textId="77777777" w:rsidR="00656ED5" w:rsidRPr="005D2641" w:rsidRDefault="00656ED5" w:rsidP="00656ED5">
            <w:pPr>
              <w:pStyle w:val="Header"/>
              <w:tabs>
                <w:tab w:val="clear" w:pos="4320"/>
                <w:tab w:val="clear" w:pos="8640"/>
              </w:tabs>
              <w:rPr>
                <w:sz w:val="22"/>
                <w:szCs w:val="22"/>
              </w:rPr>
            </w:pPr>
          </w:p>
          <w:p w14:paraId="15568A55" w14:textId="77777777" w:rsidR="00236D5C" w:rsidRPr="005D2641" w:rsidRDefault="00026AFB" w:rsidP="00294198">
            <w:pPr>
              <w:pStyle w:val="Header"/>
              <w:tabs>
                <w:tab w:val="clear" w:pos="4320"/>
                <w:tab w:val="clear" w:pos="8640"/>
              </w:tabs>
              <w:rPr>
                <w:sz w:val="22"/>
                <w:szCs w:val="22"/>
              </w:rPr>
            </w:pPr>
            <w:r w:rsidRPr="005D2641">
              <w:rPr>
                <w:b/>
                <w:bCs/>
                <w:sz w:val="22"/>
                <w:szCs w:val="22"/>
              </w:rPr>
              <w:t>Question raised</w:t>
            </w:r>
            <w:r w:rsidRPr="005D2641">
              <w:rPr>
                <w:sz w:val="22"/>
                <w:szCs w:val="22"/>
              </w:rPr>
              <w:t>:</w:t>
            </w:r>
          </w:p>
          <w:p w14:paraId="3405A90F" w14:textId="77777777" w:rsidR="003B4252" w:rsidRPr="005D2641" w:rsidRDefault="003B4252" w:rsidP="00294198">
            <w:pPr>
              <w:pStyle w:val="Header"/>
              <w:tabs>
                <w:tab w:val="clear" w:pos="4320"/>
                <w:tab w:val="clear" w:pos="8640"/>
              </w:tabs>
              <w:rPr>
                <w:sz w:val="22"/>
                <w:szCs w:val="22"/>
              </w:rPr>
            </w:pPr>
            <w:r w:rsidRPr="005D2641">
              <w:rPr>
                <w:sz w:val="22"/>
                <w:szCs w:val="22"/>
              </w:rPr>
              <w:t>Is the MARED Horizontal Committee the place to solve the above issues, the above concerns  are after all raised by a manufacturer of a sewage plant who is wondering if other plants may have obtained MED approval not fully in accordance with the intention of the MEPC 227(64)</w:t>
            </w:r>
          </w:p>
          <w:p w14:paraId="5833778B" w14:textId="77777777" w:rsidR="00294198" w:rsidRPr="005D2641" w:rsidRDefault="00294198" w:rsidP="00294198">
            <w:pPr>
              <w:pStyle w:val="Header"/>
              <w:tabs>
                <w:tab w:val="clear" w:pos="4320"/>
                <w:tab w:val="clear" w:pos="8640"/>
              </w:tabs>
              <w:rPr>
                <w:sz w:val="22"/>
                <w:szCs w:val="22"/>
              </w:rPr>
            </w:pPr>
          </w:p>
        </w:tc>
      </w:tr>
    </w:tbl>
    <w:p w14:paraId="00F41CD2" w14:textId="77777777" w:rsidR="00236D5C" w:rsidRPr="005D2641" w:rsidRDefault="00236D5C">
      <w:pPr>
        <w:tabs>
          <w:tab w:val="left" w:pos="1134"/>
          <w:tab w:val="right" w:leader="underscore" w:pos="9639"/>
        </w:tabs>
        <w:spacing w:line="360" w:lineRule="auto"/>
        <w:jc w:val="both"/>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56"/>
      </w:tblGrid>
      <w:tr w:rsidR="00236D5C" w14:paraId="292BD058" w14:textId="77777777">
        <w:tc>
          <w:tcPr>
            <w:tcW w:w="10056" w:type="dxa"/>
          </w:tcPr>
          <w:p w14:paraId="300250CC" w14:textId="77777777" w:rsidR="00236D5C" w:rsidRPr="005D2641" w:rsidRDefault="00236D5C">
            <w:pPr>
              <w:tabs>
                <w:tab w:val="left" w:pos="1843"/>
                <w:tab w:val="right" w:leader="underscore" w:pos="9639"/>
              </w:tabs>
              <w:spacing w:line="360" w:lineRule="auto"/>
              <w:ind w:left="1843" w:hanging="1843"/>
              <w:jc w:val="both"/>
              <w:rPr>
                <w:sz w:val="22"/>
                <w:szCs w:val="22"/>
              </w:rPr>
            </w:pPr>
            <w:proofErr w:type="gramStart"/>
            <w:r w:rsidRPr="005D2641">
              <w:rPr>
                <w:b/>
                <w:bCs/>
                <w:sz w:val="22"/>
                <w:szCs w:val="22"/>
              </w:rPr>
              <w:t>Recommendation</w:t>
            </w:r>
            <w:r w:rsidRPr="005D2641">
              <w:rPr>
                <w:sz w:val="22"/>
                <w:szCs w:val="22"/>
              </w:rPr>
              <w:t xml:space="preserve"> :</w:t>
            </w:r>
            <w:proofErr w:type="gramEnd"/>
          </w:p>
          <w:p w14:paraId="63E277E7" w14:textId="77777777" w:rsidR="003B4252" w:rsidRPr="005D2641" w:rsidRDefault="003B4252" w:rsidP="003B4252">
            <w:pPr>
              <w:tabs>
                <w:tab w:val="left" w:pos="0"/>
                <w:tab w:val="right" w:leader="underscore" w:pos="9639"/>
              </w:tabs>
              <w:spacing w:line="360" w:lineRule="auto"/>
              <w:ind w:left="142"/>
              <w:jc w:val="both"/>
              <w:rPr>
                <w:bCs/>
                <w:sz w:val="22"/>
                <w:szCs w:val="22"/>
              </w:rPr>
            </w:pPr>
            <w:r w:rsidRPr="005D2641">
              <w:rPr>
                <w:bCs/>
                <w:sz w:val="22"/>
                <w:szCs w:val="22"/>
              </w:rPr>
              <w:t>No, the MARED horizontal commission is not the place to solve this issue, as it may result into an avalanche of claims that equipment manufactured by other makers is not fully in compliance with the resolution. If makers have clear grounds to dispute the MED approval of other manufacturers they should approach their respec</w:t>
            </w:r>
            <w:r w:rsidR="000A6B4C" w:rsidRPr="005D2641">
              <w:rPr>
                <w:bCs/>
                <w:sz w:val="22"/>
                <w:szCs w:val="22"/>
              </w:rPr>
              <w:t>tive flag, who may accordingly start an investigation, and or forward the comment to COMMS</w:t>
            </w:r>
          </w:p>
          <w:p w14:paraId="021EBD70" w14:textId="77777777" w:rsidR="000A6B4C" w:rsidRPr="005D2641" w:rsidRDefault="000A6B4C" w:rsidP="003B4252">
            <w:pPr>
              <w:tabs>
                <w:tab w:val="left" w:pos="0"/>
                <w:tab w:val="right" w:leader="underscore" w:pos="9639"/>
              </w:tabs>
              <w:spacing w:line="360" w:lineRule="auto"/>
              <w:ind w:left="142"/>
              <w:jc w:val="both"/>
              <w:rPr>
                <w:bCs/>
                <w:sz w:val="22"/>
                <w:szCs w:val="22"/>
              </w:rPr>
            </w:pPr>
          </w:p>
          <w:p w14:paraId="70562BAE" w14:textId="77777777" w:rsidR="000A6B4C" w:rsidRPr="003B4252" w:rsidRDefault="000A6B4C" w:rsidP="003B4252">
            <w:pPr>
              <w:tabs>
                <w:tab w:val="left" w:pos="0"/>
                <w:tab w:val="right" w:leader="underscore" w:pos="9639"/>
              </w:tabs>
              <w:spacing w:line="360" w:lineRule="auto"/>
              <w:ind w:left="142"/>
              <w:jc w:val="both"/>
              <w:rPr>
                <w:sz w:val="22"/>
                <w:szCs w:val="22"/>
              </w:rPr>
            </w:pPr>
            <w:r w:rsidRPr="005D2641">
              <w:rPr>
                <w:bCs/>
                <w:sz w:val="22"/>
                <w:szCs w:val="22"/>
              </w:rPr>
              <w:t>This question should however be considered as a reminder to all No</w:t>
            </w:r>
            <w:r w:rsidR="00D70FD1" w:rsidRPr="005D2641">
              <w:rPr>
                <w:bCs/>
                <w:sz w:val="22"/>
                <w:szCs w:val="22"/>
              </w:rPr>
              <w:t xml:space="preserve">tified </w:t>
            </w:r>
            <w:r w:rsidRPr="005D2641">
              <w:rPr>
                <w:bCs/>
                <w:sz w:val="22"/>
                <w:szCs w:val="22"/>
              </w:rPr>
              <w:t>Bo</w:t>
            </w:r>
            <w:r w:rsidR="00D70FD1" w:rsidRPr="005D2641">
              <w:rPr>
                <w:bCs/>
                <w:sz w:val="22"/>
                <w:szCs w:val="22"/>
              </w:rPr>
              <w:t>dies</w:t>
            </w:r>
            <w:r w:rsidRPr="005D2641">
              <w:rPr>
                <w:bCs/>
                <w:sz w:val="22"/>
                <w:szCs w:val="22"/>
              </w:rPr>
              <w:t xml:space="preserve"> involved in MED Type examination of Sewage Systems, to properly carry out drawing review and to confirm that the approval process is indeed carried out in accordance with the requirements of the Resolution.</w:t>
            </w:r>
            <w:bookmarkStart w:id="0" w:name="_GoBack"/>
            <w:bookmarkEnd w:id="0"/>
          </w:p>
          <w:p w14:paraId="34D6A2AF" w14:textId="77777777" w:rsidR="00236D5C" w:rsidRDefault="00236D5C">
            <w:pPr>
              <w:pStyle w:val="Header"/>
              <w:rPr>
                <w:sz w:val="22"/>
                <w:szCs w:val="22"/>
              </w:rPr>
            </w:pPr>
          </w:p>
        </w:tc>
      </w:tr>
    </w:tbl>
    <w:p w14:paraId="10E47F5C" w14:textId="77777777" w:rsidR="00236D5C" w:rsidRDefault="00236D5C">
      <w:pPr>
        <w:pStyle w:val="Header"/>
        <w:tabs>
          <w:tab w:val="clear" w:pos="4320"/>
          <w:tab w:val="clear" w:pos="8640"/>
        </w:tabs>
        <w:spacing w:line="240" w:lineRule="atLeast"/>
      </w:pPr>
    </w:p>
    <w:sectPr w:rsidR="00236D5C" w:rsidSect="00A533CE">
      <w:headerReference w:type="default" r:id="rId8"/>
      <w:footerReference w:type="default" r:id="rId9"/>
      <w:type w:val="continuous"/>
      <w:pgSz w:w="11907" w:h="16839" w:code="9"/>
      <w:pgMar w:top="1417" w:right="851" w:bottom="839" w:left="1140" w:header="993" w:footer="720" w:gutter="0"/>
      <w:paperSrc w:first="15" w:other="15"/>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31D41" w14:textId="77777777" w:rsidR="00A216F4" w:rsidRDefault="00A216F4">
      <w:r>
        <w:separator/>
      </w:r>
    </w:p>
  </w:endnote>
  <w:endnote w:type="continuationSeparator" w:id="0">
    <w:p w14:paraId="5B089CCF" w14:textId="77777777" w:rsidR="00A216F4" w:rsidRDefault="00A2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us Xb (W1)">
    <w:altName w:val="Calibri"/>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3F424" w14:textId="77777777" w:rsidR="00236D5C" w:rsidRDefault="00236D5C">
    <w:pPr>
      <w:rPr>
        <w:b/>
        <w:bCs/>
        <w:sz w:val="16"/>
        <w:szCs w:val="16"/>
      </w:rPr>
    </w:pPr>
  </w:p>
  <w:p w14:paraId="6F99CBC3" w14:textId="77777777" w:rsidR="00236D5C" w:rsidRDefault="00236D5C">
    <w:pPr>
      <w:pStyle w:val="Footer"/>
      <w:pBdr>
        <w:top w:val="single" w:sz="6" w:space="1" w:color="auto"/>
      </w:pBdr>
      <w:jc w:val="center"/>
      <w:rPr>
        <w:sz w:val="18"/>
        <w:szCs w:val="18"/>
      </w:rPr>
    </w:pPr>
    <w:r>
      <w:rPr>
        <w:sz w:val="18"/>
        <w:szCs w:val="18"/>
      </w:rPr>
      <w:t>Technical Secretariat for MarED</w:t>
    </w:r>
  </w:p>
  <w:p w14:paraId="7A2AEB00" w14:textId="77777777" w:rsidR="00236D5C" w:rsidRDefault="00236D5C">
    <w:pPr>
      <w:pStyle w:val="Footer"/>
      <w:pBdr>
        <w:top w:val="single" w:sz="6" w:space="1" w:color="auto"/>
      </w:pBdr>
      <w:jc w:val="center"/>
      <w:rPr>
        <w:sz w:val="18"/>
        <w:szCs w:val="18"/>
      </w:rPr>
    </w:pPr>
    <w:r>
      <w:rPr>
        <w:sz w:val="18"/>
        <w:szCs w:val="18"/>
      </w:rPr>
      <w:t xml:space="preserve">c/o BALance Technology </w:t>
    </w:r>
    <w:r w:rsidR="00E17162">
      <w:rPr>
        <w:sz w:val="18"/>
        <w:szCs w:val="18"/>
      </w:rPr>
      <w:t>Consulting GmbH, Contrescarpe 33</w:t>
    </w:r>
    <w:r>
      <w:rPr>
        <w:sz w:val="18"/>
        <w:szCs w:val="18"/>
      </w:rPr>
      <w:t>, 28</w:t>
    </w:r>
    <w:r w:rsidR="00E17162">
      <w:rPr>
        <w:sz w:val="18"/>
        <w:szCs w:val="18"/>
      </w:rPr>
      <w:t>203</w:t>
    </w:r>
    <w:r>
      <w:rPr>
        <w:sz w:val="18"/>
        <w:szCs w:val="18"/>
      </w:rPr>
      <w:t xml:space="preserve"> Bremen, Germany</w:t>
    </w:r>
  </w:p>
  <w:p w14:paraId="5B86663F" w14:textId="77777777" w:rsidR="00236D5C" w:rsidRDefault="00236D5C">
    <w:pPr>
      <w:pStyle w:val="Footer"/>
      <w:jc w:val="center"/>
      <w:rPr>
        <w:b/>
        <w:bCs/>
      </w:rPr>
    </w:pPr>
    <w:r>
      <w:rPr>
        <w:sz w:val="18"/>
        <w:szCs w:val="18"/>
      </w:rPr>
      <w:t>Tel: +49 421 33 517 33 – Fax: +49 421 33 517 11 – E-mail: mared@</w:t>
    </w:r>
    <w:r w:rsidR="00F72792">
      <w:rPr>
        <w:sz w:val="18"/>
        <w:szCs w:val="18"/>
      </w:rPr>
      <w:t>mared.org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79C3F" w14:textId="77777777" w:rsidR="00A216F4" w:rsidRDefault="00A216F4">
      <w:r>
        <w:separator/>
      </w:r>
    </w:p>
  </w:footnote>
  <w:footnote w:type="continuationSeparator" w:id="0">
    <w:p w14:paraId="1EF62507" w14:textId="77777777" w:rsidR="00A216F4" w:rsidRDefault="00A21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12"/>
      <w:gridCol w:w="2551"/>
      <w:gridCol w:w="2692"/>
      <w:gridCol w:w="1134"/>
      <w:gridCol w:w="1134"/>
    </w:tblGrid>
    <w:tr w:rsidR="00B964FC" w:rsidRPr="002A77C8" w14:paraId="18E047BE" w14:textId="77777777" w:rsidTr="005A1661">
      <w:trPr>
        <w:trHeight w:val="510"/>
        <w:jc w:val="center"/>
      </w:trPr>
      <w:tc>
        <w:tcPr>
          <w:tcW w:w="2412" w:type="dxa"/>
          <w:vMerge w:val="restart"/>
          <w:tcBorders>
            <w:top w:val="double" w:sz="6" w:space="0" w:color="auto"/>
          </w:tcBorders>
          <w:vAlign w:val="center"/>
        </w:tcPr>
        <w:p w14:paraId="452062EE" w14:textId="77777777" w:rsidR="00B964FC" w:rsidRPr="00DB2699" w:rsidRDefault="00D70FD1" w:rsidP="005A1661">
          <w:pPr>
            <w:tabs>
              <w:tab w:val="center" w:pos="4320"/>
              <w:tab w:val="right" w:pos="8640"/>
            </w:tabs>
            <w:jc w:val="center"/>
            <w:rPr>
              <w:rFonts w:asciiTheme="minorHAnsi" w:eastAsia="MS Gothic" w:hAnsiTheme="minorHAnsi"/>
              <w:b/>
              <w:bCs/>
              <w:sz w:val="96"/>
              <w:szCs w:val="96"/>
            </w:rPr>
          </w:pPr>
          <w:r>
            <w:rPr>
              <w:rFonts w:asciiTheme="minorHAnsi" w:eastAsia="MS Gothic" w:hAnsiTheme="minorHAnsi"/>
              <w:b/>
              <w:bCs/>
              <w:sz w:val="96"/>
              <w:szCs w:val="96"/>
            </w:rPr>
            <w:t>IN</w:t>
          </w:r>
        </w:p>
      </w:tc>
      <w:tc>
        <w:tcPr>
          <w:tcW w:w="5243" w:type="dxa"/>
          <w:gridSpan w:val="2"/>
          <w:tcBorders>
            <w:top w:val="double" w:sz="6" w:space="0" w:color="auto"/>
            <w:bottom w:val="single" w:sz="6" w:space="0" w:color="auto"/>
          </w:tcBorders>
          <w:vAlign w:val="center"/>
        </w:tcPr>
        <w:p w14:paraId="06802293" w14:textId="77777777" w:rsidR="00B964FC" w:rsidRPr="00DB2699" w:rsidRDefault="00D70FD1" w:rsidP="005A1661">
          <w:pPr>
            <w:tabs>
              <w:tab w:val="center" w:pos="4320"/>
              <w:tab w:val="right" w:pos="8640"/>
            </w:tabs>
            <w:jc w:val="center"/>
            <w:rPr>
              <w:rFonts w:asciiTheme="minorHAnsi" w:hAnsiTheme="minorHAnsi"/>
              <w:b/>
              <w:sz w:val="24"/>
              <w:lang w:val="fr-FR"/>
            </w:rPr>
          </w:pPr>
          <w:r>
            <w:rPr>
              <w:rFonts w:asciiTheme="minorHAnsi" w:hAnsiTheme="minorHAnsi"/>
              <w:b/>
              <w:bCs/>
              <w:sz w:val="24"/>
              <w:szCs w:val="24"/>
            </w:rPr>
            <w:t>Information Note</w:t>
          </w:r>
        </w:p>
        <w:p w14:paraId="7CBB1A45" w14:textId="77777777" w:rsidR="00B964FC" w:rsidRPr="00DB2699" w:rsidRDefault="00B964FC" w:rsidP="005A1661">
          <w:pPr>
            <w:tabs>
              <w:tab w:val="center" w:pos="4320"/>
              <w:tab w:val="right" w:pos="8640"/>
            </w:tabs>
            <w:jc w:val="center"/>
            <w:rPr>
              <w:rFonts w:asciiTheme="minorHAnsi" w:hAnsiTheme="minorHAnsi"/>
              <w:bCs/>
              <w:sz w:val="24"/>
              <w:szCs w:val="28"/>
              <w:lang w:val="pt-BR"/>
            </w:rPr>
          </w:pPr>
          <w:r w:rsidRPr="00DB2699">
            <w:rPr>
              <w:rFonts w:asciiTheme="minorHAnsi" w:hAnsiTheme="minorHAnsi"/>
              <w:sz w:val="24"/>
              <w:lang w:val="pt-BR"/>
            </w:rPr>
            <w:t xml:space="preserve">Doc-ID: </w:t>
          </w:r>
          <w:r w:rsidRPr="00DB2699">
            <w:rPr>
              <w:rFonts w:asciiTheme="minorHAnsi" w:hAnsiTheme="minorHAnsi"/>
              <w:bCs/>
              <w:sz w:val="24"/>
              <w:lang w:val="fr-FR"/>
            </w:rPr>
            <w:fldChar w:fldCharType="begin"/>
          </w:r>
          <w:r w:rsidRPr="00DB2699">
            <w:rPr>
              <w:rFonts w:asciiTheme="minorHAnsi" w:hAnsiTheme="minorHAnsi"/>
              <w:bCs/>
              <w:sz w:val="24"/>
              <w:lang w:val="pt-BR"/>
            </w:rPr>
            <w:instrText xml:space="preserve"> FILENAME   \* MERGEFORMAT </w:instrText>
          </w:r>
          <w:r w:rsidRPr="00DB2699">
            <w:rPr>
              <w:rFonts w:asciiTheme="minorHAnsi" w:hAnsiTheme="minorHAnsi"/>
              <w:bCs/>
              <w:sz w:val="24"/>
              <w:lang w:val="fr-FR"/>
            </w:rPr>
            <w:fldChar w:fldCharType="separate"/>
          </w:r>
          <w:r w:rsidR="00D70FD1">
            <w:rPr>
              <w:rFonts w:asciiTheme="minorHAnsi" w:hAnsiTheme="minorHAnsi"/>
              <w:bCs/>
              <w:noProof/>
              <w:sz w:val="24"/>
              <w:lang w:val="pt-BR"/>
            </w:rPr>
            <w:t>18-746r2 IN POL-011 251018</w:t>
          </w:r>
          <w:r w:rsidRPr="00DB2699">
            <w:rPr>
              <w:rFonts w:asciiTheme="minorHAnsi" w:hAnsiTheme="minorHAnsi"/>
              <w:bCs/>
              <w:sz w:val="24"/>
              <w:lang w:val="fr-FR"/>
            </w:rPr>
            <w:fldChar w:fldCharType="end"/>
          </w:r>
        </w:p>
      </w:tc>
      <w:tc>
        <w:tcPr>
          <w:tcW w:w="2268" w:type="dxa"/>
          <w:gridSpan w:val="2"/>
          <w:vMerge w:val="restart"/>
          <w:tcBorders>
            <w:top w:val="double" w:sz="6" w:space="0" w:color="auto"/>
          </w:tcBorders>
          <w:vAlign w:val="center"/>
        </w:tcPr>
        <w:p w14:paraId="30EBC41A" w14:textId="77777777" w:rsidR="00B964FC" w:rsidRPr="00DB2699" w:rsidRDefault="00B964FC" w:rsidP="005A1661">
          <w:pPr>
            <w:tabs>
              <w:tab w:val="center" w:pos="4320"/>
              <w:tab w:val="right" w:pos="8640"/>
            </w:tabs>
            <w:jc w:val="right"/>
            <w:rPr>
              <w:rFonts w:asciiTheme="minorHAnsi" w:hAnsiTheme="minorHAnsi"/>
              <w:b/>
              <w:bCs/>
              <w:sz w:val="28"/>
              <w:szCs w:val="28"/>
            </w:rPr>
          </w:pPr>
          <w:r w:rsidRPr="00DB2699">
            <w:rPr>
              <w:rFonts w:asciiTheme="minorHAnsi" w:hAnsiTheme="minorHAnsi"/>
              <w:b/>
              <w:bCs/>
              <w:sz w:val="28"/>
              <w:szCs w:val="28"/>
            </w:rPr>
            <w:t>MarED-</w:t>
          </w:r>
          <w:r w:rsidR="00DB2699" w:rsidRPr="00DB2699">
            <w:rPr>
              <w:b/>
              <w:bCs/>
              <w:sz w:val="28"/>
              <w:szCs w:val="28"/>
            </w:rPr>
            <w:t>18</w:t>
          </w:r>
          <w:r w:rsidRPr="00DB2699">
            <w:rPr>
              <w:b/>
              <w:bCs/>
              <w:sz w:val="28"/>
              <w:szCs w:val="28"/>
            </w:rPr>
            <w:t>-</w:t>
          </w:r>
          <w:r w:rsidR="00DB2699" w:rsidRPr="00DB2699">
            <w:rPr>
              <w:b/>
              <w:bCs/>
              <w:sz w:val="28"/>
              <w:szCs w:val="28"/>
            </w:rPr>
            <w:t>746</w:t>
          </w:r>
        </w:p>
        <w:p w14:paraId="5FCED6CF" w14:textId="77777777" w:rsidR="00B964FC" w:rsidRPr="00DB2699" w:rsidRDefault="00DB2699" w:rsidP="005A1661">
          <w:pPr>
            <w:tabs>
              <w:tab w:val="center" w:pos="4320"/>
              <w:tab w:val="right" w:pos="8640"/>
            </w:tabs>
            <w:jc w:val="right"/>
            <w:rPr>
              <w:rFonts w:asciiTheme="minorHAnsi" w:hAnsiTheme="minorHAnsi"/>
              <w:b/>
              <w:bCs/>
              <w:sz w:val="28"/>
              <w:szCs w:val="28"/>
            </w:rPr>
          </w:pPr>
          <w:r w:rsidRPr="00DB2699">
            <w:rPr>
              <w:rFonts w:asciiTheme="minorHAnsi" w:hAnsiTheme="minorHAnsi"/>
              <w:b/>
              <w:bCs/>
              <w:sz w:val="28"/>
              <w:szCs w:val="28"/>
            </w:rPr>
            <w:t>POL</w:t>
          </w:r>
          <w:r w:rsidR="00026AFB" w:rsidRPr="00DB2699">
            <w:rPr>
              <w:rFonts w:asciiTheme="minorHAnsi" w:hAnsiTheme="minorHAnsi"/>
              <w:b/>
              <w:bCs/>
              <w:sz w:val="28"/>
              <w:szCs w:val="28"/>
            </w:rPr>
            <w:t>-</w:t>
          </w:r>
          <w:r w:rsidRPr="00DB2699">
            <w:rPr>
              <w:rFonts w:asciiTheme="minorHAnsi" w:hAnsiTheme="minorHAnsi"/>
              <w:b/>
              <w:bCs/>
              <w:sz w:val="28"/>
              <w:szCs w:val="28"/>
            </w:rPr>
            <w:t>011</w:t>
          </w:r>
        </w:p>
        <w:p w14:paraId="1D13BA56" w14:textId="77777777" w:rsidR="00B964FC" w:rsidRPr="009236F8" w:rsidRDefault="00B964FC" w:rsidP="005A1661">
          <w:pPr>
            <w:tabs>
              <w:tab w:val="center" w:pos="4320"/>
              <w:tab w:val="right" w:pos="8640"/>
            </w:tabs>
            <w:jc w:val="right"/>
            <w:rPr>
              <w:rFonts w:asciiTheme="minorHAnsi" w:hAnsiTheme="minorHAnsi"/>
              <w:bCs/>
              <w:sz w:val="20"/>
            </w:rPr>
          </w:pPr>
          <w:r w:rsidRPr="00DB2699">
            <w:rPr>
              <w:rFonts w:asciiTheme="minorHAnsi" w:hAnsiTheme="minorHAnsi"/>
              <w:bCs/>
              <w:sz w:val="22"/>
            </w:rPr>
            <w:t>Revision 0</w:t>
          </w:r>
          <w:r w:rsidR="00D70FD1">
            <w:rPr>
              <w:rFonts w:asciiTheme="minorHAnsi" w:hAnsiTheme="minorHAnsi"/>
              <w:bCs/>
              <w:sz w:val="22"/>
            </w:rPr>
            <w:t>2</w:t>
          </w:r>
        </w:p>
      </w:tc>
    </w:tr>
    <w:tr w:rsidR="00B964FC" w:rsidRPr="002A77C8" w14:paraId="6B7F64A7" w14:textId="77777777" w:rsidTr="005A1661">
      <w:trPr>
        <w:trHeight w:val="391"/>
        <w:jc w:val="center"/>
      </w:trPr>
      <w:tc>
        <w:tcPr>
          <w:tcW w:w="2412" w:type="dxa"/>
          <w:vMerge/>
          <w:vAlign w:val="center"/>
        </w:tcPr>
        <w:p w14:paraId="6F2CF6F9" w14:textId="77777777" w:rsidR="00B964FC" w:rsidRPr="002A77C8" w:rsidRDefault="00B964FC" w:rsidP="005A1661">
          <w:pPr>
            <w:tabs>
              <w:tab w:val="center" w:pos="4320"/>
              <w:tab w:val="right" w:pos="8640"/>
            </w:tabs>
            <w:jc w:val="center"/>
            <w:rPr>
              <w:rFonts w:asciiTheme="minorHAnsi" w:hAnsiTheme="minorHAnsi"/>
              <w:bCs/>
              <w:sz w:val="72"/>
              <w:szCs w:val="72"/>
            </w:rPr>
          </w:pPr>
        </w:p>
      </w:tc>
      <w:tc>
        <w:tcPr>
          <w:tcW w:w="2551" w:type="dxa"/>
          <w:tcBorders>
            <w:top w:val="single" w:sz="6" w:space="0" w:color="auto"/>
            <w:bottom w:val="single" w:sz="6" w:space="0" w:color="auto"/>
          </w:tcBorders>
          <w:vAlign w:val="center"/>
        </w:tcPr>
        <w:p w14:paraId="2B0B9C14" w14:textId="77777777" w:rsidR="00B964FC" w:rsidRPr="00360C1F" w:rsidRDefault="00B964FC" w:rsidP="005A1661">
          <w:pPr>
            <w:tabs>
              <w:tab w:val="center" w:pos="4320"/>
              <w:tab w:val="right" w:pos="8640"/>
            </w:tabs>
            <w:jc w:val="center"/>
            <w:rPr>
              <w:rFonts w:asciiTheme="minorHAnsi" w:hAnsiTheme="minorHAnsi"/>
              <w:bCs/>
              <w:sz w:val="24"/>
              <w:szCs w:val="24"/>
            </w:rPr>
          </w:pPr>
          <w:r w:rsidRPr="00360C1F">
            <w:rPr>
              <w:rFonts w:asciiTheme="minorHAnsi" w:hAnsiTheme="minorHAnsi"/>
              <w:bCs/>
              <w:sz w:val="24"/>
            </w:rPr>
            <w:t>Internal Use</w:t>
          </w:r>
        </w:p>
      </w:tc>
      <w:tc>
        <w:tcPr>
          <w:tcW w:w="2692" w:type="dxa"/>
          <w:tcBorders>
            <w:top w:val="single" w:sz="6" w:space="0" w:color="auto"/>
            <w:bottom w:val="single" w:sz="6" w:space="0" w:color="auto"/>
          </w:tcBorders>
          <w:vAlign w:val="center"/>
        </w:tcPr>
        <w:p w14:paraId="776F7B36" w14:textId="77777777" w:rsidR="00B964FC" w:rsidRPr="00360C1F" w:rsidRDefault="00D70FD1" w:rsidP="00520F90">
          <w:pPr>
            <w:tabs>
              <w:tab w:val="center" w:pos="4320"/>
              <w:tab w:val="right" w:pos="8640"/>
            </w:tabs>
            <w:jc w:val="center"/>
            <w:rPr>
              <w:rFonts w:asciiTheme="minorHAnsi" w:hAnsiTheme="minorHAnsi"/>
              <w:bCs/>
              <w:sz w:val="24"/>
              <w:szCs w:val="24"/>
            </w:rPr>
          </w:pPr>
          <w:r>
            <w:rPr>
              <w:sz w:val="24"/>
              <w:szCs w:val="20"/>
            </w:rPr>
            <w:t>2018-10-25</w:t>
          </w:r>
        </w:p>
      </w:tc>
      <w:tc>
        <w:tcPr>
          <w:tcW w:w="2268" w:type="dxa"/>
          <w:gridSpan w:val="2"/>
          <w:vMerge/>
          <w:vAlign w:val="center"/>
        </w:tcPr>
        <w:p w14:paraId="0AD6BF8E" w14:textId="77777777" w:rsidR="00B964FC" w:rsidRPr="002A77C8" w:rsidRDefault="00B964FC" w:rsidP="005A1661">
          <w:pPr>
            <w:tabs>
              <w:tab w:val="center" w:pos="4320"/>
              <w:tab w:val="right" w:pos="8640"/>
            </w:tabs>
            <w:jc w:val="right"/>
            <w:rPr>
              <w:rFonts w:asciiTheme="minorHAnsi" w:hAnsiTheme="minorHAnsi"/>
              <w:bCs/>
              <w:sz w:val="24"/>
              <w:szCs w:val="28"/>
            </w:rPr>
          </w:pPr>
        </w:p>
      </w:tc>
    </w:tr>
    <w:tr w:rsidR="00B964FC" w:rsidRPr="008601DC" w14:paraId="5A97E37F" w14:textId="77777777" w:rsidTr="005A1661">
      <w:trPr>
        <w:trHeight w:val="450"/>
        <w:jc w:val="center"/>
      </w:trPr>
      <w:tc>
        <w:tcPr>
          <w:tcW w:w="8789" w:type="dxa"/>
          <w:gridSpan w:val="4"/>
          <w:vAlign w:val="center"/>
        </w:tcPr>
        <w:p w14:paraId="1145521B" w14:textId="77777777" w:rsidR="00B964FC" w:rsidRPr="00360C1F" w:rsidRDefault="00B964FC" w:rsidP="005A1661">
          <w:pPr>
            <w:tabs>
              <w:tab w:val="center" w:pos="4320"/>
              <w:tab w:val="right" w:pos="8640"/>
            </w:tabs>
            <w:ind w:left="34"/>
            <w:jc w:val="center"/>
            <w:rPr>
              <w:rFonts w:asciiTheme="minorHAnsi" w:hAnsiTheme="minorHAnsi"/>
              <w:bCs/>
              <w:sz w:val="24"/>
              <w:szCs w:val="22"/>
            </w:rPr>
          </w:pPr>
          <w:r w:rsidRPr="00360C1F">
            <w:rPr>
              <w:rFonts w:asciiTheme="minorHAnsi" w:hAnsiTheme="minorHAnsi"/>
              <w:b/>
              <w:bCs/>
              <w:sz w:val="24"/>
              <w:szCs w:val="22"/>
            </w:rPr>
            <w:t>MarED</w:t>
          </w:r>
          <w:r w:rsidRPr="00360C1F">
            <w:rPr>
              <w:rFonts w:asciiTheme="minorHAnsi" w:hAnsiTheme="minorHAnsi"/>
              <w:bCs/>
              <w:sz w:val="24"/>
              <w:szCs w:val="22"/>
            </w:rPr>
            <w:t xml:space="preserve"> – </w:t>
          </w:r>
          <w:r w:rsidRPr="00360C1F">
            <w:rPr>
              <w:rFonts w:asciiTheme="minorHAnsi" w:hAnsiTheme="minorHAnsi"/>
              <w:bCs/>
              <w:noProof/>
              <w:sz w:val="24"/>
              <w:szCs w:val="22"/>
            </w:rPr>
            <w:t>Group of Notified Bodies under the Marine Equipment Directive 2014/90/EU</w:t>
          </w:r>
        </w:p>
      </w:tc>
      <w:tc>
        <w:tcPr>
          <w:tcW w:w="1134" w:type="dxa"/>
          <w:vAlign w:val="center"/>
        </w:tcPr>
        <w:p w14:paraId="2B6B9DF7" w14:textId="77777777" w:rsidR="00B964FC" w:rsidRPr="008601DC" w:rsidRDefault="00B964FC" w:rsidP="005A1661">
          <w:pPr>
            <w:tabs>
              <w:tab w:val="center" w:pos="4320"/>
              <w:tab w:val="right" w:pos="8640"/>
            </w:tabs>
            <w:ind w:left="34"/>
            <w:jc w:val="center"/>
            <w:rPr>
              <w:rFonts w:asciiTheme="minorHAnsi" w:hAnsiTheme="minorHAnsi"/>
              <w:bCs/>
              <w:sz w:val="22"/>
            </w:rPr>
          </w:pPr>
          <w:r w:rsidRPr="008601DC">
            <w:rPr>
              <w:rFonts w:asciiTheme="minorHAnsi" w:hAnsiTheme="minorHAnsi"/>
              <w:bCs/>
              <w:sz w:val="22"/>
            </w:rPr>
            <w:t xml:space="preserve">Page </w:t>
          </w:r>
          <w:r w:rsidRPr="008601DC">
            <w:rPr>
              <w:rFonts w:asciiTheme="minorHAnsi" w:hAnsiTheme="minorHAnsi"/>
              <w:bCs/>
              <w:sz w:val="22"/>
            </w:rPr>
            <w:fldChar w:fldCharType="begin"/>
          </w:r>
          <w:r w:rsidRPr="008601DC">
            <w:rPr>
              <w:rFonts w:asciiTheme="minorHAnsi" w:hAnsiTheme="minorHAnsi"/>
              <w:bCs/>
              <w:sz w:val="22"/>
            </w:rPr>
            <w:instrText xml:space="preserve"> PAGE   \* MERGEFORMAT </w:instrText>
          </w:r>
          <w:r w:rsidRPr="008601DC">
            <w:rPr>
              <w:rFonts w:asciiTheme="minorHAnsi" w:hAnsiTheme="minorHAnsi"/>
              <w:bCs/>
              <w:sz w:val="22"/>
            </w:rPr>
            <w:fldChar w:fldCharType="separate"/>
          </w:r>
          <w:r w:rsidR="0076422C">
            <w:rPr>
              <w:rFonts w:asciiTheme="minorHAnsi" w:hAnsiTheme="minorHAnsi"/>
              <w:bCs/>
              <w:noProof/>
              <w:sz w:val="22"/>
            </w:rPr>
            <w:t>1</w:t>
          </w:r>
          <w:r w:rsidRPr="008601DC">
            <w:rPr>
              <w:rFonts w:asciiTheme="minorHAnsi" w:hAnsiTheme="minorHAnsi"/>
              <w:bCs/>
              <w:sz w:val="22"/>
            </w:rPr>
            <w:fldChar w:fldCharType="end"/>
          </w:r>
          <w:r w:rsidRPr="008601DC">
            <w:rPr>
              <w:rFonts w:asciiTheme="minorHAnsi" w:hAnsiTheme="minorHAnsi"/>
              <w:bCs/>
              <w:sz w:val="22"/>
            </w:rPr>
            <w:t>/</w:t>
          </w:r>
          <w:r w:rsidRPr="008601DC">
            <w:rPr>
              <w:rFonts w:asciiTheme="minorHAnsi" w:hAnsiTheme="minorHAnsi"/>
              <w:bCs/>
              <w:sz w:val="22"/>
            </w:rPr>
            <w:fldChar w:fldCharType="begin"/>
          </w:r>
          <w:r w:rsidRPr="008601DC">
            <w:rPr>
              <w:rFonts w:asciiTheme="minorHAnsi" w:hAnsiTheme="minorHAnsi"/>
              <w:bCs/>
              <w:sz w:val="22"/>
            </w:rPr>
            <w:instrText xml:space="preserve"> NUMPAGES   \* MERGEFORMAT </w:instrText>
          </w:r>
          <w:r w:rsidRPr="008601DC">
            <w:rPr>
              <w:rFonts w:asciiTheme="minorHAnsi" w:hAnsiTheme="minorHAnsi"/>
              <w:bCs/>
              <w:sz w:val="22"/>
            </w:rPr>
            <w:fldChar w:fldCharType="separate"/>
          </w:r>
          <w:r w:rsidR="0076422C">
            <w:rPr>
              <w:rFonts w:asciiTheme="minorHAnsi" w:hAnsiTheme="minorHAnsi"/>
              <w:bCs/>
              <w:noProof/>
              <w:sz w:val="22"/>
            </w:rPr>
            <w:t>2</w:t>
          </w:r>
          <w:r w:rsidRPr="008601DC">
            <w:rPr>
              <w:rFonts w:asciiTheme="minorHAnsi" w:hAnsiTheme="minorHAnsi"/>
              <w:bCs/>
              <w:sz w:val="22"/>
            </w:rPr>
            <w:fldChar w:fldCharType="end"/>
          </w:r>
        </w:p>
      </w:tc>
    </w:tr>
  </w:tbl>
  <w:p w14:paraId="0FFF6604" w14:textId="77777777" w:rsidR="00236D5C" w:rsidRDefault="00A216F4">
    <w:pPr>
      <w:pStyle w:val="Header"/>
    </w:pPr>
    <w:r>
      <w:rPr>
        <w:noProof/>
        <w:lang w:val="de-DE"/>
      </w:rPr>
      <w:pict w14:anchorId="26559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1.4pt;width:495.5pt;height:660.7pt;z-index:-251658752;mso-position-horizontal-relative:margin;mso-position-vertical-relative:margin">
          <v:imagedata r:id="rId1" o:title="Wasserzeichen_Internal" gain="19660f" blacklevel="22938f"/>
          <w10:wrap side="larges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E0657A0"/>
    <w:lvl w:ilvl="0">
      <w:numFmt w:val="decimal"/>
      <w:lvlText w:val="*"/>
      <w:lvlJc w:val="left"/>
    </w:lvl>
  </w:abstractNum>
  <w:abstractNum w:abstractNumId="1" w15:restartNumberingAfterBreak="0">
    <w:nsid w:val="3131718A"/>
    <w:multiLevelType w:val="hybridMultilevel"/>
    <w:tmpl w:val="F2ECDF2E"/>
    <w:lvl w:ilvl="0" w:tplc="9DB2450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rPr>
          <w:rFonts w:ascii="Symbol" w:hAnsi="Symbol" w:cs="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characterSpacingControl w:val="doNotCompress"/>
  <w:doNotValidateAgainstSchema/>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012"/>
    <w:rsid w:val="00026AFB"/>
    <w:rsid w:val="000A6B4C"/>
    <w:rsid w:val="000E4477"/>
    <w:rsid w:val="00117030"/>
    <w:rsid w:val="0014233D"/>
    <w:rsid w:val="002033F4"/>
    <w:rsid w:val="00236D5C"/>
    <w:rsid w:val="00294198"/>
    <w:rsid w:val="00360C1F"/>
    <w:rsid w:val="00397F31"/>
    <w:rsid w:val="003B4252"/>
    <w:rsid w:val="003C68FE"/>
    <w:rsid w:val="003E038F"/>
    <w:rsid w:val="004403A7"/>
    <w:rsid w:val="00520F90"/>
    <w:rsid w:val="005C649C"/>
    <w:rsid w:val="005D2641"/>
    <w:rsid w:val="005F11D7"/>
    <w:rsid w:val="00656ED5"/>
    <w:rsid w:val="0076422C"/>
    <w:rsid w:val="008601DC"/>
    <w:rsid w:val="009C694C"/>
    <w:rsid w:val="00A216F4"/>
    <w:rsid w:val="00A22F1C"/>
    <w:rsid w:val="00A533CE"/>
    <w:rsid w:val="00A73F4E"/>
    <w:rsid w:val="00A80527"/>
    <w:rsid w:val="00A90663"/>
    <w:rsid w:val="00B36870"/>
    <w:rsid w:val="00B964FC"/>
    <w:rsid w:val="00C147B1"/>
    <w:rsid w:val="00CD6104"/>
    <w:rsid w:val="00D70FD1"/>
    <w:rsid w:val="00DB2699"/>
    <w:rsid w:val="00DD1012"/>
    <w:rsid w:val="00E17162"/>
    <w:rsid w:val="00E57523"/>
    <w:rsid w:val="00E818C8"/>
    <w:rsid w:val="00E96A76"/>
    <w:rsid w:val="00F727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349097"/>
  <w15:docId w15:val="{C9581375-6B2F-40B8-B9C3-0782425F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cs="Arial"/>
      <w:sz w:val="21"/>
      <w:szCs w:val="21"/>
      <w:lang w:val="en-GB"/>
    </w:rPr>
  </w:style>
  <w:style w:type="paragraph" w:styleId="Heading1">
    <w:name w:val="heading 1"/>
    <w:basedOn w:val="Normal"/>
    <w:next w:val="Normal"/>
    <w:qFormat/>
    <w:pPr>
      <w:keepNext/>
      <w:spacing w:before="500"/>
      <w:jc w:val="center"/>
      <w:outlineLvl w:val="0"/>
    </w:pPr>
    <w:rPr>
      <w:rFonts w:ascii="Albertus Xb (W1)" w:hAnsi="Albertus Xb (W1)" w:cs="Albertus Xb (W1)"/>
      <w:b/>
      <w:bCs/>
    </w:rPr>
  </w:style>
  <w:style w:type="paragraph" w:styleId="Heading2">
    <w:name w:val="heading 2"/>
    <w:basedOn w:val="Normal"/>
    <w:next w:val="Normal"/>
    <w:qFormat/>
    <w:pPr>
      <w:keepNext/>
      <w:jc w:val="center"/>
      <w:outlineLvl w:val="1"/>
    </w:pPr>
    <w:rPr>
      <w:b/>
      <w:bCs/>
      <w:sz w:val="24"/>
      <w:szCs w:val="24"/>
      <w:lang w:val="fr-FR"/>
    </w:rPr>
  </w:style>
  <w:style w:type="paragraph" w:styleId="Heading3">
    <w:name w:val="heading 3"/>
    <w:basedOn w:val="Normal"/>
    <w:next w:val="Normal"/>
    <w:qFormat/>
    <w:pPr>
      <w:keepNext/>
      <w:spacing w:before="700"/>
      <w:jc w:val="center"/>
      <w:outlineLvl w:val="2"/>
    </w:pPr>
    <w:rPr>
      <w:rFonts w:ascii="Albertus Xb (W1)" w:hAnsi="Albertus Xb (W1)" w:cs="Albertus Xb (W1)"/>
      <w:b/>
      <w:bCs/>
      <w:sz w:val="24"/>
      <w:szCs w:val="24"/>
    </w:rPr>
  </w:style>
  <w:style w:type="paragraph" w:styleId="Heading4">
    <w:name w:val="heading 4"/>
    <w:basedOn w:val="Normal"/>
    <w:next w:val="Normal"/>
    <w:qFormat/>
    <w:pPr>
      <w:keepNext/>
      <w:outlineLvl w:val="3"/>
    </w:pPr>
    <w:rPr>
      <w:b/>
      <w:bCs/>
      <w:sz w:val="16"/>
      <w:szCs w:val="16"/>
    </w:rPr>
  </w:style>
  <w:style w:type="paragraph" w:styleId="Heading5">
    <w:name w:val="heading 5"/>
    <w:basedOn w:val="Normal"/>
    <w:next w:val="Normal"/>
    <w:qFormat/>
    <w:pPr>
      <w:keepNext/>
      <w:outlineLvl w:val="4"/>
    </w:pPr>
    <w:rPr>
      <w:sz w:val="22"/>
      <w:szCs w:val="22"/>
      <w:u w:val="single"/>
    </w:rPr>
  </w:style>
  <w:style w:type="paragraph" w:styleId="Heading6">
    <w:name w:val="heading 6"/>
    <w:basedOn w:val="Normal"/>
    <w:next w:val="Normal"/>
    <w:qFormat/>
    <w:pPr>
      <w:keepNext/>
      <w:outlineLvl w:val="5"/>
    </w:pPr>
    <w:rPr>
      <w:b/>
      <w:bCs/>
      <w:sz w:val="22"/>
      <w:szCs w:val="22"/>
    </w:rPr>
  </w:style>
  <w:style w:type="paragraph" w:styleId="Heading7">
    <w:name w:val="heading 7"/>
    <w:basedOn w:val="Normal"/>
    <w:next w:val="Normal"/>
    <w:qFormat/>
    <w:pPr>
      <w:keepNext/>
      <w:tabs>
        <w:tab w:val="left" w:pos="1843"/>
        <w:tab w:val="right" w:leader="underscore" w:pos="9639"/>
      </w:tabs>
      <w:spacing w:line="360" w:lineRule="auto"/>
      <w:ind w:left="1843" w:hanging="1843"/>
      <w:jc w:val="center"/>
      <w:outlineLvl w:val="6"/>
    </w:pPr>
    <w:rPr>
      <w:b/>
      <w:bCs/>
      <w:sz w:val="24"/>
      <w:szCs w:val="24"/>
      <w:lang w:val="en-US"/>
    </w:rPr>
  </w:style>
  <w:style w:type="paragraph" w:styleId="Heading8">
    <w:name w:val="heading 8"/>
    <w:basedOn w:val="Normal"/>
    <w:next w:val="Normal"/>
    <w:qFormat/>
    <w:pPr>
      <w:keepNext/>
      <w:tabs>
        <w:tab w:val="left" w:pos="1418"/>
        <w:tab w:val="right" w:leader="underscore" w:pos="9639"/>
      </w:tabs>
      <w:spacing w:line="360" w:lineRule="auto"/>
      <w:jc w:val="both"/>
      <w:outlineLvl w:val="7"/>
    </w:pPr>
    <w:rPr>
      <w:b/>
      <w:bCs/>
      <w:sz w:val="24"/>
      <w:szCs w:val="24"/>
    </w:rPr>
  </w:style>
  <w:style w:type="paragraph" w:styleId="Heading9">
    <w:name w:val="heading 9"/>
    <w:basedOn w:val="Normal"/>
    <w:next w:val="Normal"/>
    <w:qFormat/>
    <w:pPr>
      <w:keepNext/>
      <w:tabs>
        <w:tab w:val="left" w:pos="1418"/>
        <w:tab w:val="right" w:leader="underscore" w:pos="9639"/>
      </w:tabs>
      <w:spacing w:line="360" w:lineRule="auto"/>
      <w:jc w:val="both"/>
      <w:outlineLvl w:val="8"/>
    </w:pPr>
    <w:rPr>
      <w:b/>
      <w:bCs/>
      <w:color w:val="0000F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200"/>
      <w:jc w:val="center"/>
    </w:pPr>
    <w:rPr>
      <w:b/>
      <w:bCs/>
      <w:sz w:val="36"/>
      <w:szCs w:val="36"/>
      <w:u w:val="single"/>
    </w:rPr>
  </w:style>
  <w:style w:type="paragraph" w:styleId="EnvelopeReturn">
    <w:name w:val="envelope return"/>
    <w:basedOn w:val="Normal"/>
    <w:pPr>
      <w:spacing w:before="120"/>
      <w:jc w:val="both"/>
    </w:pPr>
    <w:rPr>
      <w:sz w:val="20"/>
      <w:szCs w:val="20"/>
    </w:rPr>
  </w:style>
  <w:style w:type="paragraph" w:styleId="BodyTextIndent">
    <w:name w:val="Body Text Indent"/>
    <w:basedOn w:val="Normal"/>
    <w:pPr>
      <w:spacing w:before="120" w:after="120"/>
      <w:jc w:val="both"/>
    </w:pPr>
    <w:rPr>
      <w:sz w:val="19"/>
      <w:szCs w:val="19"/>
    </w:r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tabs>
        <w:tab w:val="left" w:pos="1418"/>
        <w:tab w:val="right" w:leader="underscore" w:pos="9639"/>
      </w:tabs>
      <w:spacing w:line="360" w:lineRule="auto"/>
      <w:jc w:val="both"/>
    </w:pPr>
    <w:rPr>
      <w:color w:val="0000FF"/>
      <w:sz w:val="20"/>
      <w:szCs w:val="20"/>
      <w:lang w:val="en-US"/>
    </w:rPr>
  </w:style>
  <w:style w:type="paragraph" w:styleId="BodyText3">
    <w:name w:val="Body Text 3"/>
    <w:basedOn w:val="Normal"/>
    <w:pPr>
      <w:tabs>
        <w:tab w:val="left" w:pos="1418"/>
        <w:tab w:val="right" w:leader="underscore" w:pos="9639"/>
      </w:tabs>
      <w:spacing w:line="360" w:lineRule="auto"/>
      <w:jc w:val="both"/>
    </w:pPr>
    <w:rPr>
      <w:rFonts w:ascii="Helv" w:hAnsi="Helv" w:cs="Helv"/>
      <w:color w:val="000000"/>
      <w:sz w:val="20"/>
      <w:szCs w:val="20"/>
      <w:lang w:val="en-US"/>
    </w:rPr>
  </w:style>
  <w:style w:type="paragraph" w:styleId="PlainText">
    <w:name w:val="Plain Text"/>
    <w:basedOn w:val="Normal"/>
    <w:rPr>
      <w:rFonts w:ascii="Courier New" w:hAnsi="Courier New" w:cs="Courier New"/>
      <w:sz w:val="20"/>
      <w:szCs w:val="20"/>
      <w:lang w:val="da-DK"/>
    </w:rPr>
  </w:style>
  <w:style w:type="character" w:customStyle="1" w:styleId="HeaderChar">
    <w:name w:val="Header Char"/>
    <w:link w:val="Header"/>
    <w:rsid w:val="00B964FC"/>
    <w:rPr>
      <w:rFonts w:ascii="Arial" w:hAnsi="Arial" w:cs="Arial"/>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r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567</Words>
  <Characters>3330</Characters>
  <Application>Microsoft Office Word</Application>
  <DocSecurity>0</DocSecurity>
  <Lines>49</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«Title» «FirstName» «LastName»</vt:lpstr>
      <vt:lpstr>«Title» «FirstName» «LastName»</vt:lpstr>
    </vt:vector>
  </TitlesOfParts>
  <Company>EOTC</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«FirstName» «LastName»</dc:title>
  <dc:creator>Claudio ABBATE</dc:creator>
  <cp:lastModifiedBy>Chen, Wei</cp:lastModifiedBy>
  <cp:revision>5</cp:revision>
  <cp:lastPrinted>2004-02-26T14:51:00Z</cp:lastPrinted>
  <dcterms:created xsi:type="dcterms:W3CDTF">2018-11-21T15:50:00Z</dcterms:created>
  <dcterms:modified xsi:type="dcterms:W3CDTF">2021-02-24T12:44:00Z</dcterms:modified>
</cp:coreProperties>
</file>