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25D5A" w14:textId="77777777" w:rsidR="005A037E" w:rsidRPr="00A90637" w:rsidRDefault="005A037E" w:rsidP="005A037E">
      <w:pPr>
        <w:keepNext/>
        <w:widowControl w:val="0"/>
        <w:autoSpaceDE w:val="0"/>
        <w:autoSpaceDN w:val="0"/>
        <w:adjustRightInd w:val="0"/>
        <w:spacing w:before="240" w:after="60"/>
        <w:ind w:left="6480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A9063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ITALY</w:t>
      </w:r>
    </w:p>
    <w:p w14:paraId="6E44205B" w14:textId="77777777" w:rsidR="005A037E" w:rsidRPr="00707154" w:rsidRDefault="005A037E" w:rsidP="005A037E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</w:p>
    <w:p w14:paraId="469A3B05" w14:textId="77777777" w:rsidR="005A037E" w:rsidRPr="00707154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707154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134A06BB" wp14:editId="19F0EA56">
            <wp:extent cx="2802255" cy="677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0150" w14:textId="77777777" w:rsidR="005A037E" w:rsidRPr="00707154" w:rsidRDefault="005A037E" w:rsidP="005A03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</w:p>
    <w:p w14:paraId="445A3361" w14:textId="77777777" w:rsidR="005A037E" w:rsidRDefault="005A037E" w:rsidP="005A03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  <w:r w:rsidRPr="00707154">
        <w:rPr>
          <w:rFonts w:ascii="Times New Roman" w:hAnsi="Times New Roman" w:cs="Times New Roman"/>
          <w:b/>
          <w:bCs/>
          <w:i/>
          <w:iCs/>
          <w:smallCaps/>
          <w:lang w:val="en-GB"/>
        </w:rPr>
        <w:t>MINISTRY OF FOREIGN AFFAIRS AND INTERNATIONAL COOPERATION</w:t>
      </w:r>
    </w:p>
    <w:p w14:paraId="5371D77F" w14:textId="77777777" w:rsidR="005A037E" w:rsidRPr="00707154" w:rsidRDefault="005A037E" w:rsidP="005A03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mallCaps/>
          <w:lang w:val="en-GB"/>
        </w:rPr>
        <w:t>inter-ministerial committee for human rights</w:t>
      </w:r>
      <w:r w:rsidRPr="00707154">
        <w:rPr>
          <w:rFonts w:ascii="Times New Roman" w:hAnsi="Times New Roman" w:cs="Times New Roman"/>
          <w:b/>
          <w:bCs/>
          <w:i/>
          <w:iCs/>
          <w:smallCaps/>
          <w:lang w:val="en-GB"/>
        </w:rPr>
        <w:t xml:space="preserve"> </w:t>
      </w:r>
    </w:p>
    <w:p w14:paraId="5164F302" w14:textId="77777777" w:rsidR="005A037E" w:rsidRPr="00707154" w:rsidRDefault="005A037E" w:rsidP="005A03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8CB85B2" w14:textId="77777777" w:rsidR="005A037E" w:rsidRPr="00707154" w:rsidRDefault="005A037E" w:rsidP="005A03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2D4BBB5" w14:textId="77777777" w:rsidR="005A037E" w:rsidRPr="00707154" w:rsidRDefault="005A037E" w:rsidP="005A03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5631D184" w14:textId="77777777" w:rsidR="005A037E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4C1D24A" w14:textId="3EA4AFC7" w:rsidR="005A037E" w:rsidRDefault="005A037E" w:rsidP="003A4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71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ITALY’S </w:t>
      </w:r>
      <w:r w:rsidR="0090419A">
        <w:rPr>
          <w:rFonts w:ascii="Times New Roman" w:hAnsi="Times New Roman" w:cs="Times New Roman"/>
          <w:b/>
          <w:bCs/>
          <w:sz w:val="28"/>
          <w:szCs w:val="28"/>
          <w:lang w:val="en-GB"/>
        </w:rPr>
        <w:t>CONTRIBUTION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TO </w:t>
      </w:r>
    </w:p>
    <w:p w14:paraId="0DAA28BB" w14:textId="77777777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90419A">
        <w:rPr>
          <w:rFonts w:ascii="Times New Roman" w:eastAsia="Calibri" w:hAnsi="Times New Roman" w:cs="Times New Roman"/>
          <w:b/>
          <w:sz w:val="32"/>
          <w:szCs w:val="32"/>
          <w:lang w:val="en-US"/>
        </w:rPr>
        <w:t>Impact analysis of International Maritime Organization (IMO)</w:t>
      </w:r>
    </w:p>
    <w:p w14:paraId="077D9D75" w14:textId="77777777" w:rsidR="003A414E" w:rsidRPr="00707154" w:rsidRDefault="003A414E" w:rsidP="003A41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it-IT"/>
        </w:rPr>
      </w:pPr>
    </w:p>
    <w:p w14:paraId="0AAD2479" w14:textId="77777777" w:rsidR="005A037E" w:rsidRPr="00707154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71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2F5CE34A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1988639A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2061DCFE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6567D224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70BE44A2" w14:textId="77777777" w:rsidR="006521A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</w:p>
    <w:p w14:paraId="39425F44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424D8154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32675440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4117E1D5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2A70C3A4" w14:textId="488C0974" w:rsidR="005A037E" w:rsidRPr="00FD47E5" w:rsidRDefault="00A40DF1" w:rsidP="00FD47E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n-GB" w:eastAsia="it-IT"/>
        </w:rPr>
      </w:pPr>
      <w:r w:rsidRPr="00FD47E5">
        <w:rPr>
          <w:rFonts w:ascii="Times New Roman" w:eastAsia="Times New Roman" w:hAnsi="Times New Roman" w:cs="Times New Roman"/>
          <w:b/>
          <w:i/>
          <w:lang w:val="en-GB" w:eastAsia="it-IT"/>
        </w:rPr>
        <w:t xml:space="preserve">March </w:t>
      </w:r>
      <w:r w:rsidR="006521A4" w:rsidRPr="00FD47E5">
        <w:rPr>
          <w:rFonts w:ascii="Times New Roman" w:eastAsia="Times New Roman" w:hAnsi="Times New Roman" w:cs="Times New Roman"/>
          <w:b/>
          <w:i/>
          <w:lang w:val="en-GB" w:eastAsia="it-IT"/>
        </w:rPr>
        <w:t>202</w:t>
      </w:r>
      <w:r w:rsidRPr="00FD47E5">
        <w:rPr>
          <w:rFonts w:ascii="Times New Roman" w:eastAsia="Times New Roman" w:hAnsi="Times New Roman" w:cs="Times New Roman"/>
          <w:b/>
          <w:i/>
          <w:lang w:val="en-GB" w:eastAsia="it-IT"/>
        </w:rPr>
        <w:t>1</w:t>
      </w:r>
    </w:p>
    <w:p w14:paraId="2551951C" w14:textId="77777777" w:rsidR="003A414E" w:rsidRDefault="003A414E" w:rsidP="005A037E">
      <w:pPr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14:paraId="377C3C78" w14:textId="77777777" w:rsidR="0019242D" w:rsidRDefault="0019242D" w:rsidP="005A037E">
      <w:pPr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14:paraId="335AC206" w14:textId="77777777" w:rsidR="0019242D" w:rsidRPr="00A90637" w:rsidRDefault="0019242D" w:rsidP="0019242D">
      <w:pPr>
        <w:keepNext/>
        <w:widowControl w:val="0"/>
        <w:autoSpaceDE w:val="0"/>
        <w:autoSpaceDN w:val="0"/>
        <w:adjustRightInd w:val="0"/>
        <w:spacing w:before="240" w:after="60"/>
        <w:ind w:left="6480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A9063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ITALY</w:t>
      </w:r>
    </w:p>
    <w:p w14:paraId="3050BA65" w14:textId="77777777" w:rsidR="0019242D" w:rsidRDefault="0019242D" w:rsidP="005A037E">
      <w:pPr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14:paraId="3A8ADB3B" w14:textId="2646BCBC" w:rsidR="005F5F85" w:rsidRPr="005F5F85" w:rsidRDefault="005F5F85" w:rsidP="005A037E">
      <w:pPr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5F5F85">
        <w:rPr>
          <w:rFonts w:asciiTheme="majorBidi" w:hAnsiTheme="majorBidi" w:cstheme="majorBidi"/>
          <w:bCs/>
          <w:sz w:val="24"/>
          <w:szCs w:val="24"/>
          <w:lang w:val="en-GB"/>
        </w:rPr>
        <w:t>Further to your query, we are in a position to provide the following</w:t>
      </w:r>
      <w:r w:rsidR="006521A4">
        <w:rPr>
          <w:rFonts w:asciiTheme="majorBidi" w:hAnsiTheme="majorBidi" w:cstheme="majorBidi"/>
          <w:bCs/>
          <w:sz w:val="24"/>
          <w:szCs w:val="24"/>
          <w:lang w:val="en-GB"/>
        </w:rPr>
        <w:t xml:space="preserve"> remarks</w:t>
      </w:r>
      <w:r w:rsidR="005A037E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r w:rsidR="005A037E" w:rsidRPr="00E06A89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for your</w:t>
      </w:r>
      <w:r w:rsidRPr="00E06A89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 xml:space="preserve"> information</w:t>
      </w:r>
      <w:r w:rsidR="005A037E" w:rsidRPr="00E06A89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 xml:space="preserve"> only</w:t>
      </w:r>
      <w:r w:rsidR="005A037E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</w:p>
    <w:p w14:paraId="145AC88E" w14:textId="77777777" w:rsidR="003A414E" w:rsidRDefault="003A414E" w:rsidP="003A414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672F3F92" w14:textId="4BB98988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IMO should strengthen the cooperation between all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its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member states,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with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particular regard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to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surveillance of the ships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order to repress unlawful conduct that may constitute a risk for human health and environment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 This shall also</w:t>
      </w:r>
      <w:r w:rsidR="00836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encourage the exchange of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information and cooperation between member states in order to develop a common system of support in emergency cases, such as ship accidents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14:paraId="2C2C5E19" w14:textId="77777777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1AA6BACE" w14:textId="27DE1022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Italy </w:t>
      </w:r>
      <w:r w:rsidR="00836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has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ratified the following IMO conventions: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14:paraId="2F0576D3" w14:textId="0E842240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IMO Convention 48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SOLAS Convention 74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SOLAS Protocol 78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SOLAS Protocol 88</w:t>
      </w:r>
      <w:r w:rsidR="00D2419D" w:rsidRP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>;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</w:p>
    <w:p w14:paraId="1B764C42" w14:textId="2C825489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LOAD LINES Convention 66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LOAD LINES Protocol 88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TONNAGE Convention 69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14:paraId="46913BB4" w14:textId="3E2D72D7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COLREG  Convention 72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CSC Convention 72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SFV Protocol 93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STCW  Convention 78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14:paraId="5183AE77" w14:textId="77777777" w:rsid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SAR  Convention 79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IMSO Convention 76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INMARSAT OA 76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</w:p>
    <w:p w14:paraId="20145BAE" w14:textId="7E8F9CC3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>FACILITATION Convention 65</w:t>
      </w:r>
      <w:r w:rsidR="00D2419D" w:rsidRP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MARPOL 73/78 (Annex I/II/III/IV/V/)</w:t>
      </w:r>
      <w:r w:rsidR="00D2419D" w:rsidRP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</w:p>
    <w:p w14:paraId="7325B153" w14:textId="77777777" w:rsid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MARPOL Protocol 97 (Annex VI)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London Convention 72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</w:p>
    <w:p w14:paraId="013DC942" w14:textId="7B55730C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London Convention Protocol 96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INTERVENTION Convention 69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>;</w:t>
      </w:r>
    </w:p>
    <w:p w14:paraId="19B872D4" w14:textId="5AFF1E9C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INTERVENTION Protocol 73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;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CLC Convention 69 (d)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CLC Protocol 76</w:t>
      </w:r>
    </w:p>
    <w:p w14:paraId="1DFACD98" w14:textId="2058DB47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CLC Protocol 92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FUND Protocol 76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FUND Protocol 92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FUND Protocol 2003</w:t>
      </w:r>
    </w:p>
    <w:p w14:paraId="00EBCEBA" w14:textId="10BC040F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NUCLEAR Convention 71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SUA Convention 88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SUA Protocol 88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it-IT"/>
        </w:rPr>
        <w:t>;</w:t>
      </w:r>
    </w:p>
    <w:p w14:paraId="7795FF2B" w14:textId="4EB27E2D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SALVAGE Convention 89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OPRC  Convention 90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;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BUNKERS CONVENTION 01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14:paraId="506B0F47" w14:textId="43DB4A9D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ANTI FOULING 2001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14:paraId="3635FDF8" w14:textId="77777777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18A9B69C" w14:textId="45A1F229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main obstacles 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towards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ratification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implementation of IMO Conventions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vary depending on the convention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D2419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 r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egard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to the </w:t>
      </w:r>
      <w:r w:rsidRPr="009041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HNS Convention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it is extremely difficult to identi</w:t>
      </w:r>
      <w:r w:rsidR="00836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fy in a precise way the subject</w:t>
      </w:r>
      <w:bookmarkStart w:id="0" w:name="_GoBack"/>
      <w:bookmarkEnd w:id="0"/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receivers of HNS loads. </w:t>
      </w:r>
    </w:p>
    <w:p w14:paraId="41CF42DB" w14:textId="50DA8972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With regard to the </w:t>
      </w:r>
      <w:r w:rsidRPr="009041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Ballast Water Management Convention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9041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OPRC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obstacles are due to the complexity of the ratification process foreseen by the Italian legislation.</w:t>
      </w:r>
    </w:p>
    <w:p w14:paraId="4744B0A3" w14:textId="7C5B5487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he </w:t>
      </w:r>
      <w:r w:rsidRPr="009041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Bunkers Convention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the </w:t>
      </w:r>
      <w:r w:rsidRPr="009041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Fund Convention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 been ratified by Italy long time ago and no particular problems were faced in the ratification of these instruments.</w:t>
      </w:r>
    </w:p>
    <w:p w14:paraId="3E5AE0A6" w14:textId="77777777" w:rsidR="00D2419D" w:rsidRPr="00D2419D" w:rsidRDefault="00D2419D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7B32C38E" w14:textId="372916C2" w:rsid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 xml:space="preserve">IMO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has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sent many indications to the national competent authority to ensure the right development of the system regarding rule 22A of MARPOL annex VI.</w:t>
      </w:r>
    </w:p>
    <w:p w14:paraId="27DE8C7C" w14:textId="77777777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65852501" w14:textId="7F5C1066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Regarding HFO, Italy has a very well consolidated prevention, preparedness and respo</w:t>
      </w:r>
      <w:r w:rsidR="008365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nse system related to oil spill,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through the establishment of a wide-ranging regulatory framework, has reduced polluting events in our seas over the last thirty years. The system is also in compliance with MARPOL 73/78, CLC and Fund Convention, Bunkers Convention, European Directive 2005/35 and national Law 979/82. HFO poses a serious risk to human and economic activities and wildlife, so it is highly regarded both in the organization and in the implementation of the Italian anti-pollution system, which consists of specialized ships, equipment and personnel working continuously to prevent these risks.</w:t>
      </w:r>
    </w:p>
    <w:p w14:paraId="0C1B8C5D" w14:textId="77777777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7EA4F023" w14:textId="2372D9BF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IMO procedures are considered adequately transparent.</w:t>
      </w:r>
    </w:p>
    <w:p w14:paraId="189D7A29" w14:textId="1226B945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6C642BB7" w14:textId="5B2054DA" w:rsidR="0090419A" w:rsidRDefault="00066B4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 regard to the access to IMO instruments and documents, i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 would be useful to develop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 public section 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within the IMO systems where, for all ships, it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would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be possible to find all relevant information (for ex. Environmental information). In order to avoid market distortions, sensitive information should not be available to the public.</w:t>
      </w:r>
    </w:p>
    <w:p w14:paraId="026422BD" w14:textId="77777777" w:rsidR="00066B4A" w:rsidRPr="00D2419D" w:rsidRDefault="00066B4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59EE0DDB" w14:textId="409C8194" w:rsidR="0090419A" w:rsidRDefault="00066B4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 regard to capacity building, i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 would be useful to organize training sessions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on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IMO instruments. Also, it would be useful to develop a virtual space where all the people involved in IMO themes may exchange experiences, present problems and have confrontation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with the other colleagues.</w:t>
      </w:r>
    </w:p>
    <w:p w14:paraId="4F23F131" w14:textId="77777777" w:rsidR="00066B4A" w:rsidRPr="00D2419D" w:rsidRDefault="00066B4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1C966680" w14:textId="50979672" w:rsidR="0090419A" w:rsidRPr="0090419A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IMO should encourage all kinds of initiative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aimed at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ensur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ing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achievement of environmental goals. IMO should promote cooperation between member states, especially 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 view of 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promot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ing</w:t>
      </w:r>
      <w:r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exchange of experiences. </w:t>
      </w:r>
    </w:p>
    <w:p w14:paraId="50E6EB1B" w14:textId="5AE6BC0D" w:rsidR="0090419A" w:rsidRPr="00D2419D" w:rsidRDefault="0090419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</w:p>
    <w:p w14:paraId="314CBB3B" w14:textId="77777777" w:rsidR="00066B4A" w:rsidRDefault="00066B4A" w:rsidP="009041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 regard to the carriage of hazardous material, t</w:t>
      </w:r>
      <w:r w:rsidR="0090419A" w:rsidRPr="009041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he national oil spill pollution emergency response system is based on the synergy between the following institutions: </w:t>
      </w:r>
    </w:p>
    <w:p w14:paraId="39148B73" w14:textId="52E9CE7E" w:rsidR="00066B4A" w:rsidRPr="00066B4A" w:rsidRDefault="00066B4A" w:rsidP="00066B4A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="0090419A"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he former-Ministry of Environment (now Ministry of the Ecological Transition), </w:t>
      </w: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which </w:t>
      </w:r>
      <w:r w:rsidR="0090419A"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provides a specialized fleet and strategic direction of defense activities against pollution caused by hydrocarbons; </w:t>
      </w:r>
    </w:p>
    <w:p w14:paraId="66C60B60" w14:textId="77777777" w:rsidR="00066B4A" w:rsidRDefault="0090419A" w:rsidP="00066B4A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Italian Coast Guard, 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which</w:t>
      </w: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has operational responsibility for the anti-pollution activities (and uses ships, airplanes and helicopters) and the Civil Protection </w:t>
      </w: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 xml:space="preserve">Department that intervenes when a national emergency is declared and take the head of all the actions and means.  </w:t>
      </w:r>
    </w:p>
    <w:p w14:paraId="09EE17E9" w14:textId="77777777" w:rsidR="008365B5" w:rsidRDefault="008365B5" w:rsidP="008365B5">
      <w:pPr>
        <w:pStyle w:val="Paragrafoelenco"/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45C59E41" w14:textId="77777777" w:rsidR="00066B4A" w:rsidRDefault="0090419A" w:rsidP="00066B4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Italy has a very complex anti-pollution structure, with a fleet of 39 ships throughout the coasts in stand-by and ready to come into action when marine pollution occurs. I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 </w:t>
      </w: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also use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 satellite monitoring system to report oil spill pollution or illegal discharges along the coast and in proximity to the offshore platforms. </w:t>
      </w:r>
      <w:r w:rsid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</w:t>
      </w: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Environmental Protection and Research Institute (ISPRA) produced a manual providing useful information for dealing with HNS marine pollution, focused on the safety of the personnel involved. </w:t>
      </w:r>
    </w:p>
    <w:p w14:paraId="45D643E6" w14:textId="4FC14D77" w:rsidR="0090419A" w:rsidRPr="00066B4A" w:rsidRDefault="0090419A" w:rsidP="00066B4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66B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Italy is considering the possibility of ratifying the HNS convention in addition to OPRC-HNS Protocol.</w:t>
      </w:r>
    </w:p>
    <w:p w14:paraId="0C370B05" w14:textId="77777777" w:rsidR="003A414E" w:rsidRPr="0090419A" w:rsidRDefault="003A414E" w:rsidP="003A414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sectPr w:rsidR="003A414E" w:rsidRPr="0090419A" w:rsidSect="006521A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E90F" w14:textId="77777777" w:rsidR="00FA3805" w:rsidRDefault="00FA3805" w:rsidP="00447B3B">
      <w:pPr>
        <w:spacing w:after="0" w:line="240" w:lineRule="auto"/>
      </w:pPr>
      <w:r>
        <w:separator/>
      </w:r>
    </w:p>
  </w:endnote>
  <w:endnote w:type="continuationSeparator" w:id="0">
    <w:p w14:paraId="308C7A83" w14:textId="77777777" w:rsidR="00FA3805" w:rsidRDefault="00FA3805" w:rsidP="004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52B5" w14:textId="77777777" w:rsidR="00EE22DB" w:rsidRDefault="00EE22DB" w:rsidP="006521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AEC92B" w14:textId="77777777" w:rsidR="00EE22DB" w:rsidRDefault="00EE22DB" w:rsidP="00EE22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663FD" w14:textId="2A1BC7C5" w:rsidR="00EE22DB" w:rsidRDefault="00EE22DB" w:rsidP="006521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65B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D6D403E" w14:textId="77777777" w:rsidR="00EE22DB" w:rsidRDefault="00EE22DB" w:rsidP="00EE22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1DB86" w14:textId="77777777" w:rsidR="00FA3805" w:rsidRDefault="00FA3805" w:rsidP="00447B3B">
      <w:pPr>
        <w:spacing w:after="0" w:line="240" w:lineRule="auto"/>
      </w:pPr>
      <w:r>
        <w:separator/>
      </w:r>
    </w:p>
  </w:footnote>
  <w:footnote w:type="continuationSeparator" w:id="0">
    <w:p w14:paraId="6EBF3363" w14:textId="77777777" w:rsidR="00FA3805" w:rsidRDefault="00FA3805" w:rsidP="0044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CFB"/>
    <w:multiLevelType w:val="multilevel"/>
    <w:tmpl w:val="CE0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4516E"/>
    <w:multiLevelType w:val="multilevel"/>
    <w:tmpl w:val="7E06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85186"/>
    <w:multiLevelType w:val="hybridMultilevel"/>
    <w:tmpl w:val="C50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61C"/>
    <w:multiLevelType w:val="multilevel"/>
    <w:tmpl w:val="E92CD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2355"/>
    <w:multiLevelType w:val="multilevel"/>
    <w:tmpl w:val="5B322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969A6"/>
    <w:multiLevelType w:val="multilevel"/>
    <w:tmpl w:val="CAF23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06703"/>
    <w:multiLevelType w:val="multilevel"/>
    <w:tmpl w:val="4140A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9FF"/>
    <w:multiLevelType w:val="hybridMultilevel"/>
    <w:tmpl w:val="4F06FCE0"/>
    <w:lvl w:ilvl="0" w:tplc="5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966CC"/>
    <w:multiLevelType w:val="multilevel"/>
    <w:tmpl w:val="B6544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E5985"/>
    <w:multiLevelType w:val="hybridMultilevel"/>
    <w:tmpl w:val="5DAADB68"/>
    <w:lvl w:ilvl="0" w:tplc="459CF3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C75B5"/>
    <w:multiLevelType w:val="hybridMultilevel"/>
    <w:tmpl w:val="E48EA0F2"/>
    <w:lvl w:ilvl="0" w:tplc="28049E72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48B"/>
    <w:multiLevelType w:val="multilevel"/>
    <w:tmpl w:val="0166ED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F5C6E"/>
    <w:multiLevelType w:val="multilevel"/>
    <w:tmpl w:val="570A9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23755"/>
    <w:multiLevelType w:val="multilevel"/>
    <w:tmpl w:val="F258BD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23655"/>
    <w:multiLevelType w:val="multilevel"/>
    <w:tmpl w:val="1C9C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552DA"/>
    <w:multiLevelType w:val="multilevel"/>
    <w:tmpl w:val="60A89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F2143"/>
    <w:multiLevelType w:val="multilevel"/>
    <w:tmpl w:val="58E22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217FB"/>
    <w:multiLevelType w:val="hybridMultilevel"/>
    <w:tmpl w:val="CFBACA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1C"/>
    <w:rsid w:val="00066B4A"/>
    <w:rsid w:val="000E02DC"/>
    <w:rsid w:val="0019242D"/>
    <w:rsid w:val="00285FB5"/>
    <w:rsid w:val="003125AC"/>
    <w:rsid w:val="00327430"/>
    <w:rsid w:val="003A414E"/>
    <w:rsid w:val="00412063"/>
    <w:rsid w:val="00447B3B"/>
    <w:rsid w:val="00480D2F"/>
    <w:rsid w:val="004B32FA"/>
    <w:rsid w:val="00547A5F"/>
    <w:rsid w:val="00581B41"/>
    <w:rsid w:val="005A037E"/>
    <w:rsid w:val="005B284B"/>
    <w:rsid w:val="005F5F85"/>
    <w:rsid w:val="006521A4"/>
    <w:rsid w:val="00654FA9"/>
    <w:rsid w:val="006857BB"/>
    <w:rsid w:val="00714BC1"/>
    <w:rsid w:val="00740502"/>
    <w:rsid w:val="007B0717"/>
    <w:rsid w:val="008365B5"/>
    <w:rsid w:val="008B1367"/>
    <w:rsid w:val="0090419A"/>
    <w:rsid w:val="00907AE2"/>
    <w:rsid w:val="009E037F"/>
    <w:rsid w:val="009F0790"/>
    <w:rsid w:val="00A13E45"/>
    <w:rsid w:val="00A40DF1"/>
    <w:rsid w:val="00A7704C"/>
    <w:rsid w:val="00AC12C2"/>
    <w:rsid w:val="00B57166"/>
    <w:rsid w:val="00B64F87"/>
    <w:rsid w:val="00C457E0"/>
    <w:rsid w:val="00D04F54"/>
    <w:rsid w:val="00D2419D"/>
    <w:rsid w:val="00D57C48"/>
    <w:rsid w:val="00D70D1C"/>
    <w:rsid w:val="00D940DE"/>
    <w:rsid w:val="00DB4031"/>
    <w:rsid w:val="00DD4197"/>
    <w:rsid w:val="00E06A89"/>
    <w:rsid w:val="00E45890"/>
    <w:rsid w:val="00E84C4A"/>
    <w:rsid w:val="00EE22DB"/>
    <w:rsid w:val="00F21BBB"/>
    <w:rsid w:val="00FA3805"/>
    <w:rsid w:val="00FD2390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B0AC7"/>
  <w15:docId w15:val="{027DFA3F-159B-41AB-B2EA-39135C05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Trattino"/>
    <w:basedOn w:val="Normale"/>
    <w:link w:val="ParagrafoelencoCarattere"/>
    <w:qFormat/>
    <w:rsid w:val="00D70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367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locked/>
    <w:rsid w:val="00B64F87"/>
  </w:style>
  <w:style w:type="character" w:styleId="Collegamentoipertestuale">
    <w:name w:val="Hyperlink"/>
    <w:basedOn w:val="Carpredefinitoparagrafo"/>
    <w:uiPriority w:val="99"/>
    <w:rsid w:val="00447B3B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447B3B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5_G,FA Fu"/>
    <w:basedOn w:val="Normale"/>
    <w:link w:val="TestonotaapidipaginaCarattere"/>
    <w:uiPriority w:val="99"/>
    <w:semiHidden/>
    <w:rsid w:val="00447B3B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FootnoteTextChar1">
    <w:name w:val="Footnote Text Char1"/>
    <w:basedOn w:val="Carpredefinitoparagrafo"/>
    <w:uiPriority w:val="99"/>
    <w:semiHidden/>
    <w:rsid w:val="00447B3B"/>
    <w:rPr>
      <w:sz w:val="24"/>
      <w:szCs w:val="24"/>
    </w:rPr>
  </w:style>
  <w:style w:type="character" w:styleId="Rimandonotaapidipagina">
    <w:name w:val="footnote reference"/>
    <w:aliases w:val="Rimando nota a piè di pagina1,Footnote symbol,4_G,referencia nota al pie,Texto de nota al pie,BVI fnr,Ref. de nota al pie2,Nota de pie,Ref,de nota al pie,Pie de pagina,Ref. ...,Ref1,FC,Footnotes refss,ft"/>
    <w:basedOn w:val="Carpredefinitoparagrafo"/>
    <w:uiPriority w:val="99"/>
    <w:semiHidden/>
    <w:rsid w:val="00447B3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E2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2DB"/>
  </w:style>
  <w:style w:type="character" w:styleId="Numeropagina">
    <w:name w:val="page number"/>
    <w:basedOn w:val="Carpredefinitoparagrafo"/>
    <w:uiPriority w:val="99"/>
    <w:semiHidden/>
    <w:unhideWhenUsed/>
    <w:rsid w:val="00EE22DB"/>
  </w:style>
  <w:style w:type="paragraph" w:styleId="Intestazione">
    <w:name w:val="header"/>
    <w:basedOn w:val="Normale"/>
    <w:link w:val="IntestazioneCarattere"/>
    <w:uiPriority w:val="99"/>
    <w:unhideWhenUsed/>
    <w:rsid w:val="00652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Boza</dc:creator>
  <cp:keywords/>
  <dc:description/>
  <cp:lastModifiedBy>User</cp:lastModifiedBy>
  <cp:revision>2</cp:revision>
  <dcterms:created xsi:type="dcterms:W3CDTF">2021-03-25T21:53:00Z</dcterms:created>
  <dcterms:modified xsi:type="dcterms:W3CDTF">2021-03-25T21:53:00Z</dcterms:modified>
</cp:coreProperties>
</file>