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336F1" w:rsidRDefault="00E336F1">
      <w:pPr>
        <w:spacing w:after="0" w:line="276" w:lineRule="auto"/>
        <w:jc w:val="both"/>
        <w:rPr>
          <w:rFonts w:ascii="Times New Roman" w:eastAsia="Times New Roman" w:hAnsi="Times New Roman" w:cs="Times New Roman"/>
          <w:b/>
        </w:rPr>
      </w:pPr>
    </w:p>
    <w:p w14:paraId="7F7F141F" w14:textId="33725249" w:rsidR="00B73A9F" w:rsidRDefault="00334659" w:rsidP="00B73A9F">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SALAM DHR Submission</w:t>
      </w:r>
    </w:p>
    <w:p w14:paraId="6F774526" w14:textId="77777777" w:rsidR="008739F1" w:rsidRDefault="00B73A9F" w:rsidP="00B73A9F">
      <w:pPr>
        <w:spacing w:after="0" w:line="276" w:lineRule="auto"/>
        <w:jc w:val="center"/>
        <w:rPr>
          <w:rFonts w:ascii="Times New Roman" w:eastAsia="Times New Roman" w:hAnsi="Times New Roman" w:cs="Times New Roman"/>
          <w:b/>
          <w:bCs/>
          <w:lang/>
        </w:rPr>
      </w:pPr>
      <w:r w:rsidRPr="00B73A9F">
        <w:rPr>
          <w:rFonts w:ascii="Times New Roman" w:eastAsia="Times New Roman" w:hAnsi="Times New Roman" w:cs="Times New Roman"/>
          <w:b/>
          <w:bCs/>
          <w:lang/>
        </w:rPr>
        <w:t xml:space="preserve">Current issues and good practices in prison management – </w:t>
      </w:r>
    </w:p>
    <w:p w14:paraId="225EA49C" w14:textId="0FACB3B8" w:rsidR="00B73A9F" w:rsidRPr="00B73A9F" w:rsidRDefault="00B73A9F" w:rsidP="00B73A9F">
      <w:pPr>
        <w:spacing w:after="0" w:line="276" w:lineRule="auto"/>
        <w:jc w:val="center"/>
        <w:rPr>
          <w:rFonts w:ascii="Times New Roman" w:eastAsia="Times New Roman" w:hAnsi="Times New Roman" w:cs="Times New Roman"/>
          <w:b/>
          <w:bCs/>
          <w:lang w:val="en-US"/>
        </w:rPr>
      </w:pPr>
      <w:r w:rsidRPr="00B73A9F">
        <w:rPr>
          <w:rFonts w:ascii="Times New Roman" w:eastAsia="Times New Roman" w:hAnsi="Times New Roman" w:cs="Times New Roman"/>
          <w:b/>
          <w:bCs/>
          <w:lang/>
        </w:rPr>
        <w:t>Thematic report of the Special Rapporteur on Torture</w:t>
      </w:r>
      <w:r>
        <w:rPr>
          <w:rFonts w:ascii="Times New Roman" w:eastAsia="Times New Roman" w:hAnsi="Times New Roman" w:cs="Times New Roman"/>
          <w:b/>
          <w:bCs/>
          <w:lang w:val="en-US"/>
        </w:rPr>
        <w:t xml:space="preserve"> – November 2023</w:t>
      </w:r>
    </w:p>
    <w:p w14:paraId="695C3748" w14:textId="77777777" w:rsidR="00B73A9F" w:rsidRPr="00B73A9F" w:rsidRDefault="00B73A9F" w:rsidP="00B73A9F">
      <w:pPr>
        <w:spacing w:after="0" w:line="276" w:lineRule="auto"/>
        <w:jc w:val="center"/>
        <w:rPr>
          <w:rFonts w:ascii="Times New Roman" w:eastAsia="Times New Roman" w:hAnsi="Times New Roman" w:cs="Times New Roman"/>
          <w:b/>
          <w:lang/>
        </w:rPr>
      </w:pPr>
    </w:p>
    <w:p w14:paraId="6E562D52" w14:textId="77777777" w:rsidR="00B73A9F" w:rsidRDefault="00B73A9F">
      <w:pPr>
        <w:spacing w:after="0" w:line="276" w:lineRule="auto"/>
        <w:jc w:val="both"/>
        <w:rPr>
          <w:rFonts w:ascii="Times New Roman" w:eastAsia="Times New Roman" w:hAnsi="Times New Roman" w:cs="Times New Roman"/>
          <w:b/>
        </w:rPr>
      </w:pPr>
    </w:p>
    <w:p w14:paraId="00000002" w14:textId="2CA5C3D2" w:rsidR="00E336F1" w:rsidRDefault="00A73B56">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Introduction</w:t>
      </w:r>
    </w:p>
    <w:p w14:paraId="00000003" w14:textId="77777777" w:rsidR="00E336F1" w:rsidRDefault="00E336F1">
      <w:pPr>
        <w:pBdr>
          <w:top w:val="nil"/>
          <w:left w:val="nil"/>
          <w:bottom w:val="nil"/>
          <w:right w:val="nil"/>
          <w:between w:val="nil"/>
        </w:pBdr>
        <w:spacing w:after="0" w:line="276" w:lineRule="auto"/>
        <w:jc w:val="both"/>
        <w:rPr>
          <w:rFonts w:ascii="Times New Roman" w:eastAsia="Times New Roman" w:hAnsi="Times New Roman" w:cs="Times New Roman"/>
        </w:rPr>
      </w:pPr>
    </w:p>
    <w:p w14:paraId="00000004" w14:textId="77777777" w:rsidR="00E336F1" w:rsidRDefault="00A73B56">
      <w:pPr>
        <w:pBdr>
          <w:top w:val="nil"/>
          <w:left w:val="nil"/>
          <w:bottom w:val="nil"/>
          <w:right w:val="nil"/>
          <w:between w:val="nil"/>
        </w:pBd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47D74F80"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This submission focuses on the legislative, </w:t>
      </w:r>
      <w:r w:rsidR="00DC4B05">
        <w:rPr>
          <w:rFonts w:ascii="Times New Roman" w:eastAsia="Times New Roman" w:hAnsi="Times New Roman" w:cs="Times New Roman"/>
        </w:rPr>
        <w:t>investigative,</w:t>
      </w:r>
      <w:r>
        <w:rPr>
          <w:rFonts w:ascii="Times New Roman" w:eastAsia="Times New Roman" w:hAnsi="Times New Roman" w:cs="Times New Roman"/>
        </w:rPr>
        <w:t xml:space="preserve"> and prosecutorial practices concerning torture in Bahrain, in addition to the mechanisms and institutions involved in such practices.</w:t>
      </w:r>
    </w:p>
    <w:p w14:paraId="00000006"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This submission examines the continuous use of torture of detainees, particularly in pre-trial detention, to extract confessions, as well as the practice of subjecting prisoners to cruel, inhuman or degrading punishments, in a context of total impunity. </w:t>
      </w:r>
    </w:p>
    <w:p w14:paraId="00000007" w14:textId="77777777" w:rsidR="00E336F1" w:rsidRDefault="00E336F1">
      <w:pPr>
        <w:pBdr>
          <w:top w:val="nil"/>
          <w:left w:val="nil"/>
          <w:bottom w:val="nil"/>
          <w:right w:val="nil"/>
          <w:between w:val="nil"/>
        </w:pBdr>
        <w:spacing w:after="0" w:line="276" w:lineRule="auto"/>
        <w:jc w:val="both"/>
        <w:rPr>
          <w:rFonts w:ascii="Times New Roman" w:eastAsia="Times New Roman" w:hAnsi="Times New Roman" w:cs="Times New Roman"/>
          <w:b/>
        </w:rPr>
      </w:pPr>
    </w:p>
    <w:p w14:paraId="00000008" w14:textId="77777777" w:rsidR="00E336F1" w:rsidRDefault="00A73B56">
      <w:pPr>
        <w:pBdr>
          <w:top w:val="nil"/>
          <w:left w:val="nil"/>
          <w:bottom w:val="nil"/>
          <w:right w:val="nil"/>
          <w:between w:val="nil"/>
        </w:pBdr>
        <w:spacing w:after="0" w:line="276" w:lineRule="auto"/>
        <w:ind w:left="566" w:hanging="566"/>
        <w:jc w:val="both"/>
        <w:rPr>
          <w:rFonts w:ascii="Times New Roman" w:eastAsia="Times New Roman" w:hAnsi="Times New Roman" w:cs="Times New Roman"/>
          <w:b/>
        </w:rPr>
      </w:pPr>
      <w:r>
        <w:rPr>
          <w:rFonts w:ascii="Times New Roman" w:eastAsia="Times New Roman" w:hAnsi="Times New Roman" w:cs="Times New Roman"/>
          <w:b/>
        </w:rPr>
        <w:t>The legislative framework</w:t>
      </w:r>
    </w:p>
    <w:p w14:paraId="00000009" w14:textId="77777777" w:rsidR="00E336F1" w:rsidRDefault="00E336F1">
      <w:p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p>
    <w:p w14:paraId="0000000A"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A fundamental principle of </w:t>
      </w:r>
      <w:r>
        <w:rPr>
          <w:rFonts w:ascii="Times New Roman" w:eastAsia="Times New Roman" w:hAnsi="Times New Roman" w:cs="Times New Roman"/>
        </w:rPr>
        <w:t>international law is the outright prohibition of torture.</w:t>
      </w:r>
      <w:r>
        <w:t xml:space="preserve"> </w:t>
      </w:r>
      <w:r>
        <w:rPr>
          <w:rFonts w:ascii="Times New Roman" w:eastAsia="Times New Roman" w:hAnsi="Times New Roman" w:cs="Times New Roman"/>
        </w:rPr>
        <w:t xml:space="preserve">In terms of ending torture, the </w:t>
      </w:r>
      <w:proofErr w:type="spellStart"/>
      <w:r>
        <w:rPr>
          <w:rFonts w:ascii="Times New Roman" w:eastAsia="Times New Roman" w:hAnsi="Times New Roman" w:cs="Times New Roman"/>
        </w:rPr>
        <w:t>GoB's</w:t>
      </w:r>
      <w:proofErr w:type="spellEnd"/>
      <w:r>
        <w:rPr>
          <w:rFonts w:ascii="Times New Roman" w:eastAsia="Times New Roman" w:hAnsi="Times New Roman" w:cs="Times New Roman"/>
        </w:rPr>
        <w:t xml:space="preserve"> legislative framework is insufficient. In 2006, Bahrain acceded to the International Covenant on Civil and Political Rights (ICCPR) which states in Article 7 that “No one shall be subjected to torture or to cruel, inhuman or degrading treatment or punishment.” In 1998, Bahrain acceded to the </w:t>
      </w:r>
      <w:hyperlink r:id="rId11">
        <w:r>
          <w:rPr>
            <w:rFonts w:ascii="Times New Roman" w:eastAsia="Times New Roman" w:hAnsi="Times New Roman" w:cs="Times New Roman"/>
            <w:color w:val="1155CC"/>
            <w:u w:val="single"/>
          </w:rPr>
          <w:t>Convention Against Torture (CAT)</w:t>
        </w:r>
      </w:hyperlink>
      <w:r>
        <w:rPr>
          <w:rFonts w:ascii="Times New Roman" w:eastAsia="Times New Roman" w:hAnsi="Times New Roman" w:cs="Times New Roman"/>
        </w:rPr>
        <w:t xml:space="preserve"> but not to its Optional Protocol (OPCAT). It is a State Party to the League of Arab States’ </w:t>
      </w:r>
      <w:hyperlink r:id="rId12">
        <w:r>
          <w:rPr>
            <w:rFonts w:ascii="Times New Roman" w:eastAsia="Times New Roman" w:hAnsi="Times New Roman" w:cs="Times New Roman"/>
            <w:color w:val="0563C1"/>
            <w:u w:val="single"/>
          </w:rPr>
          <w:t>Arab Charter on Human Rights</w:t>
        </w:r>
      </w:hyperlink>
      <w:r>
        <w:rPr>
          <w:rFonts w:ascii="Times New Roman" w:eastAsia="Times New Roman" w:hAnsi="Times New Roman" w:cs="Times New Roman"/>
        </w:rPr>
        <w:t xml:space="preserve">, which was amended in 2004. The charter criminalizes torture and other forms of ill-treatment in Articles 8, 9, and 20. In addition, the </w:t>
      </w:r>
      <w:proofErr w:type="spellStart"/>
      <w:r>
        <w:rPr>
          <w:rFonts w:ascii="Times New Roman" w:eastAsia="Times New Roman" w:hAnsi="Times New Roman" w:cs="Times New Roman"/>
        </w:rPr>
        <w:t>GoB</w:t>
      </w:r>
      <w:proofErr w:type="spellEnd"/>
      <w:r>
        <w:rPr>
          <w:rFonts w:ascii="Times New Roman" w:eastAsia="Times New Roman" w:hAnsi="Times New Roman" w:cs="Times New Roman"/>
        </w:rPr>
        <w:t xml:space="preserve"> is not believed to have implemented limitations such as the Death Penalty Safeguard, which was endorsed by the UN’s Economic and Social Council (ECOSOC) in 1984, where it states that the implementation of the death penalty should “inflict the minimum possible suffering.”</w:t>
      </w:r>
    </w:p>
    <w:p w14:paraId="0000000B"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The Bahraini </w:t>
      </w:r>
      <w:hyperlink r:id="rId13">
        <w:r>
          <w:rPr>
            <w:rFonts w:ascii="Times New Roman" w:eastAsia="Times New Roman" w:hAnsi="Times New Roman" w:cs="Times New Roman"/>
            <w:color w:val="0563C1"/>
            <w:u w:val="single"/>
          </w:rPr>
          <w:t>constitution</w:t>
        </w:r>
      </w:hyperlink>
      <w:r>
        <w:rPr>
          <w:rFonts w:ascii="Times New Roman" w:eastAsia="Times New Roman" w:hAnsi="Times New Roman" w:cs="Times New Roman"/>
        </w:rPr>
        <w:t xml:space="preserve"> bans torture in Articles (19(d) and 20(d)). Bahrain’s 1976 </w:t>
      </w:r>
      <w:hyperlink r:id="rId14" w:anchor=":~:text=%EF%BB%B3%EF%BA%B4%EF%BA%AE%D9%8A%20%D9%87%EF%BA%AC%D8%A7%20%D8%A7%EF%BB%9F%EF%BB%98%EF%BA%8E%EF%BB%A7%EF%BB%AE%D9%86%20%EF%BB%8B%EF%BB%A0%EF%BB%B0%20%D8%A7%EF%BB%9F%EF%BA%A0%EF%BA%AE%D8%A7%EF%BA%8B%EF%BB%A2,%D8%A3%EF%BA%9B%EF%BB%A8%EF%BA%8E%D8%A1">
        <w:r>
          <w:rPr>
            <w:rFonts w:ascii="Times New Roman" w:eastAsia="Times New Roman" w:hAnsi="Times New Roman" w:cs="Times New Roman"/>
            <w:color w:val="0563C1"/>
            <w:u w:val="single"/>
          </w:rPr>
          <w:t>Penal Code</w:t>
        </w:r>
      </w:hyperlink>
      <w:r>
        <w:rPr>
          <w:rFonts w:ascii="Times New Roman" w:eastAsia="Times New Roman" w:hAnsi="Times New Roman" w:cs="Times New Roman"/>
        </w:rPr>
        <w:t xml:space="preserve"> prohibits torture in Articles 208 and 232, with both permitting imprisonment for any official that uses force to elicit a “confession”. As per Law 52/2012, Article 208, a public official who intentionally inflicts pain shall be sentenced to prison, while Article 232 criminalises the infliction of pain for the purpose of obtaining information or a “confession”.</w:t>
      </w:r>
    </w:p>
    <w:p w14:paraId="0000000C"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Furthermore, Article 81 of </w:t>
      </w:r>
      <w:hyperlink r:id="rId15">
        <w:r>
          <w:rPr>
            <w:rFonts w:ascii="Times New Roman" w:eastAsia="Times New Roman" w:hAnsi="Times New Roman" w:cs="Times New Roman"/>
            <w:color w:val="0563C1"/>
            <w:u w:val="single"/>
          </w:rPr>
          <w:t>Decree Law No. 53 of 2012</w:t>
        </w:r>
      </w:hyperlink>
      <w:r>
        <w:rPr>
          <w:rFonts w:ascii="Times New Roman" w:eastAsia="Times New Roman" w:hAnsi="Times New Roman" w:cs="Times New Roman"/>
        </w:rPr>
        <w:t xml:space="preserve"> amending the </w:t>
      </w:r>
      <w:hyperlink r:id="rId16">
        <w:r>
          <w:rPr>
            <w:rFonts w:ascii="Times New Roman" w:eastAsia="Times New Roman" w:hAnsi="Times New Roman" w:cs="Times New Roman"/>
            <w:color w:val="0563C1"/>
            <w:u w:val="single"/>
          </w:rPr>
          <w:t>2002 Code of Criminal Procedure</w:t>
        </w:r>
      </w:hyperlink>
      <w:r>
        <w:rPr>
          <w:rFonts w:ascii="Times New Roman" w:eastAsia="Times New Roman" w:hAnsi="Times New Roman" w:cs="Times New Roman"/>
        </w:rPr>
        <w:t xml:space="preserve"> states: “The Public Prosecution shall exercise its jurisdiction to consider allegations of torture or inhuman or degrading treatment or death against the accused, witness, or expert during the identification, investigation or proceedings before the court. In other cases, the Public Prosecution shall exercise its jurisdiction for the General Security Forces based on what is referred to it by the Ombudsman or the Inspector General.”</w:t>
      </w:r>
    </w:p>
    <w:p w14:paraId="0000000D"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t>The</w:t>
      </w:r>
      <w:r>
        <w:rPr>
          <w:rFonts w:ascii="Times New Roman" w:eastAsia="Times New Roman" w:hAnsi="Times New Roman" w:cs="Times New Roman"/>
        </w:rPr>
        <w:t xml:space="preserve"> Bahraini Minister of the Interior issued </w:t>
      </w:r>
      <w:hyperlink r:id="rId17">
        <w:r>
          <w:rPr>
            <w:rFonts w:ascii="Times New Roman" w:eastAsia="Times New Roman" w:hAnsi="Times New Roman" w:cs="Times New Roman"/>
            <w:color w:val="0563C1"/>
            <w:u w:val="single"/>
          </w:rPr>
          <w:t>Decree No. 14 of 2012</w:t>
        </w:r>
      </w:hyperlink>
      <w:r>
        <w:rPr>
          <w:rFonts w:ascii="Times New Roman" w:eastAsia="Times New Roman" w:hAnsi="Times New Roman" w:cs="Times New Roman"/>
        </w:rPr>
        <w:t xml:space="preserve"> on the Code of Conduct for Policemen, which prohibits law enforcement from using torture or other ill-treatment and </w:t>
      </w:r>
      <w:r>
        <w:rPr>
          <w:rFonts w:ascii="Times New Roman" w:eastAsia="Times New Roman" w:hAnsi="Times New Roman" w:cs="Times New Roman"/>
        </w:rPr>
        <w:lastRenderedPageBreak/>
        <w:t xml:space="preserve">they may not invoke superior orders or exceptional circumstances such as a state of war or the existence of a threat to national public security to justify the use of torture or ill-treatment.   </w:t>
      </w:r>
    </w:p>
    <w:p w14:paraId="0000000E"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GoB's</w:t>
      </w:r>
      <w:proofErr w:type="spellEnd"/>
      <w:r>
        <w:rPr>
          <w:rFonts w:ascii="Times New Roman" w:eastAsia="Times New Roman" w:hAnsi="Times New Roman" w:cs="Times New Roman"/>
        </w:rPr>
        <w:t xml:space="preserve"> legislative framework is also deficient in terms of its lack of safeguards: faulty arrest procedures - and the disregard for current procedure - means that cruel, inhuman and degrading treatment (CIDT) can and does happen from the time of arrest through interrogation and pre-trial detention.</w:t>
      </w:r>
    </w:p>
    <w:p w14:paraId="0000000F"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The incidents presented below demonstrate that torture or cruel, inhuman or degrading treatment remain a structural component of the </w:t>
      </w:r>
      <w:proofErr w:type="spellStart"/>
      <w:r>
        <w:rPr>
          <w:rFonts w:ascii="Times New Roman" w:eastAsia="Times New Roman" w:hAnsi="Times New Roman" w:cs="Times New Roman"/>
        </w:rPr>
        <w:t>GoB</w:t>
      </w:r>
      <w:proofErr w:type="spellEnd"/>
      <w:r>
        <w:rPr>
          <w:rFonts w:ascii="Times New Roman" w:eastAsia="Times New Roman" w:hAnsi="Times New Roman" w:cs="Times New Roman"/>
        </w:rPr>
        <w:t>, particularly when the victims are political or human rights defenders. It is also evident that CIDT is mainly occurring in pre-trial and post-sentence detention, where prisoners demand their rights.</w:t>
      </w:r>
    </w:p>
    <w:p w14:paraId="00000010" w14:textId="77777777" w:rsidR="00E336F1" w:rsidRDefault="00E336F1">
      <w:pPr>
        <w:spacing w:after="0" w:line="276" w:lineRule="auto"/>
        <w:jc w:val="both"/>
        <w:rPr>
          <w:rFonts w:ascii="Times New Roman" w:eastAsia="Times New Roman" w:hAnsi="Times New Roman" w:cs="Times New Roman"/>
        </w:rPr>
      </w:pPr>
    </w:p>
    <w:p w14:paraId="00000011" w14:textId="77777777" w:rsidR="00E336F1" w:rsidRDefault="00A73B56">
      <w:pPr>
        <w:spacing w:after="0" w:line="276" w:lineRule="auto"/>
        <w:ind w:left="566" w:hanging="566"/>
        <w:jc w:val="both"/>
        <w:rPr>
          <w:rFonts w:ascii="Times New Roman" w:eastAsia="Times New Roman" w:hAnsi="Times New Roman" w:cs="Times New Roman"/>
          <w:b/>
        </w:rPr>
      </w:pPr>
      <w:r>
        <w:rPr>
          <w:rFonts w:ascii="Times New Roman" w:eastAsia="Times New Roman" w:hAnsi="Times New Roman" w:cs="Times New Roman"/>
          <w:b/>
        </w:rPr>
        <w:t xml:space="preserve">Persistence of Torture and Cruel, Inhuman and Degrading Treatment and Punishment </w:t>
      </w:r>
    </w:p>
    <w:p w14:paraId="00000012" w14:textId="77777777" w:rsidR="00E336F1" w:rsidRDefault="00E336F1">
      <w:pPr>
        <w:spacing w:after="0" w:line="276" w:lineRule="auto"/>
        <w:ind w:left="566" w:hanging="566"/>
        <w:jc w:val="both"/>
        <w:rPr>
          <w:rFonts w:ascii="Times New Roman" w:eastAsia="Times New Roman" w:hAnsi="Times New Roman" w:cs="Times New Roman"/>
        </w:rPr>
      </w:pPr>
    </w:p>
    <w:p w14:paraId="00000018"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rPr>
        <w:t xml:space="preserve">NGOs have expressed concern in 12 specific instances where there appeared to be a link between torture and ill-treatment and the implementation of the death penalty in the cases of </w:t>
      </w:r>
      <w:r>
        <w:rPr>
          <w:rFonts w:ascii="Times New Roman" w:eastAsia="Times New Roman" w:hAnsi="Times New Roman" w:cs="Times New Roman"/>
          <w:b/>
        </w:rPr>
        <w:t>Hussein Ali Moosa</w:t>
      </w:r>
      <w:r>
        <w:rPr>
          <w:rFonts w:ascii="Times New Roman" w:eastAsia="Times New Roman" w:hAnsi="Times New Roman" w:cs="Times New Roman"/>
        </w:rPr>
        <w:t xml:space="preserve"> and </w:t>
      </w:r>
      <w:r>
        <w:rPr>
          <w:rFonts w:ascii="Times New Roman" w:eastAsia="Times New Roman" w:hAnsi="Times New Roman" w:cs="Times New Roman"/>
          <w:b/>
        </w:rPr>
        <w:t>Mohamed Ramadan</w:t>
      </w:r>
      <w:r>
        <w:rPr>
          <w:rFonts w:ascii="Times New Roman" w:eastAsia="Times New Roman" w:hAnsi="Times New Roman" w:cs="Times New Roman"/>
        </w:rPr>
        <w:t xml:space="preserve">. Despite persistent allegations of torture and ill-treatment, the Court of Cassation upheld the death penalty handed down to them for alleged murder. </w:t>
      </w:r>
      <w:hyperlink r:id="rId18">
        <w:r>
          <w:rPr>
            <w:rFonts w:ascii="Times New Roman" w:eastAsia="Times New Roman" w:hAnsi="Times New Roman" w:cs="Times New Roman"/>
            <w:u w:val="single"/>
          </w:rPr>
          <w:t>SALAM DHR’s and others’ 8 August 2020 open letter</w:t>
        </w:r>
      </w:hyperlink>
      <w:r>
        <w:rPr>
          <w:rFonts w:ascii="Times New Roman" w:eastAsia="Times New Roman" w:hAnsi="Times New Roman" w:cs="Times New Roman"/>
        </w:rPr>
        <w:t xml:space="preserve"> to King Hamad detailed these and a further 10 such cases this and other instances in which torture may have shaped the use of the death penalty in Bahrain.</w:t>
      </w:r>
    </w:p>
    <w:p w14:paraId="00000019"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b/>
        </w:rPr>
        <w:t>On 17 April 2021,</w:t>
      </w:r>
      <w:r>
        <w:rPr>
          <w:rFonts w:ascii="Times New Roman" w:eastAsia="Times New Roman" w:hAnsi="Times New Roman" w:cs="Times New Roman"/>
        </w:rPr>
        <w:t xml:space="preserve"> the Bahraini authorities used disproportionate force against detainees who peacefully protested prison conditions. An </w:t>
      </w:r>
      <w:hyperlink r:id="rId19">
        <w:r>
          <w:rPr>
            <w:rFonts w:ascii="Times New Roman" w:eastAsia="Times New Roman" w:hAnsi="Times New Roman" w:cs="Times New Roman"/>
            <w:u w:val="single"/>
          </w:rPr>
          <w:t>OHCHR statement</w:t>
        </w:r>
      </w:hyperlink>
      <w:r>
        <w:rPr>
          <w:rFonts w:ascii="Times New Roman" w:eastAsia="Times New Roman" w:hAnsi="Times New Roman" w:cs="Times New Roman"/>
        </w:rPr>
        <w:t xml:space="preserve"> expressed concern over “[...] the use of unnecessary and disproportionate force by police special forces to dismantle a peaceful sit-in in Bahrain’s Jau prison on 17 April. According to accounts received from eyewitnesses of the incident, special forces threw stun grenades and beat detainees on their heads, badly injuring many of them [...]” To the best of the submitting organisations’ knowledge </w:t>
      </w:r>
      <w:r>
        <w:rPr>
          <w:rFonts w:ascii="Times New Roman" w:eastAsia="Times New Roman" w:hAnsi="Times New Roman" w:cs="Times New Roman"/>
          <w:b/>
        </w:rPr>
        <w:t>the authorities have not carried out an independent investigation into this matter.</w:t>
      </w:r>
    </w:p>
    <w:p w14:paraId="0000001A"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Detainee </w:t>
      </w:r>
      <w:r>
        <w:rPr>
          <w:rFonts w:ascii="Times New Roman" w:eastAsia="Times New Roman" w:hAnsi="Times New Roman" w:cs="Times New Roman"/>
          <w:b/>
        </w:rPr>
        <w:t>HA</w:t>
      </w:r>
      <w:r>
        <w:rPr>
          <w:rFonts w:ascii="Times New Roman" w:eastAsia="Times New Roman" w:hAnsi="Times New Roman" w:cs="Times New Roman"/>
        </w:rPr>
        <w:t xml:space="preserve"> (identity withheld for protection), held at Jau Central Prison, in eastern-central Bahrain, </w:t>
      </w:r>
      <w:hyperlink r:id="rId20">
        <w:r>
          <w:rPr>
            <w:rFonts w:ascii="Times New Roman" w:eastAsia="Times New Roman" w:hAnsi="Times New Roman" w:cs="Times New Roman"/>
            <w:u w:val="single"/>
          </w:rPr>
          <w:t>told SALAM DHR</w:t>
        </w:r>
      </w:hyperlink>
      <w:r>
        <w:rPr>
          <w:rFonts w:ascii="Times New Roman" w:eastAsia="Times New Roman" w:hAnsi="Times New Roman" w:cs="Times New Roman"/>
        </w:rPr>
        <w:t xml:space="preserve"> in June 2021 that officers regularly torture and ill-treat detainees. He claimed that prison officers attacked him, asserting that guards used harmful substances on his person. “Until today, I have marks from torture all over my body. Torture is an ongoing practice here, they fear nothing”, he told SALAM DHR. </w:t>
      </w:r>
      <w:r>
        <w:rPr>
          <w:rFonts w:ascii="Times New Roman" w:eastAsia="Times New Roman" w:hAnsi="Times New Roman" w:cs="Times New Roman"/>
          <w:b/>
        </w:rPr>
        <w:t>The submitting organisation is unaware whether there has been any independent investigation.</w:t>
      </w:r>
    </w:p>
    <w:p w14:paraId="0000001B" w14:textId="77777777" w:rsidR="00E336F1"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rPr>
        <w:t xml:space="preserve">In March 2022, a </w:t>
      </w:r>
      <w:hyperlink r:id="rId21">
        <w:r>
          <w:rPr>
            <w:rFonts w:ascii="Times New Roman" w:eastAsia="Times New Roman" w:hAnsi="Times New Roman" w:cs="Times New Roman"/>
            <w:u w:val="single"/>
          </w:rPr>
          <w:t xml:space="preserve">news report revealed that activist </w:t>
        </w:r>
      </w:hyperlink>
      <w:hyperlink r:id="rId22">
        <w:r>
          <w:rPr>
            <w:rFonts w:ascii="Times New Roman" w:eastAsia="Times New Roman" w:hAnsi="Times New Roman" w:cs="Times New Roman"/>
            <w:b/>
            <w:u w:val="single"/>
          </w:rPr>
          <w:t xml:space="preserve">Najah Yousuf </w:t>
        </w:r>
      </w:hyperlink>
      <w:r>
        <w:rPr>
          <w:rFonts w:ascii="Times New Roman" w:eastAsia="Times New Roman" w:hAnsi="Times New Roman" w:cs="Times New Roman"/>
        </w:rPr>
        <w:t xml:space="preserve">continued to wait for compensation in connection with ill-treatment she experienced in custody in 2020, as called for by the United Nations Working Group on Arbitrary Detention. </w:t>
      </w:r>
    </w:p>
    <w:p w14:paraId="0000001C" w14:textId="77777777" w:rsidR="00E336F1" w:rsidRPr="00AB053F" w:rsidRDefault="00A73B56">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rPr>
        <w:t xml:space="preserve">Measures to prevent or punish incidences of torture and ill-treatment have been incomplete and symbolic, rather than structural. As the cases above indicate, the </w:t>
      </w:r>
      <w:proofErr w:type="spellStart"/>
      <w:r>
        <w:rPr>
          <w:rFonts w:ascii="Times New Roman" w:eastAsia="Times New Roman" w:hAnsi="Times New Roman" w:cs="Times New Roman"/>
        </w:rPr>
        <w:t>GoB</w:t>
      </w:r>
      <w:proofErr w:type="spellEnd"/>
      <w:r>
        <w:rPr>
          <w:rFonts w:ascii="Times New Roman" w:eastAsia="Times New Roman" w:hAnsi="Times New Roman" w:cs="Times New Roman"/>
        </w:rPr>
        <w:t xml:space="preserve"> has not implemented structurally routine or effective investigations of ill-treatment.</w:t>
      </w:r>
    </w:p>
    <w:p w14:paraId="74373938" w14:textId="77777777" w:rsidR="00AB053F" w:rsidRPr="00AB053F" w:rsidRDefault="00AB053F" w:rsidP="00AB053F">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lang/>
        </w:rPr>
      </w:pPr>
      <w:r w:rsidRPr="00AB053F">
        <w:rPr>
          <w:rFonts w:ascii="Times New Roman" w:eastAsia="Times New Roman" w:hAnsi="Times New Roman" w:cs="Times New Roman"/>
          <w:sz w:val="24"/>
          <w:szCs w:val="24"/>
        </w:rPr>
        <w:t xml:space="preserve">In </w:t>
      </w:r>
      <w:r w:rsidRPr="009D5CC1">
        <w:rPr>
          <w:rFonts w:ascii="Times New Roman" w:eastAsia="Times New Roman" w:hAnsi="Times New Roman" w:cs="Times New Roman"/>
          <w:b/>
          <w:bCs/>
          <w:sz w:val="24"/>
          <w:szCs w:val="24"/>
        </w:rPr>
        <w:t>August 2023</w:t>
      </w:r>
      <w:r w:rsidRPr="00AB053F">
        <w:rPr>
          <w:rFonts w:ascii="Times New Roman" w:eastAsia="Times New Roman" w:hAnsi="Times New Roman" w:cs="Times New Roman"/>
          <w:sz w:val="24"/>
          <w:szCs w:val="24"/>
        </w:rPr>
        <w:t xml:space="preserve">, prisoners at Bahrain’s </w:t>
      </w:r>
      <w:proofErr w:type="spellStart"/>
      <w:r w:rsidRPr="00AB053F">
        <w:rPr>
          <w:rFonts w:ascii="Times New Roman" w:eastAsia="Times New Roman" w:hAnsi="Times New Roman" w:cs="Times New Roman"/>
          <w:sz w:val="24"/>
          <w:szCs w:val="24"/>
        </w:rPr>
        <w:t>larget</w:t>
      </w:r>
      <w:proofErr w:type="spellEnd"/>
      <w:r w:rsidRPr="00AB053F">
        <w:rPr>
          <w:rFonts w:ascii="Times New Roman" w:eastAsia="Times New Roman" w:hAnsi="Times New Roman" w:cs="Times New Roman"/>
          <w:sz w:val="24"/>
          <w:szCs w:val="24"/>
        </w:rPr>
        <w:t xml:space="preserve"> prison, Jau Prison, undertook a hunger strike in </w:t>
      </w:r>
      <w:proofErr w:type="gramStart"/>
      <w:r w:rsidRPr="00AB053F">
        <w:rPr>
          <w:rFonts w:ascii="Times New Roman" w:eastAsia="Times New Roman" w:hAnsi="Times New Roman" w:cs="Times New Roman"/>
          <w:sz w:val="24"/>
          <w:szCs w:val="24"/>
        </w:rPr>
        <w:t>protest against</w:t>
      </w:r>
      <w:proofErr w:type="gramEnd"/>
      <w:r>
        <w:rPr>
          <w:rFonts w:ascii="Times New Roman" w:eastAsia="Times New Roman" w:hAnsi="Times New Roman" w:cs="Times New Roman"/>
          <w:sz w:val="24"/>
          <w:szCs w:val="24"/>
        </w:rPr>
        <w:t xml:space="preserve"> </w:t>
      </w:r>
      <w:r w:rsidRPr="00AB053F">
        <w:rPr>
          <w:rFonts w:ascii="Times New Roman" w:eastAsia="Times New Roman" w:hAnsi="Times New Roman" w:cs="Times New Roman"/>
          <w:sz w:val="24"/>
          <w:szCs w:val="24"/>
        </w:rPr>
        <w:t xml:space="preserve">poor conditions, including mistreatment, medical neglect and </w:t>
      </w:r>
      <w:r w:rsidRPr="00AB053F">
        <w:rPr>
          <w:rFonts w:ascii="Times New Roman" w:eastAsia="Times New Roman" w:hAnsi="Times New Roman" w:cs="Times New Roman"/>
          <w:sz w:val="24"/>
          <w:szCs w:val="24"/>
        </w:rPr>
        <w:lastRenderedPageBreak/>
        <w:t>limited visitation rights and also a lot of them asking to be freed since they are imprisoned for political reasons or for their human rights activism, including prominent human rights defender and Danish citizen Abdulhadi AL Khawaja.</w:t>
      </w:r>
      <w:r>
        <w:rPr>
          <w:rFonts w:ascii="Times New Roman" w:eastAsia="Times New Roman" w:hAnsi="Times New Roman" w:cs="Times New Roman"/>
          <w:sz w:val="24"/>
          <w:szCs w:val="24"/>
        </w:rPr>
        <w:t xml:space="preserve"> </w:t>
      </w:r>
    </w:p>
    <w:p w14:paraId="32D6BBA9" w14:textId="43D86935" w:rsidR="00AB053F" w:rsidRPr="00AB053F" w:rsidRDefault="00AB053F" w:rsidP="00AB053F">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lang/>
        </w:rPr>
      </w:pPr>
      <w:r w:rsidRPr="00AB053F">
        <w:rPr>
          <w:rFonts w:ascii="Times New Roman" w:eastAsia="Times New Roman" w:hAnsi="Times New Roman" w:cs="Times New Roman"/>
          <w:sz w:val="24"/>
          <w:szCs w:val="24"/>
          <w:lang/>
        </w:rPr>
        <w:t>Approximately 800 inmates participated in this strike, making it the most significant hunger strike in Bahrain's history. However, Bahraini authorities claim only 121 prisoners were involved.</w:t>
      </w:r>
      <w:r w:rsidRPr="00AB053F">
        <w:rPr>
          <w:rFonts w:ascii="Times New Roman" w:eastAsia="Times New Roman" w:hAnsi="Times New Roman" w:cs="Times New Roman"/>
          <w:sz w:val="24"/>
          <w:szCs w:val="24"/>
          <w:lang w:val="en-US"/>
        </w:rPr>
        <w:t xml:space="preserve"> </w:t>
      </w:r>
      <w:r w:rsidRPr="00AB053F">
        <w:rPr>
          <w:rFonts w:ascii="Times New Roman" w:eastAsia="Times New Roman" w:hAnsi="Times New Roman" w:cs="Times New Roman"/>
          <w:sz w:val="24"/>
          <w:szCs w:val="24"/>
        </w:rPr>
        <w:t xml:space="preserve">The strike was </w:t>
      </w:r>
      <w:r w:rsidR="00DC4B05" w:rsidRPr="00AB053F">
        <w:rPr>
          <w:rFonts w:ascii="Times New Roman" w:eastAsia="Times New Roman" w:hAnsi="Times New Roman" w:cs="Times New Roman"/>
          <w:sz w:val="24"/>
          <w:szCs w:val="24"/>
        </w:rPr>
        <w:t>suspended</w:t>
      </w:r>
      <w:r w:rsidRPr="00AB053F">
        <w:rPr>
          <w:rFonts w:ascii="Times New Roman" w:eastAsia="Times New Roman" w:hAnsi="Times New Roman" w:cs="Times New Roman"/>
          <w:sz w:val="24"/>
          <w:szCs w:val="24"/>
        </w:rPr>
        <w:t xml:space="preserve"> due to an offer from authorities to improve conditions and deteriorating health among some prisoners. </w:t>
      </w:r>
    </w:p>
    <w:p w14:paraId="0000001D" w14:textId="77777777" w:rsidR="00E336F1" w:rsidRDefault="00E336F1">
      <w:pPr>
        <w:spacing w:after="0" w:line="276" w:lineRule="auto"/>
        <w:jc w:val="both"/>
        <w:rPr>
          <w:rFonts w:ascii="Times New Roman" w:eastAsia="Times New Roman" w:hAnsi="Times New Roman" w:cs="Times New Roman"/>
        </w:rPr>
      </w:pPr>
    </w:p>
    <w:p w14:paraId="0000001E" w14:textId="77777777" w:rsidR="00E336F1" w:rsidRDefault="00A73B56">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Mechanisms/institutions involved in complaints, investigations and prosecution</w:t>
      </w:r>
    </w:p>
    <w:p w14:paraId="0000001F" w14:textId="77777777" w:rsidR="00E336F1" w:rsidRDefault="00E336F1">
      <w:pPr>
        <w:spacing w:after="0" w:line="276" w:lineRule="auto"/>
        <w:jc w:val="both"/>
        <w:rPr>
          <w:rFonts w:ascii="Times New Roman" w:eastAsia="Times New Roman" w:hAnsi="Times New Roman" w:cs="Times New Roman"/>
        </w:rPr>
      </w:pPr>
    </w:p>
    <w:p w14:paraId="00000020" w14:textId="77777777" w:rsidR="00E336F1" w:rsidRDefault="00A73B56">
      <w:pPr>
        <w:numPr>
          <w:ilvl w:val="0"/>
          <w:numId w:val="1"/>
        </w:numPr>
        <w:spacing w:after="0" w:line="276" w:lineRule="auto"/>
        <w:ind w:left="566" w:hanging="566"/>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In accordance with the recommendations of the Bahrain Independent Commission of Inquiry (BICI), the </w:t>
      </w:r>
      <w:proofErr w:type="spellStart"/>
      <w:r>
        <w:rPr>
          <w:rFonts w:ascii="Times New Roman" w:eastAsia="Times New Roman" w:hAnsi="Times New Roman" w:cs="Times New Roman"/>
        </w:rPr>
        <w:t>GoB</w:t>
      </w:r>
      <w:proofErr w:type="spellEnd"/>
      <w:r>
        <w:rPr>
          <w:rFonts w:ascii="Times New Roman" w:eastAsia="Times New Roman" w:hAnsi="Times New Roman" w:cs="Times New Roman"/>
        </w:rPr>
        <w:t xml:space="preserve"> established under Decree 27 of 2012 the </w:t>
      </w:r>
      <w:hyperlink r:id="rId23">
        <w:r>
          <w:rPr>
            <w:rFonts w:ascii="Times New Roman" w:eastAsia="Times New Roman" w:hAnsi="Times New Roman" w:cs="Times New Roman"/>
            <w:color w:val="0563C1"/>
            <w:u w:val="single"/>
          </w:rPr>
          <w:t>Ombudsman office</w:t>
        </w:r>
      </w:hyperlink>
      <w:r>
        <w:rPr>
          <w:rFonts w:ascii="Times New Roman" w:eastAsia="Times New Roman" w:hAnsi="Times New Roman" w:cs="Times New Roman"/>
        </w:rPr>
        <w:t xml:space="preserve"> of the Ministry of Interior (</w:t>
      </w:r>
      <w:proofErr w:type="spellStart"/>
      <w:r>
        <w:rPr>
          <w:rFonts w:ascii="Times New Roman" w:eastAsia="Times New Roman" w:hAnsi="Times New Roman" w:cs="Times New Roman"/>
        </w:rPr>
        <w:t>MoI</w:t>
      </w:r>
      <w:proofErr w:type="spellEnd"/>
      <w:r>
        <w:rPr>
          <w:rFonts w:ascii="Times New Roman" w:eastAsia="Times New Roman" w:hAnsi="Times New Roman" w:cs="Times New Roman"/>
        </w:rPr>
        <w:t xml:space="preserve">). It is specialized in receiving and examining complaints related to policemen and officials from the </w:t>
      </w:r>
      <w:proofErr w:type="spellStart"/>
      <w:r>
        <w:rPr>
          <w:rFonts w:ascii="Times New Roman" w:eastAsia="Times New Roman" w:hAnsi="Times New Roman" w:cs="Times New Roman"/>
        </w:rPr>
        <w:t>MoI</w:t>
      </w:r>
      <w:proofErr w:type="spellEnd"/>
      <w:r>
        <w:rPr>
          <w:rFonts w:ascii="Times New Roman" w:eastAsia="Times New Roman" w:hAnsi="Times New Roman" w:cs="Times New Roman"/>
        </w:rPr>
        <w:t xml:space="preserve"> abuses towards detainees and referring them to the SIU or to the suitable court. In its </w:t>
      </w:r>
      <w:hyperlink r:id="rId24">
        <w:r>
          <w:rPr>
            <w:rFonts w:ascii="Times New Roman" w:eastAsia="Times New Roman" w:hAnsi="Times New Roman" w:cs="Times New Roman"/>
            <w:color w:val="1155CC"/>
            <w:u w:val="single"/>
          </w:rPr>
          <w:t>8th Annual Report</w:t>
        </w:r>
      </w:hyperlink>
      <w:r>
        <w:rPr>
          <w:rFonts w:ascii="Times New Roman" w:eastAsia="Times New Roman" w:hAnsi="Times New Roman" w:cs="Times New Roman"/>
        </w:rPr>
        <w:t xml:space="preserve"> (2020-21), it is stated that 900 was the total number of grievances received by the secretariat, 209 of those were complaints, 10 were investigated by the ombudsman’s office and 31 complaints were referred to the Special Investigation Unit (SIU). In none of the cases is there any account of prosecution or sentencing; nor even suspension from employment pending a review of conduct. </w:t>
      </w:r>
    </w:p>
    <w:p w14:paraId="00000021" w14:textId="77777777" w:rsidR="00E336F1" w:rsidRDefault="00A73B56">
      <w:pPr>
        <w:numPr>
          <w:ilvl w:val="0"/>
          <w:numId w:val="1"/>
        </w:numP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In line with BICI recommendations, the public prosecution created the SIU under Decree 8 of 2012. Its mandate is to investigate, dispose, and initiate criminal proceedings in all crimes of torture committed by the law enforcement and the security forces during their duties. On </w:t>
      </w:r>
      <w:hyperlink r:id="rId25">
        <w:r>
          <w:rPr>
            <w:rFonts w:ascii="Times New Roman" w:eastAsia="Times New Roman" w:hAnsi="Times New Roman" w:cs="Times New Roman"/>
            <w:color w:val="0563C1"/>
            <w:u w:val="single"/>
          </w:rPr>
          <w:t>8 May 2019, the Rai al-Youm</w:t>
        </w:r>
      </w:hyperlink>
      <w:r>
        <w:rPr>
          <w:rFonts w:ascii="Times New Roman" w:eastAsia="Times New Roman" w:hAnsi="Times New Roman" w:cs="Times New Roman"/>
        </w:rPr>
        <w:t xml:space="preserve"> news platform reported that the SIU was intended to prosecute 12 officials. On </w:t>
      </w:r>
      <w:hyperlink r:id="rId26">
        <w:r>
          <w:rPr>
            <w:rFonts w:ascii="Times New Roman" w:eastAsia="Times New Roman" w:hAnsi="Times New Roman" w:cs="Times New Roman"/>
            <w:color w:val="0563C1"/>
            <w:u w:val="single"/>
          </w:rPr>
          <w:t>6 September 2019, the Bahrain Mirror platform reported</w:t>
        </w:r>
      </w:hyperlink>
      <w:r>
        <w:rPr>
          <w:rFonts w:ascii="Times New Roman" w:eastAsia="Times New Roman" w:hAnsi="Times New Roman" w:cs="Times New Roman"/>
        </w:rPr>
        <w:t xml:space="preserve"> that one member of the security services had been referred to the SIU. The report stated that the [...] “unit heard the statements of 29 plaintiffs and 23 </w:t>
      </w:r>
      <w:proofErr w:type="gramStart"/>
      <w:r>
        <w:rPr>
          <w:rFonts w:ascii="Times New Roman" w:eastAsia="Times New Roman" w:hAnsi="Times New Roman" w:cs="Times New Roman"/>
        </w:rPr>
        <w:t>witnesses, and</w:t>
      </w:r>
      <w:proofErr w:type="gramEnd"/>
      <w:r>
        <w:rPr>
          <w:rFonts w:ascii="Times New Roman" w:eastAsia="Times New Roman" w:hAnsi="Times New Roman" w:cs="Times New Roman"/>
        </w:rPr>
        <w:t xml:space="preserve"> questioned 30 defendants and suspects from the security forces. It referred 12 plaintiffs to a forensic doctor and two others to the psychiatrist in the unit”. Despite conducting desk and other forms of research, we have not been able to find a specific outcome to this process. </w:t>
      </w:r>
    </w:p>
    <w:p w14:paraId="00000022" w14:textId="77777777" w:rsidR="00E336F1" w:rsidRDefault="00A73B56">
      <w:pPr>
        <w:numPr>
          <w:ilvl w:val="0"/>
          <w:numId w:val="1"/>
        </w:numPr>
        <w:spacing w:after="0" w:line="276" w:lineRule="auto"/>
        <w:ind w:left="566" w:hanging="566"/>
        <w:jc w:val="both"/>
        <w:rPr>
          <w:rFonts w:ascii="Times New Roman" w:eastAsia="Times New Roman" w:hAnsi="Times New Roman" w:cs="Times New Roman"/>
        </w:rPr>
      </w:pPr>
      <w:r>
        <w:rPr>
          <w:rFonts w:ascii="Times New Roman" w:eastAsia="Times New Roman" w:hAnsi="Times New Roman" w:cs="Times New Roman"/>
        </w:rPr>
        <w:t xml:space="preserve">The  </w:t>
      </w:r>
      <w:hyperlink r:id="rId27">
        <w:r>
          <w:rPr>
            <w:rFonts w:ascii="Times New Roman" w:eastAsia="Times New Roman" w:hAnsi="Times New Roman" w:cs="Times New Roman"/>
            <w:color w:val="1155CC"/>
            <w:u w:val="single"/>
          </w:rPr>
          <w:t>2021 annual report of the SIU</w:t>
        </w:r>
      </w:hyperlink>
      <w:r>
        <w:rPr>
          <w:rFonts w:ascii="Times New Roman" w:eastAsia="Times New Roman" w:hAnsi="Times New Roman" w:cs="Times New Roman"/>
        </w:rPr>
        <w:t xml:space="preserve"> offers very little proof that the </w:t>
      </w:r>
      <w:proofErr w:type="spellStart"/>
      <w:r>
        <w:rPr>
          <w:rFonts w:ascii="Times New Roman" w:eastAsia="Times New Roman" w:hAnsi="Times New Roman" w:cs="Times New Roman"/>
        </w:rPr>
        <w:t>GoB</w:t>
      </w:r>
      <w:proofErr w:type="spellEnd"/>
      <w:r>
        <w:rPr>
          <w:rFonts w:ascii="Times New Roman" w:eastAsia="Times New Roman" w:hAnsi="Times New Roman" w:cs="Times New Roman"/>
        </w:rPr>
        <w:t xml:space="preserve"> regularly intervened to stop torture. The report lists cases that have been reported to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government's human rights authorities, but it only lists seven referrals to the criminal court and confirms four minor assault convictions without providing details about the cases' specifics. Additionally, it noted that nine personnel from the Public Security Forces had been subjected to sanctions in five separate cases by the Military Courts Department of the </w:t>
      </w:r>
      <w:proofErr w:type="spellStart"/>
      <w:r>
        <w:rPr>
          <w:rFonts w:ascii="Times New Roman" w:eastAsia="Times New Roman" w:hAnsi="Times New Roman" w:cs="Times New Roman"/>
        </w:rPr>
        <w:t>MoI</w:t>
      </w:r>
      <w:proofErr w:type="spellEnd"/>
      <w:r>
        <w:rPr>
          <w:rFonts w:ascii="Times New Roman" w:eastAsia="Times New Roman" w:hAnsi="Times New Roman" w:cs="Times New Roman"/>
        </w:rPr>
        <w:t>. It pr</w:t>
      </w:r>
      <w:r>
        <w:rPr>
          <w:rFonts w:ascii="Times New Roman" w:eastAsia="Times New Roman" w:hAnsi="Times New Roman" w:cs="Times New Roman"/>
        </w:rPr>
        <w:t>ovided no information regarding the punishment issued.</w:t>
      </w:r>
    </w:p>
    <w:p w14:paraId="00000023" w14:textId="77777777" w:rsidR="00E336F1" w:rsidRDefault="00A73B56">
      <w:pPr>
        <w:numPr>
          <w:ilvl w:val="0"/>
          <w:numId w:val="1"/>
        </w:numPr>
        <w:spacing w:after="0" w:line="276"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rPr>
        <w:t>SALAM DHR was unable to find independent confirmation regarding cases concluded, nor the fate of pending cases up to the present.</w:t>
      </w:r>
    </w:p>
    <w:p w14:paraId="00000024" w14:textId="77777777" w:rsidR="00E336F1" w:rsidRDefault="00E336F1"/>
    <w:p w14:paraId="24172A72" w14:textId="2383B383" w:rsidR="00DC4B05" w:rsidRDefault="00DC4B05">
      <w:pPr>
        <w:rPr>
          <w:b/>
          <w:bCs/>
        </w:rPr>
      </w:pPr>
      <w:r w:rsidRPr="00DC4B05">
        <w:rPr>
          <w:b/>
          <w:bCs/>
        </w:rPr>
        <w:t xml:space="preserve">Recommendations </w:t>
      </w:r>
    </w:p>
    <w:p w14:paraId="704D54FC" w14:textId="3BD61FD7" w:rsidR="00665534" w:rsidRPr="00665534" w:rsidRDefault="00665534" w:rsidP="00665534">
      <w:r w:rsidRPr="00665534">
        <w:lastRenderedPageBreak/>
        <w:t xml:space="preserve">Salam for Democracy and Human Rights urges the Special Rapporteur </w:t>
      </w:r>
      <w:r>
        <w:t>on</w:t>
      </w:r>
      <w:r w:rsidRPr="00665534">
        <w:t xml:space="preserve"> Torture to call on the government of Bahrain to take the following actions:</w:t>
      </w:r>
    </w:p>
    <w:p w14:paraId="2AC52E03" w14:textId="7D674D69" w:rsidR="00665534" w:rsidRPr="00665534" w:rsidRDefault="00665534" w:rsidP="00665534">
      <w:pPr>
        <w:pStyle w:val="ListParagraph"/>
        <w:numPr>
          <w:ilvl w:val="0"/>
          <w:numId w:val="4"/>
        </w:numPr>
      </w:pPr>
      <w:r w:rsidRPr="00665534">
        <w:rPr>
          <w:b/>
          <w:bCs/>
        </w:rPr>
        <w:t>Investigate Allegations of Torture:</w:t>
      </w:r>
      <w:r w:rsidRPr="00665534">
        <w:t xml:space="preserve"> Thoroughly investigate all claims of torture and </w:t>
      </w:r>
      <w:proofErr w:type="gramStart"/>
      <w:r w:rsidRPr="00665534">
        <w:t>ill-treatment</w:t>
      </w:r>
      <w:r>
        <w:t>;</w:t>
      </w:r>
      <w:proofErr w:type="gramEnd"/>
    </w:p>
    <w:p w14:paraId="4C9DDFDD" w14:textId="005E899C" w:rsidR="00665534" w:rsidRPr="00665534" w:rsidRDefault="00665534" w:rsidP="00665534">
      <w:pPr>
        <w:pStyle w:val="ListParagraph"/>
        <w:numPr>
          <w:ilvl w:val="0"/>
          <w:numId w:val="4"/>
        </w:numPr>
      </w:pPr>
      <w:r w:rsidRPr="00665534">
        <w:rPr>
          <w:b/>
          <w:bCs/>
        </w:rPr>
        <w:t>End the Climate of Impunity:</w:t>
      </w:r>
      <w:r w:rsidRPr="00665534">
        <w:t xml:space="preserve"> Ensure that perpetrators of torture face appropriate legal </w:t>
      </w:r>
      <w:proofErr w:type="gramStart"/>
      <w:r w:rsidRPr="00665534">
        <w:t>consequences</w:t>
      </w:r>
      <w:r>
        <w:t>;</w:t>
      </w:r>
      <w:proofErr w:type="gramEnd"/>
    </w:p>
    <w:p w14:paraId="7BCE5D3E" w14:textId="30EA9AB9" w:rsidR="00665534" w:rsidRPr="00665534" w:rsidRDefault="00665534" w:rsidP="00665534">
      <w:pPr>
        <w:pStyle w:val="ListParagraph"/>
        <w:numPr>
          <w:ilvl w:val="0"/>
          <w:numId w:val="4"/>
        </w:numPr>
      </w:pPr>
      <w:r w:rsidRPr="00665534">
        <w:rPr>
          <w:b/>
          <w:bCs/>
        </w:rPr>
        <w:t>Compensation and Redress for Victims:</w:t>
      </w:r>
      <w:r w:rsidRPr="00665534">
        <w:t xml:space="preserve"> Establish mechanisms for victim compensation and </w:t>
      </w:r>
      <w:proofErr w:type="gramStart"/>
      <w:r w:rsidRPr="00665534">
        <w:t>redress</w:t>
      </w:r>
      <w:r>
        <w:t>;</w:t>
      </w:r>
      <w:proofErr w:type="gramEnd"/>
    </w:p>
    <w:p w14:paraId="36DC1620" w14:textId="4871C79A" w:rsidR="00665534" w:rsidRPr="00665534" w:rsidRDefault="00665534" w:rsidP="00665534">
      <w:pPr>
        <w:pStyle w:val="ListParagraph"/>
        <w:numPr>
          <w:ilvl w:val="0"/>
          <w:numId w:val="4"/>
        </w:numPr>
      </w:pPr>
      <w:r w:rsidRPr="00665534">
        <w:rPr>
          <w:b/>
          <w:bCs/>
        </w:rPr>
        <w:t>Allow Visitation by the Special Rapporteur:</w:t>
      </w:r>
      <w:r w:rsidRPr="00665534">
        <w:t xml:space="preserve"> Permit the Special Rapporteur </w:t>
      </w:r>
      <w:r>
        <w:t>on T</w:t>
      </w:r>
      <w:r w:rsidRPr="00665534">
        <w:t xml:space="preserve">orture to visit Bahrain to conduct </w:t>
      </w:r>
      <w:proofErr w:type="gramStart"/>
      <w:r w:rsidRPr="00665534">
        <w:t>assessments</w:t>
      </w:r>
      <w:r>
        <w:t>;</w:t>
      </w:r>
      <w:proofErr w:type="gramEnd"/>
    </w:p>
    <w:p w14:paraId="3449942E" w14:textId="2B49E1C0" w:rsidR="00665534" w:rsidRPr="00665534" w:rsidRDefault="00665534" w:rsidP="00665534">
      <w:pPr>
        <w:pStyle w:val="ListParagraph"/>
        <w:numPr>
          <w:ilvl w:val="0"/>
          <w:numId w:val="4"/>
        </w:numPr>
      </w:pPr>
      <w:r w:rsidRPr="00665534">
        <w:rPr>
          <w:b/>
          <w:bCs/>
        </w:rPr>
        <w:t xml:space="preserve">Cease Ill-treatment in </w:t>
      </w:r>
      <w:r>
        <w:rPr>
          <w:b/>
          <w:bCs/>
        </w:rPr>
        <w:t>Prison</w:t>
      </w:r>
      <w:r w:rsidRPr="00665534">
        <w:rPr>
          <w:b/>
          <w:bCs/>
        </w:rPr>
        <w:t xml:space="preserve"> Facilities:</w:t>
      </w:r>
      <w:r w:rsidRPr="00665534">
        <w:t xml:space="preserve"> Specifically end all forms of ill-treatment and torture in detention centres</w:t>
      </w:r>
      <w:r>
        <w:t xml:space="preserve"> and prisons,</w:t>
      </w:r>
      <w:r w:rsidRPr="00665534">
        <w:t xml:space="preserve"> including the ongoing issues in Jau </w:t>
      </w:r>
      <w:proofErr w:type="gramStart"/>
      <w:r w:rsidRPr="00665534">
        <w:t>Prison</w:t>
      </w:r>
      <w:r>
        <w:t>;</w:t>
      </w:r>
      <w:proofErr w:type="gramEnd"/>
    </w:p>
    <w:p w14:paraId="05C6784A" w14:textId="1FDAF005" w:rsidR="00665534" w:rsidRPr="00665534" w:rsidRDefault="00665534" w:rsidP="00665534">
      <w:pPr>
        <w:pStyle w:val="ListParagraph"/>
        <w:numPr>
          <w:ilvl w:val="0"/>
          <w:numId w:val="4"/>
        </w:numPr>
      </w:pPr>
      <w:r w:rsidRPr="00665534">
        <w:rPr>
          <w:b/>
          <w:bCs/>
        </w:rPr>
        <w:t>Release of Prisoners of Conscience:</w:t>
      </w:r>
      <w:r w:rsidRPr="00665534">
        <w:t xml:space="preserve"> Free all prisoners of conscience</w:t>
      </w:r>
      <w:r>
        <w:t>,</w:t>
      </w:r>
      <w:r w:rsidRPr="00665534">
        <w:t xml:space="preserve"> and detainees who have been coerced into confessions through torture</w:t>
      </w:r>
      <w:r>
        <w:t>;</w:t>
      </w:r>
    </w:p>
    <w:p w14:paraId="2A015E9D" w14:textId="25CBFDBF" w:rsidR="00665534" w:rsidRPr="00665534" w:rsidRDefault="00665534" w:rsidP="00665534">
      <w:pPr>
        <w:pStyle w:val="ListParagraph"/>
        <w:numPr>
          <w:ilvl w:val="0"/>
          <w:numId w:val="4"/>
        </w:numPr>
      </w:pPr>
      <w:r w:rsidRPr="00665534">
        <w:rPr>
          <w:b/>
          <w:bCs/>
        </w:rPr>
        <w:t>Adherence to International Human Rights Standards:</w:t>
      </w:r>
      <w:r w:rsidRPr="00665534">
        <w:t xml:space="preserve"> Fully respect and comply with international human rights laws, particularly the Convention against Torture and Other Cruel, Inhuman, or Degrading Treatment or Punishment.</w:t>
      </w:r>
    </w:p>
    <w:p w14:paraId="11977B90" w14:textId="77777777" w:rsidR="00665534" w:rsidRPr="00665534" w:rsidRDefault="00665534" w:rsidP="00665534"/>
    <w:p w14:paraId="5C174B9F" w14:textId="77777777" w:rsidR="00DC4B05" w:rsidRPr="00665534" w:rsidRDefault="00DC4B05" w:rsidP="00665534"/>
    <w:sectPr w:rsidR="00DC4B05" w:rsidRPr="00665534">
      <w:headerReference w:type="default" r:id="rId2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BF6AB" w14:textId="77777777" w:rsidR="00221AE5" w:rsidRDefault="00221AE5" w:rsidP="00B73A9F">
      <w:pPr>
        <w:spacing w:after="0" w:line="240" w:lineRule="auto"/>
      </w:pPr>
      <w:r>
        <w:separator/>
      </w:r>
    </w:p>
  </w:endnote>
  <w:endnote w:type="continuationSeparator" w:id="0">
    <w:p w14:paraId="680C1D08" w14:textId="77777777" w:rsidR="00221AE5" w:rsidRDefault="00221AE5" w:rsidP="00B7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18F2C" w14:textId="77777777" w:rsidR="00221AE5" w:rsidRDefault="00221AE5" w:rsidP="00B73A9F">
      <w:pPr>
        <w:spacing w:after="0" w:line="240" w:lineRule="auto"/>
      </w:pPr>
      <w:r>
        <w:separator/>
      </w:r>
    </w:p>
  </w:footnote>
  <w:footnote w:type="continuationSeparator" w:id="0">
    <w:p w14:paraId="3E29FD57" w14:textId="77777777" w:rsidR="00221AE5" w:rsidRDefault="00221AE5" w:rsidP="00B7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1947" w14:textId="134CB585" w:rsidR="00B73A9F" w:rsidRDefault="00B73A9F">
    <w:pPr>
      <w:pStyle w:val="Header"/>
    </w:pPr>
    <w:r>
      <w:rPr>
        <w:noProof/>
      </w:rPr>
      <w:drawing>
        <wp:inline distT="0" distB="0" distL="0" distR="0" wp14:anchorId="00DC7359" wp14:editId="4CE47046">
          <wp:extent cx="1488830" cy="779396"/>
          <wp:effectExtent l="0" t="0" r="0" b="0"/>
          <wp:docPr id="346029740" name="Picture 1" descr="A logo for a political campa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29740" name="Picture 1" descr="A logo for a political campa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0533" cy="795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2A4431"/>
    <w:multiLevelType w:val="hybridMultilevel"/>
    <w:tmpl w:val="B7A0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766D8"/>
    <w:multiLevelType w:val="multilevel"/>
    <w:tmpl w:val="552A995E"/>
    <w:lvl w:ilvl="0">
      <w:start w:val="1"/>
      <w:numFmt w:val="decimal"/>
      <w:lvlText w:val="%1."/>
      <w:lvlJc w:val="left"/>
      <w:pPr>
        <w:ind w:left="3762" w:hanging="360"/>
      </w:pPr>
      <w:rPr>
        <w:rFonts w:ascii="Times New Roman" w:eastAsia="Times New Roman" w:hAnsi="Times New Roman" w:cs="Times New Roman"/>
        <w:b w:val="0"/>
        <w:sz w:val="22"/>
        <w:szCs w:val="22"/>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8221202"/>
    <w:multiLevelType w:val="hybridMultilevel"/>
    <w:tmpl w:val="FFB6A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2816468">
    <w:abstractNumId w:val="2"/>
  </w:num>
  <w:num w:numId="2" w16cid:durableId="683282362">
    <w:abstractNumId w:val="0"/>
  </w:num>
  <w:num w:numId="3" w16cid:durableId="236021026">
    <w:abstractNumId w:val="1"/>
  </w:num>
  <w:num w:numId="4" w16cid:durableId="982393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F1"/>
    <w:rsid w:val="001749BB"/>
    <w:rsid w:val="00221AE5"/>
    <w:rsid w:val="00233907"/>
    <w:rsid w:val="00293A78"/>
    <w:rsid w:val="00334659"/>
    <w:rsid w:val="00665534"/>
    <w:rsid w:val="006779AE"/>
    <w:rsid w:val="00795014"/>
    <w:rsid w:val="00847190"/>
    <w:rsid w:val="008739F1"/>
    <w:rsid w:val="008F349A"/>
    <w:rsid w:val="009D5CC1"/>
    <w:rsid w:val="00A73B56"/>
    <w:rsid w:val="00AB053F"/>
    <w:rsid w:val="00B73A9F"/>
    <w:rsid w:val="00DC4B05"/>
    <w:rsid w:val="00E336F1"/>
    <w:rsid w:val="00E82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EEA6"/>
  <w15:docId w15:val="{D0600591-158E-44E8-B9C6-284D8D8D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05C64"/>
    <w:rPr>
      <w:color w:val="0563C1" w:themeColor="hyperlink"/>
      <w:u w:val="single"/>
    </w:rPr>
  </w:style>
  <w:style w:type="character" w:styleId="UnresolvedMention">
    <w:name w:val="Unresolved Mention"/>
    <w:basedOn w:val="DefaultParagraphFont"/>
    <w:uiPriority w:val="99"/>
    <w:semiHidden/>
    <w:unhideWhenUsed/>
    <w:rsid w:val="00105C64"/>
    <w:rPr>
      <w:color w:val="605E5C"/>
      <w:shd w:val="clear" w:color="auto" w:fill="E1DFDD"/>
    </w:rPr>
  </w:style>
  <w:style w:type="character" w:styleId="FollowedHyperlink">
    <w:name w:val="FollowedHyperlink"/>
    <w:basedOn w:val="DefaultParagraphFont"/>
    <w:uiPriority w:val="99"/>
    <w:semiHidden/>
    <w:unhideWhenUsed/>
    <w:rsid w:val="00105C64"/>
    <w:rPr>
      <w:color w:val="954F72" w:themeColor="followedHyperlink"/>
      <w:u w:val="single"/>
    </w:rPr>
  </w:style>
  <w:style w:type="paragraph" w:styleId="ListParagraph">
    <w:name w:val="List Paragraph"/>
    <w:basedOn w:val="Normal"/>
    <w:uiPriority w:val="34"/>
    <w:qFormat/>
    <w:rsid w:val="00105C6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3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9F"/>
  </w:style>
  <w:style w:type="paragraph" w:styleId="Footer">
    <w:name w:val="footer"/>
    <w:basedOn w:val="Normal"/>
    <w:link w:val="FooterChar"/>
    <w:uiPriority w:val="99"/>
    <w:unhideWhenUsed/>
    <w:rsid w:val="00B73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379622">
      <w:bodyDiv w:val="1"/>
      <w:marLeft w:val="0"/>
      <w:marRight w:val="0"/>
      <w:marTop w:val="0"/>
      <w:marBottom w:val="0"/>
      <w:divBdr>
        <w:top w:val="none" w:sz="0" w:space="0" w:color="auto"/>
        <w:left w:val="none" w:sz="0" w:space="0" w:color="auto"/>
        <w:bottom w:val="none" w:sz="0" w:space="0" w:color="auto"/>
        <w:right w:val="none" w:sz="0" w:space="0" w:color="auto"/>
      </w:divBdr>
      <w:divsChild>
        <w:div w:id="338166795">
          <w:marLeft w:val="0"/>
          <w:marRight w:val="0"/>
          <w:marTop w:val="0"/>
          <w:marBottom w:val="0"/>
          <w:divBdr>
            <w:top w:val="none" w:sz="0" w:space="0" w:color="auto"/>
            <w:left w:val="none" w:sz="0" w:space="0" w:color="auto"/>
            <w:bottom w:val="none" w:sz="0" w:space="0" w:color="auto"/>
            <w:right w:val="none" w:sz="0" w:space="0" w:color="auto"/>
          </w:divBdr>
        </w:div>
      </w:divsChild>
    </w:div>
    <w:div w:id="1581988928">
      <w:bodyDiv w:val="1"/>
      <w:marLeft w:val="0"/>
      <w:marRight w:val="0"/>
      <w:marTop w:val="0"/>
      <w:marBottom w:val="0"/>
      <w:divBdr>
        <w:top w:val="none" w:sz="0" w:space="0" w:color="auto"/>
        <w:left w:val="none" w:sz="0" w:space="0" w:color="auto"/>
        <w:bottom w:val="none" w:sz="0" w:space="0" w:color="auto"/>
        <w:right w:val="none" w:sz="0" w:space="0" w:color="auto"/>
      </w:divBdr>
    </w:div>
    <w:div w:id="1592080267">
      <w:bodyDiv w:val="1"/>
      <w:marLeft w:val="0"/>
      <w:marRight w:val="0"/>
      <w:marTop w:val="0"/>
      <w:marBottom w:val="0"/>
      <w:divBdr>
        <w:top w:val="none" w:sz="0" w:space="0" w:color="auto"/>
        <w:left w:val="none" w:sz="0" w:space="0" w:color="auto"/>
        <w:bottom w:val="none" w:sz="0" w:space="0" w:color="auto"/>
        <w:right w:val="none" w:sz="0" w:space="0" w:color="auto"/>
      </w:divBdr>
    </w:div>
    <w:div w:id="1661228689">
      <w:bodyDiv w:val="1"/>
      <w:marLeft w:val="0"/>
      <w:marRight w:val="0"/>
      <w:marTop w:val="0"/>
      <w:marBottom w:val="0"/>
      <w:divBdr>
        <w:top w:val="none" w:sz="0" w:space="0" w:color="auto"/>
        <w:left w:val="none" w:sz="0" w:space="0" w:color="auto"/>
        <w:bottom w:val="none" w:sz="0" w:space="0" w:color="auto"/>
        <w:right w:val="none" w:sz="0" w:space="0" w:color="auto"/>
      </w:divBdr>
      <w:divsChild>
        <w:div w:id="21206374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edocs/lexdocs/laws/en/bh/bh020en.pdf" TargetMode="External"/><Relationship Id="rId18" Type="http://schemas.openxmlformats.org/officeDocument/2006/relationships/hyperlink" Target="https://salam-dhr.org/bahrain-open-appeal-to-his-majesty-king-hamad-bin-isa-al-khalifa-kingdom-of-bahrain/" TargetMode="External"/><Relationship Id="rId26" Type="http://schemas.openxmlformats.org/officeDocument/2006/relationships/hyperlink" Target="http://bahrainmirror.com/en/news/55756.html" TargetMode="External"/><Relationship Id="rId3" Type="http://schemas.openxmlformats.org/officeDocument/2006/relationships/customXml" Target="../customXml/item3.xml"/><Relationship Id="rId21" Type="http://schemas.openxmlformats.org/officeDocument/2006/relationships/hyperlink" Target="https://bahrainileaks.com/2022/03/18/%d9%88%d8%ba%d9%8a%d8%a7%d8%a8-%d8%a7%d9%84%d8%a5%d9%86%d8%b5%d8%a7%d9%81/" TargetMode="External"/><Relationship Id="rId7" Type="http://schemas.openxmlformats.org/officeDocument/2006/relationships/settings" Target="settings.xml"/><Relationship Id="rId12" Type="http://schemas.openxmlformats.org/officeDocument/2006/relationships/hyperlink" Target="http://www.lasportal.org/ar/humanrights/Committee/Documents/%D8%A7%D9%84%D9%85%D9%8A%D8%AB%D8%A7%D9%82%20%D8%A7%D9%84%D8%B9%D8%B1%D8%A8%D9%8A%20%D9%84%D8%AD%D9%82%D9%88%D9%82%20%D8%A7%D9%84%D8%A5%D9%86%D8%B3%D8%A7%D9%86.pdf" TargetMode="External"/><Relationship Id="rId17" Type="http://schemas.openxmlformats.org/officeDocument/2006/relationships/hyperlink" Target="https://www.legalaffairs.gov.bh/HTM/RINT1412.htm" TargetMode="External"/><Relationship Id="rId25" Type="http://schemas.openxmlformats.org/officeDocument/2006/relationships/hyperlink" Target="https://www.raialyoum.com/%D8%A7%D9%84%D8%A8%D8%AD%D8%B1%D9%8A%D9%86-%D8%AA%D8%AD%D8%A7%D9%83%D9%85-12-%D9%85%D9%86-%D8%A3%D9%81%D8%B1%D8%A7%D8%AF-%D9%82%D9%88%D8%A7%D8%AA-%D8%A7%D9%84%D8%A3%D9%85%D9%86-%D8%A8%D9%8A/" TargetMode="External"/><Relationship Id="rId2" Type="http://schemas.openxmlformats.org/officeDocument/2006/relationships/customXml" Target="../customXml/item2.xml"/><Relationship Id="rId16" Type="http://schemas.openxmlformats.org/officeDocument/2006/relationships/hyperlink" Target="https://www.legalaffairs.gov.bh/HTM/L4602.htm" TargetMode="External"/><Relationship Id="rId20" Type="http://schemas.openxmlformats.org/officeDocument/2006/relationships/hyperlink" Target="https://salam-dhr.org/?p=45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nstruments-mechanisms/instruments/convention-against-torture-and-other-cruel-inhuman-or-degrading" TargetMode="External"/><Relationship Id="rId24" Type="http://schemas.openxmlformats.org/officeDocument/2006/relationships/hyperlink" Target="https://www.ombudsman.bh/mcms-store/magazine/2020-2021/ar/" TargetMode="External"/><Relationship Id="rId5" Type="http://schemas.openxmlformats.org/officeDocument/2006/relationships/numbering" Target="numbering.xml"/><Relationship Id="rId15" Type="http://schemas.openxmlformats.org/officeDocument/2006/relationships/hyperlink" Target="https://www.legalaffairs.gov.bh/HTM/L5312.htm" TargetMode="External"/><Relationship Id="rId23" Type="http://schemas.openxmlformats.org/officeDocument/2006/relationships/hyperlink" Target="https://www.ombudsman.b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hchr.org/en/2021/04/press-briefing-notes-bahrain?LangID=E&amp;NewsID=27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fworld.org/cgi-bin/texis/vtx/rwmain/opendocpdf.pdf?reldoc=y&amp;docid=589b5cbe4" TargetMode="External"/><Relationship Id="rId22" Type="http://schemas.openxmlformats.org/officeDocument/2006/relationships/hyperlink" Target="https://bahrainileaks.com/2022/03/18/%d9%88%d8%ba%d9%8a%d8%a7%d8%a8-%d8%a7%d9%84%d8%a5%d9%86%d8%b5%d8%a7%d9%81/" TargetMode="External"/><Relationship Id="rId27" Type="http://schemas.openxmlformats.org/officeDocument/2006/relationships/hyperlink" Target="https://drive.google.com/file/d/1dMmD44y68pyRSWl0oDR3uWUeWaSE6DVC/view"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9OSocy3w3OOd1tbiBeroYJ3Gg==">AMUW2mWlK4150zkkebIPzXh06L55LadP/v5bT3zdA2HzV/6pnBKn3tW7R4JxRVE2Uk4Ru8Ez7vGBnAisT7UMngqN4FUGCF9QAneapPWQIVubUYRmuBC9REeqOLv0lFaSur0MWId8e/ni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Salam For Democracy and Human Rights</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E9DF8E-B12D-4C37-BC99-78DE42DAE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A7A62-E6D8-4849-B36C-D1508FAF965A}">
  <ds:schemaRefs>
    <ds:schemaRef ds:uri="http://schemas.openxmlformats.org/package/2006/metadata/core-properties"/>
    <ds:schemaRef ds:uri="http://purl.org/dc/dcmitype/"/>
    <ds:schemaRef ds:uri="http://purl.org/dc/elements/1.1/"/>
    <ds:schemaRef ds:uri="http://www.w3.org/XML/1998/namespace"/>
    <ds:schemaRef ds:uri="9c2e4527-2efa-4ade-b3d6-b2418af14986"/>
    <ds:schemaRef ds:uri="http://schemas.microsoft.com/office/infopath/2007/PartnerControls"/>
    <ds:schemaRef ds:uri="http://schemas.microsoft.com/office/2006/documentManagement/types"/>
    <ds:schemaRef ds:uri="d42e65b2-cf21-49c1-b27d-d23f90380c0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D936B21-4A21-4009-B5D4-1B79C9B2A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Eleonore Mandra</cp:lastModifiedBy>
  <cp:revision>4</cp:revision>
  <dcterms:created xsi:type="dcterms:W3CDTF">2023-11-28T11:18:00Z</dcterms:created>
  <dcterms:modified xsi:type="dcterms:W3CDTF">2024-06-06T13:08:00Z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