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131E" w14:textId="78BBAF39" w:rsidR="00FD52E8" w:rsidRPr="008E4D15" w:rsidRDefault="00FD52E8" w:rsidP="00FD52E8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4"/>
          <w:szCs w:val="24"/>
          <w:highlight w:val="white"/>
          <w:lang w:val="es-ES" w:eastAsia="es-MX"/>
        </w:rPr>
      </w:pPr>
      <w:r w:rsidRPr="008E4D15">
        <w:rPr>
          <w:noProof/>
          <w:lang w:val="es-ES"/>
        </w:rPr>
        <w:drawing>
          <wp:anchor distT="0" distB="0" distL="0" distR="0" simplePos="0" relativeHeight="251659264" behindDoc="1" locked="0" layoutInCell="1" allowOverlap="1" wp14:anchorId="451C1AE8" wp14:editId="6E1362A1">
            <wp:simplePos x="0" y="0"/>
            <wp:positionH relativeFrom="page">
              <wp:posOffset>3086735</wp:posOffset>
            </wp:positionH>
            <wp:positionV relativeFrom="page">
              <wp:posOffset>266700</wp:posOffset>
            </wp:positionV>
            <wp:extent cx="1372235" cy="815975"/>
            <wp:effectExtent l="0" t="0" r="0" b="3175"/>
            <wp:wrapTight wrapText="bothSides">
              <wp:wrapPolygon edited="0">
                <wp:start x="0" y="0"/>
                <wp:lineTo x="0" y="21180"/>
                <wp:lineTo x="21290" y="21180"/>
                <wp:lineTo x="21290" y="0"/>
                <wp:lineTo x="0" y="0"/>
              </wp:wrapPolygon>
            </wp:wrapTight>
            <wp:docPr id="2025277152" name="Imagen 1" descr="page1image2070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age1image207029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741C2" w14:textId="77777777" w:rsidR="00FD52E8" w:rsidRPr="008E4D15" w:rsidRDefault="00FD52E8" w:rsidP="00FD52E8">
      <w:pPr>
        <w:spacing w:line="240" w:lineRule="auto"/>
        <w:contextualSpacing/>
        <w:jc w:val="center"/>
        <w:rPr>
          <w:rFonts w:ascii="Arial Narrow" w:eastAsia="Arial Narrow" w:hAnsi="Arial Narrow" w:cs="Arial Narrow"/>
          <w:sz w:val="24"/>
          <w:szCs w:val="24"/>
          <w:highlight w:val="white"/>
          <w:lang w:val="es-ES" w:eastAsia="es-MX"/>
        </w:rPr>
      </w:pPr>
    </w:p>
    <w:p w14:paraId="60F2A3D7" w14:textId="77777777" w:rsidR="00FD52E8" w:rsidRPr="008E4D15" w:rsidRDefault="00FD52E8" w:rsidP="00FD52E8">
      <w:pPr>
        <w:spacing w:line="240" w:lineRule="auto"/>
        <w:contextualSpacing/>
        <w:jc w:val="center"/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</w:pPr>
    </w:p>
    <w:p w14:paraId="768E7789" w14:textId="77777777" w:rsidR="00502F51" w:rsidRDefault="00502F51" w:rsidP="00FD52E8">
      <w:pPr>
        <w:spacing w:after="0" w:line="240" w:lineRule="auto"/>
        <w:ind w:left="4820"/>
        <w:contextualSpacing/>
        <w:jc w:val="both"/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</w:pPr>
    </w:p>
    <w:p w14:paraId="57844C64" w14:textId="7B5492BE" w:rsidR="00FD52E8" w:rsidRPr="008E4D15" w:rsidRDefault="00FD52E8" w:rsidP="00FD52E8">
      <w:pPr>
        <w:spacing w:after="0" w:line="240" w:lineRule="auto"/>
        <w:ind w:left="4820"/>
        <w:contextualSpacing/>
        <w:jc w:val="both"/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</w:pPr>
      <w:r w:rsidRPr="008E4D15"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  <w:t>Ciudad de México, México</w:t>
      </w:r>
      <w:r w:rsidRPr="008E4D15">
        <w:rPr>
          <w:rFonts w:ascii="Arial Narrow" w:eastAsia="Arial Narrow" w:hAnsi="Arial Narrow" w:cs="Arial Narrow"/>
          <w:b/>
          <w:bCs/>
          <w:sz w:val="24"/>
          <w:szCs w:val="24"/>
          <w:lang w:val="es-ES" w:eastAsia="es-MX"/>
        </w:rPr>
        <w:t xml:space="preserve">. 27 de noviembre </w:t>
      </w:r>
      <w:r w:rsidRPr="008E4D15"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  <w:t>de 2023.</w:t>
      </w:r>
    </w:p>
    <w:p w14:paraId="097377A4" w14:textId="7220CC5D" w:rsidR="00FD52E8" w:rsidRPr="008E4D15" w:rsidRDefault="00FD52E8" w:rsidP="00FD52E8">
      <w:pPr>
        <w:spacing w:after="0" w:line="240" w:lineRule="auto"/>
        <w:ind w:left="4820"/>
        <w:contextualSpacing/>
        <w:jc w:val="both"/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</w:pPr>
      <w:r w:rsidRPr="008E4D15"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  <w:t xml:space="preserve">Ref: Envío de información </w:t>
      </w:r>
      <w:r w:rsidR="00D715A0" w:rsidRPr="008E4D15"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  <w:t xml:space="preserve">para la emisión de un informe temático sobre problemáticas actuales y buenas prácticas en la gestión de prisiones. </w:t>
      </w:r>
    </w:p>
    <w:p w14:paraId="2DC183DB" w14:textId="77777777" w:rsidR="00FD52E8" w:rsidRDefault="00FD52E8" w:rsidP="00FD52E8">
      <w:pPr>
        <w:spacing w:after="0" w:line="240" w:lineRule="auto"/>
        <w:ind w:left="4820"/>
        <w:contextualSpacing/>
        <w:jc w:val="both"/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</w:pPr>
    </w:p>
    <w:p w14:paraId="096238EF" w14:textId="77777777" w:rsidR="00502F51" w:rsidRPr="008E4D15" w:rsidRDefault="00502F51" w:rsidP="00FD52E8">
      <w:pPr>
        <w:spacing w:after="0" w:line="240" w:lineRule="auto"/>
        <w:ind w:left="4820"/>
        <w:contextualSpacing/>
        <w:jc w:val="both"/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</w:pPr>
    </w:p>
    <w:p w14:paraId="73EC21A7" w14:textId="331F2963" w:rsidR="00FD52E8" w:rsidRPr="008E4D15" w:rsidRDefault="00B129BE" w:rsidP="00FD52E8">
      <w:pPr>
        <w:spacing w:line="240" w:lineRule="auto"/>
        <w:contextualSpacing/>
        <w:jc w:val="both"/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  <w:t xml:space="preserve">Dra. </w:t>
      </w:r>
      <w:r w:rsidR="00D715A0" w:rsidRPr="008E4D15">
        <w:rPr>
          <w:rFonts w:ascii="Arial Narrow" w:eastAsia="Arial Narrow" w:hAnsi="Arial Narrow" w:cs="Arial Narrow"/>
          <w:b/>
          <w:bCs/>
          <w:sz w:val="24"/>
          <w:szCs w:val="24"/>
          <w:highlight w:val="white"/>
          <w:lang w:val="es-ES" w:eastAsia="es-MX"/>
        </w:rPr>
        <w:t>Alice Jill Edwards</w:t>
      </w:r>
    </w:p>
    <w:p w14:paraId="29165597" w14:textId="27C4FF28" w:rsidR="00FD52E8" w:rsidRPr="008E4D15" w:rsidRDefault="00FD52E8" w:rsidP="00D715A0">
      <w:pPr>
        <w:spacing w:line="240" w:lineRule="auto"/>
        <w:contextualSpacing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 w:eastAsia="es-MX"/>
        </w:rPr>
      </w:pPr>
      <w:r w:rsidRPr="008E4D15">
        <w:rPr>
          <w:rFonts w:ascii="Arial Narrow" w:eastAsia="Arial Narrow" w:hAnsi="Arial Narrow" w:cs="Arial Narrow"/>
          <w:b/>
          <w:bCs/>
          <w:sz w:val="24"/>
          <w:szCs w:val="24"/>
          <w:lang w:val="es-ES" w:eastAsia="es-MX"/>
        </w:rPr>
        <w:t xml:space="preserve">Relatora Especial sobre la </w:t>
      </w:r>
      <w:r w:rsidR="00D715A0" w:rsidRPr="008E4D15">
        <w:rPr>
          <w:rFonts w:ascii="Arial Narrow" w:eastAsia="Arial Narrow" w:hAnsi="Arial Narrow" w:cs="Arial Narrow"/>
          <w:b/>
          <w:bCs/>
          <w:sz w:val="24"/>
          <w:szCs w:val="24"/>
          <w:lang w:val="es-ES" w:eastAsia="es-MX"/>
        </w:rPr>
        <w:t>tortura</w:t>
      </w:r>
      <w:r w:rsidR="002035CC">
        <w:rPr>
          <w:rFonts w:ascii="Arial Narrow" w:eastAsia="Arial Narrow" w:hAnsi="Arial Narrow" w:cs="Arial Narrow"/>
          <w:b/>
          <w:bCs/>
          <w:sz w:val="24"/>
          <w:szCs w:val="24"/>
          <w:lang w:val="es-ES" w:eastAsia="es-MX"/>
        </w:rPr>
        <w:t xml:space="preserve"> y otros tratos o penas crueles, inhumanos o degredantes</w:t>
      </w:r>
      <w:r w:rsidR="00D715A0" w:rsidRPr="008E4D15">
        <w:rPr>
          <w:rFonts w:ascii="Arial Narrow" w:eastAsia="Arial Narrow" w:hAnsi="Arial Narrow" w:cs="Arial Narrow"/>
          <w:b/>
          <w:bCs/>
          <w:sz w:val="24"/>
          <w:szCs w:val="24"/>
          <w:lang w:val="es-ES" w:eastAsia="es-MX"/>
        </w:rPr>
        <w:t xml:space="preserve"> </w:t>
      </w:r>
    </w:p>
    <w:p w14:paraId="58DE4BA9" w14:textId="77777777" w:rsidR="00FD52E8" w:rsidRDefault="00FD52E8" w:rsidP="00FD52E8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56790228" w14:textId="77777777" w:rsidR="00502F51" w:rsidRPr="002035CC" w:rsidRDefault="00502F51" w:rsidP="00FD52E8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5C508D33" w14:textId="3C21DCFF" w:rsidR="00D715A0" w:rsidRPr="002035CC" w:rsidRDefault="00FD52E8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Por medio de la presente comunicación, el Centro de Derechos Humanos Miguel Agustín Pro Juárez (Centro Prodh)</w:t>
      </w:r>
      <w:r w:rsidR="00D138B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, organización no gubernamental mexicana fundada en 1988 con Estatus Consultivo ante el Consejo Económico y Social de las Naciones Unidas</w:t>
      </w:r>
      <w:r w:rsidR="00085CC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, </w:t>
      </w:r>
      <w:r w:rsidR="00D138B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nos dirigimos a </w:t>
      </w:r>
      <w:r w:rsidR="00502F5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usted con</w:t>
      </w:r>
      <w:r w:rsidR="00D138B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el fin de brindar nuestras contribuciones respecto al informe </w:t>
      </w:r>
      <w:r w:rsidR="005E67BC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temático sobre problemáticas actuales y buenas prácticas en la gestión de prisiones que la Relatora Especial presentará ante el Consejo de Derechos Humanos</w:t>
      </w:r>
      <w:r w:rsidR="007C3AD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, en particular, a partir de nuestra larga experiencia en la documentación y litigio de casos sobre tortura y tortura sexual en México</w:t>
      </w:r>
      <w:r w:rsidR="005E67BC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.</w:t>
      </w:r>
    </w:p>
    <w:p w14:paraId="2F334D25" w14:textId="77777777" w:rsidR="005E67BC" w:rsidRPr="002035CC" w:rsidRDefault="005E67BC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0E68FBE2" w14:textId="743515D5" w:rsidR="005E67BC" w:rsidRPr="002035CC" w:rsidRDefault="005E67BC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Por este medio, le hacemos llegar el </w:t>
      </w:r>
      <w:hyperlink r:id="rId8" w:history="1">
        <w:r w:rsidR="009716B9" w:rsidRPr="002035CC">
          <w:rPr>
            <w:rStyle w:val="Hyperlink"/>
            <w:rFonts w:ascii="Arial Narrow" w:eastAsia="Times New Roman" w:hAnsi="Arial Narrow" w:cs="Times New Roman"/>
            <w:sz w:val="24"/>
            <w:szCs w:val="24"/>
            <w:lang w:val="es-ES" w:eastAsia="es-MX"/>
          </w:rPr>
          <w:t>Diagnóstico Nacional sobre Tortura Sexual Cometida contra Mujeres Privadas de Libert</w:t>
        </w:r>
        <w:r w:rsidR="009716B9" w:rsidRPr="002035CC">
          <w:rPr>
            <w:rStyle w:val="Hyperlink"/>
            <w:rFonts w:ascii="Arial Narrow" w:eastAsia="Times New Roman" w:hAnsi="Arial Narrow" w:cs="Times New Roman"/>
            <w:sz w:val="24"/>
            <w:szCs w:val="24"/>
            <w:lang w:val="es-ES" w:eastAsia="es-MX"/>
          </w:rPr>
          <w:t>a</w:t>
        </w:r>
        <w:r w:rsidR="009716B9" w:rsidRPr="002035CC">
          <w:rPr>
            <w:rStyle w:val="Hyperlink"/>
            <w:rFonts w:ascii="Arial Narrow" w:eastAsia="Times New Roman" w:hAnsi="Arial Narrow" w:cs="Times New Roman"/>
            <w:sz w:val="24"/>
            <w:szCs w:val="24"/>
            <w:lang w:val="es-ES" w:eastAsia="es-MX"/>
          </w:rPr>
          <w:t>d en México</w:t>
        </w:r>
      </w:hyperlink>
      <w:r w:rsidR="00F21DFC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de 2022</w:t>
      </w:r>
      <w:r w:rsidR="00004B95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1"/>
      </w:r>
      <w:r w:rsidR="009716B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. </w:t>
      </w:r>
      <w:r w:rsidR="00920A6D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El documento, resultado de la lucha durante 16 años de las sobrevivientes de tortura sexual en Atenco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, México</w:t>
      </w:r>
      <w:r w:rsidR="002D1C19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2"/>
      </w:r>
      <w:r w:rsidR="00920A6D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y parte del cumplimiento de las medidas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de reparación</w:t>
      </w:r>
      <w:r w:rsidR="00920A6D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ordenadas por la Corte Interamericana de Derechos Humanos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en el caso Mujeres Víctimas de Tortura Sexual en Atenco vs México</w:t>
      </w:r>
      <w:r w:rsidR="002D1C19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3"/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, contiene valiosa información relacionada con la persistencia de tortura y tortura sexual 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contra mujeres en e</w:t>
      </w:r>
      <w:r w:rsidR="002D1C1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l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país, </w:t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cometida por parte de diversos agentes de seguridad pública tanto a nivel estatal como federal. </w:t>
      </w:r>
      <w:r w:rsidR="00085CC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Según el Diagnóstico, e</w:t>
      </w:r>
      <w:r w:rsidR="00361CD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n el contexto de detención, el 22% de las mujeres entrevistadas declar</w:t>
      </w:r>
      <w:r w:rsidR="0021227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ar</w:t>
      </w:r>
      <w:r w:rsidR="00361CD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on haber sufrido agresiones</w:t>
      </w:r>
      <w:r w:rsidR="0021227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, de esos casos, el 66% utilizó la violencia psicológica, </w:t>
      </w:r>
      <w:r w:rsidR="00000F1B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el </w:t>
      </w:r>
      <w:r w:rsidR="0021227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4% violencia física y </w:t>
      </w:r>
      <w:r w:rsidR="00000F1B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el </w:t>
      </w:r>
      <w:r w:rsidR="0021227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32% ambas violencias</w:t>
      </w:r>
      <w:r w:rsidR="0021227A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4"/>
      </w:r>
      <w:r w:rsidR="0021227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. </w:t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Asimismo, el Diagn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ó</w:t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stico revela</w:t>
      </w:r>
      <w:r w:rsidR="00502F5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</w:t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que existe una fuerte tendencia a no recibir atención médica cuando se refiere </w:t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lastRenderedPageBreak/>
        <w:t>tortura sexual</w:t>
      </w:r>
      <w:r w:rsidR="0021227A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5"/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y cuando sí se recibe, muchas mujeres refirieron revictimizació</w:t>
      </w:r>
      <w:r w:rsidR="007A753F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n</w:t>
      </w:r>
      <w:r w:rsidR="007A753F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6"/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, obstáculos</w:t>
      </w:r>
      <w:r w:rsidR="007A753F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7"/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y deficiencias</w:t>
      </w:r>
      <w:r w:rsidR="007A753F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8"/>
      </w:r>
      <w:r w:rsidR="00DF3F3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en la atención</w:t>
      </w:r>
    </w:p>
    <w:p w14:paraId="332AF362" w14:textId="77777777" w:rsidR="00DF3F31" w:rsidRPr="002035CC" w:rsidRDefault="00DF3F31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4149D0E6" w14:textId="6109CBA6" w:rsidR="00335E38" w:rsidRPr="002035CC" w:rsidRDefault="00F21DFC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El Diagnóstico contempla también una serie de recomendaciones dirigidas a diversas instancias, incluyendo las </w:t>
      </w:r>
      <w:proofErr w:type="gramStart"/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Fiscalías Generales</w:t>
      </w:r>
      <w:proofErr w:type="gramEnd"/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de Justicia (estatales y F</w:t>
      </w:r>
      <w:r w:rsidR="00CE009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iscalía </w:t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G</w:t>
      </w:r>
      <w:r w:rsidR="00CE009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eneral de la </w:t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R</w:t>
      </w:r>
      <w:r w:rsidR="00CE009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epublica</w:t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), el Poder Judicial, Instituciones de Seguridad, Organismos protectores de Derechos Humanos, Comisiones de Atención a Víctimas y Sistema Penitenciario. 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Además de las recomendaciones que se enfocan en la atención de los casos de tortura sexual a nivel de procuración de justicia, el Diagnóstico destaca el deber estatal</w:t>
      </w:r>
      <w:r w:rsidR="00502F5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dentro del contexto del sistema penitenciario 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de </w:t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asegurar la debida atención en materia de </w:t>
      </w:r>
      <w:r w:rsidR="00085CC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“</w:t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salud</w:t>
      </w:r>
      <w:r w:rsidR="008E4D1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especializada</w:t>
      </w:r>
      <w:r w:rsidR="0075415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para mujeres, en particular de atención ginecológica, especialmente en casos de mujeres que sean sobrevivientes de tortura sexual”, informar a las mujeres sobre sus derechos humanos dentro de los centros penitenciarios e implementar canales de denuncia</w:t>
      </w:r>
      <w:r w:rsidR="00502F51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</w:t>
      </w:r>
      <w:r w:rsidR="0075415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de fácil acceso, implementar medidas para garantizar la seguridad </w:t>
      </w:r>
      <w:r w:rsidR="00CE0099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e</w:t>
      </w:r>
      <w:r w:rsidR="0075415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integración de mujeres trans, entre otras recomendaciones</w:t>
      </w:r>
      <w:r w:rsidR="0075415A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9"/>
      </w:r>
      <w:r w:rsidR="0075415A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.</w:t>
      </w:r>
    </w:p>
    <w:p w14:paraId="573C5DB3" w14:textId="77777777" w:rsidR="00C04EB4" w:rsidRPr="002035CC" w:rsidRDefault="00C04EB4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47894682" w14:textId="5A324963" w:rsidR="00E85D10" w:rsidRPr="002035CC" w:rsidRDefault="0075415A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Aunado</w:t>
      </w:r>
      <w:r w:rsidR="0096072F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al Diagnóstico, México ha publicado en dos ocasiones la </w:t>
      </w:r>
      <w:hyperlink r:id="rId9" w:history="1">
        <w:r w:rsidR="00604F63" w:rsidRPr="002035CC">
          <w:rPr>
            <w:rStyle w:val="Hyperlink"/>
            <w:rFonts w:ascii="Arial Narrow" w:eastAsia="Times New Roman" w:hAnsi="Arial Narrow" w:cs="Times New Roman"/>
            <w:sz w:val="24"/>
            <w:szCs w:val="24"/>
            <w:lang w:val="es-ES" w:eastAsia="es-MX"/>
          </w:rPr>
          <w:t>Encuesta</w:t>
        </w:r>
        <w:r w:rsidR="0096072F" w:rsidRPr="002035CC">
          <w:rPr>
            <w:rStyle w:val="Hyperlink"/>
            <w:rFonts w:ascii="Arial Narrow" w:eastAsia="Times New Roman" w:hAnsi="Arial Narrow" w:cs="Times New Roman"/>
            <w:sz w:val="24"/>
            <w:szCs w:val="24"/>
            <w:lang w:val="es-ES" w:eastAsia="es-MX"/>
          </w:rPr>
          <w:t xml:space="preserve"> Nacional de Población Privada de la Libertad</w:t>
        </w:r>
      </w:hyperlink>
      <w:r w:rsidR="0096072F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(ENPOL) que también</w:t>
      </w:r>
      <w:r w:rsidR="006C764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brinda información estadística relevante sobre las condiciones de </w:t>
      </w:r>
      <w:r w:rsidR="00085CC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reclusión </w:t>
      </w:r>
      <w:r w:rsidR="006C764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de la población mayor de edad</w:t>
      </w:r>
      <w:r w:rsidR="00E0230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que ha sido privada de su libertad en México</w:t>
      </w:r>
      <w:r w:rsidR="006C7642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. </w:t>
      </w:r>
      <w:r w:rsidR="00E0230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A través de las estadísticas contenidas</w:t>
      </w:r>
      <w:r w:rsidR="00B129BE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en la encuesta</w:t>
      </w:r>
      <w:r w:rsidR="00E0230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, se puede apreciar la situación de riesgo que personas privadas de la libertad siguen enfrentando: </w:t>
      </w:r>
      <w:r w:rsidR="00B129BE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e</w:t>
      </w:r>
      <w:r w:rsidR="002D3CE6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l 14.4% de personas privadas de la </w:t>
      </w:r>
      <w:r w:rsidR="00A87A0D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libertad </w:t>
      </w:r>
      <w:r w:rsidR="002D3CE6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señaló que se siente insegura durante la estancia en su celda y el 25.9% en las instalaciones del centro de reclusión</w:t>
      </w:r>
      <w:r w:rsidR="002D3CE6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footnoteReference w:id="10"/>
      </w:r>
      <w:r w:rsidR="002D3CE6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; el 34.1% de la población indicó que ha sido víctima de algún delito o agresión dentro de los centros</w:t>
      </w:r>
      <w:r w:rsidR="002D3CE6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footnoteReference w:id="11"/>
      </w:r>
      <w:r w:rsidR="002D3CE6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; esta última figura sube al 42.5% en el caso de las mujeres privadas de su libertad</w:t>
      </w:r>
      <w:r w:rsidR="002D3CE6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footnoteReference w:id="12"/>
      </w:r>
      <w:r w:rsidR="002D3CE6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. </w:t>
      </w:r>
      <w:r w:rsidR="00E85D10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Asimismo, </w:t>
      </w:r>
      <w:r w:rsidR="00B129BE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según</w:t>
      </w:r>
      <w:r w:rsidR="00E85D10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 los datos publicados en la ENPOL</w:t>
      </w:r>
      <w:r w:rsidR="00B129BE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, el </w:t>
      </w:r>
      <w:r w:rsidR="004419B3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36.2% de la </w:t>
      </w:r>
      <w:r w:rsidR="00B129BE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población privada de la libertad </w:t>
      </w:r>
      <w:r w:rsidR="00E85D10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fue víctima de actos de corrupción en e</w:t>
      </w:r>
      <w:r w:rsidR="004419B3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l proceso penal y 17.2% en el centro penitenciario</w:t>
      </w:r>
      <w:r w:rsidR="004419B3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footnoteReference w:id="13"/>
      </w:r>
      <w:r w:rsidR="004419B3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, </w:t>
      </w:r>
      <w:r w:rsidR="00000F1B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actos que</w:t>
      </w:r>
      <w:r w:rsidR="007C3AD2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 incluyen </w:t>
      </w:r>
      <w:r w:rsidR="00A87A0D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ser obligada a pagar</w:t>
      </w:r>
      <w:r w:rsidR="00E6709C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 xml:space="preserve"> </w:t>
      </w:r>
      <w:r w:rsidR="004419B3" w:rsidRPr="002035CC">
        <w:rPr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t>por servicios básicos como medicamentos, agua potable y comida</w:t>
      </w:r>
      <w:r w:rsidR="004419B3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eastAsia="es-MX"/>
        </w:rPr>
        <w:footnoteReference w:id="14"/>
      </w:r>
    </w:p>
    <w:p w14:paraId="792B72FE" w14:textId="22B4F0B6" w:rsidR="0096072F" w:rsidRPr="002035CC" w:rsidRDefault="0096072F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528A7F26" w14:textId="442462CE" w:rsidR="00822210" w:rsidRPr="002035CC" w:rsidRDefault="0096072F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lastRenderedPageBreak/>
        <w:t xml:space="preserve">La </w:t>
      </w:r>
      <w:r w:rsidR="00822210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publicación de este tipo de instrumentos solo puede convertirse en una buena </w:t>
      </w:r>
      <w:r w:rsidR="00B129BE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práctica </w:t>
      </w:r>
      <w:r w:rsidR="00822210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si los mismos se llevan a cabo de manera periódica, de forma tal que el análisis de datos permita revisar si hay avances o retrocesos en los patrones detallados – en particular, para este caso, en la situación de las personas privadas de la libertad y su situación de reclusión – así como, si se cumplen las recomendaciones que derivan de los mismos, en particular del propio Diagnóstico.</w:t>
      </w:r>
    </w:p>
    <w:p w14:paraId="14106ED4" w14:textId="77777777" w:rsidR="00C04EB4" w:rsidRPr="002035CC" w:rsidRDefault="00C04EB4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6B792A3B" w14:textId="586654E8" w:rsidR="00822210" w:rsidRPr="002035CC" w:rsidRDefault="00822210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En el caso de la ENPOL, la primera encuesta se publicó en</w:t>
      </w:r>
      <w:r w:rsidR="002D3CE6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2016 </w:t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y a pesar de</w:t>
      </w:r>
      <w:r w:rsidR="00E9020E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la recomendación del Comité contra la Tortura de que</w:t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fuera periódica</w:t>
      </w:r>
      <w:r w:rsidR="00E9020E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15"/>
      </w: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, fue solo hasta 2021 que se volvió a publicar. En el caso del Diagnóstico, la sentencia de la Corte IDH ordena que este sea </w:t>
      </w:r>
      <w:r w:rsidR="00604F6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publicado </w:t>
      </w:r>
      <w:r w:rsidR="00004B95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periódicamente</w:t>
      </w:r>
      <w:r w:rsidR="00004B95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16"/>
      </w:r>
      <w:r w:rsidR="00604F6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y los Lineamientos del Mecanismo</w:t>
      </w:r>
      <w:r w:rsidR="00CD39DB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de Seguimiento de Casos de Tortura Sexual Cometida contra las Mujeres</w:t>
      </w:r>
      <w:r w:rsidR="00604F6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, </w:t>
      </w:r>
      <w:r w:rsidR="00B129BE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entidad </w:t>
      </w:r>
      <w:r w:rsidR="00604F6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>a cargo de su publicación, estipula que se llevará a cabo cada</w:t>
      </w:r>
      <w:r w:rsidR="00CD39DB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tres</w:t>
      </w:r>
      <w:r w:rsidR="00604F6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años</w:t>
      </w:r>
      <w:r w:rsidR="00CD39DB" w:rsidRPr="002035CC">
        <w:rPr>
          <w:rStyle w:val="FootnoteReference"/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footnoteReference w:id="17"/>
      </w:r>
      <w:r w:rsidR="00604F63"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, por lo que será relevante ver la evolución del mismo. </w:t>
      </w:r>
    </w:p>
    <w:p w14:paraId="72105A49" w14:textId="77777777" w:rsidR="00335E38" w:rsidRPr="002035CC" w:rsidRDefault="00335E38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</w:p>
    <w:p w14:paraId="253BE46E" w14:textId="48934E57" w:rsidR="00D715A0" w:rsidRPr="002035CC" w:rsidRDefault="00335E38" w:rsidP="00DF359B">
      <w:pPr>
        <w:spacing w:line="240" w:lineRule="auto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</w:pPr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En caso de requerir mayor información no dude en comunicarse a: </w:t>
      </w:r>
      <w:hyperlink r:id="rId10" w:history="1">
        <w:r w:rsidRPr="002035CC">
          <w:rPr>
            <w:rStyle w:val="Hyperlink"/>
            <w:rFonts w:ascii="Arial Narrow" w:eastAsia="Times New Roman" w:hAnsi="Arial Narrow" w:cs="Times New Roman"/>
            <w:sz w:val="24"/>
            <w:szCs w:val="24"/>
            <w:lang w:val="es-ES" w:eastAsia="es-MX"/>
          </w:rPr>
          <w:t>internacional@centroprodh.org.mx</w:t>
        </w:r>
      </w:hyperlink>
      <w:r w:rsidRPr="002035CC">
        <w:rPr>
          <w:rFonts w:ascii="Arial Narrow" w:eastAsia="Times New Roman" w:hAnsi="Arial Narrow" w:cs="Times New Roman"/>
          <w:color w:val="000000"/>
          <w:sz w:val="24"/>
          <w:szCs w:val="24"/>
          <w:lang w:val="es-ES" w:eastAsia="es-MX"/>
        </w:rPr>
        <w:t xml:space="preserve"> </w:t>
      </w:r>
    </w:p>
    <w:p w14:paraId="4A5A3B57" w14:textId="77777777" w:rsidR="0066096B" w:rsidRPr="002035CC" w:rsidRDefault="0066096B" w:rsidP="00DF359B">
      <w:pPr>
        <w:jc w:val="both"/>
        <w:rPr>
          <w:rFonts w:ascii="Arial Narrow" w:hAnsi="Arial Narrow"/>
          <w:sz w:val="24"/>
          <w:szCs w:val="24"/>
          <w:lang w:val="es-ES"/>
        </w:rPr>
      </w:pPr>
    </w:p>
    <w:sectPr w:rsidR="0066096B" w:rsidRPr="00203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02C8" w14:textId="77777777" w:rsidR="00AB3C29" w:rsidRDefault="00AB3C29" w:rsidP="002D1C19">
      <w:pPr>
        <w:spacing w:after="0" w:line="240" w:lineRule="auto"/>
      </w:pPr>
      <w:r>
        <w:separator/>
      </w:r>
    </w:p>
  </w:endnote>
  <w:endnote w:type="continuationSeparator" w:id="0">
    <w:p w14:paraId="09A9B095" w14:textId="77777777" w:rsidR="00AB3C29" w:rsidRDefault="00AB3C29" w:rsidP="002D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F888" w14:textId="77777777" w:rsidR="00AB3C29" w:rsidRDefault="00AB3C29" w:rsidP="002D1C19">
      <w:pPr>
        <w:spacing w:after="0" w:line="240" w:lineRule="auto"/>
      </w:pPr>
      <w:r>
        <w:separator/>
      </w:r>
    </w:p>
  </w:footnote>
  <w:footnote w:type="continuationSeparator" w:id="0">
    <w:p w14:paraId="5A8ADEA3" w14:textId="77777777" w:rsidR="00AB3C29" w:rsidRDefault="00AB3C29" w:rsidP="002D1C19">
      <w:pPr>
        <w:spacing w:after="0" w:line="240" w:lineRule="auto"/>
      </w:pPr>
      <w:r>
        <w:continuationSeparator/>
      </w:r>
    </w:p>
  </w:footnote>
  <w:footnote w:id="1">
    <w:p w14:paraId="11B0E14C" w14:textId="4E57BE09" w:rsidR="00004B95" w:rsidRPr="00DF359B" w:rsidRDefault="00004B95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="00183FFC" w:rsidRPr="00DF359B">
        <w:rPr>
          <w:rFonts w:ascii="Arial Narrow" w:hAnsi="Arial Narrow"/>
        </w:rPr>
        <w:t>Secretaría de Gobernación. Diagnóstico Nacional sobre Tortura Sexual Cometida contra Mujeres Privadas de Libertad en México</w:t>
      </w:r>
      <w:r w:rsidR="00CD39DB" w:rsidRPr="00DF359B">
        <w:rPr>
          <w:rFonts w:ascii="Arial Narrow" w:hAnsi="Arial Narrow"/>
        </w:rPr>
        <w:t xml:space="preserve"> [En adelante, “Diagnóstico”</w:t>
      </w:r>
      <w:r w:rsidR="00000F1B">
        <w:rPr>
          <w:rFonts w:ascii="Arial Narrow" w:hAnsi="Arial Narrow"/>
        </w:rPr>
        <w:t xml:space="preserve"> o “El Diagnóstico”</w:t>
      </w:r>
      <w:r w:rsidR="002B102C" w:rsidRPr="00DF359B">
        <w:rPr>
          <w:rFonts w:ascii="Arial Narrow" w:hAnsi="Arial Narrow"/>
        </w:rPr>
        <w:t>]</w:t>
      </w:r>
      <w:r w:rsidR="00183FFC" w:rsidRPr="00DF359B">
        <w:rPr>
          <w:rFonts w:ascii="Arial Narrow" w:hAnsi="Arial Narrow"/>
        </w:rPr>
        <w:t xml:space="preserve">. 2022. Disponible en: </w:t>
      </w:r>
      <w:hyperlink r:id="rId1" w:history="1">
        <w:r w:rsidR="00000F1B" w:rsidRPr="00F056B4">
          <w:rPr>
            <w:rStyle w:val="Hyperlink"/>
            <w:rFonts w:ascii="Arial Narrow" w:hAnsi="Arial Narrow"/>
          </w:rPr>
          <w:t>http://www.alejandroencinas.mx/wp-content/uploads/2022/06/DIAGNOSTICO-TORTURA-SEXUAL-OK.pdf</w:t>
        </w:r>
      </w:hyperlink>
      <w:r w:rsidR="00000F1B">
        <w:rPr>
          <w:rFonts w:ascii="Arial Narrow" w:hAnsi="Arial Narrow"/>
        </w:rPr>
        <w:t xml:space="preserve"> </w:t>
      </w:r>
    </w:p>
  </w:footnote>
  <w:footnote w:id="2">
    <w:p w14:paraId="01BEB057" w14:textId="15E702C3" w:rsidR="002D1C19" w:rsidRPr="00DF359B" w:rsidRDefault="002D1C19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="00004B95" w:rsidRPr="00DF359B">
        <w:rPr>
          <w:rFonts w:ascii="Arial Narrow" w:hAnsi="Arial Narrow"/>
        </w:rPr>
        <w:t xml:space="preserve">Centro Prodh. Mujeres de Atenco: Denunciantes por tortura sexual en Atenco, Estado de México. Disponible en: </w:t>
      </w:r>
      <w:hyperlink r:id="rId2" w:history="1">
        <w:r w:rsidR="00000F1B" w:rsidRPr="00F056B4">
          <w:rPr>
            <w:rStyle w:val="Hyperlink"/>
            <w:rFonts w:ascii="Arial Narrow" w:hAnsi="Arial Narrow"/>
          </w:rPr>
          <w:t>https://centroprodh.org.mx/casos-3/mujeres-de-atenco/</w:t>
        </w:r>
      </w:hyperlink>
      <w:r w:rsidR="00000F1B">
        <w:rPr>
          <w:rFonts w:ascii="Arial Narrow" w:hAnsi="Arial Narrow"/>
        </w:rPr>
        <w:t xml:space="preserve"> </w:t>
      </w:r>
      <w:r w:rsidR="00004B95" w:rsidRPr="00DF359B">
        <w:rPr>
          <w:rFonts w:ascii="Arial Narrow" w:hAnsi="Arial Narrow"/>
        </w:rPr>
        <w:t xml:space="preserve"> </w:t>
      </w:r>
    </w:p>
  </w:footnote>
  <w:footnote w:id="3">
    <w:p w14:paraId="3886D994" w14:textId="59E393FD" w:rsidR="002D1C19" w:rsidRPr="00DF359B" w:rsidRDefault="002D1C19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="00004B95" w:rsidRPr="00DF359B">
        <w:rPr>
          <w:rFonts w:ascii="Arial Narrow" w:hAnsi="Arial Narrow"/>
        </w:rPr>
        <w:t xml:space="preserve">Corte Interamericana de Derechos Humanos. </w:t>
      </w:r>
      <w:r w:rsidR="00004B95" w:rsidRPr="00DF359B">
        <w:rPr>
          <w:rFonts w:ascii="Arial Narrow" w:hAnsi="Arial Narrow"/>
          <w:i/>
          <w:iCs/>
        </w:rPr>
        <w:t>Caso Mujeres Víctimas de Tortura Sexual en Atenco vs. México</w:t>
      </w:r>
      <w:r w:rsidR="00004B95" w:rsidRPr="00DF359B">
        <w:rPr>
          <w:rFonts w:ascii="Arial Narrow" w:hAnsi="Arial Narrow"/>
        </w:rPr>
        <w:t>. Sentencia de 28 de noviembre de 2018 (Excepción Preliminar, Fondo, Reparaciones y Costas).</w:t>
      </w:r>
      <w:r w:rsidR="00CD39DB" w:rsidRPr="00DF359B">
        <w:rPr>
          <w:rFonts w:ascii="Arial Narrow" w:hAnsi="Arial Narrow"/>
        </w:rPr>
        <w:t xml:space="preserve"> </w:t>
      </w:r>
      <w:r w:rsidR="00CD39DB" w:rsidRPr="00DF359B">
        <w:rPr>
          <w:rFonts w:ascii="Arial Narrow" w:hAnsi="Arial Narrow"/>
        </w:rPr>
        <w:t xml:space="preserve">[En adelante, </w:t>
      </w:r>
      <w:r w:rsidR="00000F1B">
        <w:rPr>
          <w:rFonts w:ascii="Arial Narrow" w:hAnsi="Arial Narrow"/>
        </w:rPr>
        <w:t>“</w:t>
      </w:r>
      <w:r w:rsidR="00CD39DB" w:rsidRPr="00DF359B">
        <w:rPr>
          <w:rFonts w:ascii="Arial Narrow" w:hAnsi="Arial Narrow"/>
        </w:rPr>
        <w:t>Sentencia Caso Mujeres de Atenco</w:t>
      </w:r>
      <w:r w:rsidR="00000F1B">
        <w:rPr>
          <w:rFonts w:ascii="Arial Narrow" w:hAnsi="Arial Narrow"/>
        </w:rPr>
        <w:t>”</w:t>
      </w:r>
      <w:r w:rsidR="00CD39DB" w:rsidRPr="00DF359B">
        <w:rPr>
          <w:rFonts w:ascii="Arial Narrow" w:hAnsi="Arial Narrow"/>
        </w:rPr>
        <w:t>].</w:t>
      </w:r>
      <w:r w:rsidR="00004B95" w:rsidRPr="00DF359B">
        <w:rPr>
          <w:rFonts w:ascii="Arial Narrow" w:hAnsi="Arial Narrow"/>
        </w:rPr>
        <w:t xml:space="preserve"> Serie C. 371</w:t>
      </w:r>
      <w:r w:rsidR="00183FFC" w:rsidRPr="00DF359B">
        <w:rPr>
          <w:rFonts w:ascii="Arial Narrow" w:hAnsi="Arial Narrow"/>
        </w:rPr>
        <w:t xml:space="preserve">. Disponible en: </w:t>
      </w:r>
      <w:hyperlink r:id="rId3" w:history="1">
        <w:r w:rsidR="00183FFC" w:rsidRPr="00DF359B">
          <w:rPr>
            <w:rStyle w:val="Hyperlink"/>
            <w:rFonts w:ascii="Arial Narrow" w:hAnsi="Arial Narrow"/>
          </w:rPr>
          <w:t>https://www.corteidh.or.cr/docs/casos/articulos/seriec_371_esp.pdf</w:t>
        </w:r>
      </w:hyperlink>
      <w:r w:rsidR="00183FFC" w:rsidRPr="00DF359B">
        <w:rPr>
          <w:rFonts w:ascii="Arial Narrow" w:hAnsi="Arial Narrow"/>
        </w:rPr>
        <w:t xml:space="preserve"> </w:t>
      </w:r>
    </w:p>
  </w:footnote>
  <w:footnote w:id="4">
    <w:p w14:paraId="2B9843D4" w14:textId="57F2BCD3" w:rsidR="0021227A" w:rsidRPr="00DF359B" w:rsidRDefault="0021227A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Pr="00DF359B">
        <w:rPr>
          <w:rFonts w:ascii="Arial Narrow" w:hAnsi="Arial Narrow"/>
        </w:rPr>
        <w:t>Diagnóstico, p</w:t>
      </w:r>
      <w:r w:rsidR="00000F1B">
        <w:rPr>
          <w:rFonts w:ascii="Arial Narrow" w:hAnsi="Arial Narrow"/>
        </w:rPr>
        <w:t>á</w:t>
      </w:r>
      <w:r w:rsidRPr="00DF359B">
        <w:rPr>
          <w:rFonts w:ascii="Arial Narrow" w:hAnsi="Arial Narrow"/>
        </w:rPr>
        <w:t>g. 87.</w:t>
      </w:r>
    </w:p>
  </w:footnote>
  <w:footnote w:id="5">
    <w:p w14:paraId="170C3CB9" w14:textId="52FD9689" w:rsidR="0021227A" w:rsidRPr="00DF359B" w:rsidRDefault="0021227A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="00A80893" w:rsidRPr="00DF359B">
        <w:rPr>
          <w:rFonts w:ascii="Arial Narrow" w:hAnsi="Arial Narrow"/>
        </w:rPr>
        <w:t xml:space="preserve"> </w:t>
      </w:r>
      <w:r w:rsidR="00A80893" w:rsidRPr="00DF359B">
        <w:rPr>
          <w:rFonts w:ascii="Arial Narrow" w:hAnsi="Arial Narrow"/>
        </w:rPr>
        <w:t>”Del 14.05% de las mujeres entrevistadas, el 63% manifestó no haber recibido atención médica a su llegada al centro penitenciario por la tortura sexual cometida por las autoridades, y el 37% refiere haber sido atendida”. Diagnóstico, pág. 89.</w:t>
      </w:r>
    </w:p>
  </w:footnote>
  <w:footnote w:id="6">
    <w:p w14:paraId="217E7897" w14:textId="77777777" w:rsidR="007A753F" w:rsidRPr="00DF359B" w:rsidRDefault="007A753F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Pr="00DF359B">
        <w:rPr>
          <w:rFonts w:ascii="Arial Narrow" w:hAnsi="Arial Narrow"/>
        </w:rPr>
        <w:t>“Del universo de mujeres que refirieron haber recibido atención médica por la tortura sexual al llegar al centro penitenciario; el 58% manifestó que en el trato por el personal médico no recibió comentarios inapropiados, y el 42% manifestó haber recibido comentarios inapropiados, incómodos o fuera de contexto por la tortura sexual”. Diagnóstico, pág. 89.</w:t>
      </w:r>
    </w:p>
  </w:footnote>
  <w:footnote w:id="7">
    <w:p w14:paraId="4F9A85C6" w14:textId="07DFF65D" w:rsidR="007A753F" w:rsidRPr="00DF359B" w:rsidRDefault="007A753F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Pr="00DF359B">
        <w:rPr>
          <w:rFonts w:ascii="Arial Narrow" w:hAnsi="Arial Narrow"/>
        </w:rPr>
        <w:t>“Del 8.13% del total de mujeres entrevistadas, el 27% manifestaron que se les negó la atención médica en el centro penitenciario o hubo obstáculos para recibirla con motivo de la tortura sexual, mientras que en el 73% no hubo negativa”. Diagnóstico, pág. 90.</w:t>
      </w:r>
    </w:p>
  </w:footnote>
  <w:footnote w:id="8">
    <w:p w14:paraId="55557611" w14:textId="335996BA" w:rsidR="007A753F" w:rsidRPr="00DF359B" w:rsidRDefault="007A753F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Pr="00DF359B">
        <w:rPr>
          <w:rFonts w:ascii="Arial Narrow" w:hAnsi="Arial Narrow"/>
        </w:rPr>
        <w:t>Por ejemplo, “en casos positivos de embarazo resultado de la tortura sexual, se identificó que solo 1 mujer recibió alternativas y 9 no recibieron alternativa alguna”. Diagnóstico, pág. 90.</w:t>
      </w:r>
    </w:p>
  </w:footnote>
  <w:footnote w:id="9">
    <w:p w14:paraId="62ED2B08" w14:textId="3471626C" w:rsidR="0075415A" w:rsidRPr="00DF359B" w:rsidRDefault="0075415A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Pr="00DF359B">
        <w:rPr>
          <w:rFonts w:ascii="Arial Narrow" w:hAnsi="Arial Narrow"/>
        </w:rPr>
        <w:t xml:space="preserve">Diagnóstico, págs. 188-189 </w:t>
      </w:r>
    </w:p>
  </w:footnote>
  <w:footnote w:id="10">
    <w:p w14:paraId="795E3373" w14:textId="4976D698" w:rsidR="002D3CE6" w:rsidRPr="00DF359B" w:rsidRDefault="002D3CE6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Pr="00DF359B">
        <w:rPr>
          <w:rFonts w:ascii="Arial Narrow" w:hAnsi="Arial Narrow"/>
        </w:rPr>
        <w:t>Encuesta Nacional de Población Privada de la Libertad 2021 (ENPOL).</w:t>
      </w:r>
      <w:r w:rsidRPr="00DF359B">
        <w:rPr>
          <w:rFonts w:ascii="Arial Narrow" w:hAnsi="Arial Narrow" w:cs="Helvetica"/>
          <w:color w:val="2E3438"/>
          <w:sz w:val="21"/>
          <w:szCs w:val="21"/>
          <w:shd w:val="clear" w:color="auto" w:fill="FFFFFF"/>
        </w:rPr>
        <w:t xml:space="preserve"> </w:t>
      </w:r>
      <w:r w:rsidRPr="00DF359B">
        <w:rPr>
          <w:rFonts w:ascii="Arial Narrow" w:hAnsi="Arial Narrow"/>
        </w:rPr>
        <w:t xml:space="preserve">Instituto Nacional de Estadística y Geografía. Disponible en: </w:t>
      </w:r>
      <w:hyperlink r:id="rId4" w:history="1">
        <w:r w:rsidRPr="00DF359B">
          <w:rPr>
            <w:rStyle w:val="Hyperlink"/>
            <w:rFonts w:ascii="Arial Narrow" w:hAnsi="Arial Narrow"/>
          </w:rPr>
          <w:t>https://www.ineg</w:t>
        </w:r>
        <w:r w:rsidRPr="00DF359B">
          <w:rPr>
            <w:rStyle w:val="Hyperlink"/>
            <w:rFonts w:ascii="Arial Narrow" w:hAnsi="Arial Narrow"/>
          </w:rPr>
          <w:t>i</w:t>
        </w:r>
        <w:r w:rsidRPr="00DF359B">
          <w:rPr>
            <w:rStyle w:val="Hyperlink"/>
            <w:rFonts w:ascii="Arial Narrow" w:hAnsi="Arial Narrow"/>
          </w:rPr>
          <w:t>.org.mx/contenidos/programas/enpol/2021/doc/enpol2021_presentacion_nacional.pdf</w:t>
        </w:r>
      </w:hyperlink>
      <w:r w:rsidRPr="00DF359B">
        <w:rPr>
          <w:rFonts w:ascii="Arial Narrow" w:hAnsi="Arial Narrow"/>
        </w:rPr>
        <w:t>, pág. 130.</w:t>
      </w:r>
    </w:p>
  </w:footnote>
  <w:footnote w:id="11">
    <w:p w14:paraId="2DE8B532" w14:textId="44589B87" w:rsidR="002D3CE6" w:rsidRPr="00DF359B" w:rsidRDefault="002D3CE6" w:rsidP="00DF359B">
      <w:pPr>
        <w:pStyle w:val="FootnoteText"/>
        <w:jc w:val="both"/>
        <w:rPr>
          <w:rFonts w:ascii="Arial Narrow" w:hAnsi="Arial Narrow"/>
          <w:lang w:val="en-US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  <w:lang w:val="en-US"/>
        </w:rPr>
        <w:t xml:space="preserve"> Id.</w:t>
      </w:r>
      <w:r w:rsidR="002B102C" w:rsidRPr="00DF359B">
        <w:rPr>
          <w:rFonts w:ascii="Arial Narrow" w:hAnsi="Arial Narrow"/>
          <w:lang w:val="en-US"/>
        </w:rPr>
        <w:t xml:space="preserve"> </w:t>
      </w:r>
      <w:bookmarkStart w:id="0" w:name="_Hlk151998151"/>
      <w:r w:rsidR="002B102C" w:rsidRPr="00DF359B">
        <w:rPr>
          <w:rFonts w:ascii="Arial Narrow" w:hAnsi="Arial Narrow"/>
          <w:lang w:val="en-US"/>
        </w:rPr>
        <w:t>pág.</w:t>
      </w:r>
      <w:r w:rsidRPr="00DF359B">
        <w:rPr>
          <w:rFonts w:ascii="Arial Narrow" w:hAnsi="Arial Narrow"/>
          <w:lang w:val="en-US"/>
        </w:rPr>
        <w:t xml:space="preserve"> </w:t>
      </w:r>
      <w:bookmarkEnd w:id="0"/>
      <w:r w:rsidRPr="00DF359B">
        <w:rPr>
          <w:rFonts w:ascii="Arial Narrow" w:hAnsi="Arial Narrow"/>
          <w:lang w:val="en-US"/>
        </w:rPr>
        <w:t>136.</w:t>
      </w:r>
    </w:p>
  </w:footnote>
  <w:footnote w:id="12">
    <w:p w14:paraId="537C00BA" w14:textId="07E9C5DB" w:rsidR="002D3CE6" w:rsidRPr="00DF359B" w:rsidRDefault="002D3CE6" w:rsidP="00DF359B">
      <w:pPr>
        <w:pStyle w:val="FootnoteText"/>
        <w:jc w:val="both"/>
        <w:rPr>
          <w:rFonts w:ascii="Arial Narrow" w:hAnsi="Arial Narrow"/>
          <w:lang w:val="en-US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  <w:lang w:val="en-US"/>
        </w:rPr>
        <w:t xml:space="preserve"> Id. </w:t>
      </w:r>
      <w:r w:rsidR="002B102C" w:rsidRPr="00DF359B">
        <w:rPr>
          <w:rFonts w:ascii="Arial Narrow" w:hAnsi="Arial Narrow"/>
          <w:lang w:val="en-US"/>
        </w:rPr>
        <w:t xml:space="preserve">pág. </w:t>
      </w:r>
      <w:r w:rsidRPr="00DF359B">
        <w:rPr>
          <w:rFonts w:ascii="Arial Narrow" w:hAnsi="Arial Narrow"/>
          <w:lang w:val="en-US"/>
        </w:rPr>
        <w:t>138.</w:t>
      </w:r>
    </w:p>
  </w:footnote>
  <w:footnote w:id="13">
    <w:p w14:paraId="59AF9132" w14:textId="38D38FB4" w:rsidR="004419B3" w:rsidRPr="00DF359B" w:rsidRDefault="004419B3" w:rsidP="00DF359B">
      <w:pPr>
        <w:pStyle w:val="FootnoteText"/>
        <w:jc w:val="both"/>
        <w:rPr>
          <w:rFonts w:ascii="Arial Narrow" w:hAnsi="Arial Narrow"/>
          <w:lang w:val="en-US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  <w:lang w:val="en-US"/>
        </w:rPr>
        <w:t xml:space="preserve"> Id. </w:t>
      </w:r>
      <w:r w:rsidR="002B102C" w:rsidRPr="00DF359B">
        <w:rPr>
          <w:rFonts w:ascii="Arial Narrow" w:hAnsi="Arial Narrow"/>
          <w:lang w:val="en-US"/>
        </w:rPr>
        <w:t xml:space="preserve">pág. </w:t>
      </w:r>
      <w:r w:rsidRPr="00DF359B">
        <w:rPr>
          <w:rFonts w:ascii="Arial Narrow" w:hAnsi="Arial Narrow"/>
          <w:lang w:val="en-US"/>
        </w:rPr>
        <w:t>143.</w:t>
      </w:r>
    </w:p>
  </w:footnote>
  <w:footnote w:id="14">
    <w:p w14:paraId="45FFC368" w14:textId="77D15E5A" w:rsidR="004419B3" w:rsidRPr="00502F51" w:rsidRDefault="004419B3" w:rsidP="00DF359B">
      <w:pPr>
        <w:pStyle w:val="FootnoteText"/>
        <w:jc w:val="both"/>
        <w:rPr>
          <w:rFonts w:ascii="Arial Narrow" w:hAnsi="Arial Narrow"/>
          <w:lang w:val="es-ES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502F51">
        <w:rPr>
          <w:rFonts w:ascii="Arial Narrow" w:hAnsi="Arial Narrow"/>
          <w:lang w:val="es-ES"/>
        </w:rPr>
        <w:t xml:space="preserve"> Id. </w:t>
      </w:r>
      <w:r w:rsidR="002B102C" w:rsidRPr="00502F51">
        <w:rPr>
          <w:rFonts w:ascii="Arial Narrow" w:hAnsi="Arial Narrow"/>
          <w:lang w:val="es-ES"/>
        </w:rPr>
        <w:t xml:space="preserve">pág. </w:t>
      </w:r>
      <w:r w:rsidRPr="00502F51">
        <w:rPr>
          <w:rFonts w:ascii="Arial Narrow" w:hAnsi="Arial Narrow"/>
          <w:lang w:val="es-ES"/>
        </w:rPr>
        <w:t>146.</w:t>
      </w:r>
    </w:p>
  </w:footnote>
  <w:footnote w:id="15">
    <w:p w14:paraId="21F04FC4" w14:textId="7D2DEC57" w:rsidR="00E9020E" w:rsidRPr="00DF359B" w:rsidRDefault="00E9020E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="00C04EB4" w:rsidRPr="00DF359B">
        <w:rPr>
          <w:rFonts w:ascii="Arial Narrow" w:hAnsi="Arial Narrow"/>
        </w:rPr>
        <w:t>Comité contra la Tortura. Observaciones finales sobre el séptimo informe periódico de México. CAT/C/MEX/CO/7. 24 de julio de 2019. párr. 9(b).</w:t>
      </w:r>
    </w:p>
  </w:footnote>
  <w:footnote w:id="16">
    <w:p w14:paraId="04F6BA3E" w14:textId="1AD4F5DF" w:rsidR="00004B95" w:rsidRPr="00DF359B" w:rsidRDefault="00004B95" w:rsidP="00DF359B">
      <w:pPr>
        <w:pStyle w:val="FootnoteText"/>
        <w:jc w:val="both"/>
        <w:rPr>
          <w:rFonts w:ascii="Arial Narrow" w:hAnsi="Arial Narrow"/>
        </w:rPr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="00CD39DB" w:rsidRPr="00DF359B">
        <w:rPr>
          <w:rFonts w:ascii="Arial Narrow" w:hAnsi="Arial Narrow"/>
        </w:rPr>
        <w:t xml:space="preserve">Sentencia Caso Mujeres de Atenco. </w:t>
      </w:r>
      <w:r w:rsidR="00C04EB4" w:rsidRPr="00DF359B">
        <w:rPr>
          <w:rFonts w:ascii="Arial Narrow" w:hAnsi="Arial Narrow"/>
        </w:rPr>
        <w:t>p</w:t>
      </w:r>
      <w:r w:rsidRPr="00DF359B">
        <w:rPr>
          <w:rFonts w:ascii="Arial Narrow" w:hAnsi="Arial Narrow"/>
        </w:rPr>
        <w:t>árr. 360.</w:t>
      </w:r>
    </w:p>
  </w:footnote>
  <w:footnote w:id="17">
    <w:p w14:paraId="2AED9A82" w14:textId="2BD2F454" w:rsidR="00CD39DB" w:rsidRDefault="00CD39DB" w:rsidP="00DF359B">
      <w:pPr>
        <w:pStyle w:val="FootnoteText"/>
        <w:jc w:val="both"/>
      </w:pPr>
      <w:r w:rsidRPr="00DF359B">
        <w:rPr>
          <w:rStyle w:val="FootnoteReference"/>
          <w:rFonts w:ascii="Arial Narrow" w:hAnsi="Arial Narrow"/>
        </w:rPr>
        <w:footnoteRef/>
      </w:r>
      <w:r w:rsidRPr="00DF359B">
        <w:rPr>
          <w:rFonts w:ascii="Arial Narrow" w:hAnsi="Arial Narrow"/>
        </w:rPr>
        <w:t xml:space="preserve"> </w:t>
      </w:r>
      <w:r w:rsidR="002B102C" w:rsidRPr="00DF359B">
        <w:rPr>
          <w:rFonts w:ascii="Arial Narrow" w:hAnsi="Arial Narrow"/>
        </w:rPr>
        <w:t xml:space="preserve">Secretaría de Gobernación. Lineamientos para la organización y funcionamiento del Mecanismo de Seguimiento de Casos de Tortura Sexual Cometida contra las Mujeres. 24 de marzo de 2023. Disponible en: </w:t>
      </w:r>
      <w:hyperlink r:id="rId5" w:history="1">
        <w:r w:rsidR="002B102C" w:rsidRPr="00DF359B">
          <w:rPr>
            <w:rStyle w:val="Hyperlink"/>
            <w:rFonts w:ascii="Arial Narrow" w:hAnsi="Arial Narrow"/>
          </w:rPr>
          <w:t>https://www.dof.gob.mx/nota_detalle.php?codigo=5683785&amp;fecha=24/03/2023#gsc.tab=0</w:t>
        </w:r>
      </w:hyperlink>
      <w:r w:rsidR="002B102C" w:rsidRPr="00DF359B">
        <w:rPr>
          <w:rFonts w:ascii="Arial Narrow" w:hAnsi="Arial Narrow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E8"/>
    <w:rsid w:val="00000F1B"/>
    <w:rsid w:val="00004B95"/>
    <w:rsid w:val="000320C3"/>
    <w:rsid w:val="00085CC2"/>
    <w:rsid w:val="00183FFC"/>
    <w:rsid w:val="002035CC"/>
    <w:rsid w:val="0021227A"/>
    <w:rsid w:val="002B102C"/>
    <w:rsid w:val="002D1C19"/>
    <w:rsid w:val="002D3CE6"/>
    <w:rsid w:val="00335E38"/>
    <w:rsid w:val="00361CD9"/>
    <w:rsid w:val="004419B3"/>
    <w:rsid w:val="00484365"/>
    <w:rsid w:val="00502F51"/>
    <w:rsid w:val="00546B2F"/>
    <w:rsid w:val="005E67BC"/>
    <w:rsid w:val="00604F63"/>
    <w:rsid w:val="0066096B"/>
    <w:rsid w:val="006C7642"/>
    <w:rsid w:val="0075415A"/>
    <w:rsid w:val="00777B4C"/>
    <w:rsid w:val="007843FC"/>
    <w:rsid w:val="007A753F"/>
    <w:rsid w:val="007C38FF"/>
    <w:rsid w:val="007C3AD2"/>
    <w:rsid w:val="00822210"/>
    <w:rsid w:val="008E4D15"/>
    <w:rsid w:val="00920A6D"/>
    <w:rsid w:val="0096072F"/>
    <w:rsid w:val="009716B9"/>
    <w:rsid w:val="00A80893"/>
    <w:rsid w:val="00A87A0D"/>
    <w:rsid w:val="00AB3C29"/>
    <w:rsid w:val="00B129BE"/>
    <w:rsid w:val="00C04EB4"/>
    <w:rsid w:val="00C955C3"/>
    <w:rsid w:val="00CD39DB"/>
    <w:rsid w:val="00CE0099"/>
    <w:rsid w:val="00D138B3"/>
    <w:rsid w:val="00D715A0"/>
    <w:rsid w:val="00DF359B"/>
    <w:rsid w:val="00DF3F31"/>
    <w:rsid w:val="00E02303"/>
    <w:rsid w:val="00E6709C"/>
    <w:rsid w:val="00E85D10"/>
    <w:rsid w:val="00E9020E"/>
    <w:rsid w:val="00F21DFC"/>
    <w:rsid w:val="00F41CCB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7CD0"/>
  <w15:chartTrackingRefBased/>
  <w15:docId w15:val="{AE4B35C3-7E27-41EC-8736-89F9094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E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6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D15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4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D1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D15"/>
    <w:rPr>
      <w:b/>
      <w:bCs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1C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C1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D1C1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C3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jandroencinas.mx/wp-content/uploads/2022/06/DIAGNOSTICO-TORTURA-SEXUAL-OK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internacional@centroprodh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egi.org.mx/contenidos/programas/enpol/2021/doc/enpol2021_presentacion_nacional.pdf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rteidh.or.cr/docs/casos/articulos/seriec_371_esp.pdf" TargetMode="External"/><Relationship Id="rId2" Type="http://schemas.openxmlformats.org/officeDocument/2006/relationships/hyperlink" Target="https://centroprodh.org.mx/casos-3/mujeres-de-atenco/" TargetMode="External"/><Relationship Id="rId1" Type="http://schemas.openxmlformats.org/officeDocument/2006/relationships/hyperlink" Target="http://www.alejandroencinas.mx/wp-content/uploads/2022/06/DIAGNOSTICO-TORTURA-SEXUAL-OK.pdf" TargetMode="External"/><Relationship Id="rId5" Type="http://schemas.openxmlformats.org/officeDocument/2006/relationships/hyperlink" Target="https://www.dof.gob.mx/nota_detalle.php?codigo=5683785&amp;fecha=24/03/2023#gsc.tab=0" TargetMode="External"/><Relationship Id="rId4" Type="http://schemas.openxmlformats.org/officeDocument/2006/relationships/hyperlink" Target="https://www.inegi.org.mx/contenidos/programas/enpol/2021/doc/enpol2021_presentacion_nacio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1aae2dfcf38eb3d4f769327b9f8ce2e5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83be24ca81d3dd6e9270b5b0a69b2c74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Centro PRODH</Contributor>
  </documentManagement>
</p:properties>
</file>

<file path=customXml/itemProps1.xml><?xml version="1.0" encoding="utf-8"?>
<ds:datastoreItem xmlns:ds="http://schemas.openxmlformats.org/officeDocument/2006/customXml" ds:itemID="{83865C59-E5B0-4F7F-ACEA-B86D9EC5D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72B148-9C06-4DCB-B238-5A55944A8E11}"/>
</file>

<file path=customXml/itemProps3.xml><?xml version="1.0" encoding="utf-8"?>
<ds:datastoreItem xmlns:ds="http://schemas.openxmlformats.org/officeDocument/2006/customXml" ds:itemID="{B4B4F770-AD89-4B37-9C75-82309810DF68}"/>
</file>

<file path=customXml/itemProps4.xml><?xml version="1.0" encoding="utf-8"?>
<ds:datastoreItem xmlns:ds="http://schemas.openxmlformats.org/officeDocument/2006/customXml" ds:itemID="{65D06685-C3F4-447C-A0FA-DD8CE8E34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Connell</dc:creator>
  <cp:keywords/>
  <dc:description/>
  <cp:lastModifiedBy>Luke Connell</cp:lastModifiedBy>
  <cp:revision>5</cp:revision>
  <dcterms:created xsi:type="dcterms:W3CDTF">2023-11-28T05:22:00Z</dcterms:created>
  <dcterms:modified xsi:type="dcterms:W3CDTF">2023-11-28T05:34:00Z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