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CA12" w14:textId="3B0E2F88" w:rsidR="00C05D9B" w:rsidRPr="0069617C" w:rsidRDefault="00C05D9B" w:rsidP="00626C39"/>
    <w:p w14:paraId="1C720C6D" w14:textId="7EC07BEB" w:rsidR="005403E3" w:rsidRPr="0069617C" w:rsidRDefault="005403E3" w:rsidP="00626C39"/>
    <w:p w14:paraId="5E537D0D" w14:textId="01BDD4D4" w:rsidR="005403E3" w:rsidRPr="0069617C" w:rsidRDefault="005403E3" w:rsidP="00626C39"/>
    <w:p w14:paraId="61151818" w14:textId="3ADC0609" w:rsidR="003C38F0" w:rsidRPr="0069617C" w:rsidRDefault="003C38F0" w:rsidP="003C38F0">
      <w:pPr>
        <w:spacing w:after="120"/>
        <w:jc w:val="center"/>
        <w:rPr>
          <w:b/>
          <w:bCs/>
          <w:color w:val="000000"/>
        </w:rPr>
      </w:pPr>
      <w:r w:rsidRPr="0069617C">
        <w:rPr>
          <w:b/>
          <w:bCs/>
          <w:color w:val="000000"/>
        </w:rPr>
        <w:t xml:space="preserve">Response to the UN Special Rapporteur on Torture </w:t>
      </w:r>
      <w:r w:rsidRPr="0069617C">
        <w:rPr>
          <w:b/>
          <w:bCs/>
          <w:color w:val="000000"/>
        </w:rPr>
        <w:br/>
        <w:t>Call for Inputs on current issues and good practices in prison management</w:t>
      </w:r>
    </w:p>
    <w:p w14:paraId="1685F3A8" w14:textId="0BEEBE71" w:rsidR="003C38F0" w:rsidRDefault="003C38F0" w:rsidP="003C38F0">
      <w:pPr>
        <w:spacing w:after="120"/>
        <w:jc w:val="center"/>
        <w:rPr>
          <w:b/>
          <w:bCs/>
          <w:color w:val="000000"/>
        </w:rPr>
      </w:pPr>
      <w:r w:rsidRPr="0069617C">
        <w:rPr>
          <w:b/>
          <w:bCs/>
          <w:color w:val="000000"/>
        </w:rPr>
        <w:t>Submitted by The Advocates for Human Rights,</w:t>
      </w:r>
      <w:r w:rsidRPr="0069617C">
        <w:rPr>
          <w:b/>
          <w:bCs/>
          <w:color w:val="000000"/>
        </w:rPr>
        <w:br/>
        <w:t>a non-governmental organization in special consultative status with ECOSOC since 1996</w:t>
      </w:r>
    </w:p>
    <w:p w14:paraId="3C208106" w14:textId="77777777" w:rsidR="00E5372E" w:rsidRPr="00E9558C" w:rsidRDefault="00E5372E" w:rsidP="00E5372E">
      <w:pPr>
        <w:widowControl w:val="0"/>
        <w:autoSpaceDE w:val="0"/>
        <w:autoSpaceDN w:val="0"/>
        <w:adjustRightInd w:val="0"/>
        <w:jc w:val="center"/>
        <w:outlineLvl w:val="0"/>
      </w:pPr>
      <w:r w:rsidRPr="00E9558C">
        <w:t xml:space="preserve">and </w:t>
      </w:r>
    </w:p>
    <w:p w14:paraId="46028B7C" w14:textId="77777777" w:rsidR="00E5372E" w:rsidRDefault="00E5372E" w:rsidP="00E5372E">
      <w:pPr>
        <w:widowControl w:val="0"/>
        <w:autoSpaceDE w:val="0"/>
        <w:autoSpaceDN w:val="0"/>
        <w:adjustRightInd w:val="0"/>
        <w:jc w:val="center"/>
        <w:outlineLvl w:val="0"/>
        <w:rPr>
          <w:b/>
          <w:bCs/>
        </w:rPr>
      </w:pPr>
      <w:r w:rsidRPr="00E9558C">
        <w:rPr>
          <w:b/>
          <w:bCs/>
        </w:rPr>
        <w:t>The World Coalition Against the Death Penalty</w:t>
      </w:r>
    </w:p>
    <w:p w14:paraId="774602DB" w14:textId="2CB53E07" w:rsidR="00FC47A6" w:rsidRPr="00FC47A6" w:rsidRDefault="00FC47A6" w:rsidP="00E5372E">
      <w:pPr>
        <w:widowControl w:val="0"/>
        <w:autoSpaceDE w:val="0"/>
        <w:autoSpaceDN w:val="0"/>
        <w:adjustRightInd w:val="0"/>
        <w:jc w:val="center"/>
        <w:outlineLvl w:val="0"/>
      </w:pPr>
      <w:r>
        <w:t>a</w:t>
      </w:r>
      <w:r w:rsidRPr="00FC47A6">
        <w:t>nd</w:t>
      </w:r>
    </w:p>
    <w:p w14:paraId="107048F1" w14:textId="6DBB54DA" w:rsidR="00FC47A6" w:rsidRDefault="00FC47A6" w:rsidP="00E5372E">
      <w:pPr>
        <w:widowControl w:val="0"/>
        <w:autoSpaceDE w:val="0"/>
        <w:autoSpaceDN w:val="0"/>
        <w:adjustRightInd w:val="0"/>
        <w:jc w:val="center"/>
        <w:outlineLvl w:val="0"/>
        <w:rPr>
          <w:b/>
          <w:bCs/>
        </w:rPr>
      </w:pPr>
      <w:r>
        <w:rPr>
          <w:b/>
          <w:bCs/>
        </w:rPr>
        <w:t>The Cornell Center on the Death Penalty Worldwide</w:t>
      </w:r>
    </w:p>
    <w:p w14:paraId="5EA4E20C" w14:textId="1A79CCFF" w:rsidR="00FC47A6" w:rsidRDefault="00FC47A6" w:rsidP="00E5372E">
      <w:pPr>
        <w:widowControl w:val="0"/>
        <w:autoSpaceDE w:val="0"/>
        <w:autoSpaceDN w:val="0"/>
        <w:adjustRightInd w:val="0"/>
        <w:jc w:val="center"/>
        <w:outlineLvl w:val="0"/>
      </w:pPr>
      <w:r>
        <w:t>a</w:t>
      </w:r>
      <w:r w:rsidRPr="00FC47A6">
        <w:t>nd</w:t>
      </w:r>
    </w:p>
    <w:p w14:paraId="5FD9CAE1" w14:textId="4148F706" w:rsidR="00FC47A6" w:rsidRDefault="00FC47A6" w:rsidP="00E5372E">
      <w:pPr>
        <w:widowControl w:val="0"/>
        <w:autoSpaceDE w:val="0"/>
        <w:autoSpaceDN w:val="0"/>
        <w:adjustRightInd w:val="0"/>
        <w:jc w:val="center"/>
        <w:outlineLvl w:val="0"/>
      </w:pPr>
      <w:r w:rsidRPr="00DE0381">
        <w:rPr>
          <w:b/>
          <w:bCs/>
        </w:rPr>
        <w:t>Kenyan Section of the International Commission of Jurists (ICJ-KENYA)</w:t>
      </w:r>
    </w:p>
    <w:p w14:paraId="78E4A607" w14:textId="2419787F" w:rsidR="00FC47A6" w:rsidRDefault="00FC47A6" w:rsidP="00E5372E">
      <w:pPr>
        <w:widowControl w:val="0"/>
        <w:autoSpaceDE w:val="0"/>
        <w:autoSpaceDN w:val="0"/>
        <w:adjustRightInd w:val="0"/>
        <w:jc w:val="center"/>
        <w:outlineLvl w:val="0"/>
      </w:pPr>
      <w:r>
        <w:t>and</w:t>
      </w:r>
    </w:p>
    <w:p w14:paraId="144A6981" w14:textId="72111738" w:rsidR="00FC47A6" w:rsidRDefault="00FC47A6" w:rsidP="00E5372E">
      <w:pPr>
        <w:widowControl w:val="0"/>
        <w:autoSpaceDE w:val="0"/>
        <w:autoSpaceDN w:val="0"/>
        <w:adjustRightInd w:val="0"/>
        <w:jc w:val="center"/>
        <w:outlineLvl w:val="0"/>
      </w:pPr>
      <w:r w:rsidRPr="008070C0">
        <w:rPr>
          <w:b/>
          <w:bCs/>
        </w:rPr>
        <w:t>Kenya Human Right Center</w:t>
      </w:r>
      <w:r w:rsidRPr="00511320">
        <w:rPr>
          <w:b/>
          <w:bCs/>
        </w:rPr>
        <w:t xml:space="preserve"> (KHRC)</w:t>
      </w:r>
    </w:p>
    <w:p w14:paraId="5DECA731" w14:textId="5CD3AB6D" w:rsidR="00FC47A6" w:rsidRDefault="00FC47A6" w:rsidP="00E5372E">
      <w:pPr>
        <w:widowControl w:val="0"/>
        <w:autoSpaceDE w:val="0"/>
        <w:autoSpaceDN w:val="0"/>
        <w:adjustRightInd w:val="0"/>
        <w:jc w:val="center"/>
        <w:outlineLvl w:val="0"/>
      </w:pPr>
      <w:r>
        <w:t>and</w:t>
      </w:r>
    </w:p>
    <w:p w14:paraId="4D076ED5" w14:textId="1EACBFC4" w:rsidR="00FC47A6" w:rsidRDefault="00FC47A6" w:rsidP="00E5372E">
      <w:pPr>
        <w:widowControl w:val="0"/>
        <w:autoSpaceDE w:val="0"/>
        <w:autoSpaceDN w:val="0"/>
        <w:adjustRightInd w:val="0"/>
        <w:jc w:val="center"/>
        <w:outlineLvl w:val="0"/>
      </w:pPr>
      <w:r w:rsidRPr="00A4060A">
        <w:rPr>
          <w:b/>
          <w:bCs/>
        </w:rPr>
        <w:t>World Organisation Against Torture (OMCT)</w:t>
      </w:r>
    </w:p>
    <w:p w14:paraId="14B3FB62" w14:textId="77777777" w:rsidR="00FC47A6" w:rsidRPr="00FC47A6" w:rsidRDefault="00FC47A6" w:rsidP="00E5372E">
      <w:pPr>
        <w:widowControl w:val="0"/>
        <w:autoSpaceDE w:val="0"/>
        <w:autoSpaceDN w:val="0"/>
        <w:adjustRightInd w:val="0"/>
        <w:jc w:val="center"/>
        <w:outlineLvl w:val="0"/>
      </w:pPr>
    </w:p>
    <w:p w14:paraId="0BC0F79B" w14:textId="77777777" w:rsidR="00FC47A6" w:rsidRPr="00E9558C" w:rsidRDefault="00FC47A6" w:rsidP="00E5372E">
      <w:pPr>
        <w:widowControl w:val="0"/>
        <w:autoSpaceDE w:val="0"/>
        <w:autoSpaceDN w:val="0"/>
        <w:adjustRightInd w:val="0"/>
        <w:jc w:val="center"/>
        <w:outlineLvl w:val="0"/>
      </w:pPr>
    </w:p>
    <w:p w14:paraId="6E437CEF" w14:textId="77777777" w:rsidR="00E5372E" w:rsidRPr="0069617C" w:rsidRDefault="00E5372E" w:rsidP="003C38F0">
      <w:pPr>
        <w:spacing w:after="120"/>
        <w:jc w:val="center"/>
        <w:rPr>
          <w:b/>
          <w:bCs/>
          <w:color w:val="000000"/>
        </w:rPr>
      </w:pPr>
    </w:p>
    <w:p w14:paraId="79EEA9CA" w14:textId="4A766320" w:rsidR="003C38F0" w:rsidRPr="0069617C" w:rsidRDefault="00E5372E" w:rsidP="003C38F0">
      <w:pPr>
        <w:spacing w:after="120"/>
        <w:jc w:val="center"/>
        <w:rPr>
          <w:b/>
          <w:bCs/>
          <w:color w:val="000000"/>
        </w:rPr>
      </w:pPr>
      <w:r>
        <w:rPr>
          <w:b/>
          <w:bCs/>
          <w:color w:val="000000"/>
        </w:rPr>
        <w:t>2</w:t>
      </w:r>
      <w:r w:rsidR="00A4060A">
        <w:rPr>
          <w:b/>
          <w:bCs/>
          <w:color w:val="000000"/>
        </w:rPr>
        <w:t>7</w:t>
      </w:r>
      <w:r>
        <w:rPr>
          <w:b/>
          <w:bCs/>
          <w:color w:val="000000"/>
        </w:rPr>
        <w:t xml:space="preserve"> </w:t>
      </w:r>
      <w:r w:rsidR="003C38F0" w:rsidRPr="0069617C">
        <w:rPr>
          <w:b/>
          <w:bCs/>
          <w:color w:val="000000"/>
        </w:rPr>
        <w:t>November 2023</w:t>
      </w:r>
    </w:p>
    <w:p w14:paraId="72C1B2F2" w14:textId="58ED76E7" w:rsidR="00DE0381" w:rsidRDefault="003C38F0" w:rsidP="008070C0">
      <w:pPr>
        <w:spacing w:after="120"/>
        <w:jc w:val="both"/>
        <w:rPr>
          <w:color w:val="000000"/>
        </w:rPr>
      </w:pPr>
      <w:r w:rsidRPr="00DE0381">
        <w:rPr>
          <w:b/>
          <w:bCs/>
          <w:color w:val="000000" w:themeColor="text1"/>
        </w:rPr>
        <w:t>The Advocates for Human Rights</w:t>
      </w:r>
      <w:r w:rsidRPr="0069617C">
        <w:rPr>
          <w:color w:val="000000" w:themeColor="text1"/>
        </w:rPr>
        <w:t xml:space="preserve"> (The Advocates) is a volunteer-based non-governmental organization committed to the impartial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and training, and publications. The Advocates is committed to ensuring human rights protection for women around the world. The Advocates has published more than 25 reports on violence against women as a human rights issue, provided consultation and commentary of draft laws on domestic violence, and trained lawyers, police, prosecutors, judges, and other law enforcement personnel to effectively implement new and existing laws on domestic violence.</w:t>
      </w:r>
      <w:r w:rsidR="00AF5E69" w:rsidRPr="00AF5E69">
        <w:rPr>
          <w:color w:val="000000" w:themeColor="text1"/>
        </w:rPr>
        <w:t xml:space="preserve"> In 1991, The Advocates adopted a formal commitment to oppose the death penalty worldwide and organized a death penalty project to provide pro bono assistance on post</w:t>
      </w:r>
      <w:r w:rsidR="00AF5E69">
        <w:rPr>
          <w:color w:val="000000" w:themeColor="text1"/>
        </w:rPr>
        <w:t>-</w:t>
      </w:r>
      <w:r w:rsidR="00AF5E69" w:rsidRPr="00AF5E69">
        <w:rPr>
          <w:color w:val="000000" w:themeColor="text1"/>
        </w:rPr>
        <w:t>conviction appeals, as well as education and advocacy to end capital punishment. The Advocates currently holds a seat on the Steering Committee of the World Coalition Against the Death Penalty.</w:t>
      </w:r>
    </w:p>
    <w:p w14:paraId="066F2089" w14:textId="78B99B5A" w:rsidR="00DE0381" w:rsidRDefault="00E5372E" w:rsidP="00DE0381">
      <w:pPr>
        <w:spacing w:after="240"/>
        <w:jc w:val="both"/>
      </w:pPr>
      <w:r w:rsidRPr="00E9558C">
        <w:rPr>
          <w:b/>
          <w:bCs/>
        </w:rPr>
        <w:t>The World Coalition Against the Death Penalty (WCADP),</w:t>
      </w:r>
      <w:r w:rsidRPr="00E9558C">
        <w:t xml:space="preserve"> an alliance of more than 150 NGOs, bar associations, local authorities, and unions, was created in Rome on 13 May 2002. The aim of the World Coalition is to strengthen the international dimension of the fight against the death penalty. Its ultimate objective is to obtain the universal abolition of the death penalty. To achieve its goal, the World Coalition advocates for a definitive end to death sentences and executions in those countries where the death penalty is in force. In some countries, it is seeking to obtain a reduction in the use of capital punishment as a first step towards abolition</w:t>
      </w:r>
      <w:r w:rsidR="00DE0381">
        <w:t>.</w:t>
      </w:r>
    </w:p>
    <w:p w14:paraId="5F9FDA72" w14:textId="548EA5A4" w:rsidR="00DE0381" w:rsidRPr="00F07878" w:rsidRDefault="00DE0381" w:rsidP="00DE0381">
      <w:pPr>
        <w:jc w:val="both"/>
      </w:pPr>
      <w:r>
        <w:rPr>
          <w:b/>
          <w:bCs/>
        </w:rPr>
        <w:lastRenderedPageBreak/>
        <w:t>The Cornell Center on the Death Penalty Worldwide</w:t>
      </w:r>
      <w:r>
        <w:t xml:space="preserve"> is a US-based research, advocacy, and training center focused on capital punishment and international law. It publishes reports and manuals on death penalty issues, provides transparent data on death penalty laws and practices around the world, trains capital lawyers in best practices, and engages in targeted advocacy and litigation. Its staff and faculty advisors have collectively spent more than eight decades representing hundreds of prisoners facing the death penalty. In 2019 it was awarded the World Justice Challenge Award in recognition for its work on behalf of death-sentenced prisoners in Malawi.</w:t>
      </w:r>
    </w:p>
    <w:p w14:paraId="14DA3AF0" w14:textId="57BF8FB8" w:rsidR="00DE0381" w:rsidRPr="00511320" w:rsidRDefault="00FC47A6" w:rsidP="00511320">
      <w:pPr>
        <w:spacing w:after="120"/>
        <w:jc w:val="both"/>
        <w:rPr>
          <w:color w:val="000000"/>
        </w:rPr>
      </w:pPr>
      <w:r>
        <w:rPr>
          <w:b/>
          <w:bCs/>
        </w:rPr>
        <w:br/>
      </w:r>
      <w:r w:rsidR="00DE0381" w:rsidRPr="00DE0381">
        <w:rPr>
          <w:b/>
          <w:bCs/>
        </w:rPr>
        <w:t xml:space="preserve">Kenyan Section of the International Commission of Jurists (ICJ-KENYA) </w:t>
      </w:r>
      <w:r w:rsidR="00DE0381" w:rsidRPr="00DE0381">
        <w:t>is a non-governmental, non-profit and a member-based organization. Established in 1959, ICJ Kenya is the only autonomous national section of ICJ based in Geneva, Switzerland.</w:t>
      </w:r>
      <w:r w:rsidR="00DE0381">
        <w:t xml:space="preserve"> ICJ Kenya is registered as a Society under the Societies Act, Chapter 108, Laws of Kenya. ICJ Kenya mandate is </w:t>
      </w:r>
      <w:proofErr w:type="gramStart"/>
      <w:r w:rsidR="00DE0381">
        <w:t>to :</w:t>
      </w:r>
      <w:proofErr w:type="gramEnd"/>
      <w:r w:rsidR="00DE0381">
        <w:t xml:space="preserve"> develop, strengthen and protect the principles of the rule of law in Kenya, to develop, maintain and protect the independence of the judiciary and the legal profession in Kenya and to protect and promote the enjoyment of human rights in Kenya and Africa.</w:t>
      </w:r>
      <w:r w:rsidR="008070C0">
        <w:t xml:space="preserve"> ICJ Kenya is member of the World Coalition</w:t>
      </w:r>
      <w:r w:rsidR="00511320">
        <w:t xml:space="preserve"> </w:t>
      </w:r>
      <w:r w:rsidR="00511320" w:rsidRPr="00AF5E69">
        <w:rPr>
          <w:color w:val="000000" w:themeColor="text1"/>
        </w:rPr>
        <w:t>Against the Death Penalty</w:t>
      </w:r>
      <w:r w:rsidR="008070C0">
        <w:t>.</w:t>
      </w:r>
    </w:p>
    <w:p w14:paraId="76C3BCBB" w14:textId="4EE056B1" w:rsidR="00DE0381" w:rsidRDefault="00DE0381" w:rsidP="00511320">
      <w:pPr>
        <w:spacing w:after="120"/>
        <w:jc w:val="both"/>
      </w:pPr>
      <w:r w:rsidRPr="008070C0">
        <w:rPr>
          <w:b/>
          <w:bCs/>
        </w:rPr>
        <w:t>Kenya Human Right C</w:t>
      </w:r>
      <w:r w:rsidR="00BE110B">
        <w:rPr>
          <w:b/>
          <w:bCs/>
        </w:rPr>
        <w:t>ommission</w:t>
      </w:r>
      <w:r w:rsidR="00511320" w:rsidRPr="00511320">
        <w:rPr>
          <w:b/>
          <w:bCs/>
        </w:rPr>
        <w:t xml:space="preserve"> (KHRC) </w:t>
      </w:r>
      <w:r w:rsidR="00511320" w:rsidRPr="00511320">
        <w:t>was founded in 1992 and registered in Kenya in 1994 as a national non-governmental organisation (NGO). Throughout its existence, the core agenda of the Commission has been campaigning for the entrenchment of a human rights and democratic culture in Kenya. Its founders and staff are among the foremost leaders and activists in struggles for human rights and democratic reforms in Kenya. KHRC works at community level with human rights networks (HURINETS) across Kenya and links community, national and international human rights concerns.</w:t>
      </w:r>
      <w:r w:rsidR="00511320">
        <w:t xml:space="preserve"> KHRC is member of the World Coalition </w:t>
      </w:r>
      <w:r w:rsidR="00511320" w:rsidRPr="00AF5E69">
        <w:rPr>
          <w:color w:val="000000" w:themeColor="text1"/>
        </w:rPr>
        <w:t>Against the Death Penalty</w:t>
      </w:r>
      <w:r w:rsidR="00511320">
        <w:t>.</w:t>
      </w:r>
    </w:p>
    <w:p w14:paraId="4960FACA" w14:textId="40C6C33A" w:rsidR="00A4060A" w:rsidRPr="00A4060A" w:rsidRDefault="00A4060A" w:rsidP="00511320">
      <w:pPr>
        <w:spacing w:after="120"/>
        <w:jc w:val="both"/>
      </w:pPr>
      <w:r w:rsidRPr="00A4060A">
        <w:rPr>
          <w:b/>
          <w:bCs/>
        </w:rPr>
        <w:t>World Organisation Against Torture (OMCT)</w:t>
      </w:r>
      <w:r>
        <w:t xml:space="preserve"> </w:t>
      </w:r>
      <w:r w:rsidRPr="00A4060A">
        <w:t xml:space="preserve">is an independent, non-partisan, non-sectarian, Swiss international non-governmental organisation, founded in Geneva in 1985. It is today the leading global civil society network against torture including more than 200 local member </w:t>
      </w:r>
      <w:proofErr w:type="spellStart"/>
      <w:r w:rsidRPr="00A4060A">
        <w:t>organisations</w:t>
      </w:r>
      <w:proofErr w:type="spellEnd"/>
      <w:r w:rsidRPr="00A4060A">
        <w:t xml:space="preserve"> operating in over 90 countries around the world. Driven by the needs of its SOS-Torture Network members, the OMCT engages in all areas of anti-torture work, including prevention, accountability and assistance and protection for torture victims and Human Rights Defenders (HRDs).</w:t>
      </w:r>
    </w:p>
    <w:p w14:paraId="29EC7536" w14:textId="4D2595D1" w:rsidR="00E5372E" w:rsidRDefault="00511320" w:rsidP="00511320">
      <w:pPr>
        <w:rPr>
          <w:color w:val="000000"/>
        </w:rPr>
      </w:pPr>
      <w:r>
        <w:rPr>
          <w:color w:val="000000"/>
        </w:rPr>
        <w:br w:type="page"/>
      </w:r>
    </w:p>
    <w:p w14:paraId="53A01A29" w14:textId="77777777" w:rsidR="00E5372E" w:rsidRPr="0069617C" w:rsidRDefault="00E5372E" w:rsidP="003C38F0">
      <w:pPr>
        <w:spacing w:after="120"/>
        <w:rPr>
          <w:color w:val="000000"/>
        </w:rPr>
      </w:pPr>
    </w:p>
    <w:p w14:paraId="00859D36" w14:textId="77777777" w:rsidR="003C38F0" w:rsidRPr="0069617C" w:rsidRDefault="003C38F0" w:rsidP="0069617C">
      <w:pPr>
        <w:pStyle w:val="Paragraphedeliste"/>
        <w:numPr>
          <w:ilvl w:val="0"/>
          <w:numId w:val="10"/>
        </w:numPr>
        <w:spacing w:after="120" w:line="240" w:lineRule="auto"/>
        <w:ind w:left="360" w:hanging="360"/>
        <w:contextualSpacing w:val="0"/>
        <w:jc w:val="center"/>
        <w:rPr>
          <w:rFonts w:ascii="Times New Roman" w:eastAsia="Times New Roman" w:hAnsi="Times New Roman"/>
          <w:b/>
          <w:bCs/>
          <w:color w:val="000000"/>
          <w:sz w:val="24"/>
          <w:szCs w:val="24"/>
        </w:rPr>
      </w:pPr>
      <w:r w:rsidRPr="0069617C">
        <w:rPr>
          <w:rFonts w:ascii="Times New Roman" w:eastAsia="Times New Roman" w:hAnsi="Times New Roman"/>
          <w:b/>
          <w:bCs/>
          <w:color w:val="000000"/>
          <w:sz w:val="24"/>
          <w:szCs w:val="24"/>
        </w:rPr>
        <w:t>INTRODUCTION</w:t>
      </w:r>
    </w:p>
    <w:p w14:paraId="20ECDF7C" w14:textId="7DCF7223" w:rsidR="003C38F0" w:rsidRPr="0069617C" w:rsidRDefault="003C38F0"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The Advocates for Human Rights</w:t>
      </w:r>
      <w:r w:rsidR="00EB6308">
        <w:rPr>
          <w:rFonts w:ascii="Times New Roman" w:eastAsia="Times New Roman" w:hAnsi="Times New Roman"/>
          <w:color w:val="000000"/>
          <w:sz w:val="24"/>
          <w:szCs w:val="24"/>
        </w:rPr>
        <w:t xml:space="preserve"> and The World Coalition Against the Death Penalty</w:t>
      </w:r>
      <w:r w:rsidRPr="0069617C">
        <w:rPr>
          <w:rFonts w:ascii="Times New Roman" w:eastAsia="Times New Roman" w:hAnsi="Times New Roman"/>
          <w:color w:val="000000"/>
          <w:sz w:val="24"/>
          <w:szCs w:val="24"/>
        </w:rPr>
        <w:t xml:space="preserve"> welcomes this opportunity to inform the Special Rapporteur’s report on current issues and good practices in prison management and </w:t>
      </w:r>
      <w:r w:rsidR="005B6CCD">
        <w:rPr>
          <w:rFonts w:ascii="Times New Roman" w:eastAsia="Times New Roman" w:hAnsi="Times New Roman"/>
          <w:color w:val="000000"/>
          <w:sz w:val="24"/>
          <w:szCs w:val="24"/>
        </w:rPr>
        <w:t xml:space="preserve">in this submission highlights </w:t>
      </w:r>
      <w:r w:rsidRPr="0069617C">
        <w:rPr>
          <w:rFonts w:ascii="Times New Roman" w:eastAsia="Times New Roman" w:hAnsi="Times New Roman"/>
          <w:color w:val="000000"/>
          <w:sz w:val="24"/>
          <w:szCs w:val="24"/>
        </w:rPr>
        <w:t xml:space="preserve">the key challenges and issues </w:t>
      </w:r>
      <w:r w:rsidR="005B6CCD">
        <w:rPr>
          <w:rFonts w:ascii="Times New Roman" w:eastAsia="Times New Roman" w:hAnsi="Times New Roman"/>
          <w:color w:val="000000"/>
          <w:sz w:val="24"/>
          <w:szCs w:val="24"/>
        </w:rPr>
        <w:t>that women under sentence of death face in detention</w:t>
      </w:r>
      <w:r w:rsidRPr="0069617C">
        <w:rPr>
          <w:rFonts w:ascii="Times New Roman" w:eastAsia="Times New Roman" w:hAnsi="Times New Roman"/>
          <w:color w:val="000000"/>
          <w:sz w:val="24"/>
          <w:szCs w:val="24"/>
        </w:rPr>
        <w:t xml:space="preserve">. </w:t>
      </w:r>
    </w:p>
    <w:p w14:paraId="3A465ABC" w14:textId="3D8D7F30" w:rsidR="003C38F0" w:rsidRPr="0069617C" w:rsidRDefault="003C38F0"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It is difficult to find conclusive information regarding the experiences of women </w:t>
      </w:r>
      <w:r w:rsidR="00976628">
        <w:rPr>
          <w:rFonts w:ascii="Times New Roman" w:eastAsia="Times New Roman" w:hAnsi="Times New Roman"/>
          <w:color w:val="000000"/>
          <w:sz w:val="24"/>
          <w:szCs w:val="24"/>
        </w:rPr>
        <w:t xml:space="preserve">under sentence of death </w:t>
      </w:r>
      <w:r w:rsidRPr="0069617C">
        <w:rPr>
          <w:rFonts w:ascii="Times New Roman" w:eastAsia="Times New Roman" w:hAnsi="Times New Roman"/>
          <w:color w:val="000000"/>
          <w:sz w:val="24"/>
          <w:szCs w:val="24"/>
        </w:rPr>
        <w:t xml:space="preserve">across the globe. </w:t>
      </w:r>
      <w:r w:rsidR="00976628">
        <w:rPr>
          <w:rFonts w:ascii="Times New Roman" w:eastAsia="Times New Roman" w:hAnsi="Times New Roman"/>
          <w:color w:val="000000"/>
          <w:sz w:val="24"/>
          <w:szCs w:val="24"/>
        </w:rPr>
        <w:t xml:space="preserve">Because </w:t>
      </w:r>
      <w:r w:rsidRPr="0069617C">
        <w:rPr>
          <w:rFonts w:ascii="Times New Roman" w:eastAsia="Times New Roman" w:hAnsi="Times New Roman"/>
          <w:color w:val="000000"/>
          <w:sz w:val="24"/>
          <w:szCs w:val="24"/>
        </w:rPr>
        <w:t>women make up an estimated 5% of the global death row population</w:t>
      </w:r>
      <w:r w:rsidR="00976628">
        <w:rPr>
          <w:rFonts w:ascii="Times New Roman" w:eastAsia="Times New Roman" w:hAnsi="Times New Roman"/>
          <w:color w:val="000000"/>
          <w:sz w:val="24"/>
          <w:szCs w:val="24"/>
        </w:rPr>
        <w:t>,</w:t>
      </w:r>
      <w:r w:rsidRPr="0069617C">
        <w:rPr>
          <w:rFonts w:ascii="Times New Roman" w:eastAsia="Times New Roman" w:hAnsi="Times New Roman"/>
          <w:color w:val="000000"/>
          <w:sz w:val="24"/>
          <w:szCs w:val="24"/>
        </w:rPr>
        <w:t xml:space="preserve"> their lived experiences go largely unnoticed.</w:t>
      </w:r>
      <w:r w:rsidRPr="0069617C">
        <w:rPr>
          <w:rStyle w:val="Appelnotedebasdep"/>
          <w:rFonts w:ascii="Times New Roman" w:eastAsia="Times New Roman" w:hAnsi="Times New Roman"/>
          <w:color w:val="000000"/>
          <w:sz w:val="24"/>
          <w:szCs w:val="24"/>
        </w:rPr>
        <w:footnoteReference w:id="2"/>
      </w:r>
      <w:r w:rsidRPr="0069617C">
        <w:rPr>
          <w:rFonts w:ascii="Times New Roman" w:eastAsia="Times New Roman" w:hAnsi="Times New Roman"/>
          <w:color w:val="000000"/>
          <w:sz w:val="24"/>
          <w:szCs w:val="24"/>
        </w:rPr>
        <w:t xml:space="preserve"> Moreover, because “many existing prison facilities worldwide were designed primarily for male prisoners,”</w:t>
      </w:r>
      <w:r w:rsidRPr="0069617C">
        <w:rPr>
          <w:rStyle w:val="Appelnotedebasdep"/>
          <w:rFonts w:ascii="Times New Roman" w:eastAsia="Times New Roman" w:hAnsi="Times New Roman"/>
          <w:color w:val="000000"/>
          <w:sz w:val="24"/>
          <w:szCs w:val="24"/>
        </w:rPr>
        <w:footnoteReference w:id="3"/>
      </w:r>
      <w:r w:rsidRPr="0069617C">
        <w:rPr>
          <w:rFonts w:ascii="Times New Roman" w:eastAsia="Times New Roman" w:hAnsi="Times New Roman"/>
          <w:color w:val="000000"/>
          <w:sz w:val="24"/>
          <w:szCs w:val="24"/>
        </w:rPr>
        <w:t xml:space="preserve"> </w:t>
      </w:r>
      <w:r w:rsidR="00C851ED">
        <w:rPr>
          <w:rFonts w:ascii="Times New Roman" w:eastAsia="Times New Roman" w:hAnsi="Times New Roman"/>
          <w:color w:val="000000"/>
          <w:sz w:val="24"/>
          <w:szCs w:val="24"/>
        </w:rPr>
        <w:t xml:space="preserve">officials and lawmakers overlook the </w:t>
      </w:r>
      <w:r w:rsidRPr="0069617C">
        <w:rPr>
          <w:rFonts w:ascii="Times New Roman" w:eastAsia="Times New Roman" w:hAnsi="Times New Roman"/>
          <w:color w:val="000000"/>
          <w:sz w:val="24"/>
          <w:szCs w:val="24"/>
        </w:rPr>
        <w:t>“unique needs and vulnerabilities of women.”</w:t>
      </w:r>
      <w:r w:rsidRPr="0069617C">
        <w:rPr>
          <w:rStyle w:val="Appelnotedebasdep"/>
          <w:rFonts w:ascii="Times New Roman" w:eastAsia="Times New Roman" w:hAnsi="Times New Roman"/>
          <w:color w:val="000000"/>
          <w:sz w:val="24"/>
          <w:szCs w:val="24"/>
        </w:rPr>
        <w:footnoteReference w:id="4"/>
      </w:r>
      <w:r w:rsidRPr="0069617C">
        <w:rPr>
          <w:rFonts w:ascii="Times New Roman" w:eastAsia="Times New Roman" w:hAnsi="Times New Roman"/>
          <w:color w:val="000000"/>
          <w:sz w:val="24"/>
          <w:szCs w:val="24"/>
        </w:rPr>
        <w:t xml:space="preserve"> </w:t>
      </w:r>
      <w:r w:rsidR="003E66BA">
        <w:rPr>
          <w:rFonts w:ascii="Times New Roman" w:eastAsia="Times New Roman" w:hAnsi="Times New Roman"/>
          <w:color w:val="000000"/>
          <w:sz w:val="24"/>
          <w:szCs w:val="24"/>
        </w:rPr>
        <w:t xml:space="preserve">Their conditions </w:t>
      </w:r>
      <w:r w:rsidRPr="0069617C">
        <w:rPr>
          <w:rFonts w:ascii="Times New Roman" w:eastAsia="Times New Roman" w:hAnsi="Times New Roman"/>
          <w:color w:val="000000"/>
          <w:sz w:val="24"/>
          <w:szCs w:val="24"/>
        </w:rPr>
        <w:t xml:space="preserve">can be exacerbated further because </w:t>
      </w:r>
      <w:r w:rsidRPr="0069617C">
        <w:rPr>
          <w:rFonts w:ascii="Times New Roman" w:hAnsi="Times New Roman"/>
          <w:sz w:val="24"/>
          <w:szCs w:val="24"/>
        </w:rPr>
        <w:t>“women tend to remain on death row for increasingly longer periods in prisons that are not designed for women generally or for long-term women prisoners specifically.”</w:t>
      </w:r>
      <w:r w:rsidRPr="0069617C">
        <w:rPr>
          <w:rStyle w:val="Appelnotedebasdep"/>
          <w:rFonts w:ascii="Times New Roman" w:hAnsi="Times New Roman"/>
          <w:sz w:val="24"/>
          <w:szCs w:val="24"/>
        </w:rPr>
        <w:footnoteReference w:id="5"/>
      </w:r>
    </w:p>
    <w:p w14:paraId="3813B69A" w14:textId="55C53EE2" w:rsidR="003C38F0" w:rsidRPr="0069617C" w:rsidRDefault="003C38F0"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Much of the information that is pertinent to conditions for women </w:t>
      </w:r>
      <w:r w:rsidR="00825AA9">
        <w:rPr>
          <w:rFonts w:ascii="Times New Roman" w:eastAsia="Times New Roman" w:hAnsi="Times New Roman"/>
          <w:color w:val="000000"/>
          <w:sz w:val="24"/>
          <w:szCs w:val="24"/>
        </w:rPr>
        <w:t>under sentence of death applies equally to other women in detention</w:t>
      </w:r>
      <w:r w:rsidR="002D7E74">
        <w:rPr>
          <w:rFonts w:ascii="Times New Roman" w:eastAsia="Times New Roman" w:hAnsi="Times New Roman"/>
          <w:color w:val="000000"/>
          <w:sz w:val="24"/>
          <w:szCs w:val="24"/>
        </w:rPr>
        <w:t>;</w:t>
      </w:r>
      <w:r w:rsidRPr="0069617C">
        <w:rPr>
          <w:rFonts w:ascii="Times New Roman" w:eastAsia="Times New Roman" w:hAnsi="Times New Roman"/>
          <w:color w:val="000000"/>
          <w:sz w:val="24"/>
          <w:szCs w:val="24"/>
        </w:rPr>
        <w:t xml:space="preserve"> specific information on death row conditions is rare. </w:t>
      </w:r>
      <w:r w:rsidR="002D7E74">
        <w:rPr>
          <w:rFonts w:ascii="Times New Roman" w:eastAsia="Times New Roman" w:hAnsi="Times New Roman"/>
          <w:color w:val="000000"/>
          <w:sz w:val="24"/>
          <w:szCs w:val="24"/>
        </w:rPr>
        <w:t xml:space="preserve">Evidence suggests that </w:t>
      </w:r>
      <w:r w:rsidRPr="0069617C">
        <w:rPr>
          <w:rFonts w:ascii="Times New Roman" w:eastAsia="Times New Roman" w:hAnsi="Times New Roman"/>
          <w:color w:val="000000"/>
          <w:sz w:val="24"/>
          <w:szCs w:val="24"/>
        </w:rPr>
        <w:t>“death row inmates are usually exposed to the same environment as the general prison population,” if not “worse.”</w:t>
      </w:r>
      <w:r w:rsidRPr="0069617C">
        <w:rPr>
          <w:rStyle w:val="Appelnotedebasdep"/>
          <w:rFonts w:ascii="Times New Roman" w:eastAsia="Times New Roman" w:hAnsi="Times New Roman"/>
          <w:color w:val="000000"/>
          <w:sz w:val="24"/>
          <w:szCs w:val="24"/>
        </w:rPr>
        <w:footnoteReference w:id="6"/>
      </w:r>
    </w:p>
    <w:p w14:paraId="6750FB13" w14:textId="21E60483" w:rsidR="003C38F0" w:rsidRDefault="003C38F0"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Despite lack of transparent information, States subject women to a variety of </w:t>
      </w:r>
      <w:r w:rsidR="007C34F7">
        <w:rPr>
          <w:rFonts w:ascii="Times New Roman" w:eastAsia="Times New Roman" w:hAnsi="Times New Roman"/>
          <w:color w:val="000000"/>
          <w:sz w:val="24"/>
          <w:szCs w:val="24"/>
        </w:rPr>
        <w:t xml:space="preserve">cruel, </w:t>
      </w:r>
      <w:r w:rsidRPr="0069617C">
        <w:rPr>
          <w:rFonts w:ascii="Times New Roman" w:eastAsia="Times New Roman" w:hAnsi="Times New Roman"/>
          <w:color w:val="000000"/>
          <w:sz w:val="24"/>
          <w:szCs w:val="24"/>
        </w:rPr>
        <w:t>inhuman</w:t>
      </w:r>
      <w:r w:rsidR="007C34F7">
        <w:rPr>
          <w:rFonts w:ascii="Times New Roman" w:eastAsia="Times New Roman" w:hAnsi="Times New Roman"/>
          <w:color w:val="000000"/>
          <w:sz w:val="24"/>
          <w:szCs w:val="24"/>
        </w:rPr>
        <w:t>, and degrading</w:t>
      </w:r>
      <w:r w:rsidRPr="0069617C">
        <w:rPr>
          <w:rFonts w:ascii="Times New Roman" w:eastAsia="Times New Roman" w:hAnsi="Times New Roman"/>
          <w:color w:val="000000"/>
          <w:sz w:val="24"/>
          <w:szCs w:val="24"/>
        </w:rPr>
        <w:t xml:space="preserve"> detention practices, “from the sterile, solitary confinement that pervades death row in many states in the United States, to the unsanitary and overcrowded prisons in some parts of the Caribbean and Sub-Saharan Africa.”</w:t>
      </w:r>
      <w:r w:rsidRPr="0069617C">
        <w:rPr>
          <w:rStyle w:val="Appelnotedebasdep"/>
          <w:rFonts w:ascii="Times New Roman" w:eastAsia="Times New Roman" w:hAnsi="Times New Roman"/>
          <w:color w:val="000000"/>
          <w:sz w:val="24"/>
          <w:szCs w:val="24"/>
        </w:rPr>
        <w:footnoteReference w:id="7"/>
      </w:r>
    </w:p>
    <w:p w14:paraId="21CFFF66" w14:textId="77777777" w:rsidR="00EB6308" w:rsidRPr="0069617C" w:rsidRDefault="00EB6308" w:rsidP="00EB6308">
      <w:pPr>
        <w:pStyle w:val="Paragraphedeliste"/>
        <w:spacing w:after="120" w:line="240" w:lineRule="auto"/>
        <w:contextualSpacing w:val="0"/>
        <w:jc w:val="both"/>
        <w:rPr>
          <w:rFonts w:ascii="Times New Roman" w:eastAsia="Times New Roman" w:hAnsi="Times New Roman"/>
          <w:color w:val="000000"/>
          <w:sz w:val="24"/>
          <w:szCs w:val="24"/>
        </w:rPr>
      </w:pPr>
    </w:p>
    <w:p w14:paraId="28BCEC88" w14:textId="1B8CEB66" w:rsidR="003C38F0" w:rsidRPr="0069617C" w:rsidRDefault="00A167AA" w:rsidP="00827209">
      <w:pPr>
        <w:pStyle w:val="Paragraphedeliste"/>
        <w:keepNext/>
        <w:numPr>
          <w:ilvl w:val="0"/>
          <w:numId w:val="10"/>
        </w:numPr>
        <w:spacing w:after="120" w:line="240" w:lineRule="auto"/>
        <w:ind w:left="360" w:hanging="360"/>
        <w:contextualSpacing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GENERAL </w:t>
      </w:r>
      <w:r w:rsidR="003C38F0" w:rsidRPr="0069617C">
        <w:rPr>
          <w:rFonts w:ascii="Times New Roman" w:eastAsia="Times New Roman" w:hAnsi="Times New Roman"/>
          <w:b/>
          <w:bCs/>
          <w:color w:val="000000"/>
          <w:sz w:val="24"/>
          <w:szCs w:val="24"/>
        </w:rPr>
        <w:t xml:space="preserve">CONDITIONS OF DETENTION FOR WOMEN </w:t>
      </w:r>
      <w:r w:rsidR="003B72E0">
        <w:rPr>
          <w:rFonts w:ascii="Times New Roman" w:eastAsia="Times New Roman" w:hAnsi="Times New Roman"/>
          <w:b/>
          <w:bCs/>
          <w:color w:val="000000"/>
          <w:sz w:val="24"/>
          <w:szCs w:val="24"/>
        </w:rPr>
        <w:t xml:space="preserve">UNDER SENTENCE OF </w:t>
      </w:r>
      <w:r w:rsidR="003C38F0" w:rsidRPr="0069617C">
        <w:rPr>
          <w:rFonts w:ascii="Times New Roman" w:eastAsia="Times New Roman" w:hAnsi="Times New Roman"/>
          <w:b/>
          <w:bCs/>
          <w:color w:val="000000"/>
          <w:sz w:val="24"/>
          <w:szCs w:val="24"/>
        </w:rPr>
        <w:t>DEATH</w:t>
      </w:r>
      <w:r w:rsidR="003B72E0">
        <w:rPr>
          <w:rFonts w:ascii="Times New Roman" w:eastAsia="Times New Roman" w:hAnsi="Times New Roman"/>
          <w:b/>
          <w:bCs/>
          <w:color w:val="000000"/>
          <w:sz w:val="24"/>
          <w:szCs w:val="24"/>
        </w:rPr>
        <w:t xml:space="preserve"> AROUND THE WORLD</w:t>
      </w:r>
    </w:p>
    <w:p w14:paraId="72CAF512" w14:textId="77777777" w:rsidR="003C38F0" w:rsidRPr="0069617C" w:rsidRDefault="003C38F0" w:rsidP="00827209">
      <w:pPr>
        <w:pStyle w:val="Paragraphedeliste"/>
        <w:numPr>
          <w:ilvl w:val="0"/>
          <w:numId w:val="11"/>
        </w:numPr>
        <w:spacing w:after="120" w:line="240" w:lineRule="auto"/>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Typically, State authorities house women separately from men. Rule 43 of the Bangkok Rules requires that women be in separate prison buildings from men, but in practice, women typically are “held in separate units within male prisons.”</w:t>
      </w:r>
      <w:r w:rsidRPr="0069617C">
        <w:rPr>
          <w:rStyle w:val="Appelnotedebasdep"/>
          <w:rFonts w:ascii="Times New Roman" w:eastAsia="Times New Roman" w:hAnsi="Times New Roman"/>
          <w:color w:val="000000"/>
          <w:sz w:val="24"/>
          <w:szCs w:val="24"/>
        </w:rPr>
        <w:footnoteReference w:id="8"/>
      </w:r>
      <w:r w:rsidRPr="0069617C">
        <w:rPr>
          <w:rFonts w:ascii="Times New Roman" w:eastAsia="Times New Roman" w:hAnsi="Times New Roman"/>
          <w:color w:val="000000"/>
          <w:sz w:val="24"/>
          <w:szCs w:val="24"/>
        </w:rPr>
        <w:t xml:space="preserve"> </w:t>
      </w:r>
    </w:p>
    <w:p w14:paraId="6F28A14E" w14:textId="77777777" w:rsidR="003C38F0" w:rsidRPr="0069617C" w:rsidRDefault="003C38F0" w:rsidP="00033AA6">
      <w:pPr>
        <w:keepNext/>
        <w:spacing w:after="120"/>
        <w:jc w:val="center"/>
        <w:rPr>
          <w:b/>
          <w:bCs/>
          <w:color w:val="000000"/>
        </w:rPr>
      </w:pPr>
      <w:r w:rsidRPr="0069617C">
        <w:rPr>
          <w:b/>
          <w:bCs/>
          <w:color w:val="000000"/>
        </w:rPr>
        <w:lastRenderedPageBreak/>
        <w:t>Overcrowding, Temperature, and Hygiene</w:t>
      </w:r>
    </w:p>
    <w:p w14:paraId="04C13197" w14:textId="1F6FCA31" w:rsidR="003C38F0" w:rsidRPr="0069617C" w:rsidRDefault="003C38F0"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Overcrowding is a significant issue </w:t>
      </w:r>
      <w:r w:rsidR="00A167AA">
        <w:rPr>
          <w:rFonts w:ascii="Times New Roman" w:eastAsia="Times New Roman" w:hAnsi="Times New Roman"/>
          <w:color w:val="000000"/>
          <w:sz w:val="24"/>
          <w:szCs w:val="24"/>
        </w:rPr>
        <w:t xml:space="preserve">for people under sentence of </w:t>
      </w:r>
      <w:r w:rsidRPr="0069617C">
        <w:rPr>
          <w:rFonts w:ascii="Times New Roman" w:eastAsia="Times New Roman" w:hAnsi="Times New Roman"/>
          <w:color w:val="000000"/>
          <w:sz w:val="24"/>
          <w:szCs w:val="24"/>
        </w:rPr>
        <w:t>death in the majority of retentionist countries.</w:t>
      </w:r>
      <w:r w:rsidRPr="0069617C">
        <w:rPr>
          <w:rStyle w:val="Appelnotedebasdep"/>
          <w:rFonts w:ascii="Times New Roman" w:eastAsia="Times New Roman" w:hAnsi="Times New Roman"/>
          <w:color w:val="000000"/>
          <w:sz w:val="24"/>
          <w:szCs w:val="24"/>
        </w:rPr>
        <w:footnoteReference w:id="9"/>
      </w:r>
      <w:r w:rsidRPr="0069617C">
        <w:rPr>
          <w:rFonts w:ascii="Times New Roman" w:eastAsia="Times New Roman" w:hAnsi="Times New Roman"/>
          <w:color w:val="000000"/>
          <w:sz w:val="24"/>
          <w:szCs w:val="24"/>
        </w:rPr>
        <w:t xml:space="preserve"> Moreover, the size of cells and overcrowding overlap with temperature and ventilation issues, all of which have sizeable effects on the mental health, physical health, hygiene, and safety of women </w:t>
      </w:r>
      <w:r w:rsidR="000375F4">
        <w:rPr>
          <w:rFonts w:ascii="Times New Roman" w:eastAsia="Times New Roman" w:hAnsi="Times New Roman"/>
          <w:color w:val="000000"/>
          <w:sz w:val="24"/>
          <w:szCs w:val="24"/>
        </w:rPr>
        <w:t>in detention</w:t>
      </w:r>
      <w:r w:rsidRPr="0069617C">
        <w:rPr>
          <w:rFonts w:ascii="Times New Roman" w:eastAsia="Times New Roman" w:hAnsi="Times New Roman"/>
          <w:color w:val="000000"/>
          <w:sz w:val="24"/>
          <w:szCs w:val="24"/>
        </w:rPr>
        <w:t>.</w:t>
      </w:r>
    </w:p>
    <w:p w14:paraId="17F42F69" w14:textId="7C913023" w:rsidR="00015023" w:rsidRPr="00015023" w:rsidRDefault="00015023" w:rsidP="00015023">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Overcrowding </w:t>
      </w:r>
      <w:r w:rsidR="007B7B51">
        <w:rPr>
          <w:rFonts w:ascii="Times New Roman" w:eastAsia="Times New Roman" w:hAnsi="Times New Roman"/>
          <w:color w:val="000000"/>
          <w:sz w:val="24"/>
          <w:szCs w:val="24"/>
        </w:rPr>
        <w:t xml:space="preserve">and lack of adequate hygiene are </w:t>
      </w:r>
      <w:r>
        <w:rPr>
          <w:rFonts w:ascii="Times New Roman" w:eastAsia="Times New Roman" w:hAnsi="Times New Roman"/>
          <w:color w:val="000000"/>
          <w:sz w:val="24"/>
          <w:szCs w:val="24"/>
        </w:rPr>
        <w:t xml:space="preserve">common for women under sentence of death in Sub-Saharan Africa. </w:t>
      </w:r>
      <w:r w:rsidR="003C38F0" w:rsidRPr="00FC244A">
        <w:rPr>
          <w:rFonts w:ascii="Times New Roman" w:eastAsia="Times New Roman" w:hAnsi="Times New Roman"/>
          <w:color w:val="000000"/>
          <w:sz w:val="24"/>
          <w:szCs w:val="24"/>
        </w:rPr>
        <w:t>One defense lawyer who frequently visits clients on death row in Cameroon described cells as “narrow, dilapidated, badly ventilated and totally uncomfortable.”</w:t>
      </w:r>
      <w:r w:rsidR="003C38F0" w:rsidRPr="0069617C">
        <w:rPr>
          <w:rStyle w:val="Appelnotedebasdep"/>
          <w:rFonts w:ascii="Times New Roman" w:eastAsia="Times New Roman" w:hAnsi="Times New Roman"/>
          <w:color w:val="000000"/>
          <w:sz w:val="24"/>
          <w:szCs w:val="24"/>
        </w:rPr>
        <w:footnoteReference w:id="10"/>
      </w:r>
      <w:r w:rsidR="003C38F0" w:rsidRPr="00FC244A">
        <w:rPr>
          <w:rFonts w:ascii="Times New Roman" w:eastAsia="Times New Roman" w:hAnsi="Times New Roman"/>
          <w:color w:val="000000"/>
          <w:sz w:val="24"/>
          <w:szCs w:val="24"/>
        </w:rPr>
        <w:t xml:space="preserve"> Cameroonian authorities reportedly allow women less than 1 square meter per prisoner, as a 40-square-meter cell can hold 60 women.</w:t>
      </w:r>
      <w:r w:rsidR="003C38F0" w:rsidRPr="0069617C">
        <w:rPr>
          <w:rStyle w:val="Appelnotedebasdep"/>
          <w:rFonts w:ascii="Times New Roman" w:eastAsia="Times New Roman" w:hAnsi="Times New Roman"/>
          <w:color w:val="000000"/>
          <w:sz w:val="24"/>
          <w:szCs w:val="24"/>
        </w:rPr>
        <w:footnoteReference w:id="11"/>
      </w:r>
      <w:r w:rsidR="003C38F0" w:rsidRPr="00FC244A">
        <w:rPr>
          <w:rFonts w:ascii="Times New Roman" w:eastAsia="Times New Roman" w:hAnsi="Times New Roman"/>
          <w:color w:val="000000"/>
          <w:sz w:val="24"/>
          <w:szCs w:val="24"/>
        </w:rPr>
        <w:t xml:space="preserve"> Similarly, both the Democratic Republic of the Congo and Thailand hold women in such crowded cells that women must take turns sleeping on the bare floor.</w:t>
      </w:r>
      <w:r w:rsidR="003C38F0" w:rsidRPr="0069617C">
        <w:rPr>
          <w:rStyle w:val="Appelnotedebasdep"/>
          <w:rFonts w:ascii="Times New Roman" w:eastAsia="Times New Roman" w:hAnsi="Times New Roman"/>
          <w:color w:val="000000"/>
          <w:sz w:val="24"/>
          <w:szCs w:val="24"/>
        </w:rPr>
        <w:footnoteReference w:id="12"/>
      </w:r>
      <w:r w:rsidR="00FC244A" w:rsidRPr="007B7B51">
        <w:rPr>
          <w:rFonts w:ascii="Times New Roman" w:eastAsia="Times New Roman" w:hAnsi="Times New Roman"/>
          <w:color w:val="000000"/>
          <w:sz w:val="24"/>
          <w:szCs w:val="24"/>
        </w:rPr>
        <w:t xml:space="preserve"> </w:t>
      </w:r>
      <w:r w:rsidRPr="007B7B51">
        <w:rPr>
          <w:rFonts w:ascii="Times New Roman" w:eastAsia="Times New Roman" w:hAnsi="Times New Roman"/>
          <w:color w:val="000000"/>
          <w:sz w:val="24"/>
          <w:szCs w:val="24"/>
        </w:rPr>
        <w:t>Malawi exposes women to severe overcrowding, holding up to six women into small, windowless cement cells.</w:t>
      </w:r>
      <w:r w:rsidRPr="0069617C">
        <w:rPr>
          <w:rStyle w:val="Appelnotedebasdep"/>
          <w:rFonts w:ascii="Times New Roman" w:eastAsia="Times New Roman" w:hAnsi="Times New Roman"/>
          <w:color w:val="000000"/>
          <w:sz w:val="24"/>
          <w:szCs w:val="24"/>
        </w:rPr>
        <w:footnoteReference w:id="13"/>
      </w:r>
      <w:r w:rsidRPr="007B7B51">
        <w:rPr>
          <w:rFonts w:ascii="Times New Roman" w:eastAsia="Times New Roman" w:hAnsi="Times New Roman"/>
          <w:color w:val="000000"/>
          <w:sz w:val="24"/>
          <w:szCs w:val="24"/>
        </w:rPr>
        <w:t xml:space="preserve"> The only point of ventilation “is a small hole over the door leading to the hallway.”</w:t>
      </w:r>
      <w:r w:rsidRPr="0069617C">
        <w:rPr>
          <w:rStyle w:val="Appelnotedebasdep"/>
          <w:rFonts w:ascii="Times New Roman" w:eastAsia="Times New Roman" w:hAnsi="Times New Roman"/>
          <w:color w:val="000000"/>
          <w:sz w:val="24"/>
          <w:szCs w:val="24"/>
        </w:rPr>
        <w:footnoteReference w:id="14"/>
      </w:r>
      <w:r w:rsidR="007B7B51" w:rsidRPr="007B7B51">
        <w:rPr>
          <w:rFonts w:ascii="Times New Roman" w:eastAsia="Times New Roman" w:hAnsi="Times New Roman"/>
          <w:color w:val="000000"/>
          <w:sz w:val="24"/>
          <w:szCs w:val="24"/>
        </w:rPr>
        <w:t xml:space="preserve"> In both Malawi and the Democratic Republic of the Congo, the toilets are outside the cells, so women must use buckets when their cells are locked at night.</w:t>
      </w:r>
      <w:r w:rsidR="007B7B51" w:rsidRPr="0069617C">
        <w:rPr>
          <w:rStyle w:val="Appelnotedebasdep"/>
          <w:rFonts w:ascii="Times New Roman" w:eastAsia="Times New Roman" w:hAnsi="Times New Roman"/>
          <w:color w:val="000000"/>
          <w:sz w:val="24"/>
          <w:szCs w:val="24"/>
        </w:rPr>
        <w:footnoteReference w:id="15"/>
      </w:r>
    </w:p>
    <w:p w14:paraId="7AA44422" w14:textId="25F1C7A6" w:rsidR="003C38F0" w:rsidRPr="00015023" w:rsidRDefault="007B7B51" w:rsidP="00AC5807">
      <w:pPr>
        <w:numPr>
          <w:ilvl w:val="0"/>
          <w:numId w:val="11"/>
        </w:numPr>
        <w:spacing w:after="120"/>
        <w:jc w:val="both"/>
      </w:pPr>
      <w:r>
        <w:rPr>
          <w:color w:val="000000"/>
        </w:rPr>
        <w:t xml:space="preserve">Overcrowding, inadequate temperature control, and lack of adequate hygiene are also common for women under sentence of death in Asia. </w:t>
      </w:r>
      <w:r w:rsidR="003C38F0" w:rsidRPr="00FC244A">
        <w:rPr>
          <w:color w:val="000000"/>
        </w:rPr>
        <w:t>Tihar Jail in India houses women on death row, and the women’s ward holds roughly double its capacity of women.</w:t>
      </w:r>
      <w:r w:rsidR="003C38F0" w:rsidRPr="0069617C">
        <w:rPr>
          <w:rStyle w:val="Appelnotedebasdep"/>
          <w:color w:val="000000"/>
        </w:rPr>
        <w:footnoteReference w:id="16"/>
      </w:r>
      <w:r w:rsidR="00015023">
        <w:rPr>
          <w:color w:val="000000"/>
        </w:rPr>
        <w:t xml:space="preserve"> </w:t>
      </w:r>
      <w:r w:rsidR="003C38F0" w:rsidRPr="00015023">
        <w:t>In Sri Lanka, women on death row reportedly live in “tiny cells” with paper-thin beds where “temperatures in unventilated rooms reach dangerously high levels.”</w:t>
      </w:r>
      <w:r w:rsidR="003C38F0" w:rsidRPr="0069617C">
        <w:rPr>
          <w:rStyle w:val="Appelnotedebasdep"/>
          <w:color w:val="000000"/>
        </w:rPr>
        <w:footnoteReference w:id="17"/>
      </w:r>
      <w:r w:rsidR="003C38F0" w:rsidRPr="00015023">
        <w:t xml:space="preserve"> </w:t>
      </w:r>
      <w:r w:rsidRPr="0069617C">
        <w:rPr>
          <w:color w:val="000000"/>
        </w:rPr>
        <w:t xml:space="preserve">Women on death </w:t>
      </w:r>
      <w:r w:rsidRPr="0069617C">
        <w:rPr>
          <w:color w:val="000000"/>
        </w:rPr>
        <w:lastRenderedPageBreak/>
        <w:t>row in Malaysia must use in-cell toilets that are in full view of guards, meaning there is no privacy.</w:t>
      </w:r>
      <w:r w:rsidRPr="0069617C">
        <w:rPr>
          <w:rStyle w:val="Appelnotedebasdep"/>
          <w:color w:val="000000"/>
        </w:rPr>
        <w:footnoteReference w:id="18"/>
      </w:r>
    </w:p>
    <w:p w14:paraId="6D0451DE" w14:textId="43C2FD53" w:rsidR="003C38F0" w:rsidRPr="0069617C" w:rsidRDefault="00C675D6" w:rsidP="00827209">
      <w:pPr>
        <w:pStyle w:val="Paragraphedeliste"/>
        <w:numPr>
          <w:ilvl w:val="0"/>
          <w:numId w:val="11"/>
        </w:numPr>
        <w:spacing w:after="120" w:line="240" w:lineRule="auto"/>
        <w:contextualSpacing w:val="0"/>
        <w:jc w:val="both"/>
        <w:rPr>
          <w:rFonts w:ascii="Times New Roman" w:hAnsi="Times New Roman"/>
          <w:sz w:val="24"/>
          <w:szCs w:val="24"/>
        </w:rPr>
      </w:pPr>
      <w:r>
        <w:rPr>
          <w:rFonts w:ascii="Times New Roman" w:eastAsia="Times New Roman" w:hAnsi="Times New Roman"/>
          <w:color w:val="000000"/>
          <w:sz w:val="24"/>
          <w:szCs w:val="24"/>
        </w:rPr>
        <w:t xml:space="preserve">Women under sentence of death in the Middle East and North Africa (MENA) </w:t>
      </w:r>
      <w:r w:rsidR="00F46519">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egion also experience overcrowding and lack of adequate hygiene. </w:t>
      </w:r>
      <w:r w:rsidR="003C38F0" w:rsidRPr="00C675D6">
        <w:rPr>
          <w:rFonts w:ascii="Times New Roman" w:hAnsi="Times New Roman"/>
          <w:color w:val="000000"/>
          <w:sz w:val="24"/>
          <w:szCs w:val="24"/>
        </w:rPr>
        <w:t>Reports have documented excessive crowding in regions of Yemen under Houthi control, where numerous women face death sentences.</w:t>
      </w:r>
      <w:r w:rsidR="003C38F0" w:rsidRPr="0069617C">
        <w:rPr>
          <w:rStyle w:val="Appelnotedebasdep"/>
          <w:rFonts w:ascii="Times New Roman" w:hAnsi="Times New Roman"/>
          <w:color w:val="000000"/>
          <w:sz w:val="24"/>
          <w:szCs w:val="24"/>
        </w:rPr>
        <w:footnoteReference w:id="19"/>
      </w:r>
      <w:r w:rsidR="003C38F0" w:rsidRPr="00C675D6">
        <w:rPr>
          <w:rFonts w:ascii="Times New Roman" w:hAnsi="Times New Roman"/>
          <w:color w:val="000000"/>
          <w:sz w:val="24"/>
          <w:szCs w:val="24"/>
        </w:rPr>
        <w:t xml:space="preserve"> Rawya Rageh, journalist for Amnesty International, </w:t>
      </w:r>
      <w:r w:rsidR="003C38F0" w:rsidRPr="00C675D6">
        <w:rPr>
          <w:rFonts w:ascii="Times New Roman" w:eastAsia="Times New Roman" w:hAnsi="Times New Roman"/>
          <w:color w:val="000000"/>
          <w:sz w:val="24"/>
          <w:szCs w:val="24"/>
        </w:rPr>
        <w:t>noted</w:t>
      </w:r>
      <w:r w:rsidR="003C38F0" w:rsidRPr="00C675D6">
        <w:rPr>
          <w:rFonts w:ascii="Times New Roman" w:hAnsi="Times New Roman"/>
          <w:color w:val="000000"/>
          <w:sz w:val="24"/>
          <w:szCs w:val="24"/>
        </w:rPr>
        <w:t xml:space="preserve"> that “detainees are crammed into filthy, overcrowded cells, and are systematically extorted for money.”</w:t>
      </w:r>
      <w:r w:rsidR="003C38F0" w:rsidRPr="0069617C">
        <w:rPr>
          <w:rStyle w:val="Appelnotedebasdep"/>
          <w:rFonts w:ascii="Times New Roman" w:eastAsia="Times New Roman" w:hAnsi="Times New Roman"/>
          <w:color w:val="000000"/>
          <w:sz w:val="24"/>
          <w:szCs w:val="24"/>
        </w:rPr>
        <w:footnoteReference w:id="20"/>
      </w:r>
      <w:r w:rsidR="003C38F0" w:rsidRPr="00C675D6">
        <w:rPr>
          <w:rFonts w:ascii="Times New Roman" w:hAnsi="Times New Roman"/>
          <w:color w:val="000000"/>
          <w:sz w:val="24"/>
          <w:szCs w:val="24"/>
        </w:rPr>
        <w:t xml:space="preserve"> </w:t>
      </w:r>
      <w:r w:rsidR="003C38F0" w:rsidRPr="0069617C">
        <w:rPr>
          <w:rFonts w:ascii="Times New Roman" w:hAnsi="Times New Roman"/>
          <w:sz w:val="24"/>
          <w:szCs w:val="24"/>
        </w:rPr>
        <w:t xml:space="preserve">Women </w:t>
      </w:r>
      <w:r w:rsidR="003C38F0" w:rsidRPr="00827209">
        <w:rPr>
          <w:rFonts w:ascii="Times New Roman" w:eastAsia="Times New Roman" w:hAnsi="Times New Roman"/>
          <w:color w:val="000000"/>
          <w:sz w:val="24"/>
          <w:szCs w:val="24"/>
        </w:rPr>
        <w:t>imprisoned</w:t>
      </w:r>
      <w:r w:rsidR="003C38F0" w:rsidRPr="0069617C">
        <w:rPr>
          <w:rFonts w:ascii="Times New Roman" w:hAnsi="Times New Roman"/>
          <w:sz w:val="24"/>
          <w:szCs w:val="24"/>
        </w:rPr>
        <w:t xml:space="preserve"> in Lebanon use toothpaste to clean their cells because of a prohibition on using household cleaners.</w:t>
      </w:r>
      <w:r w:rsidR="003C38F0" w:rsidRPr="0069617C">
        <w:rPr>
          <w:rStyle w:val="Appelnotedebasdep"/>
          <w:rFonts w:ascii="Times New Roman" w:hAnsi="Times New Roman"/>
          <w:sz w:val="24"/>
          <w:szCs w:val="24"/>
        </w:rPr>
        <w:footnoteReference w:id="21"/>
      </w:r>
    </w:p>
    <w:p w14:paraId="59C594B4" w14:textId="01EBBD07" w:rsidR="003C38F0" w:rsidRPr="0069617C" w:rsidRDefault="003C38F0" w:rsidP="00827209">
      <w:pPr>
        <w:keepNext/>
        <w:spacing w:after="120"/>
        <w:jc w:val="center"/>
        <w:rPr>
          <w:b/>
          <w:bCs/>
          <w:color w:val="000000"/>
        </w:rPr>
      </w:pPr>
      <w:r w:rsidRPr="0069617C">
        <w:rPr>
          <w:b/>
          <w:bCs/>
          <w:color w:val="000000"/>
        </w:rPr>
        <w:t xml:space="preserve">Access to </w:t>
      </w:r>
      <w:r w:rsidR="00B76E43">
        <w:rPr>
          <w:b/>
          <w:bCs/>
          <w:color w:val="000000"/>
        </w:rPr>
        <w:t xml:space="preserve">Health-Related </w:t>
      </w:r>
      <w:r w:rsidRPr="0069617C">
        <w:rPr>
          <w:b/>
          <w:bCs/>
          <w:color w:val="000000"/>
        </w:rPr>
        <w:t>Necessities</w:t>
      </w:r>
      <w:r w:rsidR="00FC7505">
        <w:rPr>
          <w:b/>
          <w:bCs/>
          <w:color w:val="000000"/>
        </w:rPr>
        <w:t xml:space="preserve"> and Food and Water</w:t>
      </w:r>
    </w:p>
    <w:p w14:paraId="0BE69C54" w14:textId="77777777" w:rsidR="003C38F0" w:rsidRPr="0069617C" w:rsidRDefault="003C38F0" w:rsidP="00827209">
      <w:pPr>
        <w:keepNext/>
        <w:spacing w:after="120"/>
        <w:rPr>
          <w:b/>
          <w:bCs/>
          <w:i/>
          <w:iCs/>
          <w:color w:val="000000"/>
        </w:rPr>
      </w:pPr>
      <w:r w:rsidRPr="0069617C">
        <w:rPr>
          <w:b/>
          <w:bCs/>
          <w:i/>
          <w:iCs/>
          <w:color w:val="000000"/>
        </w:rPr>
        <w:t>Access to Menstrual Products</w:t>
      </w:r>
    </w:p>
    <w:p w14:paraId="2907FB50" w14:textId="724D832D" w:rsidR="003C38F0" w:rsidRPr="0069617C" w:rsidRDefault="00F46519"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Women under sentence of death lack adequate access to menstrual products and other gender-specific hygiene</w:t>
      </w:r>
      <w:r w:rsidR="003C38F0" w:rsidRPr="0069617C">
        <w:rPr>
          <w:rFonts w:ascii="Times New Roman" w:eastAsia="Times New Roman" w:hAnsi="Times New Roman"/>
          <w:color w:val="000000"/>
          <w:sz w:val="24"/>
          <w:szCs w:val="24"/>
        </w:rPr>
        <w:t>. The Bangkok Rules require “ready access” to hygiene items and menstrual products, as well as the ability to wash or dispose of blood-stained articles hygienically, but also notes that the failure to do so amounts to degrading treatment.</w:t>
      </w:r>
      <w:r w:rsidR="003C38F0" w:rsidRPr="0069617C">
        <w:rPr>
          <w:rStyle w:val="Appelnotedebasdep"/>
          <w:rFonts w:ascii="Times New Roman" w:eastAsia="Times New Roman" w:hAnsi="Times New Roman"/>
          <w:color w:val="000000"/>
          <w:sz w:val="24"/>
          <w:szCs w:val="24"/>
        </w:rPr>
        <w:footnoteReference w:id="22"/>
      </w:r>
    </w:p>
    <w:p w14:paraId="3240F9C4" w14:textId="77777777" w:rsidR="003C38F0" w:rsidRPr="0069617C" w:rsidRDefault="003C38F0"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No menstrual products are provided to incarcerated women in Indonesia, Nigeria, and Sri Lanka.</w:t>
      </w:r>
      <w:r w:rsidRPr="0069617C">
        <w:rPr>
          <w:rStyle w:val="Appelnotedebasdep"/>
          <w:rFonts w:ascii="Times New Roman" w:eastAsia="Times New Roman" w:hAnsi="Times New Roman"/>
          <w:color w:val="000000"/>
          <w:sz w:val="24"/>
          <w:szCs w:val="24"/>
        </w:rPr>
        <w:footnoteReference w:id="23"/>
      </w:r>
      <w:r w:rsidRPr="0069617C">
        <w:rPr>
          <w:rFonts w:ascii="Times New Roman" w:eastAsia="Times New Roman" w:hAnsi="Times New Roman"/>
          <w:color w:val="000000"/>
          <w:sz w:val="24"/>
          <w:szCs w:val="24"/>
        </w:rPr>
        <w:t xml:space="preserve"> There has been some access to menstrual products in Pakistan, Lebanon, and Malaysia, but this access has been on the whole insufficient.</w:t>
      </w:r>
      <w:r w:rsidRPr="0069617C">
        <w:rPr>
          <w:rStyle w:val="Appelnotedebasdep"/>
          <w:rFonts w:ascii="Times New Roman" w:eastAsia="Times New Roman" w:hAnsi="Times New Roman"/>
          <w:color w:val="000000"/>
          <w:sz w:val="24"/>
          <w:szCs w:val="24"/>
        </w:rPr>
        <w:footnoteReference w:id="24"/>
      </w:r>
      <w:r w:rsidRPr="0069617C">
        <w:rPr>
          <w:rFonts w:ascii="Times New Roman" w:eastAsia="Times New Roman" w:hAnsi="Times New Roman"/>
          <w:color w:val="000000"/>
          <w:sz w:val="24"/>
          <w:szCs w:val="24"/>
        </w:rPr>
        <w:t xml:space="preserve"> Women incarcerated in Zambia have to wash their provided menstrual cloths, but the prison does not supply soap.</w:t>
      </w:r>
      <w:r w:rsidRPr="0069617C">
        <w:rPr>
          <w:rStyle w:val="Appelnotedebasdep"/>
          <w:rFonts w:ascii="Times New Roman" w:eastAsia="Times New Roman" w:hAnsi="Times New Roman"/>
          <w:color w:val="000000"/>
          <w:sz w:val="24"/>
          <w:szCs w:val="24"/>
        </w:rPr>
        <w:footnoteReference w:id="25"/>
      </w:r>
      <w:r w:rsidRPr="0069617C">
        <w:rPr>
          <w:rFonts w:ascii="Times New Roman" w:eastAsia="Times New Roman" w:hAnsi="Times New Roman"/>
          <w:color w:val="000000"/>
          <w:sz w:val="24"/>
          <w:szCs w:val="24"/>
        </w:rPr>
        <w:t xml:space="preserve"> There are reports that some prisons will withhold sanitary napkins as a punitive measure.</w:t>
      </w:r>
      <w:r w:rsidRPr="0069617C">
        <w:rPr>
          <w:rStyle w:val="Appelnotedebasdep"/>
          <w:rFonts w:ascii="Times New Roman" w:eastAsia="Times New Roman" w:hAnsi="Times New Roman"/>
          <w:color w:val="000000"/>
          <w:sz w:val="24"/>
          <w:szCs w:val="24"/>
        </w:rPr>
        <w:footnoteReference w:id="26"/>
      </w:r>
    </w:p>
    <w:p w14:paraId="01BA958B" w14:textId="77777777" w:rsidR="003C38F0" w:rsidRPr="0069617C" w:rsidRDefault="003C38F0" w:rsidP="003C38F0">
      <w:pPr>
        <w:spacing w:after="120"/>
        <w:rPr>
          <w:b/>
          <w:bCs/>
          <w:i/>
          <w:iCs/>
          <w:color w:val="000000"/>
        </w:rPr>
      </w:pPr>
      <w:r w:rsidRPr="0069617C">
        <w:rPr>
          <w:b/>
          <w:bCs/>
          <w:i/>
          <w:iCs/>
          <w:color w:val="000000"/>
        </w:rPr>
        <w:t>Access to Health Care</w:t>
      </w:r>
    </w:p>
    <w:p w14:paraId="6E07B7F4" w14:textId="63872D95"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In many cases, health care offered to women </w:t>
      </w:r>
      <w:r w:rsidR="00B76E43">
        <w:rPr>
          <w:rFonts w:ascii="Times New Roman" w:hAnsi="Times New Roman"/>
          <w:sz w:val="24"/>
          <w:szCs w:val="24"/>
        </w:rPr>
        <w:t xml:space="preserve">under sentence of </w:t>
      </w:r>
      <w:r w:rsidRPr="0069617C">
        <w:rPr>
          <w:rFonts w:ascii="Times New Roman" w:hAnsi="Times New Roman"/>
          <w:sz w:val="24"/>
          <w:szCs w:val="24"/>
        </w:rPr>
        <w:t xml:space="preserve">death ranges from extremely poor to life-threatening. Alice </w:t>
      </w:r>
      <w:bookmarkStart w:id="0" w:name="_Int_ZPw6ZKiV"/>
      <w:proofErr w:type="spellStart"/>
      <w:r w:rsidRPr="0069617C">
        <w:rPr>
          <w:rFonts w:ascii="Times New Roman" w:hAnsi="Times New Roman"/>
          <w:sz w:val="24"/>
          <w:szCs w:val="24"/>
        </w:rPr>
        <w:t>Nungu</w:t>
      </w:r>
      <w:bookmarkEnd w:id="0"/>
      <w:proofErr w:type="spellEnd"/>
      <w:r w:rsidRPr="0069617C">
        <w:rPr>
          <w:rFonts w:ascii="Times New Roman" w:hAnsi="Times New Roman"/>
          <w:sz w:val="24"/>
          <w:szCs w:val="24"/>
        </w:rPr>
        <w:t xml:space="preserve">, a woman who was on death row in Malawi, was HIV positive but received no medical treatment </w:t>
      </w:r>
      <w:r w:rsidRPr="00827209">
        <w:rPr>
          <w:rFonts w:ascii="Times New Roman" w:eastAsia="Times New Roman" w:hAnsi="Times New Roman"/>
          <w:color w:val="000000"/>
          <w:sz w:val="24"/>
          <w:szCs w:val="24"/>
        </w:rPr>
        <w:t>despite</w:t>
      </w:r>
      <w:r w:rsidRPr="0069617C">
        <w:rPr>
          <w:rFonts w:ascii="Times New Roman" w:hAnsi="Times New Roman"/>
          <w:sz w:val="24"/>
          <w:szCs w:val="24"/>
        </w:rPr>
        <w:t xml:space="preserve"> </w:t>
      </w:r>
      <w:r w:rsidR="00B76E43">
        <w:rPr>
          <w:rFonts w:ascii="Times New Roman" w:hAnsi="Times New Roman"/>
          <w:sz w:val="24"/>
          <w:szCs w:val="24"/>
        </w:rPr>
        <w:t xml:space="preserve">experiencing </w:t>
      </w:r>
      <w:r w:rsidRPr="0069617C">
        <w:rPr>
          <w:rFonts w:ascii="Times New Roman" w:hAnsi="Times New Roman"/>
          <w:sz w:val="24"/>
          <w:szCs w:val="24"/>
        </w:rPr>
        <w:lastRenderedPageBreak/>
        <w:t>pneumonia and malaria.</w:t>
      </w:r>
      <w:r w:rsidRPr="0069617C">
        <w:rPr>
          <w:rStyle w:val="Appelnotedebasdep"/>
          <w:rFonts w:ascii="Times New Roman" w:hAnsi="Times New Roman"/>
          <w:sz w:val="24"/>
          <w:szCs w:val="24"/>
        </w:rPr>
        <w:footnoteReference w:id="27"/>
      </w:r>
      <w:r w:rsidRPr="0069617C">
        <w:rPr>
          <w:rFonts w:ascii="Times New Roman" w:hAnsi="Times New Roman"/>
          <w:sz w:val="24"/>
          <w:szCs w:val="24"/>
        </w:rPr>
        <w:t xml:space="preserve"> </w:t>
      </w:r>
      <w:r w:rsidR="009F50BD">
        <w:rPr>
          <w:rFonts w:ascii="Times New Roman" w:hAnsi="Times New Roman"/>
          <w:sz w:val="24"/>
          <w:szCs w:val="24"/>
        </w:rPr>
        <w:t xml:space="preserve">Authorities </w:t>
      </w:r>
      <w:r w:rsidRPr="0069617C">
        <w:rPr>
          <w:rFonts w:ascii="Times New Roman" w:hAnsi="Times New Roman"/>
          <w:sz w:val="24"/>
          <w:szCs w:val="24"/>
        </w:rPr>
        <w:t xml:space="preserve">eventually released </w:t>
      </w:r>
      <w:r w:rsidR="009F50BD">
        <w:rPr>
          <w:rFonts w:ascii="Times New Roman" w:hAnsi="Times New Roman"/>
          <w:sz w:val="24"/>
          <w:szCs w:val="24"/>
        </w:rPr>
        <w:t xml:space="preserve">her </w:t>
      </w:r>
      <w:r w:rsidRPr="0069617C">
        <w:rPr>
          <w:rFonts w:ascii="Times New Roman" w:hAnsi="Times New Roman"/>
          <w:sz w:val="24"/>
          <w:szCs w:val="24"/>
        </w:rPr>
        <w:t xml:space="preserve">after </w:t>
      </w:r>
      <w:r w:rsidR="009F50BD">
        <w:rPr>
          <w:rFonts w:ascii="Times New Roman" w:hAnsi="Times New Roman"/>
          <w:sz w:val="24"/>
          <w:szCs w:val="24"/>
        </w:rPr>
        <w:t xml:space="preserve">a </w:t>
      </w:r>
      <w:r w:rsidRPr="0069617C">
        <w:rPr>
          <w:rFonts w:ascii="Times New Roman" w:hAnsi="Times New Roman"/>
          <w:sz w:val="24"/>
          <w:szCs w:val="24"/>
        </w:rPr>
        <w:t xml:space="preserve">re-trial, </w:t>
      </w:r>
      <w:r w:rsidR="009F50BD">
        <w:rPr>
          <w:rFonts w:ascii="Times New Roman" w:hAnsi="Times New Roman"/>
          <w:sz w:val="24"/>
          <w:szCs w:val="24"/>
        </w:rPr>
        <w:t xml:space="preserve">but </w:t>
      </w:r>
      <w:r w:rsidRPr="0069617C">
        <w:rPr>
          <w:rFonts w:ascii="Times New Roman" w:hAnsi="Times New Roman"/>
          <w:sz w:val="24"/>
          <w:szCs w:val="24"/>
        </w:rPr>
        <w:t>she died a few weeks later from AIDS.</w:t>
      </w:r>
      <w:r w:rsidRPr="0069617C">
        <w:rPr>
          <w:rStyle w:val="Appelnotedebasdep"/>
          <w:rFonts w:ascii="Times New Roman" w:hAnsi="Times New Roman"/>
          <w:sz w:val="24"/>
          <w:szCs w:val="24"/>
        </w:rPr>
        <w:footnoteReference w:id="28"/>
      </w:r>
    </w:p>
    <w:p w14:paraId="39291044" w14:textId="53ECA04B"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Doctors at prison clinics in Indonesia and Malaysia provide </w:t>
      </w:r>
      <w:r w:rsidR="009F50BD">
        <w:rPr>
          <w:rFonts w:ascii="Times New Roman" w:hAnsi="Times New Roman"/>
          <w:sz w:val="24"/>
          <w:szCs w:val="24"/>
        </w:rPr>
        <w:t xml:space="preserve">only </w:t>
      </w:r>
      <w:r w:rsidRPr="0069617C">
        <w:rPr>
          <w:rFonts w:ascii="Times New Roman" w:hAnsi="Times New Roman"/>
          <w:sz w:val="24"/>
          <w:szCs w:val="24"/>
        </w:rPr>
        <w:t>paracetamol to women and no other medications.</w:t>
      </w:r>
      <w:r w:rsidRPr="0069617C">
        <w:rPr>
          <w:rStyle w:val="Appelnotedebasdep"/>
          <w:rFonts w:ascii="Times New Roman" w:hAnsi="Times New Roman"/>
          <w:sz w:val="24"/>
          <w:szCs w:val="24"/>
        </w:rPr>
        <w:footnoteReference w:id="29"/>
      </w:r>
    </w:p>
    <w:p w14:paraId="7761DE96" w14:textId="53C440BE"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It is a customary practice in Cameroon, the Democratic Republic of Congo, and Pakistan for prison authorities to refuse </w:t>
      </w:r>
      <w:r w:rsidR="00FC7505">
        <w:rPr>
          <w:rFonts w:ascii="Times New Roman" w:hAnsi="Times New Roman"/>
          <w:sz w:val="24"/>
          <w:szCs w:val="24"/>
        </w:rPr>
        <w:t xml:space="preserve">women </w:t>
      </w:r>
      <w:r w:rsidRPr="0069617C">
        <w:rPr>
          <w:rFonts w:ascii="Times New Roman" w:hAnsi="Times New Roman"/>
          <w:sz w:val="24"/>
          <w:szCs w:val="24"/>
        </w:rPr>
        <w:t>access to medical services outside prison, and allegedly they will only relent when an individual is in a life-threatening situation.</w:t>
      </w:r>
      <w:r w:rsidRPr="0069617C">
        <w:rPr>
          <w:rStyle w:val="Appelnotedebasdep"/>
          <w:rFonts w:ascii="Times New Roman" w:hAnsi="Times New Roman"/>
          <w:sz w:val="24"/>
          <w:szCs w:val="24"/>
        </w:rPr>
        <w:footnoteReference w:id="30"/>
      </w:r>
    </w:p>
    <w:p w14:paraId="00A51130" w14:textId="77777777" w:rsidR="003C38F0" w:rsidRPr="0069617C" w:rsidRDefault="003C38F0" w:rsidP="003C38F0">
      <w:pPr>
        <w:spacing w:after="120"/>
      </w:pPr>
      <w:r w:rsidRPr="0069617C">
        <w:rPr>
          <w:b/>
          <w:bCs/>
          <w:i/>
          <w:iCs/>
        </w:rPr>
        <w:t>Access to Food &amp; Water</w:t>
      </w:r>
    </w:p>
    <w:p w14:paraId="5791191B" w14:textId="7E2F6CA2"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Women on death row in Cameroon do not have guaranteed access to clean water, as there are few taps, and many of them are broken or </w:t>
      </w:r>
      <w:r w:rsidR="00E678EC">
        <w:rPr>
          <w:rFonts w:ascii="Times New Roman" w:hAnsi="Times New Roman"/>
          <w:sz w:val="24"/>
          <w:szCs w:val="24"/>
        </w:rPr>
        <w:t xml:space="preserve">provide </w:t>
      </w:r>
      <w:r w:rsidRPr="0069617C">
        <w:rPr>
          <w:rFonts w:ascii="Times New Roman" w:hAnsi="Times New Roman"/>
          <w:sz w:val="24"/>
          <w:szCs w:val="24"/>
        </w:rPr>
        <w:t>unclean water.</w:t>
      </w:r>
      <w:r w:rsidRPr="0069617C">
        <w:rPr>
          <w:rStyle w:val="Appelnotedebasdep"/>
          <w:rFonts w:ascii="Times New Roman" w:hAnsi="Times New Roman"/>
          <w:sz w:val="24"/>
          <w:szCs w:val="24"/>
        </w:rPr>
        <w:footnoteReference w:id="31"/>
      </w:r>
      <w:r w:rsidRPr="0069617C">
        <w:rPr>
          <w:rFonts w:ascii="Times New Roman" w:hAnsi="Times New Roman"/>
          <w:sz w:val="24"/>
          <w:szCs w:val="24"/>
        </w:rPr>
        <w:t xml:space="preserve"> Their diet consists solely of rice, maize, and peanuts, with no meat, fruits, or vegetables.</w:t>
      </w:r>
      <w:r w:rsidRPr="0069617C">
        <w:rPr>
          <w:rStyle w:val="Appelnotedebasdep"/>
          <w:rFonts w:ascii="Times New Roman" w:hAnsi="Times New Roman"/>
          <w:sz w:val="24"/>
          <w:szCs w:val="24"/>
        </w:rPr>
        <w:footnoteReference w:id="32"/>
      </w:r>
      <w:r w:rsidRPr="0069617C">
        <w:rPr>
          <w:rFonts w:ascii="Times New Roman" w:hAnsi="Times New Roman"/>
          <w:sz w:val="24"/>
          <w:szCs w:val="24"/>
        </w:rPr>
        <w:t xml:space="preserve"> </w:t>
      </w:r>
    </w:p>
    <w:p w14:paraId="747D0343" w14:textId="0E0D1ECC"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Nigeria offers women </w:t>
      </w:r>
      <w:r w:rsidR="00F53098">
        <w:rPr>
          <w:rFonts w:ascii="Times New Roman" w:hAnsi="Times New Roman"/>
          <w:sz w:val="24"/>
          <w:szCs w:val="24"/>
        </w:rPr>
        <w:t xml:space="preserve">under sentence of </w:t>
      </w:r>
      <w:r w:rsidRPr="0069617C">
        <w:rPr>
          <w:rFonts w:ascii="Times New Roman" w:hAnsi="Times New Roman"/>
          <w:sz w:val="24"/>
          <w:szCs w:val="24"/>
        </w:rPr>
        <w:t>death “little to no running water.”</w:t>
      </w:r>
      <w:r w:rsidRPr="0069617C">
        <w:rPr>
          <w:rStyle w:val="Appelnotedebasdep"/>
          <w:rFonts w:ascii="Times New Roman" w:hAnsi="Times New Roman"/>
          <w:sz w:val="24"/>
          <w:szCs w:val="24"/>
        </w:rPr>
        <w:footnoteReference w:id="33"/>
      </w:r>
      <w:r w:rsidRPr="0069617C">
        <w:rPr>
          <w:rFonts w:ascii="Times New Roman" w:hAnsi="Times New Roman"/>
          <w:sz w:val="24"/>
          <w:szCs w:val="24"/>
        </w:rPr>
        <w:t xml:space="preserve"> </w:t>
      </w:r>
      <w:r w:rsidR="0048200E">
        <w:rPr>
          <w:rFonts w:ascii="Times New Roman" w:hAnsi="Times New Roman"/>
          <w:sz w:val="24"/>
          <w:szCs w:val="24"/>
        </w:rPr>
        <w:t xml:space="preserve">Women under sentence of death </w:t>
      </w:r>
      <w:r w:rsidRPr="0069617C">
        <w:rPr>
          <w:rFonts w:ascii="Times New Roman" w:hAnsi="Times New Roman"/>
          <w:sz w:val="24"/>
          <w:szCs w:val="24"/>
        </w:rPr>
        <w:t>in Lebanon receive 2 liters of water daily and store it in barrels for all water needs.</w:t>
      </w:r>
      <w:r w:rsidRPr="0069617C">
        <w:rPr>
          <w:rStyle w:val="Appelnotedebasdep"/>
          <w:rFonts w:ascii="Times New Roman" w:hAnsi="Times New Roman"/>
          <w:sz w:val="24"/>
          <w:szCs w:val="24"/>
        </w:rPr>
        <w:footnoteReference w:id="34"/>
      </w:r>
    </w:p>
    <w:p w14:paraId="7AF32091" w14:textId="385F55EC"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In the Democratic Republic of Congo, women </w:t>
      </w:r>
      <w:r w:rsidR="00F53098">
        <w:rPr>
          <w:rFonts w:ascii="Times New Roman" w:hAnsi="Times New Roman"/>
          <w:sz w:val="24"/>
          <w:szCs w:val="24"/>
        </w:rPr>
        <w:t xml:space="preserve">under sentence of </w:t>
      </w:r>
      <w:r w:rsidRPr="0069617C">
        <w:rPr>
          <w:rFonts w:ascii="Times New Roman" w:hAnsi="Times New Roman"/>
          <w:sz w:val="24"/>
          <w:szCs w:val="24"/>
        </w:rPr>
        <w:t>death eat beans and maize.</w:t>
      </w:r>
      <w:r w:rsidRPr="0069617C">
        <w:rPr>
          <w:rStyle w:val="Appelnotedebasdep"/>
          <w:rFonts w:ascii="Times New Roman" w:hAnsi="Times New Roman"/>
          <w:sz w:val="24"/>
          <w:szCs w:val="24"/>
        </w:rPr>
        <w:footnoteReference w:id="35"/>
      </w:r>
      <w:r w:rsidRPr="0069617C">
        <w:rPr>
          <w:rFonts w:ascii="Times New Roman" w:hAnsi="Times New Roman"/>
          <w:sz w:val="24"/>
          <w:szCs w:val="24"/>
        </w:rPr>
        <w:t xml:space="preserve"> </w:t>
      </w:r>
      <w:r w:rsidR="0048200E">
        <w:rPr>
          <w:rFonts w:ascii="Times New Roman" w:hAnsi="Times New Roman"/>
          <w:sz w:val="24"/>
          <w:szCs w:val="24"/>
        </w:rPr>
        <w:t xml:space="preserve">People under sentence of death in </w:t>
      </w:r>
      <w:r w:rsidRPr="0069617C">
        <w:rPr>
          <w:rFonts w:ascii="Times New Roman" w:hAnsi="Times New Roman"/>
          <w:sz w:val="24"/>
          <w:szCs w:val="24"/>
        </w:rPr>
        <w:t>Yemen must pay for food.</w:t>
      </w:r>
      <w:r w:rsidRPr="0069617C">
        <w:rPr>
          <w:rStyle w:val="Appelnotedebasdep"/>
          <w:rFonts w:ascii="Times New Roman" w:hAnsi="Times New Roman"/>
          <w:sz w:val="24"/>
          <w:szCs w:val="24"/>
        </w:rPr>
        <w:footnoteReference w:id="36"/>
      </w:r>
      <w:r w:rsidRPr="0069617C">
        <w:rPr>
          <w:rFonts w:ascii="Times New Roman" w:hAnsi="Times New Roman"/>
          <w:sz w:val="24"/>
          <w:szCs w:val="24"/>
        </w:rPr>
        <w:t xml:space="preserve"> In Indonesia, women “pool funds to purchase bottled water so that they do not have to drink unclear water.”</w:t>
      </w:r>
      <w:r w:rsidRPr="0069617C">
        <w:rPr>
          <w:rStyle w:val="Appelnotedebasdep"/>
          <w:rFonts w:ascii="Times New Roman" w:hAnsi="Times New Roman"/>
          <w:sz w:val="24"/>
          <w:szCs w:val="24"/>
        </w:rPr>
        <w:footnoteReference w:id="37"/>
      </w:r>
      <w:r w:rsidRPr="0069617C">
        <w:rPr>
          <w:rFonts w:ascii="Times New Roman" w:hAnsi="Times New Roman"/>
          <w:sz w:val="24"/>
          <w:szCs w:val="24"/>
        </w:rPr>
        <w:t xml:space="preserve"> They also roughly have a food budget of US$1.20 per day, meaning women </w:t>
      </w:r>
      <w:r w:rsidR="00F0674C">
        <w:rPr>
          <w:rFonts w:ascii="Times New Roman" w:hAnsi="Times New Roman"/>
          <w:sz w:val="24"/>
          <w:szCs w:val="24"/>
        </w:rPr>
        <w:t xml:space="preserve">in detention </w:t>
      </w:r>
      <w:r w:rsidRPr="0069617C">
        <w:rPr>
          <w:rFonts w:ascii="Times New Roman" w:hAnsi="Times New Roman"/>
          <w:sz w:val="24"/>
          <w:szCs w:val="24"/>
        </w:rPr>
        <w:t>often do not receive adequate caloric intake.</w:t>
      </w:r>
      <w:r w:rsidRPr="0069617C">
        <w:rPr>
          <w:rStyle w:val="Appelnotedebasdep"/>
          <w:rFonts w:ascii="Times New Roman" w:hAnsi="Times New Roman"/>
          <w:sz w:val="24"/>
          <w:szCs w:val="24"/>
        </w:rPr>
        <w:footnoteReference w:id="38"/>
      </w:r>
      <w:r w:rsidRPr="0069617C">
        <w:rPr>
          <w:rFonts w:ascii="Times New Roman" w:hAnsi="Times New Roman"/>
          <w:sz w:val="24"/>
          <w:szCs w:val="24"/>
        </w:rPr>
        <w:t xml:space="preserve"> </w:t>
      </w:r>
    </w:p>
    <w:p w14:paraId="5C3544FF" w14:textId="77777777" w:rsidR="003C38F0" w:rsidRPr="0069617C" w:rsidRDefault="003C38F0" w:rsidP="00D407CE">
      <w:pPr>
        <w:keepNext/>
        <w:spacing w:after="120"/>
        <w:jc w:val="center"/>
        <w:rPr>
          <w:b/>
          <w:bCs/>
        </w:rPr>
      </w:pPr>
      <w:r w:rsidRPr="0069617C">
        <w:rPr>
          <w:b/>
          <w:bCs/>
        </w:rPr>
        <w:lastRenderedPageBreak/>
        <w:t>Solitary Confinement &amp; Restraint Practices</w:t>
      </w:r>
    </w:p>
    <w:p w14:paraId="02A4E141" w14:textId="00BBB2EB"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Solitary confinement is the norm in Malaysia, where women </w:t>
      </w:r>
      <w:r w:rsidR="00F0674C">
        <w:rPr>
          <w:rFonts w:ascii="Times New Roman" w:hAnsi="Times New Roman"/>
          <w:sz w:val="24"/>
          <w:szCs w:val="24"/>
        </w:rPr>
        <w:t xml:space="preserve">under sentence of </w:t>
      </w:r>
      <w:r w:rsidRPr="0069617C">
        <w:rPr>
          <w:rFonts w:ascii="Times New Roman" w:hAnsi="Times New Roman"/>
          <w:sz w:val="24"/>
          <w:szCs w:val="24"/>
        </w:rPr>
        <w:t>death are in solitary confinement for up to 23 hours a day.</w:t>
      </w:r>
      <w:r w:rsidRPr="0069617C">
        <w:rPr>
          <w:rStyle w:val="Appelnotedebasdep"/>
          <w:rFonts w:ascii="Times New Roman" w:hAnsi="Times New Roman"/>
          <w:sz w:val="24"/>
          <w:szCs w:val="24"/>
        </w:rPr>
        <w:footnoteReference w:id="39"/>
      </w:r>
      <w:r w:rsidRPr="0069617C">
        <w:rPr>
          <w:rFonts w:ascii="Times New Roman" w:hAnsi="Times New Roman"/>
          <w:sz w:val="24"/>
          <w:szCs w:val="24"/>
        </w:rPr>
        <w:t xml:space="preserve"> Time outside of the cell is limited to walking in their dormitories.</w:t>
      </w:r>
      <w:r w:rsidRPr="0069617C">
        <w:rPr>
          <w:rStyle w:val="Appelnotedebasdep"/>
          <w:rFonts w:ascii="Times New Roman" w:hAnsi="Times New Roman"/>
          <w:sz w:val="24"/>
          <w:szCs w:val="24"/>
        </w:rPr>
        <w:footnoteReference w:id="40"/>
      </w:r>
      <w:r w:rsidRPr="0069617C">
        <w:rPr>
          <w:rFonts w:ascii="Times New Roman" w:hAnsi="Times New Roman"/>
          <w:sz w:val="24"/>
          <w:szCs w:val="24"/>
        </w:rPr>
        <w:t xml:space="preserve"> Women may be sent to “dark rooms,” as a punitive measure, where they sit in total darkness with “little food.”</w:t>
      </w:r>
      <w:r w:rsidRPr="0069617C">
        <w:rPr>
          <w:rStyle w:val="Appelnotedebasdep"/>
          <w:rFonts w:ascii="Times New Roman" w:hAnsi="Times New Roman"/>
          <w:sz w:val="24"/>
          <w:szCs w:val="24"/>
        </w:rPr>
        <w:footnoteReference w:id="41"/>
      </w:r>
      <w:r w:rsidRPr="0069617C">
        <w:rPr>
          <w:rFonts w:ascii="Times New Roman" w:hAnsi="Times New Roman"/>
          <w:sz w:val="24"/>
          <w:szCs w:val="24"/>
        </w:rPr>
        <w:t xml:space="preserve"> A report from The Malaysian Human Rights Commission detailed observing a woman </w:t>
      </w:r>
      <w:r w:rsidR="008D6381">
        <w:rPr>
          <w:rFonts w:ascii="Times New Roman" w:hAnsi="Times New Roman"/>
          <w:sz w:val="24"/>
          <w:szCs w:val="24"/>
        </w:rPr>
        <w:t xml:space="preserve">under sentence of </w:t>
      </w:r>
      <w:r w:rsidRPr="0069617C">
        <w:rPr>
          <w:rFonts w:ascii="Times New Roman" w:hAnsi="Times New Roman"/>
          <w:sz w:val="24"/>
          <w:szCs w:val="24"/>
        </w:rPr>
        <w:t>death who “repeatedly hit her head against the cell door.”</w:t>
      </w:r>
      <w:r w:rsidRPr="0069617C">
        <w:rPr>
          <w:rStyle w:val="Appelnotedebasdep"/>
          <w:rFonts w:ascii="Times New Roman" w:hAnsi="Times New Roman"/>
          <w:sz w:val="24"/>
          <w:szCs w:val="24"/>
        </w:rPr>
        <w:footnoteReference w:id="42"/>
      </w:r>
    </w:p>
    <w:p w14:paraId="0A621C56" w14:textId="6C1A1321"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The use of solitary confinement </w:t>
      </w:r>
      <w:r w:rsidR="008D6381">
        <w:rPr>
          <w:rFonts w:ascii="Times New Roman" w:hAnsi="Times New Roman"/>
          <w:sz w:val="24"/>
          <w:szCs w:val="24"/>
        </w:rPr>
        <w:t xml:space="preserve">for people under sentence of death </w:t>
      </w:r>
      <w:r w:rsidRPr="0069617C">
        <w:rPr>
          <w:rFonts w:ascii="Times New Roman" w:hAnsi="Times New Roman"/>
          <w:sz w:val="24"/>
          <w:szCs w:val="24"/>
        </w:rPr>
        <w:t>is a standard practice in several states</w:t>
      </w:r>
      <w:r w:rsidR="008D6381">
        <w:rPr>
          <w:rFonts w:ascii="Times New Roman" w:hAnsi="Times New Roman"/>
          <w:sz w:val="24"/>
          <w:szCs w:val="24"/>
        </w:rPr>
        <w:t xml:space="preserve"> in the United States of America</w:t>
      </w:r>
      <w:r w:rsidRPr="0069617C">
        <w:rPr>
          <w:rFonts w:ascii="Times New Roman" w:hAnsi="Times New Roman"/>
          <w:sz w:val="24"/>
          <w:szCs w:val="24"/>
        </w:rPr>
        <w:t>.</w:t>
      </w:r>
      <w:r w:rsidRPr="0069617C">
        <w:rPr>
          <w:rStyle w:val="Appelnotedebasdep"/>
          <w:rFonts w:ascii="Times New Roman" w:hAnsi="Times New Roman"/>
          <w:sz w:val="24"/>
          <w:szCs w:val="24"/>
        </w:rPr>
        <w:footnoteReference w:id="43"/>
      </w:r>
      <w:r w:rsidRPr="0069617C">
        <w:rPr>
          <w:rFonts w:ascii="Times New Roman" w:hAnsi="Times New Roman"/>
          <w:sz w:val="24"/>
          <w:szCs w:val="24"/>
        </w:rPr>
        <w:t xml:space="preserve"> </w:t>
      </w:r>
      <w:r w:rsidR="006F5DA7">
        <w:rPr>
          <w:rFonts w:ascii="Times New Roman" w:hAnsi="Times New Roman"/>
          <w:sz w:val="24"/>
          <w:szCs w:val="24"/>
        </w:rPr>
        <w:t>In a</w:t>
      </w:r>
      <w:r w:rsidRPr="0069617C">
        <w:rPr>
          <w:rFonts w:ascii="Times New Roman" w:hAnsi="Times New Roman"/>
          <w:sz w:val="24"/>
          <w:szCs w:val="24"/>
        </w:rPr>
        <w:t>t least three U.S. states</w:t>
      </w:r>
      <w:r w:rsidR="006F5DA7">
        <w:rPr>
          <w:rFonts w:ascii="Times New Roman" w:hAnsi="Times New Roman"/>
          <w:sz w:val="24"/>
          <w:szCs w:val="24"/>
        </w:rPr>
        <w:t xml:space="preserve">, there is only one woman under sentence of death and she lives in </w:t>
      </w:r>
      <w:r w:rsidRPr="0069617C">
        <w:rPr>
          <w:rFonts w:ascii="Times New Roman" w:hAnsi="Times New Roman"/>
          <w:sz w:val="24"/>
          <w:szCs w:val="24"/>
        </w:rPr>
        <w:t>solitary confinement.</w:t>
      </w:r>
      <w:r w:rsidRPr="0069617C">
        <w:rPr>
          <w:rStyle w:val="Appelnotedebasdep"/>
          <w:rFonts w:ascii="Times New Roman" w:hAnsi="Times New Roman"/>
          <w:sz w:val="24"/>
          <w:szCs w:val="24"/>
        </w:rPr>
        <w:footnoteReference w:id="44"/>
      </w:r>
      <w:r w:rsidRPr="0069617C">
        <w:rPr>
          <w:rFonts w:ascii="Times New Roman" w:hAnsi="Times New Roman"/>
          <w:sz w:val="24"/>
          <w:szCs w:val="24"/>
        </w:rPr>
        <w:t xml:space="preserve"> One example is Christa Pike, who has spent at least 25 of her 26 years </w:t>
      </w:r>
      <w:r w:rsidR="00D27582">
        <w:rPr>
          <w:rFonts w:ascii="Times New Roman" w:hAnsi="Times New Roman"/>
          <w:sz w:val="24"/>
          <w:szCs w:val="24"/>
        </w:rPr>
        <w:t xml:space="preserve">under sentence of death in </w:t>
      </w:r>
      <w:r w:rsidRPr="0069617C">
        <w:rPr>
          <w:rFonts w:ascii="Times New Roman" w:hAnsi="Times New Roman"/>
          <w:sz w:val="24"/>
          <w:szCs w:val="24"/>
        </w:rPr>
        <w:t>Tennessee in solitary</w:t>
      </w:r>
      <w:r w:rsidR="00D27582">
        <w:rPr>
          <w:rFonts w:ascii="Times New Roman" w:hAnsi="Times New Roman"/>
          <w:sz w:val="24"/>
          <w:szCs w:val="24"/>
        </w:rPr>
        <w:t xml:space="preserve"> confinement</w:t>
      </w:r>
      <w:r w:rsidRPr="0069617C">
        <w:rPr>
          <w:rFonts w:ascii="Times New Roman" w:hAnsi="Times New Roman"/>
          <w:sz w:val="24"/>
          <w:szCs w:val="24"/>
        </w:rPr>
        <w:t>.</w:t>
      </w:r>
      <w:r w:rsidRPr="0069617C">
        <w:rPr>
          <w:rStyle w:val="Appelnotedebasdep"/>
          <w:rFonts w:ascii="Times New Roman" w:hAnsi="Times New Roman"/>
          <w:sz w:val="24"/>
          <w:szCs w:val="24"/>
        </w:rPr>
        <w:footnoteReference w:id="45"/>
      </w:r>
      <w:r w:rsidRPr="0069617C">
        <w:rPr>
          <w:rFonts w:ascii="Times New Roman" w:hAnsi="Times New Roman"/>
          <w:sz w:val="24"/>
          <w:szCs w:val="24"/>
        </w:rPr>
        <w:t xml:space="preserve"> She is confined in a cell approximately 2.5 x 3 meters and </w:t>
      </w:r>
      <w:r w:rsidR="00D27582">
        <w:rPr>
          <w:rFonts w:ascii="Times New Roman" w:hAnsi="Times New Roman"/>
          <w:sz w:val="24"/>
          <w:szCs w:val="24"/>
        </w:rPr>
        <w:t xml:space="preserve">prison officials exclude her </w:t>
      </w:r>
      <w:r w:rsidRPr="0069617C">
        <w:rPr>
          <w:rFonts w:ascii="Times New Roman" w:hAnsi="Times New Roman"/>
          <w:sz w:val="24"/>
          <w:szCs w:val="24"/>
        </w:rPr>
        <w:t>from group activities.</w:t>
      </w:r>
      <w:r w:rsidRPr="0069617C">
        <w:rPr>
          <w:rStyle w:val="Appelnotedebasdep"/>
          <w:rFonts w:ascii="Times New Roman" w:hAnsi="Times New Roman"/>
          <w:sz w:val="24"/>
          <w:szCs w:val="24"/>
        </w:rPr>
        <w:footnoteReference w:id="46"/>
      </w:r>
    </w:p>
    <w:p w14:paraId="70E5B8AD" w14:textId="526B0699"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Cameroon reportedly </w:t>
      </w:r>
      <w:r w:rsidR="00D27582">
        <w:rPr>
          <w:rFonts w:ascii="Times New Roman" w:hAnsi="Times New Roman"/>
          <w:sz w:val="24"/>
          <w:szCs w:val="24"/>
        </w:rPr>
        <w:t xml:space="preserve">uses </w:t>
      </w:r>
      <w:r w:rsidRPr="0069617C">
        <w:rPr>
          <w:rFonts w:ascii="Times New Roman" w:hAnsi="Times New Roman"/>
          <w:sz w:val="24"/>
          <w:szCs w:val="24"/>
        </w:rPr>
        <w:t xml:space="preserve">solitary confinement as a </w:t>
      </w:r>
      <w:r w:rsidR="00D27582">
        <w:rPr>
          <w:rFonts w:ascii="Times New Roman" w:hAnsi="Times New Roman"/>
          <w:sz w:val="24"/>
          <w:szCs w:val="24"/>
        </w:rPr>
        <w:t>punitive measure</w:t>
      </w:r>
      <w:r w:rsidRPr="0069617C">
        <w:rPr>
          <w:rFonts w:ascii="Times New Roman" w:hAnsi="Times New Roman"/>
          <w:sz w:val="24"/>
          <w:szCs w:val="24"/>
        </w:rPr>
        <w:t>.</w:t>
      </w:r>
      <w:r w:rsidRPr="0069617C">
        <w:rPr>
          <w:rStyle w:val="Appelnotedebasdep"/>
          <w:rFonts w:ascii="Times New Roman" w:hAnsi="Times New Roman"/>
          <w:sz w:val="24"/>
          <w:szCs w:val="24"/>
        </w:rPr>
        <w:footnoteReference w:id="47"/>
      </w:r>
      <w:r w:rsidRPr="0069617C">
        <w:rPr>
          <w:rFonts w:ascii="Times New Roman" w:hAnsi="Times New Roman"/>
          <w:sz w:val="24"/>
          <w:szCs w:val="24"/>
        </w:rPr>
        <w:t xml:space="preserve"> The only </w:t>
      </w:r>
      <w:r w:rsidR="0082361E">
        <w:rPr>
          <w:rFonts w:ascii="Times New Roman" w:hAnsi="Times New Roman"/>
          <w:sz w:val="24"/>
          <w:szCs w:val="24"/>
        </w:rPr>
        <w:t xml:space="preserve">under sentence of </w:t>
      </w:r>
      <w:r w:rsidRPr="0069617C">
        <w:rPr>
          <w:rFonts w:ascii="Times New Roman" w:hAnsi="Times New Roman"/>
          <w:sz w:val="24"/>
          <w:szCs w:val="24"/>
        </w:rPr>
        <w:t xml:space="preserve">death in Malawi </w:t>
      </w:r>
      <w:r w:rsidR="0082361E">
        <w:rPr>
          <w:rFonts w:ascii="Times New Roman" w:hAnsi="Times New Roman"/>
          <w:sz w:val="24"/>
          <w:szCs w:val="24"/>
        </w:rPr>
        <w:t xml:space="preserve">lives </w:t>
      </w:r>
      <w:r w:rsidRPr="0069617C">
        <w:rPr>
          <w:rFonts w:ascii="Times New Roman" w:hAnsi="Times New Roman"/>
          <w:sz w:val="24"/>
          <w:szCs w:val="24"/>
        </w:rPr>
        <w:t>in solitary confinement.</w:t>
      </w:r>
      <w:r w:rsidRPr="0069617C">
        <w:rPr>
          <w:rStyle w:val="Appelnotedebasdep"/>
          <w:rFonts w:ascii="Times New Roman" w:hAnsi="Times New Roman"/>
          <w:sz w:val="24"/>
          <w:szCs w:val="24"/>
        </w:rPr>
        <w:footnoteReference w:id="48"/>
      </w:r>
    </w:p>
    <w:p w14:paraId="37EAC6D7" w14:textId="33B01EFB" w:rsidR="003C38F0" w:rsidRPr="0069617C" w:rsidRDefault="003C38F0"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Some countries, like Sudan and Cameroon, </w:t>
      </w:r>
      <w:r w:rsidR="0082361E">
        <w:rPr>
          <w:rFonts w:ascii="Times New Roman" w:eastAsia="Times New Roman" w:hAnsi="Times New Roman"/>
          <w:color w:val="000000"/>
          <w:sz w:val="24"/>
          <w:szCs w:val="24"/>
        </w:rPr>
        <w:t xml:space="preserve">place women under sentence of death in </w:t>
      </w:r>
      <w:r w:rsidRPr="00827209">
        <w:rPr>
          <w:rFonts w:ascii="Times New Roman" w:hAnsi="Times New Roman"/>
          <w:sz w:val="24"/>
          <w:szCs w:val="24"/>
        </w:rPr>
        <w:t>shackle</w:t>
      </w:r>
      <w:r w:rsidR="0082361E">
        <w:rPr>
          <w:rFonts w:ascii="Times New Roman" w:hAnsi="Times New Roman"/>
          <w:sz w:val="24"/>
          <w:szCs w:val="24"/>
        </w:rPr>
        <w:t>s</w:t>
      </w:r>
      <w:r w:rsidRPr="0069617C">
        <w:rPr>
          <w:rFonts w:ascii="Times New Roman" w:eastAsia="Times New Roman" w:hAnsi="Times New Roman"/>
          <w:color w:val="000000"/>
          <w:sz w:val="24"/>
          <w:szCs w:val="24"/>
        </w:rPr>
        <w:t>.</w:t>
      </w:r>
      <w:r w:rsidRPr="0069617C">
        <w:rPr>
          <w:rStyle w:val="Appelnotedebasdep"/>
          <w:rFonts w:ascii="Times New Roman" w:eastAsia="Times New Roman" w:hAnsi="Times New Roman"/>
          <w:color w:val="000000"/>
          <w:sz w:val="24"/>
          <w:szCs w:val="24"/>
        </w:rPr>
        <w:footnoteReference w:id="49"/>
      </w:r>
      <w:r w:rsidRPr="0069617C">
        <w:rPr>
          <w:rFonts w:ascii="Times New Roman" w:eastAsia="Times New Roman" w:hAnsi="Times New Roman"/>
          <w:color w:val="000000"/>
          <w:sz w:val="24"/>
          <w:szCs w:val="24"/>
        </w:rPr>
        <w:t xml:space="preserve"> Chin</w:t>
      </w:r>
      <w:r w:rsidR="00276B15">
        <w:rPr>
          <w:rFonts w:ascii="Times New Roman" w:eastAsia="Times New Roman" w:hAnsi="Times New Roman"/>
          <w:color w:val="000000"/>
          <w:sz w:val="24"/>
          <w:szCs w:val="24"/>
        </w:rPr>
        <w:t xml:space="preserve">ese authorities </w:t>
      </w:r>
      <w:proofErr w:type="gramStart"/>
      <w:r w:rsidR="00276B15">
        <w:rPr>
          <w:rFonts w:ascii="Times New Roman" w:eastAsia="Times New Roman" w:hAnsi="Times New Roman"/>
          <w:color w:val="000000"/>
          <w:sz w:val="24"/>
          <w:szCs w:val="24"/>
        </w:rPr>
        <w:t xml:space="preserve">keep all women under sentence of death in shackles </w:t>
      </w:r>
      <w:r w:rsidRPr="0069617C">
        <w:rPr>
          <w:rFonts w:ascii="Times New Roman" w:eastAsia="Times New Roman" w:hAnsi="Times New Roman"/>
          <w:color w:val="000000"/>
          <w:sz w:val="24"/>
          <w:szCs w:val="24"/>
        </w:rPr>
        <w:t>at all times</w:t>
      </w:r>
      <w:proofErr w:type="gramEnd"/>
      <w:r w:rsidRPr="0069617C">
        <w:rPr>
          <w:rFonts w:ascii="Times New Roman" w:eastAsia="Times New Roman" w:hAnsi="Times New Roman"/>
          <w:color w:val="000000"/>
          <w:sz w:val="24"/>
          <w:szCs w:val="24"/>
        </w:rPr>
        <w:t>.</w:t>
      </w:r>
      <w:r w:rsidRPr="0069617C">
        <w:rPr>
          <w:rStyle w:val="Appelnotedebasdep"/>
          <w:rFonts w:ascii="Times New Roman" w:eastAsia="Times New Roman" w:hAnsi="Times New Roman"/>
          <w:color w:val="000000"/>
          <w:sz w:val="24"/>
          <w:szCs w:val="24"/>
        </w:rPr>
        <w:footnoteReference w:id="50"/>
      </w:r>
      <w:r w:rsidRPr="0069617C">
        <w:rPr>
          <w:rFonts w:ascii="Times New Roman" w:eastAsia="Times New Roman" w:hAnsi="Times New Roman"/>
          <w:color w:val="000000"/>
          <w:sz w:val="24"/>
          <w:szCs w:val="24"/>
        </w:rPr>
        <w:t xml:space="preserve"> </w:t>
      </w:r>
    </w:p>
    <w:p w14:paraId="44DAF65B" w14:textId="75E53315" w:rsidR="003C38F0" w:rsidRPr="0069617C" w:rsidRDefault="00466ED3" w:rsidP="003C38F0">
      <w:pPr>
        <w:spacing w:after="120"/>
        <w:jc w:val="center"/>
        <w:rPr>
          <w:b/>
          <w:bCs/>
        </w:rPr>
      </w:pPr>
      <w:r>
        <w:rPr>
          <w:b/>
          <w:bCs/>
        </w:rPr>
        <w:t>Women</w:t>
      </w:r>
      <w:r w:rsidRPr="0069617C">
        <w:rPr>
          <w:b/>
          <w:bCs/>
        </w:rPr>
        <w:t xml:space="preserve"> </w:t>
      </w:r>
      <w:r w:rsidR="003C38F0" w:rsidRPr="0069617C">
        <w:rPr>
          <w:b/>
          <w:bCs/>
        </w:rPr>
        <w:t xml:space="preserve">on Death Row with </w:t>
      </w:r>
      <w:r w:rsidR="00F903A6">
        <w:rPr>
          <w:b/>
          <w:bCs/>
        </w:rPr>
        <w:t xml:space="preserve">Minor </w:t>
      </w:r>
      <w:r w:rsidR="003C38F0" w:rsidRPr="0069617C">
        <w:rPr>
          <w:b/>
          <w:bCs/>
        </w:rPr>
        <w:t>Children</w:t>
      </w:r>
    </w:p>
    <w:p w14:paraId="1F29C924" w14:textId="02896724"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The practice of allowing babies or young children to live with their incarcerated mother</w:t>
      </w:r>
      <w:r w:rsidR="002E3B04">
        <w:rPr>
          <w:rFonts w:ascii="Times New Roman" w:hAnsi="Times New Roman"/>
          <w:sz w:val="24"/>
          <w:szCs w:val="24"/>
        </w:rPr>
        <w:t>s</w:t>
      </w:r>
      <w:r w:rsidRPr="0069617C">
        <w:rPr>
          <w:rFonts w:ascii="Times New Roman" w:hAnsi="Times New Roman"/>
          <w:sz w:val="24"/>
          <w:szCs w:val="24"/>
        </w:rPr>
        <w:t xml:space="preserve"> varies significantly by country, with differences in maximum age, conditions for children, </w:t>
      </w:r>
      <w:r w:rsidR="002E3B04">
        <w:rPr>
          <w:rFonts w:ascii="Times New Roman" w:hAnsi="Times New Roman"/>
          <w:sz w:val="24"/>
          <w:szCs w:val="24"/>
        </w:rPr>
        <w:t xml:space="preserve">and </w:t>
      </w:r>
      <w:r w:rsidRPr="0069617C">
        <w:rPr>
          <w:rFonts w:ascii="Times New Roman" w:hAnsi="Times New Roman"/>
          <w:sz w:val="24"/>
          <w:szCs w:val="24"/>
        </w:rPr>
        <w:t xml:space="preserve">added protections for mothers. A 2014 report calculated that 40 retentionist countries </w:t>
      </w:r>
      <w:r w:rsidRPr="0069617C">
        <w:rPr>
          <w:rFonts w:ascii="Times New Roman" w:hAnsi="Times New Roman"/>
          <w:sz w:val="24"/>
          <w:szCs w:val="24"/>
        </w:rPr>
        <w:lastRenderedPageBreak/>
        <w:t>permit</w:t>
      </w:r>
      <w:r w:rsidR="002E3B04">
        <w:rPr>
          <w:rFonts w:ascii="Times New Roman" w:hAnsi="Times New Roman"/>
          <w:sz w:val="24"/>
          <w:szCs w:val="24"/>
        </w:rPr>
        <w:t>ted</w:t>
      </w:r>
      <w:r w:rsidRPr="0069617C">
        <w:rPr>
          <w:rFonts w:ascii="Times New Roman" w:hAnsi="Times New Roman"/>
          <w:sz w:val="24"/>
          <w:szCs w:val="24"/>
        </w:rPr>
        <w:t xml:space="preserve"> a child to be housed with their mother</w:t>
      </w:r>
      <w:r w:rsidR="002E3B04">
        <w:rPr>
          <w:rFonts w:ascii="Times New Roman" w:hAnsi="Times New Roman"/>
          <w:sz w:val="24"/>
          <w:szCs w:val="24"/>
        </w:rPr>
        <w:t xml:space="preserve"> under sentence of death</w:t>
      </w:r>
      <w:r w:rsidRPr="0069617C">
        <w:rPr>
          <w:rFonts w:ascii="Times New Roman" w:hAnsi="Times New Roman"/>
          <w:sz w:val="24"/>
          <w:szCs w:val="24"/>
        </w:rPr>
        <w:t>.</w:t>
      </w:r>
      <w:r w:rsidRPr="0069617C">
        <w:rPr>
          <w:rStyle w:val="Appelnotedebasdep"/>
          <w:rFonts w:ascii="Times New Roman" w:hAnsi="Times New Roman"/>
          <w:sz w:val="24"/>
          <w:szCs w:val="24"/>
        </w:rPr>
        <w:footnoteReference w:id="51"/>
      </w:r>
      <w:r w:rsidRPr="0069617C">
        <w:rPr>
          <w:rFonts w:ascii="Times New Roman" w:hAnsi="Times New Roman"/>
          <w:sz w:val="24"/>
          <w:szCs w:val="24"/>
        </w:rPr>
        <w:t xml:space="preserve"> </w:t>
      </w:r>
      <w:r w:rsidR="00A83B58">
        <w:rPr>
          <w:rFonts w:ascii="Times New Roman" w:hAnsi="Times New Roman"/>
          <w:sz w:val="24"/>
          <w:szCs w:val="24"/>
        </w:rPr>
        <w:t>I</w:t>
      </w:r>
      <w:r w:rsidRPr="0069617C">
        <w:rPr>
          <w:rFonts w:ascii="Times New Roman" w:hAnsi="Times New Roman"/>
          <w:sz w:val="24"/>
          <w:szCs w:val="24"/>
        </w:rPr>
        <w:t>nternational standards like the Bangkok Rules require that the “environment provided for such children’s upbringing shall be as close as possible to that of a child outside prison.</w:t>
      </w:r>
      <w:r w:rsidR="00AB3BB7">
        <w:rPr>
          <w:rFonts w:ascii="Times New Roman" w:hAnsi="Times New Roman"/>
          <w:sz w:val="24"/>
          <w:szCs w:val="24"/>
        </w:rPr>
        <w:t>”</w:t>
      </w:r>
      <w:r w:rsidRPr="0069617C">
        <w:rPr>
          <w:rStyle w:val="Appelnotedebasdep"/>
          <w:rFonts w:ascii="Times New Roman" w:hAnsi="Times New Roman"/>
          <w:sz w:val="24"/>
          <w:szCs w:val="24"/>
        </w:rPr>
        <w:footnoteReference w:id="52"/>
      </w:r>
    </w:p>
    <w:p w14:paraId="211639E1" w14:textId="7ACC922F"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bookmarkStart w:id="1" w:name="_Int_MZZwEU7Z"/>
      <w:proofErr w:type="spellStart"/>
      <w:r w:rsidRPr="0069617C">
        <w:rPr>
          <w:rFonts w:ascii="Times New Roman" w:hAnsi="Times New Roman"/>
          <w:sz w:val="24"/>
          <w:szCs w:val="24"/>
        </w:rPr>
        <w:t>Eleos</w:t>
      </w:r>
      <w:bookmarkEnd w:id="1"/>
      <w:proofErr w:type="spellEnd"/>
      <w:r w:rsidRPr="0069617C">
        <w:rPr>
          <w:rFonts w:ascii="Times New Roman" w:hAnsi="Times New Roman"/>
          <w:sz w:val="24"/>
          <w:szCs w:val="24"/>
        </w:rPr>
        <w:t xml:space="preserve"> Justice and the Cornell Center on the Death Penalty Worldwide reported that as of March 2023, children were living with mothers </w:t>
      </w:r>
      <w:r w:rsidR="004914B2">
        <w:rPr>
          <w:rFonts w:ascii="Times New Roman" w:hAnsi="Times New Roman"/>
          <w:sz w:val="24"/>
          <w:szCs w:val="24"/>
        </w:rPr>
        <w:t xml:space="preserve">under sentence of death </w:t>
      </w:r>
      <w:r w:rsidRPr="0069617C">
        <w:rPr>
          <w:rFonts w:ascii="Times New Roman" w:hAnsi="Times New Roman"/>
          <w:sz w:val="24"/>
          <w:szCs w:val="24"/>
        </w:rPr>
        <w:t>in Cameroon, the Democratic Republic of Congo, Nigeria, and India.</w:t>
      </w:r>
      <w:r w:rsidRPr="0069617C">
        <w:rPr>
          <w:rStyle w:val="Appelnotedebasdep"/>
          <w:rFonts w:ascii="Times New Roman" w:hAnsi="Times New Roman"/>
          <w:sz w:val="24"/>
          <w:szCs w:val="24"/>
        </w:rPr>
        <w:footnoteReference w:id="53"/>
      </w:r>
      <w:r w:rsidRPr="0069617C">
        <w:rPr>
          <w:rFonts w:ascii="Times New Roman" w:hAnsi="Times New Roman"/>
          <w:sz w:val="24"/>
          <w:szCs w:val="24"/>
        </w:rPr>
        <w:t xml:space="preserve"> A woman in the Democratic Republic of Congo reported being detained in a single cell with </w:t>
      </w:r>
      <w:r w:rsidR="00E05C73">
        <w:rPr>
          <w:rFonts w:ascii="Times New Roman" w:hAnsi="Times New Roman"/>
          <w:sz w:val="24"/>
          <w:szCs w:val="24"/>
        </w:rPr>
        <w:t>three</w:t>
      </w:r>
      <w:r w:rsidRPr="0069617C">
        <w:rPr>
          <w:rFonts w:ascii="Times New Roman" w:hAnsi="Times New Roman"/>
          <w:sz w:val="24"/>
          <w:szCs w:val="24"/>
        </w:rPr>
        <w:t xml:space="preserve"> other women and a baby.</w:t>
      </w:r>
      <w:r w:rsidRPr="0069617C">
        <w:rPr>
          <w:rStyle w:val="Appelnotedebasdep"/>
          <w:rFonts w:ascii="Times New Roman" w:hAnsi="Times New Roman"/>
          <w:sz w:val="24"/>
          <w:szCs w:val="24"/>
        </w:rPr>
        <w:footnoteReference w:id="54"/>
      </w:r>
      <w:r w:rsidRPr="0069617C">
        <w:rPr>
          <w:rFonts w:ascii="Times New Roman" w:hAnsi="Times New Roman"/>
          <w:sz w:val="24"/>
          <w:szCs w:val="24"/>
        </w:rPr>
        <w:t xml:space="preserve"> Another woman </w:t>
      </w:r>
      <w:r w:rsidR="004914B2">
        <w:rPr>
          <w:rFonts w:ascii="Times New Roman" w:hAnsi="Times New Roman"/>
          <w:sz w:val="24"/>
          <w:szCs w:val="24"/>
        </w:rPr>
        <w:t xml:space="preserve">under sentence of </w:t>
      </w:r>
      <w:r w:rsidRPr="0069617C">
        <w:rPr>
          <w:rFonts w:ascii="Times New Roman" w:hAnsi="Times New Roman"/>
          <w:sz w:val="24"/>
          <w:szCs w:val="24"/>
        </w:rPr>
        <w:t xml:space="preserve">death in Nigeria reported that although her baby resided in her cell with her, the cell was crowded, and </w:t>
      </w:r>
      <w:r w:rsidR="00CE6F85">
        <w:rPr>
          <w:rFonts w:ascii="Times New Roman" w:hAnsi="Times New Roman"/>
          <w:sz w:val="24"/>
          <w:szCs w:val="24"/>
        </w:rPr>
        <w:t xml:space="preserve">prison officials gave her </w:t>
      </w:r>
      <w:r w:rsidRPr="0069617C">
        <w:rPr>
          <w:rFonts w:ascii="Times New Roman" w:hAnsi="Times New Roman"/>
          <w:sz w:val="24"/>
          <w:szCs w:val="24"/>
        </w:rPr>
        <w:t>no additional food to feed the child.</w:t>
      </w:r>
      <w:r w:rsidRPr="0069617C">
        <w:rPr>
          <w:rStyle w:val="Appelnotedebasdep"/>
          <w:rFonts w:ascii="Times New Roman" w:hAnsi="Times New Roman"/>
          <w:sz w:val="24"/>
          <w:szCs w:val="24"/>
        </w:rPr>
        <w:footnoteReference w:id="55"/>
      </w:r>
      <w:r w:rsidRPr="0069617C">
        <w:rPr>
          <w:rFonts w:ascii="Times New Roman" w:hAnsi="Times New Roman"/>
          <w:sz w:val="24"/>
          <w:szCs w:val="24"/>
        </w:rPr>
        <w:t xml:space="preserve"> </w:t>
      </w:r>
    </w:p>
    <w:p w14:paraId="6CB7315F" w14:textId="27882A8C"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In Sudan, a woman </w:t>
      </w:r>
      <w:r w:rsidR="00E05C73">
        <w:rPr>
          <w:rFonts w:ascii="Times New Roman" w:hAnsi="Times New Roman"/>
          <w:sz w:val="24"/>
          <w:szCs w:val="24"/>
        </w:rPr>
        <w:t xml:space="preserve">under sentence of </w:t>
      </w:r>
      <w:r w:rsidRPr="0069617C">
        <w:rPr>
          <w:rFonts w:ascii="Times New Roman" w:hAnsi="Times New Roman"/>
          <w:sz w:val="24"/>
          <w:szCs w:val="24"/>
        </w:rPr>
        <w:t>death was “shackled to heavy chains in prison while eight months pregnant and caring for a young child, and during childbirth.”</w:t>
      </w:r>
      <w:r w:rsidRPr="0069617C">
        <w:rPr>
          <w:rStyle w:val="Appelnotedebasdep"/>
          <w:rFonts w:ascii="Times New Roman" w:hAnsi="Times New Roman"/>
          <w:sz w:val="24"/>
          <w:szCs w:val="24"/>
        </w:rPr>
        <w:footnoteReference w:id="56"/>
      </w:r>
    </w:p>
    <w:p w14:paraId="4AEDF209" w14:textId="77777777" w:rsidR="003C38F0" w:rsidRPr="0069617C" w:rsidRDefault="003C38F0" w:rsidP="003C38F0">
      <w:pPr>
        <w:spacing w:after="120"/>
        <w:jc w:val="center"/>
        <w:rPr>
          <w:b/>
          <w:bCs/>
        </w:rPr>
      </w:pPr>
      <w:r w:rsidRPr="0069617C">
        <w:rPr>
          <w:b/>
          <w:bCs/>
        </w:rPr>
        <w:t>Gender-Based Violence on Death Row</w:t>
      </w:r>
    </w:p>
    <w:p w14:paraId="256B2C19" w14:textId="51B89DCD"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t xml:space="preserve">In Sri Lanka, </w:t>
      </w:r>
      <w:r w:rsidR="0054712B">
        <w:rPr>
          <w:rFonts w:ascii="Times New Roman" w:hAnsi="Times New Roman"/>
          <w:sz w:val="24"/>
          <w:szCs w:val="24"/>
        </w:rPr>
        <w:t xml:space="preserve">prison authorities detain </w:t>
      </w:r>
      <w:r w:rsidRPr="0069617C">
        <w:rPr>
          <w:rFonts w:ascii="Times New Roman" w:hAnsi="Times New Roman"/>
          <w:sz w:val="24"/>
          <w:szCs w:val="24"/>
        </w:rPr>
        <w:t xml:space="preserve">women </w:t>
      </w:r>
      <w:r w:rsidR="00E05C73">
        <w:rPr>
          <w:rFonts w:ascii="Times New Roman" w:hAnsi="Times New Roman"/>
          <w:sz w:val="24"/>
          <w:szCs w:val="24"/>
        </w:rPr>
        <w:t>under sentence of</w:t>
      </w:r>
      <w:r w:rsidRPr="0069617C">
        <w:rPr>
          <w:rFonts w:ascii="Times New Roman" w:hAnsi="Times New Roman"/>
          <w:sz w:val="24"/>
          <w:szCs w:val="24"/>
        </w:rPr>
        <w:t xml:space="preserve"> death in units staffed by men, expos</w:t>
      </w:r>
      <w:r w:rsidR="0054712B">
        <w:rPr>
          <w:rFonts w:ascii="Times New Roman" w:hAnsi="Times New Roman"/>
          <w:sz w:val="24"/>
          <w:szCs w:val="24"/>
        </w:rPr>
        <w:t>ing</w:t>
      </w:r>
      <w:r w:rsidRPr="0069617C">
        <w:rPr>
          <w:rFonts w:ascii="Times New Roman" w:hAnsi="Times New Roman"/>
          <w:sz w:val="24"/>
          <w:szCs w:val="24"/>
        </w:rPr>
        <w:t xml:space="preserve"> them to “ongoing risks of gender-based violence</w:t>
      </w:r>
      <w:r w:rsidR="0054712B">
        <w:rPr>
          <w:rFonts w:ascii="Times New Roman" w:hAnsi="Times New Roman"/>
          <w:sz w:val="24"/>
          <w:szCs w:val="24"/>
        </w:rPr>
        <w:t xml:space="preserve"> . . . </w:t>
      </w:r>
      <w:r w:rsidRPr="0069617C">
        <w:rPr>
          <w:rFonts w:ascii="Times New Roman" w:hAnsi="Times New Roman"/>
          <w:sz w:val="24"/>
          <w:szCs w:val="24"/>
        </w:rPr>
        <w:t>abusive searches, physical and psychological violence, and rapes.”</w:t>
      </w:r>
      <w:r w:rsidRPr="0069617C">
        <w:rPr>
          <w:rStyle w:val="Appelnotedebasdep"/>
          <w:rFonts w:ascii="Times New Roman" w:hAnsi="Times New Roman"/>
          <w:sz w:val="24"/>
          <w:szCs w:val="24"/>
        </w:rPr>
        <w:footnoteReference w:id="57"/>
      </w:r>
      <w:r w:rsidRPr="0069617C">
        <w:rPr>
          <w:rFonts w:ascii="Times New Roman" w:hAnsi="Times New Roman"/>
          <w:sz w:val="24"/>
          <w:szCs w:val="24"/>
        </w:rPr>
        <w:t xml:space="preserve"> The Bangkok Rules stipulate that women should be searched </w:t>
      </w:r>
      <w:r w:rsidR="00AB1F1D">
        <w:rPr>
          <w:rFonts w:ascii="Times New Roman" w:hAnsi="Times New Roman"/>
          <w:sz w:val="24"/>
          <w:szCs w:val="24"/>
        </w:rPr>
        <w:t xml:space="preserve">only </w:t>
      </w:r>
      <w:r w:rsidRPr="0069617C">
        <w:rPr>
          <w:rFonts w:ascii="Times New Roman" w:hAnsi="Times New Roman"/>
          <w:sz w:val="24"/>
          <w:szCs w:val="24"/>
        </w:rPr>
        <w:t>by female staff members.</w:t>
      </w:r>
      <w:r w:rsidRPr="0069617C">
        <w:rPr>
          <w:rStyle w:val="Appelnotedebasdep"/>
          <w:rFonts w:ascii="Times New Roman" w:hAnsi="Times New Roman"/>
          <w:sz w:val="24"/>
          <w:szCs w:val="24"/>
        </w:rPr>
        <w:footnoteReference w:id="58"/>
      </w:r>
      <w:r w:rsidRPr="0069617C">
        <w:rPr>
          <w:rFonts w:ascii="Times New Roman" w:hAnsi="Times New Roman"/>
          <w:sz w:val="24"/>
          <w:szCs w:val="24"/>
        </w:rPr>
        <w:t xml:space="preserve"> </w:t>
      </w:r>
      <w:r w:rsidR="00AB1F1D">
        <w:rPr>
          <w:rFonts w:ascii="Times New Roman" w:hAnsi="Times New Roman"/>
          <w:sz w:val="24"/>
          <w:szCs w:val="24"/>
        </w:rPr>
        <w:t xml:space="preserve">Women incarcerated in Tanzania </w:t>
      </w:r>
      <w:r w:rsidR="006E5E05">
        <w:rPr>
          <w:rFonts w:ascii="Times New Roman" w:hAnsi="Times New Roman"/>
          <w:sz w:val="24"/>
          <w:szCs w:val="24"/>
        </w:rPr>
        <w:t xml:space="preserve">allegedly </w:t>
      </w:r>
      <w:r w:rsidR="003424B0">
        <w:rPr>
          <w:rFonts w:ascii="Times New Roman" w:hAnsi="Times New Roman"/>
          <w:sz w:val="24"/>
          <w:szCs w:val="24"/>
        </w:rPr>
        <w:t xml:space="preserve">face coercion </w:t>
      </w:r>
      <w:r w:rsidR="006E5E05">
        <w:rPr>
          <w:rFonts w:ascii="Times New Roman" w:hAnsi="Times New Roman"/>
          <w:sz w:val="24"/>
          <w:szCs w:val="24"/>
        </w:rPr>
        <w:t xml:space="preserve">into </w:t>
      </w:r>
      <w:r w:rsidRPr="0069617C">
        <w:rPr>
          <w:rFonts w:ascii="Times New Roman" w:hAnsi="Times New Roman"/>
          <w:sz w:val="24"/>
          <w:szCs w:val="24"/>
        </w:rPr>
        <w:t>transactional sex for food or protection.</w:t>
      </w:r>
      <w:r w:rsidRPr="0069617C">
        <w:rPr>
          <w:rStyle w:val="Appelnotedebasdep"/>
          <w:rFonts w:ascii="Times New Roman" w:hAnsi="Times New Roman"/>
          <w:sz w:val="24"/>
          <w:szCs w:val="24"/>
        </w:rPr>
        <w:footnoteReference w:id="59"/>
      </w:r>
      <w:r w:rsidRPr="0069617C">
        <w:rPr>
          <w:rFonts w:ascii="Times New Roman" w:hAnsi="Times New Roman"/>
          <w:sz w:val="24"/>
          <w:szCs w:val="24"/>
        </w:rPr>
        <w:t xml:space="preserve"> In the United States, </w:t>
      </w:r>
      <w:r w:rsidR="003424B0">
        <w:rPr>
          <w:rFonts w:ascii="Times New Roman" w:hAnsi="Times New Roman"/>
          <w:sz w:val="24"/>
          <w:szCs w:val="24"/>
        </w:rPr>
        <w:t xml:space="preserve">a Florida prison subjected </w:t>
      </w:r>
      <w:r w:rsidRPr="0069617C">
        <w:rPr>
          <w:rFonts w:ascii="Times New Roman" w:hAnsi="Times New Roman"/>
          <w:sz w:val="24"/>
          <w:szCs w:val="24"/>
        </w:rPr>
        <w:t xml:space="preserve">women </w:t>
      </w:r>
      <w:r w:rsidR="003424B0">
        <w:rPr>
          <w:rFonts w:ascii="Times New Roman" w:hAnsi="Times New Roman"/>
          <w:sz w:val="24"/>
          <w:szCs w:val="24"/>
        </w:rPr>
        <w:t xml:space="preserve">under sentence of death </w:t>
      </w:r>
      <w:r w:rsidRPr="0069617C">
        <w:rPr>
          <w:rFonts w:ascii="Times New Roman" w:hAnsi="Times New Roman"/>
          <w:sz w:val="24"/>
          <w:szCs w:val="24"/>
        </w:rPr>
        <w:t>to years of sexual abuse and rape by prison staff as a “regular event,” often requiring sex for necessities like toilet paper.</w:t>
      </w:r>
      <w:r w:rsidRPr="0069617C">
        <w:rPr>
          <w:rStyle w:val="Appelnotedebasdep"/>
          <w:rFonts w:ascii="Times New Roman" w:hAnsi="Times New Roman"/>
          <w:sz w:val="24"/>
          <w:szCs w:val="24"/>
        </w:rPr>
        <w:footnoteReference w:id="60"/>
      </w:r>
      <w:r w:rsidRPr="0069617C">
        <w:rPr>
          <w:rFonts w:ascii="Times New Roman" w:hAnsi="Times New Roman"/>
          <w:sz w:val="24"/>
          <w:szCs w:val="24"/>
        </w:rPr>
        <w:t xml:space="preserve"> </w:t>
      </w:r>
      <w:r w:rsidR="00AF345C">
        <w:rPr>
          <w:rFonts w:ascii="Times New Roman" w:hAnsi="Times New Roman"/>
          <w:sz w:val="24"/>
          <w:szCs w:val="24"/>
        </w:rPr>
        <w:t xml:space="preserve">A woman who reported </w:t>
      </w:r>
      <w:r w:rsidRPr="0069617C">
        <w:rPr>
          <w:rFonts w:ascii="Times New Roman" w:hAnsi="Times New Roman"/>
          <w:sz w:val="24"/>
          <w:szCs w:val="24"/>
        </w:rPr>
        <w:t xml:space="preserve">the abuse would </w:t>
      </w:r>
      <w:r w:rsidR="00AF345C">
        <w:rPr>
          <w:rFonts w:ascii="Times New Roman" w:hAnsi="Times New Roman"/>
          <w:sz w:val="24"/>
          <w:szCs w:val="24"/>
        </w:rPr>
        <w:t xml:space="preserve">end up </w:t>
      </w:r>
      <w:r w:rsidRPr="0069617C">
        <w:rPr>
          <w:rFonts w:ascii="Times New Roman" w:hAnsi="Times New Roman"/>
          <w:sz w:val="24"/>
          <w:szCs w:val="24"/>
        </w:rPr>
        <w:t>in solitary</w:t>
      </w:r>
      <w:r w:rsidR="00AF345C">
        <w:rPr>
          <w:rFonts w:ascii="Times New Roman" w:hAnsi="Times New Roman"/>
          <w:sz w:val="24"/>
          <w:szCs w:val="24"/>
        </w:rPr>
        <w:t xml:space="preserve"> confinement or face other punishment</w:t>
      </w:r>
      <w:r w:rsidRPr="0069617C">
        <w:rPr>
          <w:rFonts w:ascii="Times New Roman" w:hAnsi="Times New Roman"/>
          <w:sz w:val="24"/>
          <w:szCs w:val="24"/>
        </w:rPr>
        <w:t>.</w:t>
      </w:r>
      <w:r w:rsidRPr="0069617C">
        <w:rPr>
          <w:rStyle w:val="Appelnotedebasdep"/>
          <w:rFonts w:ascii="Times New Roman" w:hAnsi="Times New Roman"/>
          <w:sz w:val="24"/>
          <w:szCs w:val="24"/>
        </w:rPr>
        <w:footnoteReference w:id="61"/>
      </w:r>
      <w:r w:rsidRPr="0069617C">
        <w:rPr>
          <w:rFonts w:ascii="Times New Roman" w:hAnsi="Times New Roman"/>
          <w:sz w:val="24"/>
          <w:szCs w:val="24"/>
        </w:rPr>
        <w:t xml:space="preserve"> </w:t>
      </w:r>
    </w:p>
    <w:p w14:paraId="1B8772FB" w14:textId="74C04686" w:rsidR="003C38F0" w:rsidRPr="0069617C" w:rsidRDefault="003C38F0" w:rsidP="00827209">
      <w:pPr>
        <w:pStyle w:val="Paragraphedeliste"/>
        <w:numPr>
          <w:ilvl w:val="0"/>
          <w:numId w:val="11"/>
        </w:numPr>
        <w:spacing w:after="120" w:line="240" w:lineRule="auto"/>
        <w:contextualSpacing w:val="0"/>
        <w:jc w:val="both"/>
        <w:rPr>
          <w:rFonts w:ascii="Times New Roman" w:hAnsi="Times New Roman"/>
          <w:sz w:val="24"/>
          <w:szCs w:val="24"/>
        </w:rPr>
      </w:pPr>
      <w:r w:rsidRPr="0069617C">
        <w:rPr>
          <w:rFonts w:ascii="Times New Roman" w:hAnsi="Times New Roman"/>
          <w:sz w:val="24"/>
          <w:szCs w:val="24"/>
        </w:rPr>
        <w:lastRenderedPageBreak/>
        <w:t>Violence perpetrated by inmates on inmates is also a significant issue, and th</w:t>
      </w:r>
      <w:r w:rsidR="007E2F43">
        <w:rPr>
          <w:rFonts w:ascii="Times New Roman" w:hAnsi="Times New Roman"/>
          <w:sz w:val="24"/>
          <w:szCs w:val="24"/>
        </w:rPr>
        <w:t>e risk of such violence</w:t>
      </w:r>
      <w:r w:rsidRPr="0069617C">
        <w:rPr>
          <w:rFonts w:ascii="Times New Roman" w:hAnsi="Times New Roman"/>
          <w:sz w:val="24"/>
          <w:szCs w:val="24"/>
        </w:rPr>
        <w:t xml:space="preserve"> is exacerbated when </w:t>
      </w:r>
      <w:r w:rsidR="007E2F43">
        <w:rPr>
          <w:rFonts w:ascii="Times New Roman" w:hAnsi="Times New Roman"/>
          <w:sz w:val="24"/>
          <w:szCs w:val="24"/>
        </w:rPr>
        <w:t xml:space="preserve">prisons house </w:t>
      </w:r>
      <w:r w:rsidRPr="0069617C">
        <w:rPr>
          <w:rFonts w:ascii="Times New Roman" w:hAnsi="Times New Roman"/>
          <w:sz w:val="24"/>
          <w:szCs w:val="24"/>
        </w:rPr>
        <w:t xml:space="preserve">women </w:t>
      </w:r>
      <w:proofErr w:type="gramStart"/>
      <w:r w:rsidR="007E2F43">
        <w:rPr>
          <w:rFonts w:ascii="Times New Roman" w:hAnsi="Times New Roman"/>
          <w:sz w:val="24"/>
          <w:szCs w:val="24"/>
        </w:rPr>
        <w:t>in close proximity to</w:t>
      </w:r>
      <w:proofErr w:type="gramEnd"/>
      <w:r w:rsidR="007E2F43">
        <w:rPr>
          <w:rFonts w:ascii="Times New Roman" w:hAnsi="Times New Roman"/>
          <w:sz w:val="24"/>
          <w:szCs w:val="24"/>
        </w:rPr>
        <w:t xml:space="preserve"> men</w:t>
      </w:r>
      <w:r w:rsidRPr="0069617C">
        <w:rPr>
          <w:rFonts w:ascii="Times New Roman" w:hAnsi="Times New Roman"/>
          <w:sz w:val="24"/>
          <w:szCs w:val="24"/>
        </w:rPr>
        <w:t xml:space="preserve">. </w:t>
      </w:r>
      <w:r w:rsidR="0083709F">
        <w:rPr>
          <w:rFonts w:ascii="Times New Roman" w:hAnsi="Times New Roman"/>
          <w:sz w:val="24"/>
          <w:szCs w:val="24"/>
        </w:rPr>
        <w:t>O</w:t>
      </w:r>
      <w:r w:rsidRPr="0069617C">
        <w:rPr>
          <w:rFonts w:ascii="Times New Roman" w:hAnsi="Times New Roman"/>
          <w:sz w:val="24"/>
          <w:szCs w:val="24"/>
        </w:rPr>
        <w:t xml:space="preserve">rganizations </w:t>
      </w:r>
      <w:r w:rsidR="0083709F">
        <w:rPr>
          <w:rFonts w:ascii="Times New Roman" w:hAnsi="Times New Roman"/>
          <w:sz w:val="24"/>
          <w:szCs w:val="24"/>
        </w:rPr>
        <w:t xml:space="preserve">report </w:t>
      </w:r>
      <w:r w:rsidRPr="0069617C">
        <w:rPr>
          <w:rFonts w:ascii="Times New Roman" w:hAnsi="Times New Roman"/>
          <w:sz w:val="24"/>
          <w:szCs w:val="24"/>
        </w:rPr>
        <w:t xml:space="preserve">that women are not fully </w:t>
      </w:r>
      <w:r w:rsidR="0083709F">
        <w:rPr>
          <w:rFonts w:ascii="Times New Roman" w:hAnsi="Times New Roman"/>
          <w:sz w:val="24"/>
          <w:szCs w:val="24"/>
        </w:rPr>
        <w:t xml:space="preserve">segregated </w:t>
      </w:r>
      <w:r w:rsidRPr="0069617C">
        <w:rPr>
          <w:rFonts w:ascii="Times New Roman" w:hAnsi="Times New Roman"/>
          <w:sz w:val="24"/>
          <w:szCs w:val="24"/>
        </w:rPr>
        <w:t>from men, leaving them vulnerable to sexual assault, in “Bangladesh, Cameroon, Democratic Republic of Congo, Equatorial Guinea, Gambia, and Iraq.”</w:t>
      </w:r>
      <w:r w:rsidRPr="0069617C">
        <w:rPr>
          <w:rStyle w:val="Appelnotedebasdep"/>
          <w:rFonts w:ascii="Times New Roman" w:hAnsi="Times New Roman"/>
          <w:sz w:val="24"/>
          <w:szCs w:val="24"/>
        </w:rPr>
        <w:footnoteReference w:id="62"/>
      </w:r>
    </w:p>
    <w:p w14:paraId="3652CDFE" w14:textId="2E5E2757" w:rsidR="003C38F0" w:rsidRPr="0069617C" w:rsidRDefault="00827209" w:rsidP="00033AA6">
      <w:pPr>
        <w:pStyle w:val="Paragraphedeliste"/>
        <w:keepNext/>
        <w:numPr>
          <w:ilvl w:val="0"/>
          <w:numId w:val="10"/>
        </w:numPr>
        <w:spacing w:after="120" w:line="240" w:lineRule="auto"/>
        <w:ind w:left="360" w:hanging="360"/>
        <w:contextualSpacing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003C38F0" w:rsidRPr="0069617C">
        <w:rPr>
          <w:rFonts w:ascii="Times New Roman" w:eastAsia="Times New Roman" w:hAnsi="Times New Roman"/>
          <w:b/>
          <w:bCs/>
          <w:color w:val="000000"/>
          <w:sz w:val="24"/>
          <w:szCs w:val="24"/>
        </w:rPr>
        <w:t>RECOMMENDATIONS</w:t>
      </w:r>
    </w:p>
    <w:p w14:paraId="76AB4F2F" w14:textId="703263E0" w:rsidR="00A57F65" w:rsidRDefault="0083709F" w:rsidP="00827209">
      <w:pPr>
        <w:pStyle w:val="Paragraphedeliste"/>
        <w:numPr>
          <w:ilvl w:val="0"/>
          <w:numId w:val="11"/>
        </w:numPr>
        <w:spacing w:after="120" w:line="240" w:lineRule="auto"/>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Advocates for Human Rights</w:t>
      </w:r>
      <w:r w:rsidR="00EB6308">
        <w:rPr>
          <w:rFonts w:ascii="Times New Roman" w:eastAsia="Times New Roman" w:hAnsi="Times New Roman"/>
          <w:color w:val="000000"/>
          <w:sz w:val="24"/>
          <w:szCs w:val="24"/>
        </w:rPr>
        <w:t xml:space="preserve"> and The World Coalition</w:t>
      </w:r>
      <w:r>
        <w:rPr>
          <w:rFonts w:ascii="Times New Roman" w:eastAsia="Times New Roman" w:hAnsi="Times New Roman"/>
          <w:color w:val="000000"/>
          <w:sz w:val="24"/>
          <w:szCs w:val="24"/>
        </w:rPr>
        <w:t xml:space="preserve"> suggests </w:t>
      </w:r>
      <w:r w:rsidR="00AD6D09">
        <w:rPr>
          <w:rFonts w:ascii="Times New Roman" w:eastAsia="Times New Roman" w:hAnsi="Times New Roman"/>
          <w:color w:val="000000"/>
          <w:sz w:val="24"/>
          <w:szCs w:val="24"/>
        </w:rPr>
        <w:t xml:space="preserve">that the Special Rapporteur on Torture take the following steps regarding </w:t>
      </w:r>
      <w:r w:rsidR="00A57F65">
        <w:rPr>
          <w:rFonts w:ascii="Times New Roman" w:eastAsia="Times New Roman" w:hAnsi="Times New Roman"/>
          <w:color w:val="000000"/>
          <w:sz w:val="24"/>
          <w:szCs w:val="24"/>
        </w:rPr>
        <w:t xml:space="preserve">women under sentence of death: </w:t>
      </w:r>
    </w:p>
    <w:p w14:paraId="21B555B4" w14:textId="5DB23411" w:rsidR="003C38F0" w:rsidRPr="0069617C" w:rsidRDefault="003C38F0"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Conduct a full </w:t>
      </w:r>
      <w:r w:rsidR="00952784">
        <w:rPr>
          <w:rFonts w:ascii="Times New Roman" w:eastAsia="Times New Roman" w:hAnsi="Times New Roman"/>
          <w:color w:val="000000"/>
          <w:sz w:val="24"/>
          <w:szCs w:val="24"/>
        </w:rPr>
        <w:t xml:space="preserve">study </w:t>
      </w:r>
      <w:r w:rsidRPr="0069617C">
        <w:rPr>
          <w:rFonts w:ascii="Times New Roman" w:eastAsia="Times New Roman" w:hAnsi="Times New Roman"/>
          <w:color w:val="000000"/>
          <w:sz w:val="24"/>
          <w:szCs w:val="24"/>
        </w:rPr>
        <w:t xml:space="preserve">into conditions </w:t>
      </w:r>
      <w:r w:rsidR="00A57F65">
        <w:rPr>
          <w:rFonts w:ascii="Times New Roman" w:eastAsia="Times New Roman" w:hAnsi="Times New Roman"/>
          <w:color w:val="000000"/>
          <w:sz w:val="24"/>
          <w:szCs w:val="24"/>
        </w:rPr>
        <w:t xml:space="preserve">of detention for </w:t>
      </w:r>
      <w:r w:rsidRPr="0069617C">
        <w:rPr>
          <w:rFonts w:ascii="Times New Roman" w:eastAsia="Times New Roman" w:hAnsi="Times New Roman"/>
          <w:color w:val="000000"/>
          <w:sz w:val="24"/>
          <w:szCs w:val="24"/>
        </w:rPr>
        <w:t xml:space="preserve">women </w:t>
      </w:r>
      <w:r w:rsidR="00A57F65">
        <w:rPr>
          <w:rFonts w:ascii="Times New Roman" w:eastAsia="Times New Roman" w:hAnsi="Times New Roman"/>
          <w:color w:val="000000"/>
          <w:sz w:val="24"/>
          <w:szCs w:val="24"/>
        </w:rPr>
        <w:t>under sentence of death</w:t>
      </w:r>
      <w:r w:rsidRPr="0069617C">
        <w:rPr>
          <w:rFonts w:ascii="Times New Roman" w:eastAsia="Times New Roman" w:hAnsi="Times New Roman"/>
          <w:color w:val="000000"/>
          <w:sz w:val="24"/>
          <w:szCs w:val="24"/>
        </w:rPr>
        <w:t>, specifically seeking more information on overcrowding, hygiene practices, access to necessities, health care, and gender-based violence.</w:t>
      </w:r>
    </w:p>
    <w:p w14:paraId="44A5985B" w14:textId="54DDB628" w:rsidR="003C38F0" w:rsidRPr="0069617C" w:rsidRDefault="00952784"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Call for </w:t>
      </w:r>
      <w:r w:rsidR="003C38F0" w:rsidRPr="0069617C">
        <w:rPr>
          <w:rFonts w:ascii="Times New Roman" w:eastAsia="Times New Roman" w:hAnsi="Times New Roman"/>
          <w:color w:val="000000"/>
          <w:sz w:val="24"/>
          <w:szCs w:val="24"/>
        </w:rPr>
        <w:t xml:space="preserve">transparency </w:t>
      </w:r>
      <w:r>
        <w:rPr>
          <w:rFonts w:ascii="Times New Roman" w:eastAsia="Times New Roman" w:hAnsi="Times New Roman"/>
          <w:color w:val="000000"/>
          <w:sz w:val="24"/>
          <w:szCs w:val="24"/>
        </w:rPr>
        <w:t xml:space="preserve">regarding detention </w:t>
      </w:r>
      <w:r w:rsidR="003C38F0" w:rsidRPr="0069617C">
        <w:rPr>
          <w:rFonts w:ascii="Times New Roman" w:eastAsia="Times New Roman" w:hAnsi="Times New Roman"/>
          <w:color w:val="000000"/>
          <w:sz w:val="24"/>
          <w:szCs w:val="24"/>
        </w:rPr>
        <w:t xml:space="preserve">conditions for women </w:t>
      </w:r>
      <w:r>
        <w:rPr>
          <w:rFonts w:ascii="Times New Roman" w:eastAsia="Times New Roman" w:hAnsi="Times New Roman"/>
          <w:color w:val="000000"/>
          <w:sz w:val="24"/>
          <w:szCs w:val="24"/>
        </w:rPr>
        <w:t xml:space="preserve">under sentence of </w:t>
      </w:r>
      <w:r w:rsidR="003C38F0" w:rsidRPr="0069617C">
        <w:rPr>
          <w:rFonts w:ascii="Times New Roman" w:eastAsia="Times New Roman" w:hAnsi="Times New Roman"/>
          <w:color w:val="000000"/>
          <w:sz w:val="24"/>
          <w:szCs w:val="24"/>
        </w:rPr>
        <w:t xml:space="preserve">death, a largely forgotten and invisible population </w:t>
      </w:r>
      <w:r w:rsidR="00F90346">
        <w:rPr>
          <w:rFonts w:ascii="Times New Roman" w:eastAsia="Times New Roman" w:hAnsi="Times New Roman"/>
          <w:color w:val="000000"/>
          <w:sz w:val="24"/>
          <w:szCs w:val="24"/>
        </w:rPr>
        <w:t>worldwide</w:t>
      </w:r>
      <w:r w:rsidR="003C38F0" w:rsidRPr="0069617C">
        <w:rPr>
          <w:rFonts w:ascii="Times New Roman" w:eastAsia="Times New Roman" w:hAnsi="Times New Roman"/>
          <w:color w:val="000000"/>
          <w:sz w:val="24"/>
          <w:szCs w:val="24"/>
        </w:rPr>
        <w:t>.</w:t>
      </w:r>
    </w:p>
    <w:p w14:paraId="1FD2BD38" w14:textId="5BEAC45A" w:rsidR="003C38F0" w:rsidRPr="0069617C" w:rsidRDefault="003C38F0"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Remind States to implement legislation and policies </w:t>
      </w:r>
      <w:r w:rsidR="00F90346">
        <w:rPr>
          <w:rFonts w:ascii="Times New Roman" w:eastAsia="Times New Roman" w:hAnsi="Times New Roman"/>
          <w:color w:val="000000"/>
          <w:sz w:val="24"/>
          <w:szCs w:val="24"/>
        </w:rPr>
        <w:t xml:space="preserve">in accordance with </w:t>
      </w:r>
      <w:r w:rsidRPr="0069617C">
        <w:rPr>
          <w:rFonts w:ascii="Times New Roman" w:eastAsia="Times New Roman" w:hAnsi="Times New Roman"/>
          <w:color w:val="000000"/>
          <w:sz w:val="24"/>
          <w:szCs w:val="24"/>
        </w:rPr>
        <w:t xml:space="preserve">the Bangkok Rules to protect the vulnerable population of </w:t>
      </w:r>
      <w:r w:rsidR="00F90346">
        <w:rPr>
          <w:rFonts w:ascii="Times New Roman" w:eastAsia="Times New Roman" w:hAnsi="Times New Roman"/>
          <w:color w:val="000000"/>
          <w:sz w:val="24"/>
          <w:szCs w:val="24"/>
        </w:rPr>
        <w:t>women in detention</w:t>
      </w:r>
      <w:r w:rsidRPr="0069617C">
        <w:rPr>
          <w:rFonts w:ascii="Times New Roman" w:eastAsia="Times New Roman" w:hAnsi="Times New Roman"/>
          <w:color w:val="000000"/>
          <w:sz w:val="24"/>
          <w:szCs w:val="24"/>
        </w:rPr>
        <w:t>.</w:t>
      </w:r>
    </w:p>
    <w:p w14:paraId="72B1BEDE" w14:textId="2B64C6FC" w:rsidR="003C38F0" w:rsidRPr="0069617C" w:rsidRDefault="00E518EF"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Raise awareness about failures </w:t>
      </w:r>
      <w:r w:rsidR="003C38F0" w:rsidRPr="0069617C">
        <w:rPr>
          <w:rFonts w:ascii="Times New Roman" w:eastAsia="Times New Roman" w:hAnsi="Times New Roman"/>
          <w:color w:val="000000"/>
          <w:sz w:val="24"/>
          <w:szCs w:val="24"/>
        </w:rPr>
        <w:t xml:space="preserve">to meet minimum standards for providing menstrual products to women </w:t>
      </w:r>
      <w:r>
        <w:rPr>
          <w:rFonts w:ascii="Times New Roman" w:eastAsia="Times New Roman" w:hAnsi="Times New Roman"/>
          <w:color w:val="000000"/>
          <w:sz w:val="24"/>
          <w:szCs w:val="24"/>
        </w:rPr>
        <w:t xml:space="preserve">under sentence of </w:t>
      </w:r>
      <w:r w:rsidR="003C38F0" w:rsidRPr="0069617C">
        <w:rPr>
          <w:rFonts w:ascii="Times New Roman" w:eastAsia="Times New Roman" w:hAnsi="Times New Roman"/>
          <w:color w:val="000000"/>
          <w:sz w:val="24"/>
          <w:szCs w:val="24"/>
        </w:rPr>
        <w:t>death</w:t>
      </w:r>
      <w:r w:rsidR="004A1DA4">
        <w:rPr>
          <w:rFonts w:ascii="Times New Roman" w:eastAsia="Times New Roman" w:hAnsi="Times New Roman"/>
          <w:color w:val="000000"/>
          <w:sz w:val="24"/>
          <w:szCs w:val="24"/>
        </w:rPr>
        <w:t xml:space="preserve"> and call on all States to ensure free access to such products for all persons in detention</w:t>
      </w:r>
      <w:r w:rsidR="003C38F0" w:rsidRPr="0069617C">
        <w:rPr>
          <w:rFonts w:ascii="Times New Roman" w:eastAsia="Times New Roman" w:hAnsi="Times New Roman"/>
          <w:color w:val="000000"/>
          <w:sz w:val="24"/>
          <w:szCs w:val="24"/>
        </w:rPr>
        <w:t>.</w:t>
      </w:r>
    </w:p>
    <w:p w14:paraId="27F44D53" w14:textId="01AACA38" w:rsidR="003C38F0" w:rsidRPr="0069617C" w:rsidRDefault="003C38F0"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Preserve women’s privacy and ensure that this sensitive population </w:t>
      </w:r>
      <w:r w:rsidR="00865AEF">
        <w:rPr>
          <w:rFonts w:ascii="Times New Roman" w:eastAsia="Times New Roman" w:hAnsi="Times New Roman"/>
          <w:color w:val="000000"/>
          <w:sz w:val="24"/>
          <w:szCs w:val="24"/>
        </w:rPr>
        <w:t xml:space="preserve">does not experience </w:t>
      </w:r>
      <w:r w:rsidRPr="0069617C">
        <w:rPr>
          <w:rFonts w:ascii="Times New Roman" w:eastAsia="Times New Roman" w:hAnsi="Times New Roman"/>
          <w:color w:val="000000"/>
          <w:sz w:val="24"/>
          <w:szCs w:val="24"/>
        </w:rPr>
        <w:t>dehumanizing conditions</w:t>
      </w:r>
      <w:r w:rsidR="00865AEF">
        <w:rPr>
          <w:rFonts w:ascii="Times New Roman" w:eastAsia="Times New Roman" w:hAnsi="Times New Roman"/>
          <w:color w:val="000000"/>
          <w:sz w:val="24"/>
          <w:szCs w:val="24"/>
        </w:rPr>
        <w:t xml:space="preserve"> relating to hygiene</w:t>
      </w:r>
      <w:r w:rsidRPr="0069617C">
        <w:rPr>
          <w:rFonts w:ascii="Times New Roman" w:eastAsia="Times New Roman" w:hAnsi="Times New Roman"/>
          <w:color w:val="000000"/>
          <w:sz w:val="24"/>
          <w:szCs w:val="24"/>
        </w:rPr>
        <w:t xml:space="preserve">, such as </w:t>
      </w:r>
      <w:r w:rsidR="004A1DA4">
        <w:rPr>
          <w:rFonts w:ascii="Times New Roman" w:eastAsia="Times New Roman" w:hAnsi="Times New Roman"/>
          <w:color w:val="000000"/>
          <w:sz w:val="24"/>
          <w:szCs w:val="24"/>
        </w:rPr>
        <w:t>lack of private toilets</w:t>
      </w:r>
      <w:r w:rsidR="00865AEF">
        <w:rPr>
          <w:rFonts w:ascii="Times New Roman" w:eastAsia="Times New Roman" w:hAnsi="Times New Roman"/>
          <w:color w:val="000000"/>
          <w:sz w:val="24"/>
          <w:szCs w:val="24"/>
        </w:rPr>
        <w:t xml:space="preserve"> and toilets that are </w:t>
      </w:r>
      <w:r w:rsidRPr="0069617C">
        <w:rPr>
          <w:rFonts w:ascii="Times New Roman" w:eastAsia="Times New Roman" w:hAnsi="Times New Roman"/>
          <w:color w:val="000000"/>
          <w:sz w:val="24"/>
          <w:szCs w:val="24"/>
        </w:rPr>
        <w:t>locked during night</w:t>
      </w:r>
      <w:r w:rsidR="00865AEF">
        <w:rPr>
          <w:rFonts w:ascii="Times New Roman" w:eastAsia="Times New Roman" w:hAnsi="Times New Roman"/>
          <w:color w:val="000000"/>
          <w:sz w:val="24"/>
          <w:szCs w:val="24"/>
        </w:rPr>
        <w:t>time hours</w:t>
      </w:r>
      <w:r w:rsidRPr="0069617C">
        <w:rPr>
          <w:rFonts w:ascii="Times New Roman" w:eastAsia="Times New Roman" w:hAnsi="Times New Roman"/>
          <w:color w:val="000000"/>
          <w:sz w:val="24"/>
          <w:szCs w:val="24"/>
        </w:rPr>
        <w:t>.</w:t>
      </w:r>
    </w:p>
    <w:p w14:paraId="62473A99" w14:textId="5F1A9891" w:rsidR="003C38F0" w:rsidRPr="0069617C" w:rsidRDefault="003C38F0"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Condemn the </w:t>
      </w:r>
      <w:r w:rsidR="003B29AC">
        <w:rPr>
          <w:rFonts w:ascii="Times New Roman" w:eastAsia="Times New Roman" w:hAnsi="Times New Roman"/>
          <w:color w:val="000000"/>
          <w:sz w:val="24"/>
          <w:szCs w:val="24"/>
        </w:rPr>
        <w:t xml:space="preserve">practice of subjecting women under sentence of death to </w:t>
      </w:r>
      <w:r w:rsidRPr="0069617C">
        <w:rPr>
          <w:rFonts w:ascii="Times New Roman" w:eastAsia="Times New Roman" w:hAnsi="Times New Roman"/>
          <w:color w:val="000000"/>
          <w:sz w:val="24"/>
          <w:szCs w:val="24"/>
        </w:rPr>
        <w:t xml:space="preserve">solitary confinement, both as a punitive measure and </w:t>
      </w:r>
      <w:r w:rsidR="003B29AC">
        <w:rPr>
          <w:rFonts w:ascii="Times New Roman" w:eastAsia="Times New Roman" w:hAnsi="Times New Roman"/>
          <w:color w:val="000000"/>
          <w:sz w:val="24"/>
          <w:szCs w:val="24"/>
        </w:rPr>
        <w:t>as a general condition of confinement</w:t>
      </w:r>
      <w:r w:rsidR="009639E0">
        <w:rPr>
          <w:rFonts w:ascii="Times New Roman" w:eastAsia="Times New Roman" w:hAnsi="Times New Roman"/>
          <w:color w:val="000000"/>
          <w:sz w:val="24"/>
          <w:szCs w:val="24"/>
        </w:rPr>
        <w:t>, in violation of the Nelson Mandela Rules</w:t>
      </w:r>
      <w:r w:rsidRPr="0069617C">
        <w:rPr>
          <w:rFonts w:ascii="Times New Roman" w:eastAsia="Times New Roman" w:hAnsi="Times New Roman"/>
          <w:color w:val="000000"/>
          <w:sz w:val="24"/>
          <w:szCs w:val="24"/>
        </w:rPr>
        <w:t xml:space="preserve">. </w:t>
      </w:r>
    </w:p>
    <w:p w14:paraId="619FEA6E" w14:textId="3AA9B830" w:rsidR="003C38F0" w:rsidRPr="0069617C" w:rsidRDefault="003C38F0"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Apply extra scrutiny to situations of women </w:t>
      </w:r>
      <w:r w:rsidR="009639E0">
        <w:rPr>
          <w:rFonts w:ascii="Times New Roman" w:eastAsia="Times New Roman" w:hAnsi="Times New Roman"/>
          <w:color w:val="000000"/>
          <w:sz w:val="24"/>
          <w:szCs w:val="24"/>
        </w:rPr>
        <w:t xml:space="preserve">under sentence of </w:t>
      </w:r>
      <w:r w:rsidRPr="0069617C">
        <w:rPr>
          <w:rFonts w:ascii="Times New Roman" w:eastAsia="Times New Roman" w:hAnsi="Times New Roman"/>
          <w:color w:val="000000"/>
          <w:sz w:val="24"/>
          <w:szCs w:val="24"/>
        </w:rPr>
        <w:t xml:space="preserve">death </w:t>
      </w:r>
      <w:r w:rsidR="009639E0">
        <w:rPr>
          <w:rFonts w:ascii="Times New Roman" w:eastAsia="Times New Roman" w:hAnsi="Times New Roman"/>
          <w:color w:val="000000"/>
          <w:sz w:val="24"/>
          <w:szCs w:val="24"/>
        </w:rPr>
        <w:t xml:space="preserve">who </w:t>
      </w:r>
      <w:r w:rsidRPr="0069617C">
        <w:rPr>
          <w:rFonts w:ascii="Times New Roman" w:eastAsia="Times New Roman" w:hAnsi="Times New Roman"/>
          <w:color w:val="000000"/>
          <w:sz w:val="24"/>
          <w:szCs w:val="24"/>
        </w:rPr>
        <w:t xml:space="preserve">have </w:t>
      </w:r>
      <w:r w:rsidR="004D0591">
        <w:rPr>
          <w:rFonts w:ascii="Times New Roman" w:eastAsia="Times New Roman" w:hAnsi="Times New Roman"/>
          <w:color w:val="000000"/>
          <w:sz w:val="24"/>
          <w:szCs w:val="24"/>
        </w:rPr>
        <w:t xml:space="preserve">minor </w:t>
      </w:r>
      <w:r w:rsidRPr="0069617C">
        <w:rPr>
          <w:rFonts w:ascii="Times New Roman" w:eastAsia="Times New Roman" w:hAnsi="Times New Roman"/>
          <w:color w:val="000000"/>
          <w:sz w:val="24"/>
          <w:szCs w:val="24"/>
        </w:rPr>
        <w:t xml:space="preserve">children housed with them, ensuring adequate hygiene, food, and </w:t>
      </w:r>
      <w:r w:rsidR="004D0591">
        <w:rPr>
          <w:rFonts w:ascii="Times New Roman" w:eastAsia="Times New Roman" w:hAnsi="Times New Roman"/>
          <w:color w:val="000000"/>
          <w:sz w:val="24"/>
          <w:szCs w:val="24"/>
        </w:rPr>
        <w:t>space</w:t>
      </w:r>
      <w:r w:rsidRPr="0069617C">
        <w:rPr>
          <w:rFonts w:ascii="Times New Roman" w:eastAsia="Times New Roman" w:hAnsi="Times New Roman"/>
          <w:color w:val="000000"/>
          <w:sz w:val="24"/>
          <w:szCs w:val="24"/>
        </w:rPr>
        <w:t xml:space="preserve">. </w:t>
      </w:r>
    </w:p>
    <w:p w14:paraId="4EF1588C" w14:textId="0F5FE95D" w:rsidR="003C38F0" w:rsidRPr="0069617C" w:rsidRDefault="003C38F0" w:rsidP="00AC5807">
      <w:pPr>
        <w:pStyle w:val="Paragraphedeliste"/>
        <w:numPr>
          <w:ilvl w:val="0"/>
          <w:numId w:val="12"/>
        </w:numPr>
        <w:spacing w:after="120" w:line="240" w:lineRule="auto"/>
        <w:contextualSpacing w:val="0"/>
        <w:jc w:val="both"/>
        <w:rPr>
          <w:rFonts w:ascii="Times New Roman" w:eastAsia="Times New Roman" w:hAnsi="Times New Roman"/>
          <w:color w:val="000000"/>
          <w:sz w:val="24"/>
          <w:szCs w:val="24"/>
        </w:rPr>
      </w:pPr>
      <w:r w:rsidRPr="0069617C">
        <w:rPr>
          <w:rFonts w:ascii="Times New Roman" w:eastAsia="Times New Roman" w:hAnsi="Times New Roman"/>
          <w:color w:val="000000"/>
          <w:sz w:val="24"/>
          <w:szCs w:val="24"/>
        </w:rPr>
        <w:t xml:space="preserve">Condemn gender-based violence perpetrated against women </w:t>
      </w:r>
      <w:r w:rsidR="004D0591">
        <w:rPr>
          <w:rFonts w:ascii="Times New Roman" w:eastAsia="Times New Roman" w:hAnsi="Times New Roman"/>
          <w:color w:val="000000"/>
          <w:sz w:val="24"/>
          <w:szCs w:val="24"/>
        </w:rPr>
        <w:t xml:space="preserve">under sentence of </w:t>
      </w:r>
      <w:r w:rsidRPr="0069617C">
        <w:rPr>
          <w:rFonts w:ascii="Times New Roman" w:eastAsia="Times New Roman" w:hAnsi="Times New Roman"/>
          <w:color w:val="000000"/>
          <w:sz w:val="24"/>
          <w:szCs w:val="24"/>
        </w:rPr>
        <w:t>death by prison staff and male prisoners</w:t>
      </w:r>
      <w:r w:rsidR="004D0591">
        <w:rPr>
          <w:rFonts w:ascii="Times New Roman" w:eastAsia="Times New Roman" w:hAnsi="Times New Roman"/>
          <w:color w:val="000000"/>
          <w:sz w:val="24"/>
          <w:szCs w:val="24"/>
        </w:rPr>
        <w:t xml:space="preserve"> and call on States to conduct prompt and independent investigations and to hold perpetrators accountable</w:t>
      </w:r>
      <w:r w:rsidRPr="0069617C">
        <w:rPr>
          <w:rFonts w:ascii="Times New Roman" w:eastAsia="Times New Roman" w:hAnsi="Times New Roman"/>
          <w:color w:val="000000"/>
          <w:sz w:val="24"/>
          <w:szCs w:val="24"/>
        </w:rPr>
        <w:t xml:space="preserve">. </w:t>
      </w:r>
    </w:p>
    <w:p w14:paraId="3E4AA44D" w14:textId="21EE9D85" w:rsidR="00F51AFD" w:rsidRPr="0069617C" w:rsidRDefault="003C38F0" w:rsidP="00AC5807">
      <w:pPr>
        <w:pStyle w:val="Paragraphedeliste"/>
        <w:numPr>
          <w:ilvl w:val="0"/>
          <w:numId w:val="12"/>
        </w:numPr>
        <w:spacing w:after="120" w:line="240" w:lineRule="auto"/>
        <w:contextualSpacing w:val="0"/>
        <w:jc w:val="both"/>
        <w:rPr>
          <w:rFonts w:ascii="Times New Roman" w:hAnsi="Times New Roman"/>
          <w:sz w:val="24"/>
          <w:szCs w:val="24"/>
        </w:rPr>
      </w:pPr>
      <w:r w:rsidRPr="00827209">
        <w:rPr>
          <w:rFonts w:ascii="Times New Roman" w:eastAsia="Times New Roman" w:hAnsi="Times New Roman"/>
          <w:color w:val="000000"/>
          <w:sz w:val="24"/>
          <w:szCs w:val="24"/>
        </w:rPr>
        <w:t xml:space="preserve">Prevent future gender-based violence by ensuring that </w:t>
      </w:r>
      <w:r w:rsidR="004917C0">
        <w:rPr>
          <w:rFonts w:ascii="Times New Roman" w:eastAsia="Times New Roman" w:hAnsi="Times New Roman"/>
          <w:color w:val="000000"/>
          <w:sz w:val="24"/>
          <w:szCs w:val="24"/>
        </w:rPr>
        <w:t xml:space="preserve">male prison staff are not authorized to conduct searches of </w:t>
      </w:r>
      <w:r w:rsidRPr="00827209">
        <w:rPr>
          <w:rFonts w:ascii="Times New Roman" w:eastAsia="Times New Roman" w:hAnsi="Times New Roman"/>
          <w:color w:val="000000"/>
          <w:sz w:val="24"/>
          <w:szCs w:val="24"/>
        </w:rPr>
        <w:t xml:space="preserve">women </w:t>
      </w:r>
      <w:r w:rsidR="004917C0">
        <w:rPr>
          <w:rFonts w:ascii="Times New Roman" w:eastAsia="Times New Roman" w:hAnsi="Times New Roman"/>
          <w:color w:val="000000"/>
          <w:sz w:val="24"/>
          <w:szCs w:val="24"/>
        </w:rPr>
        <w:t xml:space="preserve">and establish safeguards to </w:t>
      </w:r>
      <w:r w:rsidR="003C03DE">
        <w:rPr>
          <w:rFonts w:ascii="Times New Roman" w:eastAsia="Times New Roman" w:hAnsi="Times New Roman"/>
          <w:color w:val="000000"/>
          <w:sz w:val="24"/>
          <w:szCs w:val="24"/>
        </w:rPr>
        <w:t xml:space="preserve">prevent the establishment of </w:t>
      </w:r>
      <w:r w:rsidRPr="00827209">
        <w:rPr>
          <w:rFonts w:ascii="Times New Roman" w:eastAsia="Times New Roman" w:hAnsi="Times New Roman"/>
          <w:color w:val="000000"/>
          <w:sz w:val="24"/>
          <w:szCs w:val="24"/>
        </w:rPr>
        <w:t xml:space="preserve">abusive transactional relationships </w:t>
      </w:r>
      <w:r w:rsidR="003C03DE">
        <w:rPr>
          <w:rFonts w:ascii="Times New Roman" w:eastAsia="Times New Roman" w:hAnsi="Times New Roman"/>
          <w:color w:val="000000"/>
          <w:sz w:val="24"/>
          <w:szCs w:val="24"/>
        </w:rPr>
        <w:t xml:space="preserve">between women in detention and prison staff </w:t>
      </w:r>
      <w:r w:rsidRPr="00827209">
        <w:rPr>
          <w:rFonts w:ascii="Times New Roman" w:eastAsia="Times New Roman" w:hAnsi="Times New Roman"/>
          <w:color w:val="000000"/>
          <w:sz w:val="24"/>
          <w:szCs w:val="24"/>
        </w:rPr>
        <w:t xml:space="preserve">that rely on power dynamics and control. Ensure that </w:t>
      </w:r>
      <w:r w:rsidR="003C03DE">
        <w:rPr>
          <w:rFonts w:ascii="Times New Roman" w:eastAsia="Times New Roman" w:hAnsi="Times New Roman"/>
          <w:color w:val="000000"/>
          <w:sz w:val="24"/>
          <w:szCs w:val="24"/>
        </w:rPr>
        <w:t xml:space="preserve">men in detention </w:t>
      </w:r>
      <w:r w:rsidRPr="00827209">
        <w:rPr>
          <w:rFonts w:ascii="Times New Roman" w:eastAsia="Times New Roman" w:hAnsi="Times New Roman"/>
          <w:color w:val="000000"/>
          <w:sz w:val="24"/>
          <w:szCs w:val="24"/>
        </w:rPr>
        <w:t>have no access to women’s prison facilities.</w:t>
      </w:r>
    </w:p>
    <w:sectPr w:rsidR="00F51AFD" w:rsidRPr="0069617C" w:rsidSect="004B1E4E">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8E07" w14:textId="77777777" w:rsidR="004653BB" w:rsidRDefault="004653BB">
      <w:r>
        <w:separator/>
      </w:r>
    </w:p>
  </w:endnote>
  <w:endnote w:type="continuationSeparator" w:id="0">
    <w:p w14:paraId="3A08EA80" w14:textId="77777777" w:rsidR="004653BB" w:rsidRDefault="004653BB">
      <w:r>
        <w:continuationSeparator/>
      </w:r>
    </w:p>
  </w:endnote>
  <w:endnote w:type="continuationNotice" w:id="1">
    <w:p w14:paraId="74356BB0" w14:textId="77777777" w:rsidR="004653BB" w:rsidRDefault="00465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dobe Jenson Pro">
    <w:altName w:val="Times New Roman"/>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B52" w14:textId="77777777" w:rsidR="00804604" w:rsidRDefault="00804604">
    <w:pPr>
      <w:pStyle w:val="Pieddepage"/>
      <w:jc w:val="center"/>
    </w:pPr>
    <w:r>
      <w:fldChar w:fldCharType="begin"/>
    </w:r>
    <w:r>
      <w:instrText xml:space="preserve"> PAGE   \* MERGEFORMAT </w:instrText>
    </w:r>
    <w:r>
      <w:fldChar w:fldCharType="separate"/>
    </w:r>
    <w:r w:rsidR="00DD3996">
      <w:rPr>
        <w:noProof/>
      </w:rPr>
      <w:t>2</w:t>
    </w:r>
    <w:r>
      <w:rPr>
        <w:noProof/>
      </w:rPr>
      <w:fldChar w:fldCharType="end"/>
    </w:r>
  </w:p>
  <w:p w14:paraId="36B5F958" w14:textId="77777777" w:rsidR="00804604" w:rsidRPr="00C26130" w:rsidRDefault="00804604" w:rsidP="00C26130">
    <w:pPr>
      <w:pStyle w:val="Pieddepage"/>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8E91" w14:textId="2146F7AB" w:rsidR="00804604" w:rsidRDefault="002F7A11" w:rsidP="00C26130">
    <w:pPr>
      <w:widowControl w:val="0"/>
      <w:jc w:val="center"/>
      <w:rPr>
        <w:rFonts w:ascii="Gill Sans MT" w:hAnsi="Gill Sans MT"/>
        <w:color w:val="333333"/>
        <w:lang w:val="en"/>
      </w:rPr>
    </w:pPr>
    <w:r>
      <w:rPr>
        <w:rFonts w:ascii="Calisto MT" w:hAnsi="Calisto MT"/>
        <w:noProof/>
        <w:color w:val="800080"/>
        <w:sz w:val="26"/>
        <w:szCs w:val="26"/>
      </w:rPr>
      <mc:AlternateContent>
        <mc:Choice Requires="wps">
          <w:drawing>
            <wp:anchor distT="0" distB="0" distL="114300" distR="114300" simplePos="0" relativeHeight="251658241" behindDoc="0" locked="0" layoutInCell="1" allowOverlap="1" wp14:anchorId="13FDBD67" wp14:editId="2E5F8390">
              <wp:simplePos x="0" y="0"/>
              <wp:positionH relativeFrom="column">
                <wp:posOffset>-356235</wp:posOffset>
              </wp:positionH>
              <wp:positionV relativeFrom="paragraph">
                <wp:posOffset>132715</wp:posOffset>
              </wp:positionV>
              <wp:extent cx="6649720" cy="0"/>
              <wp:effectExtent l="5715" t="8890" r="1206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5BEC" id="Line 2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5pt" to="49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" strokecolor="#333"/>
          </w:pict>
        </mc:Fallback>
      </mc:AlternateContent>
    </w:r>
  </w:p>
  <w:p w14:paraId="38491264" w14:textId="23D5DB87" w:rsidR="00804604" w:rsidRPr="00345B90" w:rsidRDefault="00033AA6" w:rsidP="00C26130">
    <w:pPr>
      <w:widowControl w:val="0"/>
      <w:jc w:val="center"/>
      <w:rPr>
        <w:rFonts w:ascii="Adobe Jenson Pro" w:hAnsi="Adobe Jenson Pro"/>
        <w:i/>
        <w:iCs/>
        <w:color w:val="542344"/>
        <w:sz w:val="23"/>
        <w:szCs w:val="23"/>
        <w:lang w:val="en"/>
      </w:rPr>
    </w:pPr>
    <w:r>
      <w:rPr>
        <w:rFonts w:ascii="Gill Sans MT" w:hAnsi="Gill Sans MT"/>
        <w:color w:val="333333"/>
        <w:sz w:val="18"/>
        <w:szCs w:val="18"/>
        <w:lang w:val="en"/>
      </w:rPr>
      <w:t>The Advocates for Human Rights</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Pr>
        <w:rFonts w:ascii="Gill Sans MT" w:hAnsi="Gill Sans MT"/>
        <w:color w:val="333333"/>
        <w:sz w:val="18"/>
        <w:szCs w:val="18"/>
        <w:lang w:val="en"/>
      </w:rPr>
      <w:t xml:space="preserve"> </w:t>
    </w:r>
    <w:r w:rsidR="00804604">
      <w:rPr>
        <w:rFonts w:ascii="Gill Sans MT" w:hAnsi="Gill Sans MT"/>
        <w:color w:val="333333"/>
        <w:sz w:val="18"/>
        <w:szCs w:val="18"/>
        <w:lang w:val="en"/>
      </w:rPr>
      <w:t>330</w:t>
    </w:r>
    <w:r w:rsidR="00804604" w:rsidRPr="008856D7">
      <w:rPr>
        <w:rFonts w:ascii="Gill Sans MT" w:hAnsi="Gill Sans MT"/>
        <w:color w:val="333333"/>
        <w:sz w:val="18"/>
        <w:szCs w:val="18"/>
        <w:lang w:val="en"/>
      </w:rPr>
      <w:t xml:space="preserve"> </w:t>
    </w:r>
    <w:r w:rsidR="00804604">
      <w:rPr>
        <w:rFonts w:ascii="Gill Sans MT" w:hAnsi="Gill Sans MT"/>
        <w:color w:val="333333"/>
        <w:sz w:val="18"/>
        <w:szCs w:val="18"/>
        <w:lang w:val="en"/>
      </w:rPr>
      <w:t>Second</w:t>
    </w:r>
    <w:r w:rsidR="00804604" w:rsidRPr="008856D7">
      <w:rPr>
        <w:rFonts w:ascii="Gill Sans MT" w:hAnsi="Gill Sans MT"/>
        <w:color w:val="333333"/>
        <w:sz w:val="18"/>
        <w:szCs w:val="18"/>
        <w:lang w:val="en"/>
      </w:rPr>
      <w:t xml:space="preserve"> Avenue South </w:t>
    </w:r>
    <w:r w:rsidR="00804604" w:rsidRPr="008856D7">
      <w:rPr>
        <w:rFonts w:ascii="Verdana" w:hAnsi="Verdana"/>
        <w:color w:val="333333"/>
        <w:sz w:val="18"/>
        <w:szCs w:val="18"/>
        <w:lang w:val="en"/>
      </w:rPr>
      <w:t>•</w:t>
    </w:r>
    <w:r w:rsidR="00804604" w:rsidRPr="008856D7">
      <w:rPr>
        <w:rFonts w:ascii="Gill Sans MT" w:hAnsi="Gill Sans MT"/>
        <w:color w:val="333333"/>
        <w:sz w:val="18"/>
        <w:szCs w:val="18"/>
        <w:lang w:val="en"/>
      </w:rPr>
      <w:t xml:space="preserve"> Suite </w:t>
    </w:r>
    <w:r w:rsidR="00804604">
      <w:rPr>
        <w:rFonts w:ascii="Gill Sans MT" w:hAnsi="Gill Sans MT"/>
        <w:color w:val="333333"/>
        <w:sz w:val="18"/>
        <w:szCs w:val="18"/>
        <w:lang w:val="en"/>
      </w:rPr>
      <w:t>800</w:t>
    </w:r>
    <w:r w:rsidR="00804604" w:rsidRPr="008856D7">
      <w:rPr>
        <w:rFonts w:ascii="Gill Sans MT" w:hAnsi="Gill Sans MT"/>
        <w:color w:val="333333"/>
        <w:sz w:val="18"/>
        <w:szCs w:val="18"/>
        <w:lang w:val="en"/>
      </w:rPr>
      <w:t xml:space="preserve"> </w:t>
    </w:r>
    <w:r w:rsidR="00804604" w:rsidRPr="008856D7">
      <w:rPr>
        <w:rFonts w:ascii="Verdana" w:hAnsi="Verdana"/>
        <w:color w:val="333333"/>
        <w:sz w:val="18"/>
        <w:szCs w:val="18"/>
        <w:lang w:val="en"/>
      </w:rPr>
      <w:t>•</w:t>
    </w:r>
    <w:r w:rsidR="00804604" w:rsidRPr="008856D7">
      <w:rPr>
        <w:rFonts w:ascii="Gill Sans MT" w:hAnsi="Gill Sans MT"/>
        <w:color w:val="333333"/>
        <w:sz w:val="18"/>
        <w:szCs w:val="18"/>
        <w:lang w:val="en"/>
      </w:rPr>
      <w:t xml:space="preserve"> Minneapolis, MN  5540</w:t>
    </w:r>
    <w:r w:rsidR="00804604">
      <w:rPr>
        <w:rFonts w:ascii="Gill Sans MT" w:hAnsi="Gill Sans MT"/>
        <w:color w:val="333333"/>
        <w:sz w:val="18"/>
        <w:szCs w:val="18"/>
        <w:lang w:val="en"/>
      </w:rPr>
      <w:t>1</w:t>
    </w:r>
    <w:r w:rsidR="00804604" w:rsidRPr="008856D7">
      <w:rPr>
        <w:rFonts w:ascii="Gill Sans MT" w:hAnsi="Gill Sans MT"/>
        <w:color w:val="333333"/>
        <w:sz w:val="18"/>
        <w:szCs w:val="18"/>
        <w:lang w:val="en"/>
      </w:rPr>
      <w:t xml:space="preserve"> </w:t>
    </w:r>
    <w:r w:rsidR="00804604" w:rsidRPr="008856D7">
      <w:rPr>
        <w:rFonts w:ascii="Verdana" w:hAnsi="Verdana"/>
        <w:color w:val="333333"/>
        <w:sz w:val="18"/>
        <w:szCs w:val="18"/>
        <w:lang w:val="en"/>
      </w:rPr>
      <w:t>•</w:t>
    </w:r>
    <w:r w:rsidR="00804604" w:rsidRPr="008856D7">
      <w:rPr>
        <w:rFonts w:ascii="Gill Sans MT" w:hAnsi="Gill Sans MT"/>
        <w:color w:val="333333"/>
        <w:sz w:val="18"/>
        <w:szCs w:val="18"/>
        <w:lang w:val="en"/>
      </w:rPr>
      <w:t xml:space="preserve"> USA </w:t>
    </w:r>
  </w:p>
  <w:p w14:paraId="66534544" w14:textId="77777777" w:rsidR="00804604" w:rsidRPr="008856D7" w:rsidRDefault="00804604" w:rsidP="00E114C5">
    <w:pPr>
      <w:widowControl w:val="0"/>
      <w:jc w:val="center"/>
      <w:rPr>
        <w:rFonts w:ascii="Gill Sans MT" w:hAnsi="Gill Sans MT"/>
        <w:color w:val="333333"/>
        <w:sz w:val="18"/>
        <w:szCs w:val="18"/>
        <w:lang w:val="en"/>
      </w:rPr>
    </w:pPr>
    <w:r w:rsidRPr="008856D7">
      <w:rPr>
        <w:rFonts w:ascii="Gill Sans MT" w:hAnsi="Gill Sans MT"/>
        <w:color w:val="333333"/>
        <w:sz w:val="18"/>
        <w:szCs w:val="18"/>
        <w:lang w:val="en"/>
      </w:rPr>
      <w:t>Tel</w:t>
    </w:r>
    <w:r w:rsidR="0009644E">
      <w:rPr>
        <w:rFonts w:ascii="Gill Sans MT" w:hAnsi="Gill Sans MT"/>
        <w:color w:val="333333"/>
        <w:sz w:val="18"/>
        <w:szCs w:val="18"/>
        <w:lang w:val="en"/>
      </w:rPr>
      <w:t>:  612-341-</w:t>
    </w:r>
    <w:r w:rsidR="00AD0AA1">
      <w:rPr>
        <w:rFonts w:ascii="Gill Sans MT" w:hAnsi="Gill Sans MT"/>
        <w:color w:val="333333"/>
        <w:sz w:val="18"/>
        <w:szCs w:val="18"/>
        <w:lang w:val="en"/>
      </w:rPr>
      <w:t>3302</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0009644E">
      <w:rPr>
        <w:rFonts w:ascii="Gill Sans MT" w:hAnsi="Gill Sans MT"/>
        <w:color w:val="333333"/>
        <w:sz w:val="18"/>
        <w:szCs w:val="18"/>
        <w:lang w:val="en"/>
      </w:rPr>
      <w:t xml:space="preserve"> Fax:  612-341-</w:t>
    </w:r>
    <w:r w:rsidRPr="008856D7">
      <w:rPr>
        <w:rFonts w:ascii="Gill Sans MT" w:hAnsi="Gill Sans MT"/>
        <w:color w:val="333333"/>
        <w:sz w:val="18"/>
        <w:szCs w:val="18"/>
        <w:lang w:val="en"/>
      </w:rPr>
      <w:t xml:space="preserve">2971 </w:t>
    </w:r>
    <w:r w:rsidRPr="008856D7">
      <w:rPr>
        <w:rFonts w:ascii="Verdana" w:hAnsi="Verdana"/>
        <w:color w:val="333333"/>
        <w:sz w:val="18"/>
        <w:szCs w:val="18"/>
        <w:lang w:val="en"/>
      </w:rPr>
      <w:t>•</w:t>
    </w:r>
    <w:r w:rsidR="00AD0AA1">
      <w:rPr>
        <w:rFonts w:ascii="Gill Sans MT" w:hAnsi="Gill Sans MT"/>
        <w:color w:val="333333"/>
        <w:sz w:val="18"/>
        <w:szCs w:val="18"/>
        <w:lang w:val="en"/>
      </w:rPr>
      <w:t xml:space="preserve"> Email: hrights@advrights.org</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00AD0AA1">
      <w:rPr>
        <w:rFonts w:ascii="Gill Sans MT" w:hAnsi="Gill Sans MT"/>
        <w:color w:val="333333"/>
        <w:sz w:val="18"/>
        <w:szCs w:val="18"/>
        <w:lang w:val="en"/>
      </w:rPr>
      <w:t xml:space="preserve"> </w:t>
    </w:r>
    <w:r w:rsidR="0009644E">
      <w:rPr>
        <w:rFonts w:ascii="Gill Sans MT" w:hAnsi="Gill Sans MT"/>
        <w:color w:val="333333"/>
        <w:sz w:val="18"/>
        <w:szCs w:val="18"/>
        <w:lang w:val="en"/>
      </w:rPr>
      <w:t>www.TheAdvocatesForHumanR</w:t>
    </w:r>
    <w:r w:rsidRPr="008856D7">
      <w:rPr>
        <w:rFonts w:ascii="Gill Sans MT" w:hAnsi="Gill Sans MT"/>
        <w:color w:val="333333"/>
        <w:sz w:val="18"/>
        <w:szCs w:val="18"/>
        <w:lang w:val="en"/>
      </w:rPr>
      <w:t xml:space="preserve">ights.org </w:t>
    </w:r>
  </w:p>
  <w:p w14:paraId="239531B9" w14:textId="77777777" w:rsidR="00804604" w:rsidRDefault="008046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3964" w14:textId="77777777" w:rsidR="004653BB" w:rsidRDefault="004653BB">
      <w:r>
        <w:separator/>
      </w:r>
    </w:p>
  </w:footnote>
  <w:footnote w:type="continuationSeparator" w:id="0">
    <w:p w14:paraId="53116D6B" w14:textId="77777777" w:rsidR="004653BB" w:rsidRDefault="004653BB">
      <w:r>
        <w:continuationSeparator/>
      </w:r>
    </w:p>
  </w:footnote>
  <w:footnote w:type="continuationNotice" w:id="1">
    <w:p w14:paraId="2603B62E" w14:textId="77777777" w:rsidR="004653BB" w:rsidRDefault="004653BB"/>
  </w:footnote>
  <w:footnote w:id="2">
    <w:p w14:paraId="50D7F8BD"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Penal Reform International and Cornell Center on the Death Penalty Worldwide, </w:t>
      </w:r>
      <w:r w:rsidRPr="00033AA6">
        <w:rPr>
          <w:i/>
          <w:iCs/>
          <w:sz w:val="20"/>
          <w:szCs w:val="20"/>
        </w:rPr>
        <w:t>A Factsheet on Prison Conditions for Women Facing the Death Penalty</w:t>
      </w:r>
      <w:r w:rsidRPr="00033AA6">
        <w:rPr>
          <w:sz w:val="20"/>
          <w:szCs w:val="20"/>
        </w:rPr>
        <w:t xml:space="preserve"> (2018), 1.</w:t>
      </w:r>
    </w:p>
  </w:footnote>
  <w:footnote w:id="3">
    <w:p w14:paraId="086E3CA3"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UN General Assembly Resolution 65/229, p. 2, U.N. Doc. A/RES/65/229 (Mar. 16, 2011). Also available online at https://www.unodc.org/documents/commissions/CCPCJ/Crime_Resolutions/2010-2019/2010/General_Assembly/A-RES-65-229.pdf.</w:t>
      </w:r>
    </w:p>
  </w:footnote>
  <w:footnote w:id="4">
    <w:p w14:paraId="0818E1C1"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Penal Reform International and Cornell Center on the Death Penalty Worldwide, </w:t>
      </w:r>
      <w:r w:rsidRPr="00033AA6">
        <w:rPr>
          <w:i/>
          <w:iCs/>
          <w:sz w:val="20"/>
          <w:szCs w:val="20"/>
        </w:rPr>
        <w:t>A Factsheet on Prison Conditions for Women Facing the Death Penalty</w:t>
      </w:r>
      <w:r w:rsidRPr="00033AA6">
        <w:rPr>
          <w:sz w:val="20"/>
          <w:szCs w:val="20"/>
        </w:rPr>
        <w:t xml:space="preserve"> (2018), 3; Penal Reform International and the Thailand Institute for Justice, </w:t>
      </w:r>
      <w:r w:rsidRPr="00033AA6">
        <w:rPr>
          <w:i/>
          <w:iCs/>
          <w:sz w:val="20"/>
          <w:szCs w:val="20"/>
        </w:rPr>
        <w:t>Women in Detention: Putting the U.N. Bangkok Rules on Women Prisoners into Practice</w:t>
      </w:r>
      <w:r w:rsidRPr="00033AA6">
        <w:rPr>
          <w:sz w:val="20"/>
          <w:szCs w:val="20"/>
        </w:rPr>
        <w:t xml:space="preserve"> (2017), 12.</w:t>
      </w:r>
    </w:p>
  </w:footnote>
  <w:footnote w:id="5">
    <w:p w14:paraId="3D9966DB"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Penal Reform International and Cornell Center on the Death Penalty Worldwide, </w:t>
      </w:r>
      <w:r w:rsidRPr="00033AA6">
        <w:rPr>
          <w:i/>
          <w:iCs/>
          <w:sz w:val="20"/>
          <w:szCs w:val="20"/>
        </w:rPr>
        <w:t>A Factsheet on Prison Conditions for Women Facing the Death Penalty</w:t>
      </w:r>
      <w:r w:rsidRPr="00033AA6">
        <w:rPr>
          <w:sz w:val="20"/>
          <w:szCs w:val="20"/>
        </w:rPr>
        <w:t xml:space="preserve"> (2018), 2.</w:t>
      </w:r>
    </w:p>
  </w:footnote>
  <w:footnote w:id="6">
    <w:p w14:paraId="410BACCF"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Cornell Center on the Death Penalty Worldwide, “Death Row Conditions,” accessed Nov. 6, 2023, https://deathpenaltyworldwide.org/publication/death-row-conditions/?version=html.</w:t>
      </w:r>
    </w:p>
  </w:footnote>
  <w:footnote w:id="7">
    <w:p w14:paraId="77F16573"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Cornell Center on the Death Penalty Worldwide, “Death Row Conditions,” accessed Nov. 6, 2023, https://deathpenaltyworldwide.org/publication/death-row-conditions/?version=html.</w:t>
      </w:r>
    </w:p>
  </w:footnote>
  <w:footnote w:id="8">
    <w:p w14:paraId="02CDEE55"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27.</w:t>
      </w:r>
    </w:p>
  </w:footnote>
  <w:footnote w:id="9">
    <w:p w14:paraId="313CE89B"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Countries with reported issues of overcrowding include “Bangladesh, Ghana, Guatemala, Jamaica, Lebanon, Morocco, Nigeria, South Sudan, Tanzania, Trinidad and Tobago, Tunisia, Uganda, United States of America, and Zambia.” Cornell Center on the Death Penalty Worldwide, “Death Row Conditions,” accessed Nov. 6, 2023, https://deathpenaltyworldwide.org/publication/death-row-conditions/?version=html.</w:t>
      </w:r>
    </w:p>
  </w:footnote>
  <w:footnote w:id="10">
    <w:p w14:paraId="08B43EDB"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26.</w:t>
      </w:r>
    </w:p>
  </w:footnote>
  <w:footnote w:id="11">
    <w:p w14:paraId="05DC190D"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27.</w:t>
      </w:r>
    </w:p>
  </w:footnote>
  <w:footnote w:id="12">
    <w:p w14:paraId="67B9B1C1"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Cornell Center on the Death Penalty Worldwide, </w:t>
      </w:r>
      <w:r w:rsidRPr="00033AA6">
        <w:rPr>
          <w:i/>
          <w:iCs/>
          <w:sz w:val="20"/>
          <w:szCs w:val="20"/>
        </w:rPr>
        <w:t xml:space="preserve">Judged </w:t>
      </w:r>
      <w:proofErr w:type="gramStart"/>
      <w:r w:rsidRPr="00033AA6">
        <w:rPr>
          <w:i/>
          <w:iCs/>
          <w:sz w:val="20"/>
          <w:szCs w:val="20"/>
        </w:rPr>
        <w:t>For</w:t>
      </w:r>
      <w:proofErr w:type="gramEnd"/>
      <w:r w:rsidRPr="00033AA6">
        <w:rPr>
          <w:i/>
          <w:iCs/>
          <w:sz w:val="20"/>
          <w:szCs w:val="20"/>
        </w:rPr>
        <w:t xml:space="preserve"> More Than Her Crime: A Global Overview of Women Facing the Death Penalty</w:t>
      </w:r>
      <w:r w:rsidRPr="00033AA6">
        <w:rPr>
          <w:sz w:val="20"/>
          <w:szCs w:val="20"/>
        </w:rPr>
        <w:t>, by Lourtau, D., Babcock, S., Hickey, S.P., Ahmed, Z. &amp; Maymon, P.L. (Cornell Law School, 2018), 21.</w:t>
      </w:r>
    </w:p>
  </w:footnote>
  <w:footnote w:id="13">
    <w:p w14:paraId="638796EC" w14:textId="77777777" w:rsidR="00015023" w:rsidRPr="00033AA6" w:rsidRDefault="00015023" w:rsidP="00015023">
      <w:pPr>
        <w:pStyle w:val="Notedebasdepage"/>
        <w:rPr>
          <w:sz w:val="20"/>
          <w:szCs w:val="20"/>
        </w:rPr>
      </w:pPr>
      <w:r w:rsidRPr="00033AA6">
        <w:rPr>
          <w:rStyle w:val="Appelnotedebasdep"/>
          <w:sz w:val="20"/>
          <w:szCs w:val="20"/>
        </w:rPr>
        <w:footnoteRef/>
      </w:r>
      <w:r w:rsidRPr="00033AA6">
        <w:rPr>
          <w:sz w:val="20"/>
          <w:szCs w:val="20"/>
        </w:rPr>
        <w:t xml:space="preserve"> The Advocates for Human Rights, World Coalition Against the Death Penalty, and Reprieve, </w:t>
      </w:r>
      <w:r w:rsidRPr="00033AA6">
        <w:rPr>
          <w:i/>
          <w:iCs/>
          <w:sz w:val="20"/>
          <w:szCs w:val="20"/>
        </w:rPr>
        <w:t>Malawi’s Compliance with the Convention on the Elimination of All Forms of Discrimination Against Women, Suggested List of Issues Relating to the Death Penalty</w:t>
      </w:r>
      <w:r w:rsidRPr="00033AA6">
        <w:rPr>
          <w:sz w:val="20"/>
          <w:szCs w:val="20"/>
        </w:rPr>
        <w:t xml:space="preserve"> (2022), 4–5.</w:t>
      </w:r>
    </w:p>
  </w:footnote>
  <w:footnote w:id="14">
    <w:p w14:paraId="63B5D544" w14:textId="77777777" w:rsidR="00015023" w:rsidRPr="00033AA6" w:rsidRDefault="00015023" w:rsidP="00015023">
      <w:pPr>
        <w:pStyle w:val="Notedebasdepage"/>
        <w:rPr>
          <w:sz w:val="20"/>
          <w:szCs w:val="20"/>
        </w:rPr>
      </w:pPr>
      <w:r w:rsidRPr="00033AA6">
        <w:rPr>
          <w:rStyle w:val="Appelnotedebasdep"/>
          <w:sz w:val="20"/>
          <w:szCs w:val="20"/>
        </w:rPr>
        <w:footnoteRef/>
      </w:r>
      <w:r w:rsidRPr="00033AA6">
        <w:rPr>
          <w:sz w:val="20"/>
          <w:szCs w:val="20"/>
        </w:rPr>
        <w:t xml:space="preserve"> The Advocates for Human Rights, World Coalition Against the Death Penalty, and Reprieve, </w:t>
      </w:r>
      <w:r w:rsidRPr="00033AA6">
        <w:rPr>
          <w:i/>
          <w:iCs/>
          <w:sz w:val="20"/>
          <w:szCs w:val="20"/>
        </w:rPr>
        <w:t>Malawi’s Compliance with the Convention on the Elimination of All Forms of Discrimination Against Women, Suggested List of Issues Relating to the Death Penalty</w:t>
      </w:r>
      <w:r w:rsidRPr="00033AA6">
        <w:rPr>
          <w:sz w:val="20"/>
          <w:szCs w:val="20"/>
        </w:rPr>
        <w:t xml:space="preserve"> (2022), 4–5.</w:t>
      </w:r>
    </w:p>
  </w:footnote>
  <w:footnote w:id="15">
    <w:p w14:paraId="59FAF7DD" w14:textId="77777777" w:rsidR="007B7B51" w:rsidRPr="00033AA6" w:rsidRDefault="007B7B51" w:rsidP="007B7B51">
      <w:pPr>
        <w:pStyle w:val="Notedebasdepage"/>
        <w:rPr>
          <w:color w:val="000000"/>
          <w:sz w:val="20"/>
          <w:szCs w:val="20"/>
        </w:rPr>
      </w:pPr>
      <w:r w:rsidRPr="00033AA6">
        <w:rPr>
          <w:rStyle w:val="Appelnotedebasdep"/>
          <w:sz w:val="20"/>
          <w:szCs w:val="20"/>
        </w:rPr>
        <w:footnoteRef/>
      </w:r>
      <w:r w:rsidRPr="00033AA6">
        <w:rPr>
          <w:sz w:val="20"/>
          <w:szCs w:val="20"/>
        </w:rPr>
        <w:t xml:space="preserve"> Penal Reform International and Cornell Center on the Death Penalty Worldwide, </w:t>
      </w:r>
      <w:r w:rsidRPr="00033AA6">
        <w:rPr>
          <w:i/>
          <w:iCs/>
          <w:sz w:val="20"/>
          <w:szCs w:val="20"/>
        </w:rPr>
        <w:t>A Factsheet on Prison Conditions for Women Facing the Death Penalty</w:t>
      </w:r>
      <w:r w:rsidRPr="00033AA6">
        <w:rPr>
          <w:sz w:val="20"/>
          <w:szCs w:val="20"/>
        </w:rPr>
        <w:t xml:space="preserve"> (2018), 3;</w:t>
      </w:r>
      <w:r w:rsidRPr="00033AA6">
        <w:rPr>
          <w:color w:val="000000"/>
          <w:sz w:val="20"/>
          <w:szCs w:val="20"/>
        </w:rPr>
        <w:t xml:space="preserve"> Carole </w:t>
      </w:r>
      <w:proofErr w:type="spellStart"/>
      <w:r w:rsidRPr="00033AA6">
        <w:rPr>
          <w:color w:val="000000"/>
          <w:sz w:val="20"/>
          <w:szCs w:val="20"/>
        </w:rPr>
        <w:t>Berrih</w:t>
      </w:r>
      <w:proofErr w:type="spellEnd"/>
      <w:r w:rsidRPr="00033AA6">
        <w:rPr>
          <w:color w:val="000000"/>
          <w:sz w:val="20"/>
          <w:szCs w:val="20"/>
        </w:rPr>
        <w:t xml:space="preserve"> and Lievin </w:t>
      </w:r>
      <w:proofErr w:type="spellStart"/>
      <w:r w:rsidRPr="00033AA6">
        <w:rPr>
          <w:color w:val="000000"/>
          <w:sz w:val="20"/>
          <w:szCs w:val="20"/>
        </w:rPr>
        <w:t>Ngondji</w:t>
      </w:r>
      <w:proofErr w:type="spellEnd"/>
      <w:r w:rsidRPr="00033AA6">
        <w:rPr>
          <w:color w:val="000000"/>
          <w:sz w:val="20"/>
          <w:szCs w:val="20"/>
        </w:rPr>
        <w:t xml:space="preserve">, </w:t>
      </w:r>
      <w:proofErr w:type="gramStart"/>
      <w:r w:rsidRPr="00033AA6">
        <w:rPr>
          <w:i/>
          <w:iCs/>
          <w:color w:val="000000"/>
          <w:sz w:val="20"/>
          <w:szCs w:val="20"/>
        </w:rPr>
        <w:t>Towards</w:t>
      </w:r>
      <w:proofErr w:type="gramEnd"/>
      <w:r w:rsidRPr="00033AA6">
        <w:rPr>
          <w:i/>
          <w:iCs/>
          <w:color w:val="000000"/>
          <w:sz w:val="20"/>
          <w:szCs w:val="20"/>
        </w:rPr>
        <w:t xml:space="preserve"> a Silent Death: Conditions of Detention of People Sentenced to Death in the Democratic Republic of the Congo</w:t>
      </w:r>
      <w:r w:rsidRPr="00033AA6">
        <w:rPr>
          <w:color w:val="000000"/>
          <w:sz w:val="20"/>
          <w:szCs w:val="20"/>
        </w:rPr>
        <w:t>, (Ensemble Contre la Peine de Mort 2019), 105.</w:t>
      </w:r>
    </w:p>
  </w:footnote>
  <w:footnote w:id="16">
    <w:p w14:paraId="59E5357E"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Aman Sharma, </w:t>
      </w:r>
      <w:r w:rsidRPr="00033AA6">
        <w:rPr>
          <w:i/>
          <w:iCs/>
          <w:sz w:val="20"/>
          <w:szCs w:val="20"/>
        </w:rPr>
        <w:t>More Than 400 Prisoners Await the Death Sentence as Justice Is Delayed</w:t>
      </w:r>
      <w:r w:rsidRPr="00033AA6">
        <w:rPr>
          <w:sz w:val="20"/>
          <w:szCs w:val="20"/>
        </w:rPr>
        <w:t xml:space="preserve">, Daily Mail, Mar. 9, 2012, https://www.dailymail.co.uk/indiahome/indianews/article-2112877/More-400-prisoners-await-death-sentence-justice-delayed.html. Neeta Lal, </w:t>
      </w:r>
      <w:r w:rsidRPr="00033AA6">
        <w:rPr>
          <w:i/>
          <w:iCs/>
          <w:sz w:val="20"/>
          <w:szCs w:val="20"/>
        </w:rPr>
        <w:t>Indian Jails Slammed as Purgatory for the Poor</w:t>
      </w:r>
      <w:r w:rsidRPr="00033AA6">
        <w:rPr>
          <w:sz w:val="20"/>
          <w:szCs w:val="20"/>
        </w:rPr>
        <w:t>, Inter Press Services, Aug. 9, 2016, https://www.ipsnews.net/2016/08/indian-jails-slammed-as-purgatory-for-the-poor/.</w:t>
      </w:r>
    </w:p>
  </w:footnote>
  <w:footnote w:id="17">
    <w:p w14:paraId="494210B1"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World Coalition Against the Death Penalty, </w:t>
      </w:r>
      <w:r w:rsidRPr="00033AA6">
        <w:rPr>
          <w:i/>
          <w:iCs/>
          <w:sz w:val="20"/>
          <w:szCs w:val="20"/>
        </w:rPr>
        <w:t>Reflecting on the Links Between the Death Penalty and Gender-Based Violence</w:t>
      </w:r>
      <w:r w:rsidRPr="00033AA6">
        <w:rPr>
          <w:sz w:val="20"/>
          <w:szCs w:val="20"/>
        </w:rPr>
        <w:t>, Nov. 25, 2022, https://icj-kenya.org/news/reflecting-on-the-links-between-the-death-penalty-and-gender-based-violence/.</w:t>
      </w:r>
    </w:p>
  </w:footnote>
  <w:footnote w:id="18">
    <w:p w14:paraId="02F05AC1" w14:textId="77777777" w:rsidR="007B7B51" w:rsidRPr="00033AA6" w:rsidRDefault="007B7B51" w:rsidP="007B7B51">
      <w:pPr>
        <w:pStyle w:val="Notedebasdepage"/>
        <w:rPr>
          <w:color w:val="000000"/>
          <w:sz w:val="20"/>
          <w:szCs w:val="20"/>
        </w:rPr>
      </w:pPr>
      <w:r w:rsidRPr="00033AA6">
        <w:rPr>
          <w:rStyle w:val="Appelnotedebasdep"/>
          <w:sz w:val="20"/>
          <w:szCs w:val="20"/>
        </w:rPr>
        <w:footnoteRef/>
      </w:r>
      <w:r w:rsidRPr="00033AA6">
        <w:rPr>
          <w:sz w:val="20"/>
          <w:szCs w:val="20"/>
        </w:rPr>
        <w:t xml:space="preserve"> Carole </w:t>
      </w:r>
      <w:proofErr w:type="spellStart"/>
      <w:r w:rsidRPr="00033AA6">
        <w:rPr>
          <w:color w:val="000000"/>
          <w:sz w:val="20"/>
          <w:szCs w:val="20"/>
        </w:rPr>
        <w:t>Berrih</w:t>
      </w:r>
      <w:proofErr w:type="spellEnd"/>
      <w:r w:rsidRPr="00033AA6">
        <w:rPr>
          <w:color w:val="000000"/>
          <w:sz w:val="20"/>
          <w:szCs w:val="20"/>
        </w:rPr>
        <w:t xml:space="preserve"> and </w:t>
      </w:r>
      <w:proofErr w:type="spellStart"/>
      <w:r w:rsidRPr="00033AA6">
        <w:rPr>
          <w:color w:val="000000"/>
          <w:sz w:val="20"/>
          <w:szCs w:val="20"/>
        </w:rPr>
        <w:t>Ngeow</w:t>
      </w:r>
      <w:proofErr w:type="spellEnd"/>
      <w:r w:rsidRPr="00033AA6">
        <w:rPr>
          <w:color w:val="000000"/>
          <w:sz w:val="20"/>
          <w:szCs w:val="20"/>
        </w:rPr>
        <w:t xml:space="preserve"> Chow Ying, </w:t>
      </w:r>
      <w:r w:rsidRPr="00033AA6">
        <w:rPr>
          <w:i/>
          <w:iCs/>
          <w:color w:val="000000"/>
          <w:sz w:val="20"/>
          <w:szCs w:val="20"/>
        </w:rPr>
        <w:t>Isolation and Desolation: Conditions of Detention of People Sentenced to Death in Malaysia</w:t>
      </w:r>
      <w:r w:rsidRPr="00033AA6">
        <w:rPr>
          <w:color w:val="000000"/>
          <w:sz w:val="20"/>
          <w:szCs w:val="20"/>
        </w:rPr>
        <w:t>, (Anti-Death Penalty Asia Network and Ensemble Contre la Peine de Mort 2020), 78.</w:t>
      </w:r>
    </w:p>
  </w:footnote>
  <w:footnote w:id="19">
    <w:p w14:paraId="571CC902"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Rawya Rageh, On Death Row, a Yemeni Mother Runs the Gauntlet of Houthi Justice, Newsweek, Apr. 13, 2018, https://www.newsweek.com/death-row-yemeni-mother-runs-gauntlet-houthi-justice-opinion-885059.</w:t>
      </w:r>
    </w:p>
  </w:footnote>
  <w:footnote w:id="20">
    <w:p w14:paraId="06582CC5"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Rawya Rageh, On Death Row, a Yemeni Mother Runs the Gauntlet of Houthi Justice, Newsweek, Apr. 13, 2018, https://www.newsweek.com/death-row-yemeni-mother-runs-gauntlet-houthi-justice-opinion-885059.</w:t>
      </w:r>
    </w:p>
  </w:footnote>
  <w:footnote w:id="21">
    <w:p w14:paraId="413760C0" w14:textId="77777777" w:rsidR="003C38F0" w:rsidRPr="00E5372E" w:rsidRDefault="003C38F0" w:rsidP="003C38F0">
      <w:pPr>
        <w:pStyle w:val="Notedebasdepage"/>
        <w:rPr>
          <w:sz w:val="20"/>
          <w:szCs w:val="20"/>
          <w:lang w:val="fr-FR"/>
        </w:rPr>
      </w:pPr>
      <w:r w:rsidRPr="00033AA6">
        <w:rPr>
          <w:rStyle w:val="Appelnotedebasdep"/>
          <w:sz w:val="20"/>
          <w:szCs w:val="20"/>
        </w:rPr>
        <w:footnoteRef/>
      </w:r>
      <w:r w:rsidRPr="00E5372E">
        <w:rPr>
          <w:sz w:val="20"/>
          <w:szCs w:val="20"/>
          <w:lang w:val="fr-FR"/>
        </w:rPr>
        <w:t xml:space="preserve"> Carole </w:t>
      </w:r>
      <w:proofErr w:type="spellStart"/>
      <w:r w:rsidRPr="00E5372E">
        <w:rPr>
          <w:sz w:val="20"/>
          <w:szCs w:val="20"/>
          <w:lang w:val="fr-FR"/>
        </w:rPr>
        <w:t>Berrih</w:t>
      </w:r>
      <w:proofErr w:type="spellEnd"/>
      <w:r w:rsidRPr="00E5372E">
        <w:rPr>
          <w:sz w:val="20"/>
          <w:szCs w:val="20"/>
          <w:lang w:val="fr-FR"/>
        </w:rPr>
        <w:t xml:space="preserve"> and Karim El Mufti, K, </w:t>
      </w:r>
      <w:r w:rsidRPr="00E5372E">
        <w:rPr>
          <w:i/>
          <w:iCs/>
          <w:sz w:val="20"/>
          <w:szCs w:val="20"/>
          <w:lang w:val="fr-FR"/>
        </w:rPr>
        <w:t xml:space="preserve">Vivants sans </w:t>
      </w:r>
      <w:proofErr w:type="gramStart"/>
      <w:r w:rsidRPr="00E5372E">
        <w:rPr>
          <w:i/>
          <w:iCs/>
          <w:sz w:val="20"/>
          <w:szCs w:val="20"/>
          <w:lang w:val="fr-FR"/>
        </w:rPr>
        <w:t>l’être:</w:t>
      </w:r>
      <w:proofErr w:type="gramEnd"/>
      <w:r w:rsidRPr="00E5372E">
        <w:rPr>
          <w:i/>
          <w:iCs/>
          <w:sz w:val="20"/>
          <w:szCs w:val="20"/>
          <w:lang w:val="fr-FR"/>
        </w:rPr>
        <w:t xml:space="preserve"> Mission d’enquête Liban</w:t>
      </w:r>
      <w:r w:rsidRPr="00E5372E">
        <w:rPr>
          <w:sz w:val="20"/>
          <w:szCs w:val="20"/>
          <w:lang w:val="fr-FR"/>
        </w:rPr>
        <w:t xml:space="preserve"> (Ensemble Contre la Peine de Mort 2021), 107.</w:t>
      </w:r>
    </w:p>
  </w:footnote>
  <w:footnote w:id="22">
    <w:p w14:paraId="04878CDB"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Bangkok Rules, Rule 5; CPT Standards, 2006 Edition, Extract from the 10th General Report, CPT/Inf (2000) 13, para. 31.</w:t>
      </w:r>
    </w:p>
  </w:footnote>
  <w:footnote w:id="23">
    <w:p w14:paraId="5F335EA3" w14:textId="5A1DC77D"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World Coalition Against the Death Penalty. (2022, November 25). Reflecting on the links between the death penalty and gender-based violence.</w:t>
      </w:r>
      <w:r w:rsidR="00BF5992">
        <w:rPr>
          <w:sz w:val="20"/>
          <w:szCs w:val="20"/>
        </w:rPr>
        <w:t xml:space="preserve"> </w:t>
      </w:r>
      <w:r w:rsidRPr="00033AA6">
        <w:rPr>
          <w:sz w:val="20"/>
          <w:szCs w:val="20"/>
        </w:rPr>
        <w:t xml:space="preserve">Lourtau, D. ‘Women Facing the Death Penalty’ (2023) In Sato, M. and Babcock, S. (eds.),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p.29.</w:t>
      </w:r>
    </w:p>
  </w:footnote>
  <w:footnote w:id="24">
    <w:p w14:paraId="50C26C14"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29; Carole </w:t>
      </w:r>
      <w:proofErr w:type="spellStart"/>
      <w:r w:rsidRPr="00033AA6">
        <w:rPr>
          <w:sz w:val="20"/>
          <w:szCs w:val="20"/>
        </w:rPr>
        <w:t>Berrih</w:t>
      </w:r>
      <w:proofErr w:type="spellEnd"/>
      <w:r w:rsidRPr="00033AA6">
        <w:rPr>
          <w:sz w:val="20"/>
          <w:szCs w:val="20"/>
        </w:rPr>
        <w:t xml:space="preserve"> and Karim El Mufti, K, </w:t>
      </w:r>
      <w:proofErr w:type="spellStart"/>
      <w:r w:rsidRPr="00033AA6">
        <w:rPr>
          <w:i/>
          <w:iCs/>
          <w:sz w:val="20"/>
          <w:szCs w:val="20"/>
        </w:rPr>
        <w:t>Vivants</w:t>
      </w:r>
      <w:proofErr w:type="spellEnd"/>
      <w:r w:rsidRPr="00033AA6">
        <w:rPr>
          <w:i/>
          <w:iCs/>
          <w:sz w:val="20"/>
          <w:szCs w:val="20"/>
        </w:rPr>
        <w:t xml:space="preserve"> sans </w:t>
      </w:r>
      <w:proofErr w:type="spellStart"/>
      <w:r w:rsidRPr="00033AA6">
        <w:rPr>
          <w:i/>
          <w:iCs/>
          <w:sz w:val="20"/>
          <w:szCs w:val="20"/>
        </w:rPr>
        <w:t>l’être</w:t>
      </w:r>
      <w:proofErr w:type="spellEnd"/>
      <w:r w:rsidRPr="00033AA6">
        <w:rPr>
          <w:i/>
          <w:iCs/>
          <w:sz w:val="20"/>
          <w:szCs w:val="20"/>
        </w:rPr>
        <w:t xml:space="preserve">: Mission </w:t>
      </w:r>
      <w:proofErr w:type="spellStart"/>
      <w:r w:rsidRPr="00033AA6">
        <w:rPr>
          <w:i/>
          <w:iCs/>
          <w:sz w:val="20"/>
          <w:szCs w:val="20"/>
        </w:rPr>
        <w:t>d’enquête</w:t>
      </w:r>
      <w:proofErr w:type="spellEnd"/>
      <w:r w:rsidRPr="00033AA6">
        <w:rPr>
          <w:i/>
          <w:iCs/>
          <w:sz w:val="20"/>
          <w:szCs w:val="20"/>
        </w:rPr>
        <w:t xml:space="preserve"> Liban</w:t>
      </w:r>
      <w:r w:rsidRPr="00033AA6">
        <w:rPr>
          <w:sz w:val="20"/>
          <w:szCs w:val="20"/>
        </w:rPr>
        <w:t xml:space="preserve"> (Ensemble Contre la Peine de Mort 2021), 107; Carole </w:t>
      </w:r>
      <w:proofErr w:type="spellStart"/>
      <w:r w:rsidRPr="00033AA6">
        <w:rPr>
          <w:color w:val="000000"/>
          <w:sz w:val="20"/>
          <w:szCs w:val="20"/>
        </w:rPr>
        <w:t>Berrih</w:t>
      </w:r>
      <w:proofErr w:type="spellEnd"/>
      <w:r w:rsidRPr="00033AA6">
        <w:rPr>
          <w:color w:val="000000"/>
          <w:sz w:val="20"/>
          <w:szCs w:val="20"/>
        </w:rPr>
        <w:t xml:space="preserve"> and </w:t>
      </w:r>
      <w:proofErr w:type="spellStart"/>
      <w:r w:rsidRPr="00033AA6">
        <w:rPr>
          <w:color w:val="000000"/>
          <w:sz w:val="20"/>
          <w:szCs w:val="20"/>
        </w:rPr>
        <w:t>Ngeow</w:t>
      </w:r>
      <w:proofErr w:type="spellEnd"/>
      <w:r w:rsidRPr="00033AA6">
        <w:rPr>
          <w:color w:val="000000"/>
          <w:sz w:val="20"/>
          <w:szCs w:val="20"/>
        </w:rPr>
        <w:t xml:space="preserve"> Chow Ying, </w:t>
      </w:r>
      <w:r w:rsidRPr="00033AA6">
        <w:rPr>
          <w:i/>
          <w:iCs/>
          <w:color w:val="000000"/>
          <w:sz w:val="20"/>
          <w:szCs w:val="20"/>
        </w:rPr>
        <w:t>Isolation and Desolation: Conditions of Detention of People Sentenced to Death in Malaysia</w:t>
      </w:r>
      <w:r w:rsidRPr="00033AA6">
        <w:rPr>
          <w:color w:val="000000"/>
          <w:sz w:val="20"/>
          <w:szCs w:val="20"/>
        </w:rPr>
        <w:t>, (Anti-Death Penalty Asia Network and Ensemble Contre la Peine de Mort 2020), 85</w:t>
      </w:r>
      <w:r w:rsidRPr="00033AA6">
        <w:rPr>
          <w:sz w:val="20"/>
          <w:szCs w:val="20"/>
        </w:rPr>
        <w:t>.</w:t>
      </w:r>
    </w:p>
  </w:footnote>
  <w:footnote w:id="25">
    <w:p w14:paraId="4DB92570"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Stephanie M. Topp et al., </w:t>
      </w:r>
      <w:r w:rsidRPr="00033AA6">
        <w:rPr>
          <w:i/>
          <w:iCs/>
          <w:sz w:val="20"/>
          <w:szCs w:val="20"/>
        </w:rPr>
        <w:t>Health and healthcare access among Zambia’s female prisoners: a health systems analysis</w:t>
      </w:r>
      <w:r w:rsidRPr="00033AA6">
        <w:rPr>
          <w:sz w:val="20"/>
          <w:szCs w:val="20"/>
        </w:rPr>
        <w:t xml:space="preserve">, Intl. Journal for Equity in Health, Vol.15: 157, Sept. 26, 2016. </w:t>
      </w:r>
    </w:p>
  </w:footnote>
  <w:footnote w:id="26">
    <w:p w14:paraId="52DE2249"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Penal Reform International, </w:t>
      </w:r>
      <w:r w:rsidRPr="00033AA6">
        <w:rPr>
          <w:i/>
          <w:iCs/>
          <w:sz w:val="20"/>
          <w:szCs w:val="20"/>
        </w:rPr>
        <w:t>Women in Prison: Incarcerated in a Man’s World</w:t>
      </w:r>
      <w:r w:rsidRPr="00033AA6">
        <w:rPr>
          <w:sz w:val="20"/>
          <w:szCs w:val="20"/>
        </w:rPr>
        <w:t>, (Penal Reform Briefing 2008), 7.</w:t>
      </w:r>
    </w:p>
  </w:footnote>
  <w:footnote w:id="27">
    <w:p w14:paraId="2ED63A3D"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The Advocates for Human Rights, World Coalition Against the Death Penalty, and Reprieve, </w:t>
      </w:r>
      <w:r w:rsidRPr="00033AA6">
        <w:rPr>
          <w:i/>
          <w:iCs/>
          <w:sz w:val="20"/>
          <w:szCs w:val="20"/>
        </w:rPr>
        <w:t>Malawi’s Compliance with the Convention on the Elimination of All Forms of Discrimination Against Women, Suggested List of Issues Relating to the Death Penalty</w:t>
      </w:r>
      <w:r w:rsidRPr="00033AA6">
        <w:rPr>
          <w:sz w:val="20"/>
          <w:szCs w:val="20"/>
        </w:rPr>
        <w:t xml:space="preserve"> (2022), 4–5.</w:t>
      </w:r>
    </w:p>
  </w:footnote>
  <w:footnote w:id="28">
    <w:p w14:paraId="6B850954"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The Advocates for Human Rights, World Coalition Against the Death Penalty, and Reprieve, </w:t>
      </w:r>
      <w:r w:rsidRPr="00033AA6">
        <w:rPr>
          <w:i/>
          <w:iCs/>
          <w:sz w:val="20"/>
          <w:szCs w:val="20"/>
        </w:rPr>
        <w:t>Malawi’s Compliance with the Convention on the Elimination of All Forms of Discrimination Against Women, Suggested List of Issues Relating to the Death Penalty</w:t>
      </w:r>
      <w:r w:rsidRPr="00033AA6">
        <w:rPr>
          <w:sz w:val="20"/>
          <w:szCs w:val="20"/>
        </w:rPr>
        <w:t xml:space="preserve"> (2022), 4–5.</w:t>
      </w:r>
    </w:p>
  </w:footnote>
  <w:footnote w:id="29">
    <w:p w14:paraId="69C3CD2E"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Carole </w:t>
      </w:r>
      <w:proofErr w:type="spellStart"/>
      <w:r w:rsidRPr="00033AA6">
        <w:rPr>
          <w:sz w:val="20"/>
          <w:szCs w:val="20"/>
        </w:rPr>
        <w:t>Berrih</w:t>
      </w:r>
      <w:proofErr w:type="spellEnd"/>
      <w:r w:rsidRPr="00033AA6">
        <w:rPr>
          <w:sz w:val="20"/>
          <w:szCs w:val="20"/>
        </w:rPr>
        <w:t xml:space="preserve"> and Arif Nur Fikri, </w:t>
      </w:r>
      <w:r w:rsidRPr="00033AA6">
        <w:rPr>
          <w:i/>
          <w:iCs/>
          <w:sz w:val="20"/>
          <w:szCs w:val="20"/>
        </w:rPr>
        <w:t>Dehumanized: The Prison Conditions of People Sentenced to Death in Indonesia</w:t>
      </w:r>
      <w:r w:rsidRPr="00033AA6">
        <w:rPr>
          <w:sz w:val="20"/>
          <w:szCs w:val="20"/>
        </w:rPr>
        <w:t xml:space="preserve">, (Anti Death Penalty Asia Network and </w:t>
      </w:r>
      <w:proofErr w:type="spellStart"/>
      <w:r w:rsidRPr="00033AA6">
        <w:rPr>
          <w:sz w:val="20"/>
          <w:szCs w:val="20"/>
        </w:rPr>
        <w:t>KontraS</w:t>
      </w:r>
      <w:proofErr w:type="spellEnd"/>
      <w:r w:rsidRPr="00033AA6">
        <w:rPr>
          <w:sz w:val="20"/>
          <w:szCs w:val="20"/>
        </w:rPr>
        <w:t xml:space="preserve"> 2020), 96; Carole </w:t>
      </w:r>
      <w:proofErr w:type="spellStart"/>
      <w:r w:rsidRPr="00033AA6">
        <w:rPr>
          <w:color w:val="000000"/>
          <w:sz w:val="20"/>
          <w:szCs w:val="20"/>
        </w:rPr>
        <w:t>Berrih</w:t>
      </w:r>
      <w:proofErr w:type="spellEnd"/>
      <w:r w:rsidRPr="00033AA6">
        <w:rPr>
          <w:color w:val="000000"/>
          <w:sz w:val="20"/>
          <w:szCs w:val="20"/>
        </w:rPr>
        <w:t xml:space="preserve"> and </w:t>
      </w:r>
      <w:proofErr w:type="spellStart"/>
      <w:r w:rsidRPr="00033AA6">
        <w:rPr>
          <w:color w:val="000000"/>
          <w:sz w:val="20"/>
          <w:szCs w:val="20"/>
        </w:rPr>
        <w:t>Ngeow</w:t>
      </w:r>
      <w:proofErr w:type="spellEnd"/>
      <w:r w:rsidRPr="00033AA6">
        <w:rPr>
          <w:color w:val="000000"/>
          <w:sz w:val="20"/>
          <w:szCs w:val="20"/>
        </w:rPr>
        <w:t xml:space="preserve"> Chow Ying, </w:t>
      </w:r>
      <w:r w:rsidRPr="00033AA6">
        <w:rPr>
          <w:i/>
          <w:iCs/>
          <w:color w:val="000000"/>
          <w:sz w:val="20"/>
          <w:szCs w:val="20"/>
        </w:rPr>
        <w:t>Isolation and Desolation: Conditions of Detention of People Sentenced to Death in Malaysia</w:t>
      </w:r>
      <w:r w:rsidRPr="00033AA6">
        <w:rPr>
          <w:color w:val="000000"/>
          <w:sz w:val="20"/>
          <w:szCs w:val="20"/>
        </w:rPr>
        <w:t xml:space="preserve">, (Anti-Death Penalty Asia Network and Ensemble Contre la Peine de Mort 2020), </w:t>
      </w:r>
      <w:r w:rsidRPr="00033AA6">
        <w:rPr>
          <w:sz w:val="20"/>
          <w:szCs w:val="20"/>
        </w:rPr>
        <w:t>86.</w:t>
      </w:r>
    </w:p>
  </w:footnote>
  <w:footnote w:id="30">
    <w:p w14:paraId="17A34CAF"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28-29.</w:t>
      </w:r>
    </w:p>
  </w:footnote>
  <w:footnote w:id="31">
    <w:p w14:paraId="6EC1896C"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28.</w:t>
      </w:r>
    </w:p>
  </w:footnote>
  <w:footnote w:id="32">
    <w:p w14:paraId="11C1E8C0"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28.</w:t>
      </w:r>
    </w:p>
  </w:footnote>
  <w:footnote w:id="33">
    <w:p w14:paraId="570AD29C"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28.</w:t>
      </w:r>
    </w:p>
  </w:footnote>
  <w:footnote w:id="34">
    <w:p w14:paraId="553E81BD" w14:textId="77777777" w:rsidR="003C38F0" w:rsidRPr="00E5372E" w:rsidRDefault="003C38F0" w:rsidP="003C38F0">
      <w:pPr>
        <w:pStyle w:val="Notedebasdepage"/>
        <w:rPr>
          <w:sz w:val="20"/>
          <w:szCs w:val="20"/>
          <w:lang w:val="fr-FR"/>
        </w:rPr>
      </w:pPr>
      <w:r w:rsidRPr="00033AA6">
        <w:rPr>
          <w:rStyle w:val="Appelnotedebasdep"/>
          <w:sz w:val="20"/>
          <w:szCs w:val="20"/>
        </w:rPr>
        <w:footnoteRef/>
      </w:r>
      <w:r w:rsidRPr="00E5372E">
        <w:rPr>
          <w:sz w:val="20"/>
          <w:szCs w:val="20"/>
          <w:lang w:val="fr-FR"/>
        </w:rPr>
        <w:t xml:space="preserve"> Carole </w:t>
      </w:r>
      <w:proofErr w:type="spellStart"/>
      <w:r w:rsidRPr="00E5372E">
        <w:rPr>
          <w:sz w:val="20"/>
          <w:szCs w:val="20"/>
          <w:lang w:val="fr-FR"/>
        </w:rPr>
        <w:t>Berrih</w:t>
      </w:r>
      <w:proofErr w:type="spellEnd"/>
      <w:r w:rsidRPr="00E5372E">
        <w:rPr>
          <w:sz w:val="20"/>
          <w:szCs w:val="20"/>
          <w:lang w:val="fr-FR"/>
        </w:rPr>
        <w:t xml:space="preserve"> and Karim El Mufti, K, </w:t>
      </w:r>
      <w:r w:rsidRPr="00E5372E">
        <w:rPr>
          <w:i/>
          <w:iCs/>
          <w:sz w:val="20"/>
          <w:szCs w:val="20"/>
          <w:lang w:val="fr-FR"/>
        </w:rPr>
        <w:t xml:space="preserve">Vivants sans </w:t>
      </w:r>
      <w:proofErr w:type="gramStart"/>
      <w:r w:rsidRPr="00E5372E">
        <w:rPr>
          <w:i/>
          <w:iCs/>
          <w:sz w:val="20"/>
          <w:szCs w:val="20"/>
          <w:lang w:val="fr-FR"/>
        </w:rPr>
        <w:t>l’être:</w:t>
      </w:r>
      <w:proofErr w:type="gramEnd"/>
      <w:r w:rsidRPr="00E5372E">
        <w:rPr>
          <w:i/>
          <w:iCs/>
          <w:sz w:val="20"/>
          <w:szCs w:val="20"/>
          <w:lang w:val="fr-FR"/>
        </w:rPr>
        <w:t xml:space="preserve"> Mission d’enquête Liban</w:t>
      </w:r>
      <w:r w:rsidRPr="00E5372E">
        <w:rPr>
          <w:sz w:val="20"/>
          <w:szCs w:val="20"/>
          <w:lang w:val="fr-FR"/>
        </w:rPr>
        <w:t xml:space="preserve"> (Ensemble Contre la Peine de Mort 2021), 106-107.</w:t>
      </w:r>
    </w:p>
  </w:footnote>
  <w:footnote w:id="35">
    <w:p w14:paraId="5A040C0C"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28.</w:t>
      </w:r>
    </w:p>
  </w:footnote>
  <w:footnote w:id="36">
    <w:p w14:paraId="684F00C6"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Rawya Rageh, On Death Row, a Yemeni Mother Runs the Gauntlet of Houthi Justice, Newsweek, Apr. 13, 2018, https://www.newsweek.com/death-row-yemeni-mother-runs-gauntlet-houthi-justice-opinion-885059.</w:t>
      </w:r>
    </w:p>
  </w:footnote>
  <w:footnote w:id="37">
    <w:p w14:paraId="39DD92A8"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28.</w:t>
      </w:r>
    </w:p>
  </w:footnote>
  <w:footnote w:id="38">
    <w:p w14:paraId="04501200"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LBH Masyarakat, </w:t>
      </w:r>
      <w:r w:rsidRPr="00033AA6">
        <w:rPr>
          <w:i/>
          <w:iCs/>
          <w:sz w:val="20"/>
          <w:szCs w:val="20"/>
        </w:rPr>
        <w:t>Research Report to the Cornell Center on the Death Penalty Worldwide</w:t>
      </w:r>
      <w:r w:rsidRPr="00033AA6">
        <w:rPr>
          <w:sz w:val="20"/>
          <w:szCs w:val="20"/>
        </w:rPr>
        <w:t xml:space="preserve">, Sep. 9, 2017. </w:t>
      </w:r>
    </w:p>
  </w:footnote>
  <w:footnote w:id="39">
    <w:p w14:paraId="0ECF2ABF"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Carole </w:t>
      </w:r>
      <w:proofErr w:type="spellStart"/>
      <w:r w:rsidRPr="00033AA6">
        <w:rPr>
          <w:color w:val="000000"/>
          <w:sz w:val="20"/>
          <w:szCs w:val="20"/>
        </w:rPr>
        <w:t>Berrih</w:t>
      </w:r>
      <w:proofErr w:type="spellEnd"/>
      <w:r w:rsidRPr="00033AA6">
        <w:rPr>
          <w:color w:val="000000"/>
          <w:sz w:val="20"/>
          <w:szCs w:val="20"/>
        </w:rPr>
        <w:t xml:space="preserve"> and </w:t>
      </w:r>
      <w:proofErr w:type="spellStart"/>
      <w:r w:rsidRPr="00033AA6">
        <w:rPr>
          <w:color w:val="000000"/>
          <w:sz w:val="20"/>
          <w:szCs w:val="20"/>
        </w:rPr>
        <w:t>Ngeow</w:t>
      </w:r>
      <w:proofErr w:type="spellEnd"/>
      <w:r w:rsidRPr="00033AA6">
        <w:rPr>
          <w:color w:val="000000"/>
          <w:sz w:val="20"/>
          <w:szCs w:val="20"/>
        </w:rPr>
        <w:t xml:space="preserve"> Chow Ying, </w:t>
      </w:r>
      <w:r w:rsidRPr="00033AA6">
        <w:rPr>
          <w:i/>
          <w:iCs/>
          <w:color w:val="000000"/>
          <w:sz w:val="20"/>
          <w:szCs w:val="20"/>
        </w:rPr>
        <w:t>Isolation and Desolation: Conditions of Detention of People Sentenced to Death in Malaysia</w:t>
      </w:r>
      <w:r w:rsidRPr="00033AA6">
        <w:rPr>
          <w:color w:val="000000"/>
          <w:sz w:val="20"/>
          <w:szCs w:val="20"/>
        </w:rPr>
        <w:t>, (Anti-Death Penalty Asia Network and Ensemble Contre la Peine de Mort 2020), 77–83</w:t>
      </w:r>
      <w:r w:rsidRPr="00033AA6">
        <w:rPr>
          <w:sz w:val="20"/>
          <w:szCs w:val="20"/>
        </w:rPr>
        <w:t>.</w:t>
      </w:r>
    </w:p>
  </w:footnote>
  <w:footnote w:id="40">
    <w:p w14:paraId="3CA7A353"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Carole </w:t>
      </w:r>
      <w:proofErr w:type="spellStart"/>
      <w:r w:rsidRPr="00033AA6">
        <w:rPr>
          <w:color w:val="000000"/>
          <w:sz w:val="20"/>
          <w:szCs w:val="20"/>
        </w:rPr>
        <w:t>Berrih</w:t>
      </w:r>
      <w:proofErr w:type="spellEnd"/>
      <w:r w:rsidRPr="00033AA6">
        <w:rPr>
          <w:color w:val="000000"/>
          <w:sz w:val="20"/>
          <w:szCs w:val="20"/>
        </w:rPr>
        <w:t xml:space="preserve"> and </w:t>
      </w:r>
      <w:proofErr w:type="spellStart"/>
      <w:r w:rsidRPr="00033AA6">
        <w:rPr>
          <w:color w:val="000000"/>
          <w:sz w:val="20"/>
          <w:szCs w:val="20"/>
        </w:rPr>
        <w:t>Ngeow</w:t>
      </w:r>
      <w:proofErr w:type="spellEnd"/>
      <w:r w:rsidRPr="00033AA6">
        <w:rPr>
          <w:color w:val="000000"/>
          <w:sz w:val="20"/>
          <w:szCs w:val="20"/>
        </w:rPr>
        <w:t xml:space="preserve"> Chow Ying, </w:t>
      </w:r>
      <w:r w:rsidRPr="00033AA6">
        <w:rPr>
          <w:i/>
          <w:iCs/>
          <w:color w:val="000000"/>
          <w:sz w:val="20"/>
          <w:szCs w:val="20"/>
        </w:rPr>
        <w:t>Isolation and Desolation: Conditions of Detention of People Sentenced to Death in Malaysia</w:t>
      </w:r>
      <w:r w:rsidRPr="00033AA6">
        <w:rPr>
          <w:color w:val="000000"/>
          <w:sz w:val="20"/>
          <w:szCs w:val="20"/>
        </w:rPr>
        <w:t>, (Anti-Death Penalty Asia Network and Ensemble Contre la Peine de Mort 2020), 77–83.</w:t>
      </w:r>
    </w:p>
  </w:footnote>
  <w:footnote w:id="41">
    <w:p w14:paraId="06317B00"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Carole </w:t>
      </w:r>
      <w:proofErr w:type="spellStart"/>
      <w:r w:rsidRPr="00033AA6">
        <w:rPr>
          <w:color w:val="000000"/>
          <w:sz w:val="20"/>
          <w:szCs w:val="20"/>
        </w:rPr>
        <w:t>Berrih</w:t>
      </w:r>
      <w:proofErr w:type="spellEnd"/>
      <w:r w:rsidRPr="00033AA6">
        <w:rPr>
          <w:color w:val="000000"/>
          <w:sz w:val="20"/>
          <w:szCs w:val="20"/>
        </w:rPr>
        <w:t xml:space="preserve"> and </w:t>
      </w:r>
      <w:proofErr w:type="spellStart"/>
      <w:r w:rsidRPr="00033AA6">
        <w:rPr>
          <w:color w:val="000000"/>
          <w:sz w:val="20"/>
          <w:szCs w:val="20"/>
        </w:rPr>
        <w:t>Ngeow</w:t>
      </w:r>
      <w:proofErr w:type="spellEnd"/>
      <w:r w:rsidRPr="00033AA6">
        <w:rPr>
          <w:color w:val="000000"/>
          <w:sz w:val="20"/>
          <w:szCs w:val="20"/>
        </w:rPr>
        <w:t xml:space="preserve"> Chow Ying, </w:t>
      </w:r>
      <w:r w:rsidRPr="00033AA6">
        <w:rPr>
          <w:i/>
          <w:iCs/>
          <w:color w:val="000000"/>
          <w:sz w:val="20"/>
          <w:szCs w:val="20"/>
        </w:rPr>
        <w:t>Isolation and Desolation: Conditions of Detention of People Sentenced to Death in Malaysia</w:t>
      </w:r>
      <w:r w:rsidRPr="00033AA6">
        <w:rPr>
          <w:color w:val="000000"/>
          <w:sz w:val="20"/>
          <w:szCs w:val="20"/>
        </w:rPr>
        <w:t>, (Anti-Death Penalty Asia Network and Ensemble Contre la Peine de Mort 2020), 82.</w:t>
      </w:r>
    </w:p>
  </w:footnote>
  <w:footnote w:id="42">
    <w:p w14:paraId="33486C4B"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w:t>
      </w:r>
      <w:proofErr w:type="spellStart"/>
      <w:r w:rsidRPr="00033AA6">
        <w:rPr>
          <w:sz w:val="20"/>
          <w:szCs w:val="20"/>
        </w:rPr>
        <w:t>Suhakam</w:t>
      </w:r>
      <w:proofErr w:type="spellEnd"/>
      <w:r w:rsidRPr="00033AA6">
        <w:rPr>
          <w:sz w:val="20"/>
          <w:szCs w:val="20"/>
        </w:rPr>
        <w:t xml:space="preserve">, </w:t>
      </w:r>
      <w:r w:rsidRPr="00033AA6">
        <w:rPr>
          <w:i/>
          <w:iCs/>
          <w:sz w:val="20"/>
          <w:szCs w:val="20"/>
        </w:rPr>
        <w:t>The Right to Health in Prison: Results of a Nationwide Survey and Report</w:t>
      </w:r>
      <w:r w:rsidRPr="00033AA6">
        <w:rPr>
          <w:sz w:val="20"/>
          <w:szCs w:val="20"/>
        </w:rPr>
        <w:t>, (2017), ¶ 4.55.</w:t>
      </w:r>
    </w:p>
  </w:footnote>
  <w:footnote w:id="43">
    <w:p w14:paraId="7C6F430C"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Association of State Correctional Administrators and The Arthur Liman Public Interest Program, </w:t>
      </w:r>
      <w:r w:rsidRPr="00033AA6">
        <w:rPr>
          <w:i/>
          <w:iCs/>
          <w:sz w:val="20"/>
          <w:szCs w:val="20"/>
        </w:rPr>
        <w:t>Aiming to Reduce Time-In-Cell</w:t>
      </w:r>
      <w:r w:rsidRPr="00033AA6">
        <w:rPr>
          <w:sz w:val="20"/>
          <w:szCs w:val="20"/>
        </w:rPr>
        <w:t>, (Yale Law School 2016).</w:t>
      </w:r>
    </w:p>
  </w:footnote>
  <w:footnote w:id="44">
    <w:p w14:paraId="536C2057"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Cassandra Abernathy, </w:t>
      </w:r>
      <w:r w:rsidRPr="00033AA6">
        <w:rPr>
          <w:i/>
          <w:iCs/>
          <w:sz w:val="20"/>
          <w:szCs w:val="20"/>
        </w:rPr>
        <w:t>Research Report to the Cornell Center on the Death Penalty Worldwide</w:t>
      </w:r>
      <w:r w:rsidRPr="00033AA6">
        <w:rPr>
          <w:sz w:val="20"/>
          <w:szCs w:val="20"/>
        </w:rPr>
        <w:t>, May 2018.</w:t>
      </w:r>
    </w:p>
  </w:footnote>
  <w:footnote w:id="45">
    <w:p w14:paraId="7621828B"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27.</w:t>
      </w:r>
    </w:p>
  </w:footnote>
  <w:footnote w:id="46">
    <w:p w14:paraId="7E99FFA2"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27.</w:t>
      </w:r>
    </w:p>
  </w:footnote>
  <w:footnote w:id="47">
    <w:p w14:paraId="74F0F4D7"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27.</w:t>
      </w:r>
    </w:p>
  </w:footnote>
  <w:footnote w:id="48">
    <w:p w14:paraId="5AEDDA35"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The Advocates for Human Rights, World Coalition Against the Death Penalty, and Reprieve, </w:t>
      </w:r>
      <w:r w:rsidRPr="00033AA6">
        <w:rPr>
          <w:i/>
          <w:iCs/>
          <w:sz w:val="20"/>
          <w:szCs w:val="20"/>
        </w:rPr>
        <w:t>Malawi’s Compliance with the Convention on the Elimination of All Forms of Discrimination Against Women, Suggested List of Issues Relating to the Death Penalty</w:t>
      </w:r>
      <w:r w:rsidRPr="00033AA6">
        <w:rPr>
          <w:sz w:val="20"/>
          <w:szCs w:val="20"/>
        </w:rPr>
        <w:t xml:space="preserve"> (2022), 4–5.</w:t>
      </w:r>
    </w:p>
  </w:footnote>
  <w:footnote w:id="49">
    <w:p w14:paraId="71D91810"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Harriet Sherwood, </w:t>
      </w:r>
      <w:r w:rsidRPr="00033AA6">
        <w:rPr>
          <w:i/>
          <w:iCs/>
          <w:sz w:val="20"/>
          <w:szCs w:val="20"/>
        </w:rPr>
        <w:t>Meriam Ibrahim on Giving Birth in Jail: ‘Something Has Happened to the Baby’</w:t>
      </w:r>
      <w:r w:rsidRPr="00033AA6">
        <w:rPr>
          <w:sz w:val="20"/>
          <w:szCs w:val="20"/>
        </w:rPr>
        <w:t>, The Guardian, July 1, 2014, https://www.theguardian.com/world/2014/jul/01/meriam-ibrahim-child- disabled-born-shackled-floor.</w:t>
      </w:r>
    </w:p>
  </w:footnote>
  <w:footnote w:id="50">
    <w:p w14:paraId="307D24D6"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Penal Reform International and Cornell Center on the Death Penalty Worldwide, </w:t>
      </w:r>
      <w:r w:rsidRPr="00033AA6">
        <w:rPr>
          <w:i/>
          <w:iCs/>
          <w:sz w:val="20"/>
          <w:szCs w:val="20"/>
        </w:rPr>
        <w:t>A Factsheet on Prison Conditions for Women Facing the Death Penalty</w:t>
      </w:r>
      <w:r w:rsidRPr="00033AA6">
        <w:rPr>
          <w:sz w:val="20"/>
          <w:szCs w:val="20"/>
        </w:rPr>
        <w:t xml:space="preserve"> (2018), 3; Rose Chia </w:t>
      </w:r>
      <w:proofErr w:type="spellStart"/>
      <w:r w:rsidRPr="00033AA6">
        <w:rPr>
          <w:sz w:val="20"/>
          <w:szCs w:val="20"/>
        </w:rPr>
        <w:t>Fonchingong</w:t>
      </w:r>
      <w:proofErr w:type="spellEnd"/>
      <w:r w:rsidRPr="00033AA6">
        <w:rPr>
          <w:sz w:val="20"/>
          <w:szCs w:val="20"/>
        </w:rPr>
        <w:t xml:space="preserve">, </w:t>
      </w:r>
      <w:r w:rsidRPr="00033AA6">
        <w:rPr>
          <w:i/>
          <w:iCs/>
          <w:sz w:val="20"/>
          <w:szCs w:val="20"/>
        </w:rPr>
        <w:t>Stifled Justice in Cameroon: Detained for Six Years without Judgement</w:t>
      </w:r>
      <w:r w:rsidRPr="00033AA6">
        <w:rPr>
          <w:sz w:val="20"/>
          <w:szCs w:val="20"/>
        </w:rPr>
        <w:t xml:space="preserve"> (Langaa RPCIG 2016), 27.</w:t>
      </w:r>
    </w:p>
  </w:footnote>
  <w:footnote w:id="51">
    <w:p w14:paraId="4BFAE581"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Law Library of Congress, </w:t>
      </w:r>
      <w:r w:rsidRPr="00033AA6">
        <w:rPr>
          <w:i/>
          <w:iCs/>
          <w:sz w:val="20"/>
          <w:szCs w:val="20"/>
        </w:rPr>
        <w:t>Laws on Children Residing with Parents in Prison</w:t>
      </w:r>
      <w:r w:rsidRPr="00033AA6">
        <w:rPr>
          <w:sz w:val="20"/>
          <w:szCs w:val="20"/>
        </w:rPr>
        <w:t>, (</w:t>
      </w:r>
      <w:proofErr w:type="spellStart"/>
      <w:r w:rsidRPr="00033AA6">
        <w:rPr>
          <w:sz w:val="20"/>
          <w:szCs w:val="20"/>
        </w:rPr>
        <w:t>Createspace</w:t>
      </w:r>
      <w:proofErr w:type="spellEnd"/>
      <w:r w:rsidRPr="00033AA6">
        <w:rPr>
          <w:sz w:val="20"/>
          <w:szCs w:val="20"/>
        </w:rPr>
        <w:t xml:space="preserve"> Independent Publishing Platform 2014).</w:t>
      </w:r>
    </w:p>
  </w:footnote>
  <w:footnote w:id="52">
    <w:p w14:paraId="734375CE"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Bangkok Rules, Rule 51. See also UN Standard Minimum Rules for The Treatment of Prisoners (the Nelson Mandela Rules), </w:t>
      </w:r>
      <w:proofErr w:type="gramStart"/>
      <w:r w:rsidRPr="00033AA6">
        <w:rPr>
          <w:sz w:val="20"/>
          <w:szCs w:val="20"/>
        </w:rPr>
        <w:t>revised</w:t>
      </w:r>
      <w:proofErr w:type="gramEnd"/>
      <w:r w:rsidRPr="00033AA6">
        <w:rPr>
          <w:sz w:val="20"/>
          <w:szCs w:val="20"/>
        </w:rPr>
        <w:t xml:space="preserve"> and adopted unanimously by the UN General Assembly in 2015, 70th session, A/RES/70/175, Rule 23; UN Convention on the Rights of the Child 1989, Article 3. </w:t>
      </w:r>
    </w:p>
  </w:footnote>
  <w:footnote w:id="53">
    <w:p w14:paraId="7E0B47E8"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29.</w:t>
      </w:r>
    </w:p>
  </w:footnote>
  <w:footnote w:id="54">
    <w:p w14:paraId="11D29B07" w14:textId="77777777" w:rsidR="003C38F0" w:rsidRPr="00033AA6" w:rsidRDefault="003C38F0" w:rsidP="003C38F0">
      <w:pPr>
        <w:pStyle w:val="Notedebasdepage"/>
        <w:rPr>
          <w:color w:val="000000"/>
          <w:sz w:val="20"/>
          <w:szCs w:val="20"/>
        </w:rPr>
      </w:pPr>
      <w:r w:rsidRPr="00033AA6">
        <w:rPr>
          <w:rStyle w:val="Appelnotedebasdep"/>
          <w:sz w:val="20"/>
          <w:szCs w:val="20"/>
        </w:rPr>
        <w:footnoteRef/>
      </w:r>
      <w:r w:rsidRPr="00033AA6">
        <w:rPr>
          <w:sz w:val="20"/>
          <w:szCs w:val="20"/>
        </w:rPr>
        <w:t xml:space="preserve"> </w:t>
      </w:r>
      <w:r w:rsidRPr="00033AA6">
        <w:rPr>
          <w:color w:val="000000"/>
          <w:sz w:val="20"/>
          <w:szCs w:val="20"/>
        </w:rPr>
        <w:t xml:space="preserve">Carole </w:t>
      </w:r>
      <w:proofErr w:type="spellStart"/>
      <w:r w:rsidRPr="00033AA6">
        <w:rPr>
          <w:color w:val="000000"/>
          <w:sz w:val="20"/>
          <w:szCs w:val="20"/>
        </w:rPr>
        <w:t>Berrih</w:t>
      </w:r>
      <w:proofErr w:type="spellEnd"/>
      <w:r w:rsidRPr="00033AA6">
        <w:rPr>
          <w:color w:val="000000"/>
          <w:sz w:val="20"/>
          <w:szCs w:val="20"/>
        </w:rPr>
        <w:t xml:space="preserve"> and Lievin </w:t>
      </w:r>
      <w:proofErr w:type="spellStart"/>
      <w:r w:rsidRPr="00033AA6">
        <w:rPr>
          <w:color w:val="000000"/>
          <w:sz w:val="20"/>
          <w:szCs w:val="20"/>
        </w:rPr>
        <w:t>Ngondji</w:t>
      </w:r>
      <w:proofErr w:type="spellEnd"/>
      <w:r w:rsidRPr="00033AA6">
        <w:rPr>
          <w:color w:val="000000"/>
          <w:sz w:val="20"/>
          <w:szCs w:val="20"/>
        </w:rPr>
        <w:t xml:space="preserve">, </w:t>
      </w:r>
      <w:proofErr w:type="gramStart"/>
      <w:r w:rsidRPr="00033AA6">
        <w:rPr>
          <w:i/>
          <w:iCs/>
          <w:color w:val="000000"/>
          <w:sz w:val="20"/>
          <w:szCs w:val="20"/>
        </w:rPr>
        <w:t>Towards</w:t>
      </w:r>
      <w:proofErr w:type="gramEnd"/>
      <w:r w:rsidRPr="00033AA6">
        <w:rPr>
          <w:i/>
          <w:iCs/>
          <w:color w:val="000000"/>
          <w:sz w:val="20"/>
          <w:szCs w:val="20"/>
        </w:rPr>
        <w:t xml:space="preserve"> a Silent Death: Conditions of Detention of People Sentenced to Death in the Democratic Republic of the Congo</w:t>
      </w:r>
      <w:r w:rsidRPr="00033AA6">
        <w:rPr>
          <w:color w:val="000000"/>
          <w:sz w:val="20"/>
          <w:szCs w:val="20"/>
        </w:rPr>
        <w:t>, (Ensemble Contre la Peine de Mort 2019), 105.</w:t>
      </w:r>
    </w:p>
  </w:footnote>
  <w:footnote w:id="55">
    <w:p w14:paraId="579205E0"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Delphine Lourtau. “Women Facing the Death Penalty,” in </w:t>
      </w:r>
      <w:r w:rsidRPr="00033AA6">
        <w:rPr>
          <w:i/>
          <w:iCs/>
          <w:sz w:val="20"/>
          <w:szCs w:val="20"/>
        </w:rPr>
        <w:t>Silently Silenced: State-Sanctioned Killing of Women</w:t>
      </w:r>
      <w:r w:rsidRPr="00033AA6">
        <w:rPr>
          <w:sz w:val="20"/>
          <w:szCs w:val="20"/>
        </w:rPr>
        <w:t xml:space="preserve"> (</w:t>
      </w:r>
      <w:proofErr w:type="spellStart"/>
      <w:r w:rsidRPr="00033AA6">
        <w:rPr>
          <w:sz w:val="20"/>
          <w:szCs w:val="20"/>
        </w:rPr>
        <w:t>Eleos</w:t>
      </w:r>
      <w:proofErr w:type="spellEnd"/>
      <w:r w:rsidRPr="00033AA6">
        <w:rPr>
          <w:sz w:val="20"/>
          <w:szCs w:val="20"/>
        </w:rPr>
        <w:t xml:space="preserve"> Justice, Monash University, and Cornell Center on the Death Penalty Worldwide 2023), 30.</w:t>
      </w:r>
    </w:p>
  </w:footnote>
  <w:footnote w:id="56">
    <w:p w14:paraId="17F85445"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Harriet Sherwood, </w:t>
      </w:r>
      <w:r w:rsidRPr="00033AA6">
        <w:rPr>
          <w:i/>
          <w:iCs/>
          <w:sz w:val="20"/>
          <w:szCs w:val="20"/>
        </w:rPr>
        <w:t>Meriam Ibrahim on Giving Birth in Jail: ‘Something Has Happened to the Baby’</w:t>
      </w:r>
      <w:r w:rsidRPr="00033AA6">
        <w:rPr>
          <w:sz w:val="20"/>
          <w:szCs w:val="20"/>
        </w:rPr>
        <w:t>, The Guardian, July 1, 2014, https://www.theguardian.com/world/2014/jul/01/meriam-ibrahim-child- disabled-born-shackled-floor.</w:t>
      </w:r>
    </w:p>
  </w:footnote>
  <w:footnote w:id="57">
    <w:p w14:paraId="2CC59224"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World Coalition Against the Death Penalty. (2022, November 25). Reflecting on the links between the death penalty and gender-based violence.</w:t>
      </w:r>
    </w:p>
  </w:footnote>
  <w:footnote w:id="58">
    <w:p w14:paraId="328435F6"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Bangkok Rules, Rule 19.</w:t>
      </w:r>
    </w:p>
  </w:footnote>
  <w:footnote w:id="59">
    <w:p w14:paraId="1516F1C4"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Cornell Center on the Death Penalty Worldwide, </w:t>
      </w:r>
      <w:r w:rsidRPr="00033AA6">
        <w:rPr>
          <w:i/>
          <w:iCs/>
          <w:sz w:val="20"/>
          <w:szCs w:val="20"/>
        </w:rPr>
        <w:t xml:space="preserve">Judged </w:t>
      </w:r>
      <w:proofErr w:type="gramStart"/>
      <w:r w:rsidRPr="00033AA6">
        <w:rPr>
          <w:i/>
          <w:iCs/>
          <w:sz w:val="20"/>
          <w:szCs w:val="20"/>
        </w:rPr>
        <w:t>For</w:t>
      </w:r>
      <w:proofErr w:type="gramEnd"/>
      <w:r w:rsidRPr="00033AA6">
        <w:rPr>
          <w:i/>
          <w:iCs/>
          <w:sz w:val="20"/>
          <w:szCs w:val="20"/>
        </w:rPr>
        <w:t xml:space="preserve"> More Than Her Crime: A Global Overview of Women Facing the Death Penalty</w:t>
      </w:r>
      <w:r w:rsidRPr="00033AA6">
        <w:rPr>
          <w:sz w:val="20"/>
          <w:szCs w:val="20"/>
        </w:rPr>
        <w:t>, by Lourtau, D., Babcock, S., Hickey, S.P., Ahmed, Z. &amp; Maymon, P.L. (Cornell Law School, 2018), 23.</w:t>
      </w:r>
    </w:p>
  </w:footnote>
  <w:footnote w:id="60">
    <w:p w14:paraId="2C45A60D"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United States Department of Justice (2020, December 22). Justice Department Alleges Conditions at Lowell Correctional Institution Violate the Constitution. P.8.</w:t>
      </w:r>
    </w:p>
  </w:footnote>
  <w:footnote w:id="61">
    <w:p w14:paraId="06FFFCE5"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United States Department of Justice (2020, December 22). Justice Department Alleges Conditions at Lowell Correctional Institution Violate the Constitution.</w:t>
      </w:r>
    </w:p>
  </w:footnote>
  <w:footnote w:id="62">
    <w:p w14:paraId="25958B33" w14:textId="77777777" w:rsidR="003C38F0" w:rsidRPr="00033AA6" w:rsidRDefault="003C38F0" w:rsidP="003C38F0">
      <w:pPr>
        <w:pStyle w:val="Notedebasdepage"/>
        <w:rPr>
          <w:sz w:val="20"/>
          <w:szCs w:val="20"/>
        </w:rPr>
      </w:pPr>
      <w:r w:rsidRPr="00033AA6">
        <w:rPr>
          <w:rStyle w:val="Appelnotedebasdep"/>
          <w:sz w:val="20"/>
          <w:szCs w:val="20"/>
        </w:rPr>
        <w:footnoteRef/>
      </w:r>
      <w:r w:rsidRPr="00033AA6">
        <w:rPr>
          <w:sz w:val="20"/>
          <w:szCs w:val="20"/>
        </w:rPr>
        <w:t xml:space="preserve"> Cornell Center on the Death Penalty Worldwide, “Death Row Conditions,” accessed Nov. 6, 2023, https://deathpenaltyworldwide.org/publication/death-row-conditions/?version=html.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08FD" w14:textId="77777777" w:rsidR="00804604" w:rsidRDefault="00804604" w:rsidP="00C26130">
    <w:pPr>
      <w:pStyle w:val="En-tte"/>
      <w:tabs>
        <w:tab w:val="left" w:pos="27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B087" w14:textId="723AA445" w:rsidR="00804604" w:rsidRDefault="00BE110B">
    <w:pPr>
      <w:pStyle w:val="En-tte"/>
    </w:pPr>
    <w:r w:rsidRPr="00F80D69">
      <w:rPr>
        <w:noProof/>
      </w:rPr>
      <w:drawing>
        <wp:anchor distT="0" distB="0" distL="114300" distR="114300" simplePos="0" relativeHeight="251667457" behindDoc="1" locked="0" layoutInCell="1" allowOverlap="1" wp14:anchorId="3445FFCE" wp14:editId="0DA2BEA5">
          <wp:simplePos x="0" y="0"/>
          <wp:positionH relativeFrom="margin">
            <wp:posOffset>4065224</wp:posOffset>
          </wp:positionH>
          <wp:positionV relativeFrom="paragraph">
            <wp:posOffset>-391099</wp:posOffset>
          </wp:positionV>
          <wp:extent cx="1299990" cy="771719"/>
          <wp:effectExtent l="0" t="0" r="0" b="9525"/>
          <wp:wrapNone/>
          <wp:docPr id="1352456597" name="Image 1352456597" descr="KHRC  Offici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RC  Official 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110" cy="7723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9" behindDoc="0" locked="0" layoutInCell="1" allowOverlap="1" wp14:anchorId="52847A14" wp14:editId="1D49A426">
          <wp:simplePos x="0" y="0"/>
          <wp:positionH relativeFrom="column">
            <wp:posOffset>5440611</wp:posOffset>
          </wp:positionH>
          <wp:positionV relativeFrom="paragraph">
            <wp:posOffset>-335440</wp:posOffset>
          </wp:positionV>
          <wp:extent cx="1285875" cy="775335"/>
          <wp:effectExtent l="0" t="0" r="9525" b="5715"/>
          <wp:wrapSquare wrapText="bothSides"/>
          <wp:docPr id="5059292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5" behindDoc="1" locked="0" layoutInCell="1" allowOverlap="1" wp14:anchorId="773B8673" wp14:editId="52401E3D">
          <wp:simplePos x="0" y="0"/>
          <wp:positionH relativeFrom="column">
            <wp:posOffset>2598833</wp:posOffset>
          </wp:positionH>
          <wp:positionV relativeFrom="paragraph">
            <wp:posOffset>-295275</wp:posOffset>
          </wp:positionV>
          <wp:extent cx="1329055" cy="587375"/>
          <wp:effectExtent l="0" t="0" r="4445" b="3175"/>
          <wp:wrapTight wrapText="bothSides">
            <wp:wrapPolygon edited="0">
              <wp:start x="0" y="0"/>
              <wp:lineTo x="0" y="21016"/>
              <wp:lineTo x="21363" y="21016"/>
              <wp:lineTo x="21363" y="0"/>
              <wp:lineTo x="0" y="0"/>
            </wp:wrapPolygon>
          </wp:wrapTight>
          <wp:docPr id="141156150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61502" name="Image 1" descr="Une image contenant texte, Police, logo,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905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9" behindDoc="0" locked="0" layoutInCell="1" allowOverlap="1" wp14:anchorId="0F47EDD0" wp14:editId="596815C7">
          <wp:simplePos x="0" y="0"/>
          <wp:positionH relativeFrom="column">
            <wp:posOffset>1487277</wp:posOffset>
          </wp:positionH>
          <wp:positionV relativeFrom="paragraph">
            <wp:posOffset>-336014</wp:posOffset>
          </wp:positionV>
          <wp:extent cx="1255923" cy="723265"/>
          <wp:effectExtent l="0" t="0" r="1905" b="635"/>
          <wp:wrapNone/>
          <wp:docPr id="5" name="Picture 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e image contenant texte, Police, Graphique, logo&#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257556" cy="724205"/>
                  </a:xfrm>
                  <a:prstGeom prst="rect">
                    <a:avLst/>
                  </a:prstGeom>
                </pic:spPr>
              </pic:pic>
            </a:graphicData>
          </a:graphic>
          <wp14:sizeRelH relativeFrom="page">
            <wp14:pctWidth>0</wp14:pctWidth>
          </wp14:sizeRelH>
          <wp14:sizeRelV relativeFrom="page">
            <wp14:pctHeight>0</wp14:pctHeight>
          </wp14:sizeRelV>
        </wp:anchor>
      </w:drawing>
    </w:r>
    <w:r w:rsidRPr="00B075AD">
      <w:rPr>
        <w:rFonts w:ascii="Palatino Linotype" w:hAnsi="Palatino Linotype"/>
        <w:noProof/>
        <w:sz w:val="22"/>
        <w:szCs w:val="22"/>
        <w:shd w:val="clear" w:color="auto" w:fill="FFFFFF"/>
      </w:rPr>
      <w:drawing>
        <wp:anchor distT="0" distB="0" distL="114300" distR="114300" simplePos="0" relativeHeight="251662337" behindDoc="0" locked="0" layoutInCell="1" allowOverlap="1" wp14:anchorId="0F5A1FBF" wp14:editId="7476AE79">
          <wp:simplePos x="0" y="0"/>
          <wp:positionH relativeFrom="column">
            <wp:posOffset>274335</wp:posOffset>
          </wp:positionH>
          <wp:positionV relativeFrom="paragraph">
            <wp:posOffset>-303530</wp:posOffset>
          </wp:positionV>
          <wp:extent cx="1211580" cy="590550"/>
          <wp:effectExtent l="0" t="0" r="0" b="0"/>
          <wp:wrapTopAndBottom/>
          <wp:docPr id="372496202" name="Image 37249620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D691956" wp14:editId="0692DBA5">
          <wp:simplePos x="0" y="0"/>
          <wp:positionH relativeFrom="column">
            <wp:posOffset>-859790</wp:posOffset>
          </wp:positionH>
          <wp:positionV relativeFrom="paragraph">
            <wp:posOffset>-248285</wp:posOffset>
          </wp:positionV>
          <wp:extent cx="1134110" cy="539750"/>
          <wp:effectExtent l="0" t="0" r="8890" b="0"/>
          <wp:wrapTight wrapText="bothSides">
            <wp:wrapPolygon edited="0">
              <wp:start x="0" y="0"/>
              <wp:lineTo x="0" y="20584"/>
              <wp:lineTo x="21406" y="20584"/>
              <wp:lineTo x="2140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5838"/>
    <w:multiLevelType w:val="hybridMultilevel"/>
    <w:tmpl w:val="11FA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61781"/>
    <w:multiLevelType w:val="hybridMultilevel"/>
    <w:tmpl w:val="73DE869C"/>
    <w:lvl w:ilvl="0" w:tplc="D8CEE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C2376"/>
    <w:multiLevelType w:val="hybridMultilevel"/>
    <w:tmpl w:val="991C3848"/>
    <w:lvl w:ilvl="0" w:tplc="9670D4BC">
      <w:start w:val="1"/>
      <w:numFmt w:val="decimal"/>
      <w:lvlText w:val="%1."/>
      <w:lvlJc w:val="left"/>
      <w:pPr>
        <w:tabs>
          <w:tab w:val="num" w:pos="720"/>
        </w:tabs>
        <w:ind w:left="720" w:hanging="360"/>
      </w:pPr>
      <w:rPr>
        <w:b w:val="0"/>
      </w:rPr>
    </w:lvl>
    <w:lvl w:ilvl="1" w:tplc="109A5DFE">
      <w:start w:val="1"/>
      <w:numFmt w:val="decimal"/>
      <w:lvlText w:val="%2."/>
      <w:lvlJc w:val="left"/>
      <w:pPr>
        <w:tabs>
          <w:tab w:val="num" w:pos="1440"/>
        </w:tabs>
        <w:ind w:left="1440" w:hanging="360"/>
      </w:pPr>
    </w:lvl>
    <w:lvl w:ilvl="2" w:tplc="4A260800">
      <w:start w:val="1"/>
      <w:numFmt w:val="decimal"/>
      <w:lvlText w:val="%3."/>
      <w:lvlJc w:val="left"/>
      <w:pPr>
        <w:tabs>
          <w:tab w:val="num" w:pos="2160"/>
        </w:tabs>
        <w:ind w:left="2160" w:hanging="360"/>
      </w:pPr>
    </w:lvl>
    <w:lvl w:ilvl="3" w:tplc="52223D66">
      <w:start w:val="1"/>
      <w:numFmt w:val="decimal"/>
      <w:lvlText w:val="%4."/>
      <w:lvlJc w:val="left"/>
      <w:pPr>
        <w:tabs>
          <w:tab w:val="num" w:pos="2880"/>
        </w:tabs>
        <w:ind w:left="2880" w:hanging="360"/>
      </w:pPr>
    </w:lvl>
    <w:lvl w:ilvl="4" w:tplc="D0A6172E">
      <w:start w:val="1"/>
      <w:numFmt w:val="decimal"/>
      <w:lvlText w:val="%5."/>
      <w:lvlJc w:val="left"/>
      <w:pPr>
        <w:tabs>
          <w:tab w:val="num" w:pos="3600"/>
        </w:tabs>
        <w:ind w:left="3600" w:hanging="360"/>
      </w:pPr>
    </w:lvl>
    <w:lvl w:ilvl="5" w:tplc="B8564790">
      <w:start w:val="1"/>
      <w:numFmt w:val="decimal"/>
      <w:lvlText w:val="%6."/>
      <w:lvlJc w:val="left"/>
      <w:pPr>
        <w:tabs>
          <w:tab w:val="num" w:pos="4320"/>
        </w:tabs>
        <w:ind w:left="4320" w:hanging="360"/>
      </w:pPr>
    </w:lvl>
    <w:lvl w:ilvl="6" w:tplc="F154A354">
      <w:start w:val="1"/>
      <w:numFmt w:val="decimal"/>
      <w:lvlText w:val="%7."/>
      <w:lvlJc w:val="left"/>
      <w:pPr>
        <w:tabs>
          <w:tab w:val="num" w:pos="5040"/>
        </w:tabs>
        <w:ind w:left="5040" w:hanging="360"/>
      </w:pPr>
    </w:lvl>
    <w:lvl w:ilvl="7" w:tplc="3CC00626">
      <w:start w:val="1"/>
      <w:numFmt w:val="decimal"/>
      <w:lvlText w:val="%8."/>
      <w:lvlJc w:val="left"/>
      <w:pPr>
        <w:tabs>
          <w:tab w:val="num" w:pos="5760"/>
        </w:tabs>
        <w:ind w:left="5760" w:hanging="360"/>
      </w:pPr>
    </w:lvl>
    <w:lvl w:ilvl="8" w:tplc="5008A68C">
      <w:start w:val="1"/>
      <w:numFmt w:val="decimal"/>
      <w:lvlText w:val="%9."/>
      <w:lvlJc w:val="left"/>
      <w:pPr>
        <w:tabs>
          <w:tab w:val="num" w:pos="6480"/>
        </w:tabs>
        <w:ind w:left="6480" w:hanging="360"/>
      </w:pPr>
    </w:lvl>
  </w:abstractNum>
  <w:abstractNum w:abstractNumId="3" w15:restartNumberingAfterBreak="0">
    <w:nsid w:val="1D126530"/>
    <w:multiLevelType w:val="hybridMultilevel"/>
    <w:tmpl w:val="7B5051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5153BE"/>
    <w:multiLevelType w:val="hybridMultilevel"/>
    <w:tmpl w:val="208856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73C0"/>
    <w:multiLevelType w:val="hybridMultilevel"/>
    <w:tmpl w:val="BE6A5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A41173"/>
    <w:multiLevelType w:val="hybridMultilevel"/>
    <w:tmpl w:val="5572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5A46C4"/>
    <w:multiLevelType w:val="hybridMultilevel"/>
    <w:tmpl w:val="467A1396"/>
    <w:lvl w:ilvl="0" w:tplc="228E1F4E">
      <w:start w:val="255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41C3D"/>
    <w:multiLevelType w:val="hybridMultilevel"/>
    <w:tmpl w:val="087A7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7D1B3D"/>
    <w:multiLevelType w:val="hybridMultilevel"/>
    <w:tmpl w:val="73DE869C"/>
    <w:lvl w:ilvl="0" w:tplc="D8CEE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90469"/>
    <w:multiLevelType w:val="hybridMultilevel"/>
    <w:tmpl w:val="55DC30A0"/>
    <w:lvl w:ilvl="0" w:tplc="56D6E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9B14BF"/>
    <w:multiLevelType w:val="hybridMultilevel"/>
    <w:tmpl w:val="F7E83092"/>
    <w:lvl w:ilvl="0" w:tplc="096CCE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969075">
    <w:abstractNumId w:val="6"/>
  </w:num>
  <w:num w:numId="2" w16cid:durableId="2029719975">
    <w:abstractNumId w:val="5"/>
  </w:num>
  <w:num w:numId="3" w16cid:durableId="1539776804">
    <w:abstractNumId w:val="8"/>
  </w:num>
  <w:num w:numId="4" w16cid:durableId="363679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686896">
    <w:abstractNumId w:val="7"/>
  </w:num>
  <w:num w:numId="6" w16cid:durableId="594171688">
    <w:abstractNumId w:val="0"/>
  </w:num>
  <w:num w:numId="7" w16cid:durableId="1938251912">
    <w:abstractNumId w:val="4"/>
  </w:num>
  <w:num w:numId="8" w16cid:durableId="1784962959">
    <w:abstractNumId w:val="9"/>
  </w:num>
  <w:num w:numId="9" w16cid:durableId="1023946614">
    <w:abstractNumId w:val="1"/>
  </w:num>
  <w:num w:numId="10" w16cid:durableId="975376868">
    <w:abstractNumId w:val="11"/>
  </w:num>
  <w:num w:numId="11" w16cid:durableId="2009599754">
    <w:abstractNumId w:val="10"/>
  </w:num>
  <w:num w:numId="12" w16cid:durableId="56630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C9"/>
    <w:rsid w:val="00015023"/>
    <w:rsid w:val="00030F59"/>
    <w:rsid w:val="00033AA6"/>
    <w:rsid w:val="000342B6"/>
    <w:rsid w:val="000375F4"/>
    <w:rsid w:val="00046377"/>
    <w:rsid w:val="00056CF5"/>
    <w:rsid w:val="000734A4"/>
    <w:rsid w:val="0008238F"/>
    <w:rsid w:val="00085935"/>
    <w:rsid w:val="000910FC"/>
    <w:rsid w:val="0009644E"/>
    <w:rsid w:val="000A1F17"/>
    <w:rsid w:val="000A66B8"/>
    <w:rsid w:val="000B042D"/>
    <w:rsid w:val="000B4DB3"/>
    <w:rsid w:val="000C6340"/>
    <w:rsid w:val="000D0680"/>
    <w:rsid w:val="000E1DDC"/>
    <w:rsid w:val="000F1E67"/>
    <w:rsid w:val="000F56E0"/>
    <w:rsid w:val="001008D1"/>
    <w:rsid w:val="00111994"/>
    <w:rsid w:val="001215B4"/>
    <w:rsid w:val="00136514"/>
    <w:rsid w:val="00143423"/>
    <w:rsid w:val="00147EA4"/>
    <w:rsid w:val="001565F9"/>
    <w:rsid w:val="00160BDA"/>
    <w:rsid w:val="00181B2A"/>
    <w:rsid w:val="00181EF5"/>
    <w:rsid w:val="0018642B"/>
    <w:rsid w:val="001A59C1"/>
    <w:rsid w:val="001A5ED5"/>
    <w:rsid w:val="001A7AF4"/>
    <w:rsid w:val="001B1AC4"/>
    <w:rsid w:val="001B27D7"/>
    <w:rsid w:val="001B46C2"/>
    <w:rsid w:val="001B799A"/>
    <w:rsid w:val="001C42EB"/>
    <w:rsid w:val="001D2698"/>
    <w:rsid w:val="00220D48"/>
    <w:rsid w:val="00237C8C"/>
    <w:rsid w:val="00242F64"/>
    <w:rsid w:val="002439A3"/>
    <w:rsid w:val="00243E14"/>
    <w:rsid w:val="00255789"/>
    <w:rsid w:val="00272519"/>
    <w:rsid w:val="002734D9"/>
    <w:rsid w:val="00273933"/>
    <w:rsid w:val="00276B15"/>
    <w:rsid w:val="00282223"/>
    <w:rsid w:val="00291BE8"/>
    <w:rsid w:val="002A0797"/>
    <w:rsid w:val="002A4838"/>
    <w:rsid w:val="002C57BC"/>
    <w:rsid w:val="002D36C6"/>
    <w:rsid w:val="002D7E74"/>
    <w:rsid w:val="002E34EA"/>
    <w:rsid w:val="002E3B04"/>
    <w:rsid w:val="002E46A1"/>
    <w:rsid w:val="002F7A11"/>
    <w:rsid w:val="00315C53"/>
    <w:rsid w:val="00322CB1"/>
    <w:rsid w:val="003369A6"/>
    <w:rsid w:val="00340484"/>
    <w:rsid w:val="003424B0"/>
    <w:rsid w:val="00344140"/>
    <w:rsid w:val="00344556"/>
    <w:rsid w:val="00345B90"/>
    <w:rsid w:val="0035378E"/>
    <w:rsid w:val="0035424D"/>
    <w:rsid w:val="00374FD8"/>
    <w:rsid w:val="00390AC3"/>
    <w:rsid w:val="003937C6"/>
    <w:rsid w:val="003A0BC2"/>
    <w:rsid w:val="003A1D3E"/>
    <w:rsid w:val="003A6F6D"/>
    <w:rsid w:val="003B29AC"/>
    <w:rsid w:val="003B72E0"/>
    <w:rsid w:val="003C03DE"/>
    <w:rsid w:val="003C1E49"/>
    <w:rsid w:val="003C38F0"/>
    <w:rsid w:val="003C60FE"/>
    <w:rsid w:val="003D608F"/>
    <w:rsid w:val="003E66BA"/>
    <w:rsid w:val="003E6A6D"/>
    <w:rsid w:val="004076CD"/>
    <w:rsid w:val="00417CE5"/>
    <w:rsid w:val="00430A63"/>
    <w:rsid w:val="00450118"/>
    <w:rsid w:val="00450405"/>
    <w:rsid w:val="00453314"/>
    <w:rsid w:val="004653BB"/>
    <w:rsid w:val="00466ED3"/>
    <w:rsid w:val="00476CC4"/>
    <w:rsid w:val="0048200E"/>
    <w:rsid w:val="004866AE"/>
    <w:rsid w:val="004914B2"/>
    <w:rsid w:val="004917C0"/>
    <w:rsid w:val="004A17D9"/>
    <w:rsid w:val="004A1DA4"/>
    <w:rsid w:val="004A5B01"/>
    <w:rsid w:val="004A7D93"/>
    <w:rsid w:val="004A7FF9"/>
    <w:rsid w:val="004B1E4E"/>
    <w:rsid w:val="004B4CAF"/>
    <w:rsid w:val="004B73AF"/>
    <w:rsid w:val="004D0591"/>
    <w:rsid w:val="004D2568"/>
    <w:rsid w:val="004D3EE9"/>
    <w:rsid w:val="004D51DD"/>
    <w:rsid w:val="004E150B"/>
    <w:rsid w:val="004E7176"/>
    <w:rsid w:val="004E783D"/>
    <w:rsid w:val="004F2465"/>
    <w:rsid w:val="004F34E5"/>
    <w:rsid w:val="00511320"/>
    <w:rsid w:val="005132BB"/>
    <w:rsid w:val="0051494C"/>
    <w:rsid w:val="00524166"/>
    <w:rsid w:val="00524C18"/>
    <w:rsid w:val="0052688D"/>
    <w:rsid w:val="005336C2"/>
    <w:rsid w:val="005403E3"/>
    <w:rsid w:val="0054712B"/>
    <w:rsid w:val="0055461C"/>
    <w:rsid w:val="00567FD1"/>
    <w:rsid w:val="00571EF6"/>
    <w:rsid w:val="0059754B"/>
    <w:rsid w:val="005B0C1B"/>
    <w:rsid w:val="005B4888"/>
    <w:rsid w:val="005B6CCD"/>
    <w:rsid w:val="005C183B"/>
    <w:rsid w:val="005C58B6"/>
    <w:rsid w:val="005C5BF7"/>
    <w:rsid w:val="005D4EE6"/>
    <w:rsid w:val="005D5F82"/>
    <w:rsid w:val="005F2A19"/>
    <w:rsid w:val="0060568A"/>
    <w:rsid w:val="0060622C"/>
    <w:rsid w:val="0061778F"/>
    <w:rsid w:val="00624A10"/>
    <w:rsid w:val="00626C39"/>
    <w:rsid w:val="00643D7A"/>
    <w:rsid w:val="00646D29"/>
    <w:rsid w:val="0066318F"/>
    <w:rsid w:val="006927DD"/>
    <w:rsid w:val="0069617C"/>
    <w:rsid w:val="006B12D4"/>
    <w:rsid w:val="006B7B89"/>
    <w:rsid w:val="006D39C4"/>
    <w:rsid w:val="006E5E05"/>
    <w:rsid w:val="006E7D5B"/>
    <w:rsid w:val="006F582F"/>
    <w:rsid w:val="006F5DA7"/>
    <w:rsid w:val="007064C2"/>
    <w:rsid w:val="007143B8"/>
    <w:rsid w:val="007316AA"/>
    <w:rsid w:val="00741B9C"/>
    <w:rsid w:val="00757A1C"/>
    <w:rsid w:val="007637D8"/>
    <w:rsid w:val="00765EBC"/>
    <w:rsid w:val="0077231B"/>
    <w:rsid w:val="00774643"/>
    <w:rsid w:val="00782475"/>
    <w:rsid w:val="007838DE"/>
    <w:rsid w:val="007B46CD"/>
    <w:rsid w:val="007B7B51"/>
    <w:rsid w:val="007C34F7"/>
    <w:rsid w:val="007C4387"/>
    <w:rsid w:val="007C7CCE"/>
    <w:rsid w:val="007D2FB7"/>
    <w:rsid w:val="007E2F43"/>
    <w:rsid w:val="007E79C4"/>
    <w:rsid w:val="007F23A8"/>
    <w:rsid w:val="00804604"/>
    <w:rsid w:val="008070C0"/>
    <w:rsid w:val="0081221D"/>
    <w:rsid w:val="0082361E"/>
    <w:rsid w:val="00825AA9"/>
    <w:rsid w:val="00826961"/>
    <w:rsid w:val="00827209"/>
    <w:rsid w:val="00836428"/>
    <w:rsid w:val="0083709F"/>
    <w:rsid w:val="00847C78"/>
    <w:rsid w:val="00852B97"/>
    <w:rsid w:val="00865AEF"/>
    <w:rsid w:val="00870521"/>
    <w:rsid w:val="0087642D"/>
    <w:rsid w:val="008806CE"/>
    <w:rsid w:val="008856D7"/>
    <w:rsid w:val="00890056"/>
    <w:rsid w:val="00893268"/>
    <w:rsid w:val="0089523C"/>
    <w:rsid w:val="008C3B9B"/>
    <w:rsid w:val="008C7B1F"/>
    <w:rsid w:val="008C7B63"/>
    <w:rsid w:val="008D3BE4"/>
    <w:rsid w:val="008D6381"/>
    <w:rsid w:val="008E0859"/>
    <w:rsid w:val="008E73BF"/>
    <w:rsid w:val="008F0BDD"/>
    <w:rsid w:val="008F2F99"/>
    <w:rsid w:val="008F6084"/>
    <w:rsid w:val="009057C8"/>
    <w:rsid w:val="0093193B"/>
    <w:rsid w:val="00947170"/>
    <w:rsid w:val="00947B3D"/>
    <w:rsid w:val="00952784"/>
    <w:rsid w:val="00956E94"/>
    <w:rsid w:val="00962312"/>
    <w:rsid w:val="009627A1"/>
    <w:rsid w:val="009639E0"/>
    <w:rsid w:val="009712FE"/>
    <w:rsid w:val="00976628"/>
    <w:rsid w:val="009875AD"/>
    <w:rsid w:val="009924AF"/>
    <w:rsid w:val="009A7F71"/>
    <w:rsid w:val="009B51D7"/>
    <w:rsid w:val="009D3BEA"/>
    <w:rsid w:val="009D5161"/>
    <w:rsid w:val="009E0582"/>
    <w:rsid w:val="009E4D16"/>
    <w:rsid w:val="009F12E2"/>
    <w:rsid w:val="009F3358"/>
    <w:rsid w:val="009F478B"/>
    <w:rsid w:val="009F50BD"/>
    <w:rsid w:val="009F69C1"/>
    <w:rsid w:val="00A167AA"/>
    <w:rsid w:val="00A4060A"/>
    <w:rsid w:val="00A40EE1"/>
    <w:rsid w:val="00A423ED"/>
    <w:rsid w:val="00A536F3"/>
    <w:rsid w:val="00A57F65"/>
    <w:rsid w:val="00A72103"/>
    <w:rsid w:val="00A75C67"/>
    <w:rsid w:val="00A83B58"/>
    <w:rsid w:val="00A91D08"/>
    <w:rsid w:val="00AA6318"/>
    <w:rsid w:val="00AA6812"/>
    <w:rsid w:val="00AA7FCB"/>
    <w:rsid w:val="00AB1F1D"/>
    <w:rsid w:val="00AB3BB7"/>
    <w:rsid w:val="00AB59AE"/>
    <w:rsid w:val="00AB5BD9"/>
    <w:rsid w:val="00AC040C"/>
    <w:rsid w:val="00AC5807"/>
    <w:rsid w:val="00AD0AA1"/>
    <w:rsid w:val="00AD6D09"/>
    <w:rsid w:val="00AE07A3"/>
    <w:rsid w:val="00AE372A"/>
    <w:rsid w:val="00AF345C"/>
    <w:rsid w:val="00AF5E69"/>
    <w:rsid w:val="00B156E4"/>
    <w:rsid w:val="00B275A9"/>
    <w:rsid w:val="00B40DBF"/>
    <w:rsid w:val="00B44231"/>
    <w:rsid w:val="00B457C4"/>
    <w:rsid w:val="00B54060"/>
    <w:rsid w:val="00B71178"/>
    <w:rsid w:val="00B76E43"/>
    <w:rsid w:val="00B914A2"/>
    <w:rsid w:val="00B9541E"/>
    <w:rsid w:val="00BA4CDE"/>
    <w:rsid w:val="00BB0488"/>
    <w:rsid w:val="00BB3ED5"/>
    <w:rsid w:val="00BB4AB9"/>
    <w:rsid w:val="00BC07C0"/>
    <w:rsid w:val="00BC3832"/>
    <w:rsid w:val="00BD3CFF"/>
    <w:rsid w:val="00BE110B"/>
    <w:rsid w:val="00BE59BD"/>
    <w:rsid w:val="00BF5992"/>
    <w:rsid w:val="00C0174A"/>
    <w:rsid w:val="00C05D9B"/>
    <w:rsid w:val="00C214BA"/>
    <w:rsid w:val="00C26130"/>
    <w:rsid w:val="00C315B6"/>
    <w:rsid w:val="00C376F3"/>
    <w:rsid w:val="00C4132F"/>
    <w:rsid w:val="00C463D2"/>
    <w:rsid w:val="00C56F5B"/>
    <w:rsid w:val="00C6205B"/>
    <w:rsid w:val="00C62A44"/>
    <w:rsid w:val="00C64A94"/>
    <w:rsid w:val="00C675D6"/>
    <w:rsid w:val="00C80A39"/>
    <w:rsid w:val="00C81936"/>
    <w:rsid w:val="00C84C4C"/>
    <w:rsid w:val="00C851ED"/>
    <w:rsid w:val="00CA1702"/>
    <w:rsid w:val="00CA5CC2"/>
    <w:rsid w:val="00CA7D78"/>
    <w:rsid w:val="00CB631F"/>
    <w:rsid w:val="00CC5314"/>
    <w:rsid w:val="00CE6F85"/>
    <w:rsid w:val="00CF5003"/>
    <w:rsid w:val="00D0019C"/>
    <w:rsid w:val="00D17F80"/>
    <w:rsid w:val="00D27582"/>
    <w:rsid w:val="00D3182B"/>
    <w:rsid w:val="00D407CE"/>
    <w:rsid w:val="00D52AD6"/>
    <w:rsid w:val="00D861C1"/>
    <w:rsid w:val="00D86901"/>
    <w:rsid w:val="00D87B0F"/>
    <w:rsid w:val="00D92835"/>
    <w:rsid w:val="00D94424"/>
    <w:rsid w:val="00DA6DB6"/>
    <w:rsid w:val="00DC41C9"/>
    <w:rsid w:val="00DC5473"/>
    <w:rsid w:val="00DC6A3F"/>
    <w:rsid w:val="00DD2F76"/>
    <w:rsid w:val="00DD3996"/>
    <w:rsid w:val="00DE0381"/>
    <w:rsid w:val="00DE6FE8"/>
    <w:rsid w:val="00E05C73"/>
    <w:rsid w:val="00E114C5"/>
    <w:rsid w:val="00E13D93"/>
    <w:rsid w:val="00E162F5"/>
    <w:rsid w:val="00E307F3"/>
    <w:rsid w:val="00E3230E"/>
    <w:rsid w:val="00E35775"/>
    <w:rsid w:val="00E518EF"/>
    <w:rsid w:val="00E5372E"/>
    <w:rsid w:val="00E678EC"/>
    <w:rsid w:val="00E826D1"/>
    <w:rsid w:val="00E95CF7"/>
    <w:rsid w:val="00EA0EEB"/>
    <w:rsid w:val="00EB6308"/>
    <w:rsid w:val="00ED2912"/>
    <w:rsid w:val="00ED2DCC"/>
    <w:rsid w:val="00EF2BE5"/>
    <w:rsid w:val="00EF76AA"/>
    <w:rsid w:val="00F042FA"/>
    <w:rsid w:val="00F0674C"/>
    <w:rsid w:val="00F16374"/>
    <w:rsid w:val="00F22813"/>
    <w:rsid w:val="00F23CD7"/>
    <w:rsid w:val="00F2442A"/>
    <w:rsid w:val="00F4107A"/>
    <w:rsid w:val="00F46519"/>
    <w:rsid w:val="00F51AFD"/>
    <w:rsid w:val="00F53098"/>
    <w:rsid w:val="00F5682D"/>
    <w:rsid w:val="00F612FF"/>
    <w:rsid w:val="00F6493F"/>
    <w:rsid w:val="00F75663"/>
    <w:rsid w:val="00F811E7"/>
    <w:rsid w:val="00F90346"/>
    <w:rsid w:val="00F903A6"/>
    <w:rsid w:val="00F9056C"/>
    <w:rsid w:val="00F92EF4"/>
    <w:rsid w:val="00FB4891"/>
    <w:rsid w:val="00FC244A"/>
    <w:rsid w:val="00FC47A6"/>
    <w:rsid w:val="00FC686F"/>
    <w:rsid w:val="00FC7505"/>
    <w:rsid w:val="00FC7FBE"/>
    <w:rsid w:val="00FE0378"/>
    <w:rsid w:val="00FE2347"/>
    <w:rsid w:val="20EBB8F7"/>
    <w:rsid w:val="27553789"/>
    <w:rsid w:val="33A7E4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4BC44"/>
  <w15:chartTrackingRefBased/>
  <w15:docId w15:val="{88987DA3-60B3-4442-8EFF-77408B60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1C9"/>
  </w:style>
  <w:style w:type="paragraph" w:styleId="Titre1">
    <w:name w:val="heading 1"/>
    <w:basedOn w:val="Normal"/>
    <w:link w:val="Titre1Car"/>
    <w:uiPriority w:val="9"/>
    <w:qFormat/>
    <w:rsid w:val="00DE0381"/>
    <w:pPr>
      <w:spacing w:before="100" w:beforeAutospacing="1" w:after="100" w:afterAutospacing="1"/>
      <w:outlineLvl w:val="0"/>
    </w:pPr>
    <w:rPr>
      <w:b/>
      <w:bCs/>
      <w:kern w:val="36"/>
      <w:sz w:val="48"/>
      <w:szCs w:val="48"/>
      <w:lang w:val="fr-FR" w:eastAsia="fr-FR"/>
    </w:rPr>
  </w:style>
  <w:style w:type="paragraph" w:styleId="Titre5">
    <w:name w:val="heading 5"/>
    <w:basedOn w:val="Normal"/>
    <w:next w:val="Normal"/>
    <w:link w:val="Titre5Car"/>
    <w:semiHidden/>
    <w:unhideWhenUsed/>
    <w:qFormat/>
    <w:rsid w:val="00DE038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C41C9"/>
    <w:pPr>
      <w:tabs>
        <w:tab w:val="center" w:pos="4320"/>
        <w:tab w:val="right" w:pos="8640"/>
      </w:tabs>
    </w:pPr>
  </w:style>
  <w:style w:type="paragraph" w:styleId="Pieddepage">
    <w:name w:val="footer"/>
    <w:basedOn w:val="Normal"/>
    <w:link w:val="PieddepageCar"/>
    <w:uiPriority w:val="99"/>
    <w:rsid w:val="00DC41C9"/>
    <w:pPr>
      <w:tabs>
        <w:tab w:val="center" w:pos="4320"/>
        <w:tab w:val="right" w:pos="8640"/>
      </w:tabs>
    </w:pPr>
  </w:style>
  <w:style w:type="paragraph" w:styleId="Corpsdetexte">
    <w:name w:val="Body Text"/>
    <w:aliases w:val="bt"/>
    <w:basedOn w:val="Normal"/>
    <w:rsid w:val="004F34E5"/>
    <w:rPr>
      <w:kern w:val="0"/>
    </w:rPr>
  </w:style>
  <w:style w:type="character" w:styleId="Lienhypertexte">
    <w:name w:val="Hyperlink"/>
    <w:uiPriority w:val="99"/>
    <w:rsid w:val="004F34E5"/>
    <w:rPr>
      <w:color w:val="0000FF"/>
      <w:u w:val="single"/>
    </w:rPr>
  </w:style>
  <w:style w:type="paragraph" w:styleId="Textedebulles">
    <w:name w:val="Balloon Text"/>
    <w:basedOn w:val="Normal"/>
    <w:semiHidden/>
    <w:rsid w:val="00136514"/>
    <w:rPr>
      <w:rFonts w:ascii="Tahoma" w:hAnsi="Tahoma" w:cs="Tahoma"/>
      <w:sz w:val="16"/>
      <w:szCs w:val="16"/>
    </w:rPr>
  </w:style>
  <w:style w:type="character" w:customStyle="1" w:styleId="cthomas">
    <w:name w:val="cthomas"/>
    <w:semiHidden/>
    <w:rsid w:val="002E34EA"/>
    <w:rPr>
      <w:rFonts w:ascii="Arial" w:hAnsi="Arial" w:cs="Arial"/>
      <w:color w:val="auto"/>
      <w:sz w:val="20"/>
      <w:szCs w:val="20"/>
    </w:rPr>
  </w:style>
  <w:style w:type="paragraph" w:styleId="NormalWeb">
    <w:name w:val="Normal (Web)"/>
    <w:basedOn w:val="Normal"/>
    <w:rsid w:val="002C57BC"/>
    <w:pPr>
      <w:spacing w:before="100" w:beforeAutospacing="1" w:after="100" w:afterAutospacing="1"/>
    </w:pPr>
    <w:rPr>
      <w:kern w:val="0"/>
    </w:rPr>
  </w:style>
  <w:style w:type="character" w:customStyle="1" w:styleId="apple-converted-space">
    <w:name w:val="apple-converted-space"/>
    <w:basedOn w:val="Policepardfaut"/>
    <w:rsid w:val="002C57BC"/>
  </w:style>
  <w:style w:type="character" w:styleId="lev">
    <w:name w:val="Strong"/>
    <w:qFormat/>
    <w:rsid w:val="002C57BC"/>
    <w:rPr>
      <w:b/>
      <w:bCs/>
    </w:rPr>
  </w:style>
  <w:style w:type="character" w:styleId="Accentuation">
    <w:name w:val="Emphasis"/>
    <w:uiPriority w:val="20"/>
    <w:qFormat/>
    <w:rsid w:val="002C57BC"/>
    <w:rPr>
      <w:i/>
      <w:iCs/>
    </w:rPr>
  </w:style>
  <w:style w:type="paragraph" w:styleId="Corpsdetexte2">
    <w:name w:val="Body Text 2"/>
    <w:basedOn w:val="Normal"/>
    <w:rsid w:val="007143B8"/>
    <w:pPr>
      <w:spacing w:after="120" w:line="480" w:lineRule="auto"/>
    </w:pPr>
  </w:style>
  <w:style w:type="paragraph" w:styleId="Paragraphedeliste">
    <w:name w:val="List Paragraph"/>
    <w:basedOn w:val="Normal"/>
    <w:uiPriority w:val="34"/>
    <w:qFormat/>
    <w:rsid w:val="004D3EE9"/>
    <w:pPr>
      <w:spacing w:after="200" w:line="276" w:lineRule="auto"/>
      <w:ind w:left="720"/>
      <w:contextualSpacing/>
    </w:pPr>
    <w:rPr>
      <w:rFonts w:ascii="Calibri" w:eastAsia="Calibri" w:hAnsi="Calibri"/>
      <w:kern w:val="0"/>
      <w:sz w:val="22"/>
      <w:szCs w:val="22"/>
    </w:rPr>
  </w:style>
  <w:style w:type="character" w:customStyle="1" w:styleId="PieddepageCar">
    <w:name w:val="Pied de page Car"/>
    <w:link w:val="Pieddepage"/>
    <w:uiPriority w:val="99"/>
    <w:rsid w:val="004B1E4E"/>
    <w:rPr>
      <w:color w:val="000000"/>
      <w:kern w:val="28"/>
    </w:rPr>
  </w:style>
  <w:style w:type="paragraph" w:styleId="Notedebasdepage">
    <w:name w:val="footnote text"/>
    <w:basedOn w:val="Normal"/>
    <w:link w:val="NotedebasdepageCar"/>
    <w:uiPriority w:val="99"/>
    <w:rsid w:val="00D17F80"/>
  </w:style>
  <w:style w:type="character" w:customStyle="1" w:styleId="NotedebasdepageCar">
    <w:name w:val="Note de bas de page Car"/>
    <w:link w:val="Notedebasdepage"/>
    <w:uiPriority w:val="99"/>
    <w:rsid w:val="00D17F80"/>
    <w:rPr>
      <w:color w:val="000000"/>
      <w:kern w:val="28"/>
    </w:rPr>
  </w:style>
  <w:style w:type="character" w:styleId="Appelnotedebasdep">
    <w:name w:val="footnote reference"/>
    <w:uiPriority w:val="99"/>
    <w:rsid w:val="00D17F80"/>
    <w:rPr>
      <w:vertAlign w:val="superscript"/>
    </w:rPr>
  </w:style>
  <w:style w:type="character" w:styleId="Marquedecommentaire">
    <w:name w:val="annotation reference"/>
    <w:rsid w:val="00DD3996"/>
    <w:rPr>
      <w:sz w:val="16"/>
      <w:szCs w:val="16"/>
    </w:rPr>
  </w:style>
  <w:style w:type="paragraph" w:styleId="Commentaire">
    <w:name w:val="annotation text"/>
    <w:basedOn w:val="Normal"/>
    <w:link w:val="CommentaireCar"/>
    <w:rsid w:val="00DD3996"/>
  </w:style>
  <w:style w:type="character" w:customStyle="1" w:styleId="CommentaireCar">
    <w:name w:val="Commentaire Car"/>
    <w:link w:val="Commentaire"/>
    <w:rsid w:val="00DD3996"/>
    <w:rPr>
      <w:color w:val="000000"/>
      <w:kern w:val="28"/>
    </w:rPr>
  </w:style>
  <w:style w:type="paragraph" w:styleId="Objetducommentaire">
    <w:name w:val="annotation subject"/>
    <w:basedOn w:val="Commentaire"/>
    <w:next w:val="Commentaire"/>
    <w:link w:val="ObjetducommentaireCar"/>
    <w:rsid w:val="00DD3996"/>
    <w:rPr>
      <w:b/>
      <w:bCs/>
    </w:rPr>
  </w:style>
  <w:style w:type="character" w:customStyle="1" w:styleId="ObjetducommentaireCar">
    <w:name w:val="Objet du commentaire Car"/>
    <w:link w:val="Objetducommentaire"/>
    <w:rsid w:val="00DD3996"/>
    <w:rPr>
      <w:b/>
      <w:bCs/>
      <w:color w:val="000000"/>
      <w:kern w:val="28"/>
    </w:rPr>
  </w:style>
  <w:style w:type="paragraph" w:styleId="Rvision">
    <w:name w:val="Revision"/>
    <w:hidden/>
    <w:uiPriority w:val="99"/>
    <w:semiHidden/>
    <w:rsid w:val="00782475"/>
  </w:style>
  <w:style w:type="character" w:customStyle="1" w:styleId="Titre1Car">
    <w:name w:val="Titre 1 Car"/>
    <w:basedOn w:val="Policepardfaut"/>
    <w:link w:val="Titre1"/>
    <w:uiPriority w:val="9"/>
    <w:rsid w:val="00DE0381"/>
    <w:rPr>
      <w:b/>
      <w:bCs/>
      <w:kern w:val="36"/>
      <w:sz w:val="48"/>
      <w:szCs w:val="48"/>
      <w:lang w:val="fr-FR" w:eastAsia="fr-FR"/>
    </w:rPr>
  </w:style>
  <w:style w:type="character" w:customStyle="1" w:styleId="Titre5Car">
    <w:name w:val="Titre 5 Car"/>
    <w:basedOn w:val="Policepardfaut"/>
    <w:link w:val="Titre5"/>
    <w:semiHidden/>
    <w:rsid w:val="00DE038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4951">
      <w:bodyDiv w:val="1"/>
      <w:marLeft w:val="0"/>
      <w:marRight w:val="0"/>
      <w:marTop w:val="0"/>
      <w:marBottom w:val="0"/>
      <w:divBdr>
        <w:top w:val="none" w:sz="0" w:space="0" w:color="auto"/>
        <w:left w:val="none" w:sz="0" w:space="0" w:color="auto"/>
        <w:bottom w:val="none" w:sz="0" w:space="0" w:color="auto"/>
        <w:right w:val="none" w:sz="0" w:space="0" w:color="auto"/>
      </w:divBdr>
    </w:div>
    <w:div w:id="482504726">
      <w:bodyDiv w:val="1"/>
      <w:marLeft w:val="0"/>
      <w:marRight w:val="0"/>
      <w:marTop w:val="0"/>
      <w:marBottom w:val="0"/>
      <w:divBdr>
        <w:top w:val="none" w:sz="0" w:space="0" w:color="auto"/>
        <w:left w:val="none" w:sz="0" w:space="0" w:color="auto"/>
        <w:bottom w:val="none" w:sz="0" w:space="0" w:color="auto"/>
        <w:right w:val="none" w:sz="0" w:space="0" w:color="auto"/>
      </w:divBdr>
    </w:div>
    <w:div w:id="834879470">
      <w:bodyDiv w:val="1"/>
      <w:marLeft w:val="0"/>
      <w:marRight w:val="0"/>
      <w:marTop w:val="0"/>
      <w:marBottom w:val="0"/>
      <w:divBdr>
        <w:top w:val="none" w:sz="0" w:space="0" w:color="auto"/>
        <w:left w:val="none" w:sz="0" w:space="0" w:color="auto"/>
        <w:bottom w:val="none" w:sz="0" w:space="0" w:color="auto"/>
        <w:right w:val="none" w:sz="0" w:space="0" w:color="auto"/>
      </w:divBdr>
    </w:div>
    <w:div w:id="1312754747">
      <w:bodyDiv w:val="1"/>
      <w:marLeft w:val="0"/>
      <w:marRight w:val="0"/>
      <w:marTop w:val="0"/>
      <w:marBottom w:val="0"/>
      <w:divBdr>
        <w:top w:val="none" w:sz="0" w:space="0" w:color="auto"/>
        <w:left w:val="none" w:sz="0" w:space="0" w:color="auto"/>
        <w:bottom w:val="none" w:sz="0" w:space="0" w:color="auto"/>
        <w:right w:val="none" w:sz="0" w:space="0" w:color="auto"/>
      </w:divBdr>
    </w:div>
    <w:div w:id="1624798998">
      <w:bodyDiv w:val="1"/>
      <w:marLeft w:val="0"/>
      <w:marRight w:val="0"/>
      <w:marTop w:val="0"/>
      <w:marBottom w:val="0"/>
      <w:divBdr>
        <w:top w:val="none" w:sz="0" w:space="0" w:color="auto"/>
        <w:left w:val="none" w:sz="0" w:space="0" w:color="auto"/>
        <w:bottom w:val="none" w:sz="0" w:space="0" w:color="auto"/>
        <w:right w:val="none" w:sz="0" w:space="0" w:color="auto"/>
      </w:divBdr>
    </w:div>
    <w:div w:id="19274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Amy Bergquist</DisplayName>
        <AccountId>51</AccountId>
        <AccountType/>
      </UserInfo>
    </SharedWithUsers>
    <Category xmlns="d42e65b2-cf21-49c1-b27d-d23f90380c0e">CSOs</Category>
    <Doctype xmlns="d42e65b2-cf21-49c1-b27d-d23f90380c0e">input</Doctype>
    <Contributor xmlns="d42e65b2-cf21-49c1-b27d-d23f90380c0e">Advocates for Human Rights, World Coalition Against Death Penalty, Cornell Center on the Death Penalty Worldwide, Kenyan Section of the International Commission of Jurists, Kenya Human Rights Center, OMCT   </Contributor>
  </documentManagement>
</p:properties>
</file>

<file path=customXml/itemProps1.xml><?xml version="1.0" encoding="utf-8"?>
<ds:datastoreItem xmlns:ds="http://schemas.openxmlformats.org/officeDocument/2006/customXml" ds:itemID="{E5666974-8AB2-419D-892B-A5759F61C585}">
  <ds:schemaRefs>
    <ds:schemaRef ds:uri="http://schemas.microsoft.com/office/2006/metadata/longProperties"/>
  </ds:schemaRefs>
</ds:datastoreItem>
</file>

<file path=customXml/itemProps2.xml><?xml version="1.0" encoding="utf-8"?>
<ds:datastoreItem xmlns:ds="http://schemas.openxmlformats.org/officeDocument/2006/customXml" ds:itemID="{2C3540FA-63B9-4F6A-B043-62B4C63AC5ED}">
  <ds:schemaRefs>
    <ds:schemaRef ds:uri="http://schemas.openxmlformats.org/officeDocument/2006/bibliography"/>
  </ds:schemaRefs>
</ds:datastoreItem>
</file>

<file path=customXml/itemProps3.xml><?xml version="1.0" encoding="utf-8"?>
<ds:datastoreItem xmlns:ds="http://schemas.openxmlformats.org/officeDocument/2006/customXml" ds:itemID="{E9D09145-2D85-443E-A90E-962E321F542A}"/>
</file>

<file path=customXml/itemProps4.xml><?xml version="1.0" encoding="utf-8"?>
<ds:datastoreItem xmlns:ds="http://schemas.openxmlformats.org/officeDocument/2006/customXml" ds:itemID="{A55CEA42-45A5-4DA1-8159-46BE07E12372}">
  <ds:schemaRefs>
    <ds:schemaRef ds:uri="http://schemas.microsoft.com/sharepoint/v3/contenttype/forms"/>
  </ds:schemaRefs>
</ds:datastoreItem>
</file>

<file path=customXml/itemProps5.xml><?xml version="1.0" encoding="utf-8"?>
<ds:datastoreItem xmlns:ds="http://schemas.openxmlformats.org/officeDocument/2006/customXml" ds:itemID="{DBDE3E44-F393-47EA-8149-AE595556AE50}">
  <ds:schemaRefs>
    <ds:schemaRef ds:uri="http://schemas.microsoft.com/office/2006/metadata/properties"/>
    <ds:schemaRef ds:uri="http://schemas.microsoft.com/office/infopath/2007/PartnerControls"/>
    <ds:schemaRef ds:uri="e968d4b9-9f0d-4b6f-81c6-222446f6098e"/>
    <ds:schemaRef ds:uri="42df7cb3-2fea-4ba3-b9bf-21660104d6d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2714</Words>
  <Characters>14929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Minnesota Advocates for Human Rights</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Herder</dc:creator>
  <cp:keywords/>
  <cp:lastModifiedBy>Bronwyn Dudley</cp:lastModifiedBy>
  <cp:revision>12</cp:revision>
  <cp:lastPrinted>2011-09-16T18:52:00Z</cp:lastPrinted>
  <dcterms:created xsi:type="dcterms:W3CDTF">2023-11-14T02:05:00Z</dcterms:created>
  <dcterms:modified xsi:type="dcterms:W3CDTF">2023-12-01T09:57:00Z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188600.000000000</vt:lpwstr>
  </property>
  <property fmtid="{D5CDD505-2E9C-101B-9397-08002B2CF9AE}" pid="4" name="display_urn:schemas-microsoft-com:office:office#Author">
    <vt:lpwstr>BUILTIN\Administrators</vt:lpwstr>
  </property>
  <property fmtid="{D5CDD505-2E9C-101B-9397-08002B2CF9AE}" pid="5" name="display_urn:schemas-microsoft-com:office:office#SharedWithUsers">
    <vt:lpwstr>Amy Bergquist</vt:lpwstr>
  </property>
  <property fmtid="{D5CDD505-2E9C-101B-9397-08002B2CF9AE}" pid="6" name="SharedWithUsers">
    <vt:lpwstr>51;#Amy Bergquist</vt:lpwstr>
  </property>
  <property fmtid="{D5CDD505-2E9C-101B-9397-08002B2CF9AE}" pid="7" name="ContentTypeId">
    <vt:lpwstr>0x0101009D953D6983EF5F4EB0B6A5354F975E96</vt:lpwstr>
  </property>
  <property fmtid="{D5CDD505-2E9C-101B-9397-08002B2CF9AE}" pid="8" name="MediaServiceImageTags">
    <vt:lpwstr/>
  </property>
</Properties>
</file>