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9A7B" w14:textId="77777777" w:rsidR="009C63F6" w:rsidRPr="009C63F6" w:rsidRDefault="009C63F6" w:rsidP="009C63F6">
      <w:pPr>
        <w:tabs>
          <w:tab w:val="left" w:pos="2730"/>
        </w:tabs>
        <w:spacing w:line="360" w:lineRule="auto"/>
        <w:jc w:val="center"/>
        <w:rPr>
          <w:rFonts w:ascii="Arial" w:hAnsi="Arial" w:cs="Arial"/>
          <w:b/>
          <w:smallCaps/>
          <w:sz w:val="20"/>
          <w:szCs w:val="20"/>
          <w:lang w:val="en-GB"/>
        </w:rPr>
      </w:pPr>
      <w:r w:rsidRPr="009C63F6">
        <w:rPr>
          <w:rFonts w:ascii="Arial" w:hAnsi="Arial" w:cs="Arial"/>
          <w:b/>
          <w:smallCaps/>
          <w:sz w:val="20"/>
          <w:szCs w:val="20"/>
          <w:lang w:val="en-GB"/>
        </w:rPr>
        <w:t>“The duty to investigate crimes of torture in national law and practice”</w:t>
      </w:r>
    </w:p>
    <w:p w14:paraId="050D321C" w14:textId="6EBBB44B" w:rsidR="009C63F6" w:rsidRPr="009C63F6" w:rsidRDefault="009C63F6" w:rsidP="009C63F6">
      <w:pPr>
        <w:tabs>
          <w:tab w:val="left" w:pos="2730"/>
        </w:tabs>
        <w:spacing w:line="360" w:lineRule="auto"/>
        <w:jc w:val="center"/>
        <w:rPr>
          <w:rFonts w:ascii="Arial" w:hAnsi="Arial" w:cs="Arial"/>
          <w:b/>
          <w:smallCaps/>
          <w:sz w:val="20"/>
          <w:szCs w:val="20"/>
          <w:lang w:val="en-GB"/>
        </w:rPr>
      </w:pPr>
      <w:r w:rsidRPr="009C63F6">
        <w:rPr>
          <w:rFonts w:ascii="Arial" w:hAnsi="Arial" w:cs="Arial"/>
          <w:b/>
          <w:smallCaps/>
          <w:sz w:val="20"/>
          <w:szCs w:val="20"/>
          <w:lang w:val="en-GB"/>
        </w:rPr>
        <w:t>Thematic report of the Special Rapporteur on Torture</w:t>
      </w:r>
    </w:p>
    <w:p w14:paraId="664807A1" w14:textId="77777777" w:rsidR="009C63F6" w:rsidRPr="009C63F6" w:rsidRDefault="009C63F6" w:rsidP="009C63F6">
      <w:pPr>
        <w:tabs>
          <w:tab w:val="left" w:pos="2730"/>
        </w:tabs>
        <w:spacing w:line="360" w:lineRule="auto"/>
        <w:jc w:val="center"/>
        <w:rPr>
          <w:rFonts w:ascii="Arial" w:hAnsi="Arial" w:cs="Arial"/>
          <w:b/>
          <w:smallCaps/>
          <w:sz w:val="20"/>
          <w:szCs w:val="20"/>
          <w:lang w:val="en-GB"/>
        </w:rPr>
      </w:pPr>
      <w:r w:rsidRPr="009C63F6">
        <w:rPr>
          <w:rFonts w:ascii="Arial" w:hAnsi="Arial" w:cs="Arial"/>
          <w:b/>
          <w:smallCaps/>
          <w:sz w:val="20"/>
          <w:szCs w:val="20"/>
          <w:lang w:val="en-GB"/>
        </w:rPr>
        <w:t>52nd Session of the Human Rights Council</w:t>
      </w:r>
    </w:p>
    <w:p w14:paraId="293DF249" w14:textId="33C37F14" w:rsidR="001C6CAE" w:rsidRPr="009C63F6" w:rsidRDefault="009C63F6" w:rsidP="009C63F6">
      <w:pPr>
        <w:tabs>
          <w:tab w:val="left" w:pos="2730"/>
        </w:tabs>
        <w:spacing w:line="360" w:lineRule="auto"/>
        <w:jc w:val="center"/>
        <w:rPr>
          <w:rFonts w:ascii="Arial" w:hAnsi="Arial" w:cs="Arial"/>
          <w:b/>
          <w:smallCaps/>
          <w:sz w:val="20"/>
          <w:szCs w:val="20"/>
          <w:lang w:val="en-GB"/>
        </w:rPr>
      </w:pPr>
      <w:r w:rsidRPr="009C63F6">
        <w:rPr>
          <w:rFonts w:ascii="Arial" w:hAnsi="Arial" w:cs="Arial"/>
          <w:b/>
          <w:smallCaps/>
          <w:sz w:val="20"/>
          <w:szCs w:val="20"/>
          <w:lang w:val="en-GB"/>
        </w:rPr>
        <w:t>Questionnaire</w:t>
      </w:r>
    </w:p>
    <w:p w14:paraId="6DEEEBC5" w14:textId="01D7C5AD" w:rsidR="009C63F6" w:rsidRDefault="009C63F6" w:rsidP="009C63F6">
      <w:pPr>
        <w:tabs>
          <w:tab w:val="left" w:pos="2730"/>
        </w:tabs>
        <w:spacing w:line="360" w:lineRule="auto"/>
        <w:jc w:val="center"/>
        <w:rPr>
          <w:rFonts w:ascii="Arial" w:hAnsi="Arial" w:cs="Arial"/>
          <w:b/>
          <w:smallCaps/>
          <w:sz w:val="20"/>
          <w:szCs w:val="20"/>
          <w:lang w:val="en-GB"/>
        </w:rPr>
      </w:pPr>
    </w:p>
    <w:p w14:paraId="4DC740E8" w14:textId="45A2F849" w:rsidR="009C63F6" w:rsidRPr="009C63F6" w:rsidRDefault="009C63F6" w:rsidP="009C63F6">
      <w:pPr>
        <w:tabs>
          <w:tab w:val="left" w:pos="2730"/>
        </w:tabs>
        <w:spacing w:line="360" w:lineRule="auto"/>
        <w:jc w:val="center"/>
        <w:rPr>
          <w:rFonts w:ascii="Arial" w:hAnsi="Arial" w:cs="Arial"/>
          <w:b/>
          <w:smallCaps/>
          <w:sz w:val="20"/>
          <w:szCs w:val="20"/>
          <w:u w:val="single"/>
          <w:lang w:val="en-GB"/>
        </w:rPr>
      </w:pPr>
      <w:r w:rsidRPr="009C63F6">
        <w:rPr>
          <w:rFonts w:ascii="Arial" w:hAnsi="Arial" w:cs="Arial"/>
          <w:b/>
          <w:smallCaps/>
          <w:sz w:val="20"/>
          <w:szCs w:val="20"/>
          <w:u w:val="single"/>
          <w:lang w:val="en-GB"/>
        </w:rPr>
        <w:t>SUBMISSION BY PORTUGAL</w:t>
      </w:r>
    </w:p>
    <w:p w14:paraId="181BDB18" w14:textId="77777777" w:rsidR="009C63F6" w:rsidRPr="009C63F6" w:rsidRDefault="009C63F6" w:rsidP="009C63F6">
      <w:pPr>
        <w:tabs>
          <w:tab w:val="left" w:pos="2730"/>
        </w:tabs>
        <w:spacing w:line="360" w:lineRule="auto"/>
        <w:jc w:val="center"/>
        <w:rPr>
          <w:rFonts w:ascii="Arial" w:hAnsi="Arial" w:cs="Arial"/>
          <w:sz w:val="20"/>
          <w:szCs w:val="20"/>
          <w:lang w:val="en-GB"/>
        </w:rPr>
      </w:pPr>
    </w:p>
    <w:p w14:paraId="73BC637D" w14:textId="77777777" w:rsidR="00903903" w:rsidRPr="009C63F6" w:rsidRDefault="00903903" w:rsidP="00903903">
      <w:pPr>
        <w:tabs>
          <w:tab w:val="left" w:pos="2730"/>
        </w:tabs>
        <w:spacing w:line="360" w:lineRule="auto"/>
        <w:jc w:val="both"/>
        <w:rPr>
          <w:rFonts w:ascii="Arial" w:hAnsi="Arial" w:cs="Arial"/>
          <w:sz w:val="20"/>
          <w:szCs w:val="20"/>
          <w:lang w:val="en-US"/>
        </w:rPr>
      </w:pPr>
    </w:p>
    <w:p w14:paraId="68239D69" w14:textId="69BAB86F" w:rsidR="009C63F6" w:rsidRPr="009C63F6" w:rsidRDefault="009C63F6" w:rsidP="009C63F6">
      <w:pPr>
        <w:tabs>
          <w:tab w:val="left" w:pos="2730"/>
        </w:tabs>
        <w:spacing w:line="360" w:lineRule="auto"/>
        <w:jc w:val="both"/>
        <w:rPr>
          <w:rFonts w:ascii="Arial" w:hAnsi="Arial" w:cs="Arial"/>
          <w:sz w:val="20"/>
          <w:szCs w:val="20"/>
          <w:u w:val="single"/>
          <w:lang w:val="en-US"/>
        </w:rPr>
      </w:pPr>
      <w:r w:rsidRPr="009C63F6">
        <w:rPr>
          <w:rFonts w:ascii="Arial" w:hAnsi="Arial" w:cs="Arial"/>
          <w:sz w:val="20"/>
          <w:szCs w:val="20"/>
          <w:u w:val="single"/>
          <w:lang w:val="en-US"/>
        </w:rPr>
        <w:t>Regulatory framework</w:t>
      </w:r>
    </w:p>
    <w:p w14:paraId="6A146DE7" w14:textId="6330EAD7" w:rsidR="009C63F6" w:rsidRDefault="00116997"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 xml:space="preserve">In </w:t>
      </w:r>
      <w:r w:rsidR="002D308C" w:rsidRPr="009C63F6">
        <w:rPr>
          <w:rFonts w:ascii="Arial" w:hAnsi="Arial" w:cs="Arial"/>
          <w:sz w:val="20"/>
          <w:szCs w:val="20"/>
          <w:lang w:val="en-US"/>
        </w:rPr>
        <w:t xml:space="preserve">the </w:t>
      </w:r>
      <w:r w:rsidRPr="009C63F6">
        <w:rPr>
          <w:rFonts w:ascii="Arial" w:hAnsi="Arial" w:cs="Arial"/>
          <w:sz w:val="20"/>
          <w:szCs w:val="20"/>
          <w:lang w:val="en-US"/>
        </w:rPr>
        <w:t xml:space="preserve">Portuguese </w:t>
      </w:r>
      <w:r w:rsidR="009C63F6">
        <w:rPr>
          <w:rFonts w:ascii="Arial" w:hAnsi="Arial" w:cs="Arial"/>
          <w:sz w:val="20"/>
          <w:szCs w:val="20"/>
          <w:lang w:val="en-US"/>
        </w:rPr>
        <w:t>c</w:t>
      </w:r>
      <w:r w:rsidRPr="009C63F6">
        <w:rPr>
          <w:rFonts w:ascii="Arial" w:hAnsi="Arial" w:cs="Arial"/>
          <w:sz w:val="20"/>
          <w:szCs w:val="20"/>
          <w:lang w:val="en-US"/>
        </w:rPr>
        <w:t xml:space="preserve">riminal </w:t>
      </w:r>
      <w:r w:rsidR="009C63F6">
        <w:rPr>
          <w:rFonts w:ascii="Arial" w:hAnsi="Arial" w:cs="Arial"/>
          <w:sz w:val="20"/>
          <w:szCs w:val="20"/>
          <w:lang w:val="en-US"/>
        </w:rPr>
        <w:t>l</w:t>
      </w:r>
      <w:r w:rsidRPr="009C63F6">
        <w:rPr>
          <w:rFonts w:ascii="Arial" w:hAnsi="Arial" w:cs="Arial"/>
          <w:sz w:val="20"/>
          <w:szCs w:val="20"/>
          <w:lang w:val="en-US"/>
        </w:rPr>
        <w:t>aw</w:t>
      </w:r>
      <w:r w:rsidR="002D308C" w:rsidRPr="009C63F6">
        <w:rPr>
          <w:rFonts w:ascii="Arial" w:hAnsi="Arial" w:cs="Arial"/>
          <w:sz w:val="20"/>
          <w:szCs w:val="20"/>
          <w:lang w:val="en-US"/>
        </w:rPr>
        <w:t xml:space="preserve"> framework</w:t>
      </w:r>
      <w:r w:rsidRPr="009C63F6">
        <w:rPr>
          <w:rFonts w:ascii="Arial" w:hAnsi="Arial" w:cs="Arial"/>
          <w:sz w:val="20"/>
          <w:szCs w:val="20"/>
          <w:lang w:val="en-US"/>
        </w:rPr>
        <w:t xml:space="preserve">, torture is punished </w:t>
      </w:r>
      <w:r w:rsidR="009C63F6">
        <w:rPr>
          <w:rFonts w:ascii="Arial" w:hAnsi="Arial" w:cs="Arial"/>
          <w:sz w:val="20"/>
          <w:szCs w:val="20"/>
          <w:lang w:val="en-US"/>
        </w:rPr>
        <w:t xml:space="preserve">as a crime </w:t>
      </w:r>
      <w:r w:rsidRPr="009C63F6">
        <w:rPr>
          <w:rFonts w:ascii="Arial" w:hAnsi="Arial" w:cs="Arial"/>
          <w:sz w:val="20"/>
          <w:szCs w:val="20"/>
          <w:lang w:val="en-US"/>
        </w:rPr>
        <w:t xml:space="preserve">under the </w:t>
      </w:r>
      <w:r w:rsidR="009C63F6">
        <w:rPr>
          <w:rFonts w:ascii="Arial" w:hAnsi="Arial" w:cs="Arial"/>
          <w:sz w:val="20"/>
          <w:szCs w:val="20"/>
          <w:lang w:val="en-US"/>
        </w:rPr>
        <w:t>Penal</w:t>
      </w:r>
      <w:r w:rsidRPr="009C63F6">
        <w:rPr>
          <w:rFonts w:ascii="Arial" w:hAnsi="Arial" w:cs="Arial"/>
          <w:sz w:val="20"/>
          <w:szCs w:val="20"/>
          <w:lang w:val="en-US"/>
        </w:rPr>
        <w:t xml:space="preserve"> Code (</w:t>
      </w:r>
      <w:hyperlink r:id="rId8" w:history="1">
        <w:r w:rsidRPr="009C63F6">
          <w:rPr>
            <w:rStyle w:val="Hiperligao"/>
            <w:rFonts w:ascii="Arial" w:hAnsi="Arial" w:cs="Arial"/>
            <w:sz w:val="20"/>
            <w:szCs w:val="20"/>
            <w:lang w:val="en-US"/>
          </w:rPr>
          <w:t>Decree Law n. º 48/95</w:t>
        </w:r>
      </w:hyperlink>
      <w:r w:rsidRPr="009C63F6">
        <w:rPr>
          <w:rFonts w:ascii="Arial" w:hAnsi="Arial" w:cs="Arial"/>
          <w:sz w:val="20"/>
          <w:szCs w:val="20"/>
          <w:lang w:val="en-US"/>
        </w:rPr>
        <w:t>) and under the Law on Violations of International Humanitarian Law (</w:t>
      </w:r>
      <w:hyperlink r:id="rId9" w:history="1">
        <w:r w:rsidRPr="009C63F6">
          <w:rPr>
            <w:rStyle w:val="Hiperligao"/>
            <w:rFonts w:ascii="Arial" w:hAnsi="Arial" w:cs="Arial"/>
            <w:sz w:val="20"/>
            <w:szCs w:val="20"/>
            <w:lang w:val="en-US"/>
          </w:rPr>
          <w:t>Law no. 31/2004, of July 22</w:t>
        </w:r>
      </w:hyperlink>
      <w:r w:rsidRPr="009C63F6">
        <w:rPr>
          <w:rFonts w:ascii="Arial" w:hAnsi="Arial" w:cs="Arial"/>
          <w:sz w:val="20"/>
          <w:szCs w:val="20"/>
          <w:lang w:val="en-US"/>
        </w:rPr>
        <w:t>).</w:t>
      </w:r>
    </w:p>
    <w:p w14:paraId="331C467F" w14:textId="77777777" w:rsidR="00FE195E" w:rsidRDefault="009C63F6" w:rsidP="009C63F6">
      <w:pPr>
        <w:tabs>
          <w:tab w:val="left" w:pos="2730"/>
        </w:tabs>
        <w:spacing w:line="360" w:lineRule="auto"/>
        <w:jc w:val="both"/>
        <w:rPr>
          <w:rFonts w:ascii="Arial" w:hAnsi="Arial" w:cs="Arial"/>
          <w:sz w:val="20"/>
          <w:szCs w:val="20"/>
          <w:lang w:val="en-US"/>
        </w:rPr>
      </w:pPr>
      <w:r>
        <w:rPr>
          <w:rFonts w:ascii="Arial" w:hAnsi="Arial" w:cs="Arial"/>
          <w:sz w:val="20"/>
          <w:szCs w:val="20"/>
          <w:lang w:val="en-US"/>
        </w:rPr>
        <w:t>A</w:t>
      </w:r>
      <w:r w:rsidR="002D308C" w:rsidRPr="009C63F6">
        <w:rPr>
          <w:rFonts w:ascii="Arial" w:hAnsi="Arial" w:cs="Arial"/>
          <w:sz w:val="20"/>
          <w:szCs w:val="20"/>
          <w:lang w:val="en-US"/>
        </w:rPr>
        <w:t xml:space="preserve">rticle 243 of the </w:t>
      </w:r>
      <w:r>
        <w:rPr>
          <w:rFonts w:ascii="Arial" w:hAnsi="Arial" w:cs="Arial"/>
          <w:sz w:val="20"/>
          <w:szCs w:val="20"/>
          <w:lang w:val="en-US"/>
        </w:rPr>
        <w:t>Penal</w:t>
      </w:r>
      <w:r w:rsidR="002D308C" w:rsidRPr="009C63F6">
        <w:rPr>
          <w:rFonts w:ascii="Arial" w:hAnsi="Arial" w:cs="Arial"/>
          <w:sz w:val="20"/>
          <w:szCs w:val="20"/>
          <w:lang w:val="en-US"/>
        </w:rPr>
        <w:t xml:space="preserve"> Code </w:t>
      </w:r>
      <w:r w:rsidR="00FE195E">
        <w:rPr>
          <w:rFonts w:ascii="Arial" w:hAnsi="Arial" w:cs="Arial"/>
          <w:sz w:val="20"/>
          <w:szCs w:val="20"/>
          <w:lang w:val="en-US"/>
        </w:rPr>
        <w:t xml:space="preserve">defines torture or cruel, </w:t>
      </w:r>
      <w:proofErr w:type="gramStart"/>
      <w:r w:rsidR="00FE195E">
        <w:rPr>
          <w:rFonts w:ascii="Arial" w:hAnsi="Arial" w:cs="Arial"/>
          <w:sz w:val="20"/>
          <w:szCs w:val="20"/>
          <w:lang w:val="en-US"/>
        </w:rPr>
        <w:t>degrading</w:t>
      </w:r>
      <w:proofErr w:type="gramEnd"/>
      <w:r w:rsidR="00FE195E">
        <w:rPr>
          <w:rFonts w:ascii="Arial" w:hAnsi="Arial" w:cs="Arial"/>
          <w:sz w:val="20"/>
          <w:szCs w:val="20"/>
          <w:lang w:val="en-US"/>
        </w:rPr>
        <w:t xml:space="preserve"> or inhumane treatment as an </w:t>
      </w:r>
      <w:r w:rsidR="00FE195E" w:rsidRPr="00FE195E">
        <w:rPr>
          <w:rFonts w:ascii="Arial" w:hAnsi="Arial" w:cs="Arial"/>
          <w:sz w:val="20"/>
          <w:szCs w:val="20"/>
          <w:lang w:val="en-US"/>
        </w:rPr>
        <w:t xml:space="preserve">act that consists of inflicting acute physical or psychological suffering, severe physical or psychological fatigue or the use of chemical products, drugs or other means, natural or artificial, with the intention </w:t>
      </w:r>
      <w:r w:rsidR="00FE195E">
        <w:rPr>
          <w:rFonts w:ascii="Arial" w:hAnsi="Arial" w:cs="Arial"/>
          <w:sz w:val="20"/>
          <w:szCs w:val="20"/>
          <w:lang w:val="en-US"/>
        </w:rPr>
        <w:t>to</w:t>
      </w:r>
      <w:r w:rsidR="00FE195E" w:rsidRPr="00FE195E">
        <w:rPr>
          <w:rFonts w:ascii="Arial" w:hAnsi="Arial" w:cs="Arial"/>
          <w:sz w:val="20"/>
          <w:szCs w:val="20"/>
          <w:lang w:val="en-US"/>
        </w:rPr>
        <w:t xml:space="preserve"> disturb the victim</w:t>
      </w:r>
      <w:r w:rsidR="00FE195E">
        <w:rPr>
          <w:rFonts w:ascii="Arial" w:hAnsi="Arial" w:cs="Arial"/>
          <w:sz w:val="20"/>
          <w:szCs w:val="20"/>
          <w:lang w:val="en-US"/>
        </w:rPr>
        <w:t>’</w:t>
      </w:r>
      <w:r w:rsidR="00FE195E" w:rsidRPr="00FE195E">
        <w:rPr>
          <w:rFonts w:ascii="Arial" w:hAnsi="Arial" w:cs="Arial"/>
          <w:sz w:val="20"/>
          <w:szCs w:val="20"/>
          <w:lang w:val="en-US"/>
        </w:rPr>
        <w:t>s capacity for determination or free expression of will.</w:t>
      </w:r>
    </w:p>
    <w:p w14:paraId="341F6A2E" w14:textId="1BEE08CF" w:rsidR="002D308C" w:rsidRPr="009C63F6" w:rsidRDefault="00FE195E" w:rsidP="007A4ECF">
      <w:pPr>
        <w:tabs>
          <w:tab w:val="left" w:pos="2730"/>
        </w:tabs>
        <w:spacing w:line="360" w:lineRule="auto"/>
        <w:jc w:val="both"/>
        <w:rPr>
          <w:rFonts w:ascii="Arial" w:hAnsi="Arial" w:cs="Arial"/>
          <w:sz w:val="20"/>
          <w:szCs w:val="20"/>
          <w:lang w:val="en-US"/>
        </w:rPr>
      </w:pPr>
      <w:r>
        <w:rPr>
          <w:rFonts w:ascii="Arial" w:hAnsi="Arial" w:cs="Arial"/>
          <w:sz w:val="20"/>
          <w:szCs w:val="20"/>
          <w:lang w:val="en-US"/>
        </w:rPr>
        <w:t xml:space="preserve">The article </w:t>
      </w:r>
      <w:r w:rsidR="009C63F6">
        <w:rPr>
          <w:rFonts w:ascii="Arial" w:hAnsi="Arial" w:cs="Arial"/>
          <w:sz w:val="20"/>
          <w:szCs w:val="20"/>
          <w:lang w:val="en-US"/>
        </w:rPr>
        <w:t>determines</w:t>
      </w:r>
      <w:r w:rsidR="002D308C" w:rsidRPr="009C63F6">
        <w:rPr>
          <w:rFonts w:ascii="Arial" w:hAnsi="Arial" w:cs="Arial"/>
          <w:sz w:val="20"/>
          <w:szCs w:val="20"/>
          <w:lang w:val="en-US"/>
        </w:rPr>
        <w:t xml:space="preserve"> </w:t>
      </w:r>
      <w:r w:rsidR="009C63F6">
        <w:rPr>
          <w:rFonts w:ascii="Arial" w:hAnsi="Arial" w:cs="Arial"/>
          <w:sz w:val="20"/>
          <w:szCs w:val="20"/>
          <w:lang w:val="en-US"/>
        </w:rPr>
        <w:t xml:space="preserve">that </w:t>
      </w:r>
      <w:r w:rsidR="002D308C" w:rsidRPr="009C63F6">
        <w:rPr>
          <w:rFonts w:ascii="Arial" w:hAnsi="Arial" w:cs="Arial"/>
          <w:sz w:val="20"/>
          <w:szCs w:val="20"/>
          <w:lang w:val="en-US"/>
        </w:rPr>
        <w:t>any</w:t>
      </w:r>
      <w:r w:rsidR="009C63F6">
        <w:rPr>
          <w:rFonts w:ascii="Arial" w:hAnsi="Arial" w:cs="Arial"/>
          <w:sz w:val="20"/>
          <w:szCs w:val="20"/>
          <w:lang w:val="en-US"/>
        </w:rPr>
        <w:t xml:space="preserve"> person whose role is related </w:t>
      </w:r>
      <w:r>
        <w:rPr>
          <w:rFonts w:ascii="Arial" w:hAnsi="Arial" w:cs="Arial"/>
          <w:sz w:val="20"/>
          <w:szCs w:val="20"/>
          <w:lang w:val="en-US"/>
        </w:rPr>
        <w:t xml:space="preserve">to i) either the </w:t>
      </w:r>
      <w:r w:rsidRPr="009C63F6">
        <w:rPr>
          <w:rFonts w:ascii="Arial" w:hAnsi="Arial" w:cs="Arial"/>
          <w:sz w:val="20"/>
          <w:szCs w:val="20"/>
          <w:lang w:val="en-US"/>
        </w:rPr>
        <w:t>prevention, prosecution</w:t>
      </w:r>
      <w:r>
        <w:rPr>
          <w:rFonts w:ascii="Arial" w:hAnsi="Arial" w:cs="Arial"/>
          <w:sz w:val="20"/>
          <w:szCs w:val="20"/>
          <w:lang w:val="en-US"/>
        </w:rPr>
        <w:t xml:space="preserve"> or</w:t>
      </w:r>
      <w:r w:rsidRPr="009C63F6">
        <w:rPr>
          <w:rFonts w:ascii="Arial" w:hAnsi="Arial" w:cs="Arial"/>
          <w:sz w:val="20"/>
          <w:szCs w:val="20"/>
          <w:lang w:val="en-US"/>
        </w:rPr>
        <w:t xml:space="preserve"> investigation</w:t>
      </w:r>
      <w:r>
        <w:rPr>
          <w:rFonts w:ascii="Arial" w:hAnsi="Arial" w:cs="Arial"/>
          <w:sz w:val="20"/>
          <w:szCs w:val="20"/>
          <w:lang w:val="en-US"/>
        </w:rPr>
        <w:t xml:space="preserve"> of crimes, misdemeanors or disciplinary offenses; ii) the execution of sanctions; iii) or the </w:t>
      </w:r>
      <w:r w:rsidRPr="009C63F6">
        <w:rPr>
          <w:rFonts w:ascii="Arial" w:hAnsi="Arial" w:cs="Arial"/>
          <w:sz w:val="20"/>
          <w:szCs w:val="20"/>
          <w:lang w:val="en-US"/>
        </w:rPr>
        <w:t>protection, custody or surveillance of a detained or imprisoned person</w:t>
      </w:r>
      <w:r>
        <w:rPr>
          <w:rFonts w:ascii="Arial" w:hAnsi="Arial" w:cs="Arial"/>
          <w:sz w:val="20"/>
          <w:szCs w:val="20"/>
          <w:lang w:val="en-US"/>
        </w:rPr>
        <w:t xml:space="preserve">; is punished with the crime of torture </w:t>
      </w:r>
      <w:r w:rsidRPr="009C63F6">
        <w:rPr>
          <w:rFonts w:ascii="Arial" w:hAnsi="Arial" w:cs="Arial"/>
          <w:sz w:val="20"/>
          <w:szCs w:val="20"/>
          <w:lang w:val="en-US"/>
        </w:rPr>
        <w:t xml:space="preserve">by imprisonment from 1 to 5 years </w:t>
      </w:r>
      <w:r>
        <w:rPr>
          <w:rFonts w:ascii="Arial" w:hAnsi="Arial" w:cs="Arial"/>
          <w:sz w:val="20"/>
          <w:szCs w:val="20"/>
          <w:lang w:val="en-US"/>
        </w:rPr>
        <w:t>(</w:t>
      </w:r>
      <w:r w:rsidRPr="009C63F6">
        <w:rPr>
          <w:rFonts w:ascii="Arial" w:hAnsi="Arial" w:cs="Arial"/>
          <w:sz w:val="20"/>
          <w:szCs w:val="20"/>
          <w:lang w:val="en-US"/>
        </w:rPr>
        <w:t>if a more serious penalty is not applicable by virtue of another legal provision</w:t>
      </w:r>
      <w:r>
        <w:rPr>
          <w:rFonts w:ascii="Arial" w:hAnsi="Arial" w:cs="Arial"/>
          <w:sz w:val="20"/>
          <w:szCs w:val="20"/>
          <w:lang w:val="en-US"/>
        </w:rPr>
        <w:t xml:space="preserve">) if </w:t>
      </w:r>
      <w:r w:rsidR="007A4ECF">
        <w:rPr>
          <w:rFonts w:ascii="Arial" w:hAnsi="Arial" w:cs="Arial"/>
          <w:sz w:val="20"/>
          <w:szCs w:val="20"/>
          <w:lang w:val="en-US"/>
        </w:rPr>
        <w:t>they torture a detained or imprisoned person with a view to:</w:t>
      </w:r>
      <w:r>
        <w:rPr>
          <w:rFonts w:ascii="Arial" w:hAnsi="Arial" w:cs="Arial"/>
          <w:sz w:val="20"/>
          <w:szCs w:val="20"/>
          <w:lang w:val="en-US"/>
        </w:rPr>
        <w:t xml:space="preserve"> </w:t>
      </w:r>
      <w:r w:rsidR="007A4ECF">
        <w:rPr>
          <w:rFonts w:ascii="Arial" w:hAnsi="Arial" w:cs="Arial"/>
          <w:sz w:val="20"/>
          <w:szCs w:val="20"/>
          <w:lang w:val="en-US"/>
        </w:rPr>
        <w:t>i) o</w:t>
      </w:r>
      <w:r w:rsidR="007A4ECF" w:rsidRPr="007A4ECF">
        <w:rPr>
          <w:rFonts w:ascii="Arial" w:hAnsi="Arial" w:cs="Arial"/>
          <w:sz w:val="20"/>
          <w:szCs w:val="20"/>
          <w:lang w:val="en-US"/>
        </w:rPr>
        <w:t>btaining a confession, testimony, statement or information;</w:t>
      </w:r>
      <w:r w:rsidR="007A4ECF">
        <w:rPr>
          <w:rFonts w:ascii="Arial" w:hAnsi="Arial" w:cs="Arial"/>
          <w:sz w:val="20"/>
          <w:szCs w:val="20"/>
          <w:lang w:val="en-US"/>
        </w:rPr>
        <w:t xml:space="preserve"> ii</w:t>
      </w:r>
      <w:r w:rsidR="007A4ECF" w:rsidRPr="007A4ECF">
        <w:rPr>
          <w:rFonts w:ascii="Arial" w:hAnsi="Arial" w:cs="Arial"/>
          <w:sz w:val="20"/>
          <w:szCs w:val="20"/>
          <w:lang w:val="en-US"/>
        </w:rPr>
        <w:t xml:space="preserve">) </w:t>
      </w:r>
      <w:r w:rsidR="007A4ECF">
        <w:rPr>
          <w:rFonts w:ascii="Arial" w:hAnsi="Arial" w:cs="Arial"/>
          <w:sz w:val="20"/>
          <w:szCs w:val="20"/>
          <w:lang w:val="en-US"/>
        </w:rPr>
        <w:t>p</w:t>
      </w:r>
      <w:r w:rsidR="007A4ECF" w:rsidRPr="007A4ECF">
        <w:rPr>
          <w:rFonts w:ascii="Arial" w:hAnsi="Arial" w:cs="Arial"/>
          <w:sz w:val="20"/>
          <w:szCs w:val="20"/>
          <w:lang w:val="en-US"/>
        </w:rPr>
        <w:t>unish</w:t>
      </w:r>
      <w:r w:rsidR="007A4ECF">
        <w:rPr>
          <w:rFonts w:ascii="Arial" w:hAnsi="Arial" w:cs="Arial"/>
          <w:sz w:val="20"/>
          <w:szCs w:val="20"/>
          <w:lang w:val="en-US"/>
        </w:rPr>
        <w:t>ing</w:t>
      </w:r>
      <w:r w:rsidR="007A4ECF" w:rsidRPr="007A4ECF">
        <w:rPr>
          <w:rFonts w:ascii="Arial" w:hAnsi="Arial" w:cs="Arial"/>
          <w:sz w:val="20"/>
          <w:szCs w:val="20"/>
          <w:lang w:val="en-US"/>
        </w:rPr>
        <w:t xml:space="preserve"> </w:t>
      </w:r>
      <w:r w:rsidR="007A4ECF">
        <w:rPr>
          <w:rFonts w:ascii="Arial" w:hAnsi="Arial" w:cs="Arial"/>
          <w:sz w:val="20"/>
          <w:szCs w:val="20"/>
          <w:lang w:val="en-US"/>
        </w:rPr>
        <w:t>the detained person</w:t>
      </w:r>
      <w:r w:rsidR="007A4ECF" w:rsidRPr="007A4ECF">
        <w:rPr>
          <w:rFonts w:ascii="Arial" w:hAnsi="Arial" w:cs="Arial"/>
          <w:sz w:val="20"/>
          <w:szCs w:val="20"/>
          <w:lang w:val="en-US"/>
        </w:rPr>
        <w:t xml:space="preserve"> for an act committed or allegedly committed by </w:t>
      </w:r>
      <w:r w:rsidR="007A4ECF">
        <w:rPr>
          <w:rFonts w:ascii="Arial" w:hAnsi="Arial" w:cs="Arial"/>
          <w:sz w:val="20"/>
          <w:szCs w:val="20"/>
          <w:lang w:val="en-US"/>
        </w:rPr>
        <w:t>them</w:t>
      </w:r>
      <w:r w:rsidR="007A4ECF" w:rsidRPr="007A4ECF">
        <w:rPr>
          <w:rFonts w:ascii="Arial" w:hAnsi="Arial" w:cs="Arial"/>
          <w:sz w:val="20"/>
          <w:szCs w:val="20"/>
          <w:lang w:val="en-US"/>
        </w:rPr>
        <w:t xml:space="preserve"> or another person; or</w:t>
      </w:r>
      <w:r w:rsidR="007A4ECF">
        <w:rPr>
          <w:rFonts w:ascii="Arial" w:hAnsi="Arial" w:cs="Arial"/>
          <w:sz w:val="20"/>
          <w:szCs w:val="20"/>
          <w:lang w:val="en-US"/>
        </w:rPr>
        <w:t xml:space="preserve"> iii</w:t>
      </w:r>
      <w:r w:rsidR="007A4ECF" w:rsidRPr="007A4ECF">
        <w:rPr>
          <w:rFonts w:ascii="Arial" w:hAnsi="Arial" w:cs="Arial"/>
          <w:sz w:val="20"/>
          <w:szCs w:val="20"/>
          <w:lang w:val="en-US"/>
        </w:rPr>
        <w:t xml:space="preserve">) </w:t>
      </w:r>
      <w:r w:rsidR="007A4ECF">
        <w:rPr>
          <w:rFonts w:ascii="Arial" w:hAnsi="Arial" w:cs="Arial"/>
          <w:sz w:val="20"/>
          <w:szCs w:val="20"/>
          <w:lang w:val="en-US"/>
        </w:rPr>
        <w:t>t</w:t>
      </w:r>
      <w:r w:rsidR="007A4ECF" w:rsidRPr="007A4ECF">
        <w:rPr>
          <w:rFonts w:ascii="Arial" w:hAnsi="Arial" w:cs="Arial"/>
          <w:sz w:val="20"/>
          <w:szCs w:val="20"/>
          <w:lang w:val="en-US"/>
        </w:rPr>
        <w:t xml:space="preserve">o intimidate </w:t>
      </w:r>
      <w:r w:rsidR="007A4ECF">
        <w:rPr>
          <w:rFonts w:ascii="Arial" w:hAnsi="Arial" w:cs="Arial"/>
          <w:sz w:val="20"/>
          <w:szCs w:val="20"/>
          <w:lang w:val="en-US"/>
        </w:rPr>
        <w:t xml:space="preserve">them </w:t>
      </w:r>
      <w:r w:rsidR="007A4ECF" w:rsidRPr="007A4ECF">
        <w:rPr>
          <w:rFonts w:ascii="Arial" w:hAnsi="Arial" w:cs="Arial"/>
          <w:sz w:val="20"/>
          <w:szCs w:val="20"/>
          <w:lang w:val="en-US"/>
        </w:rPr>
        <w:t>or to intimidate another person</w:t>
      </w:r>
      <w:r w:rsidR="002D308C" w:rsidRPr="009C63F6">
        <w:rPr>
          <w:rFonts w:ascii="Arial" w:hAnsi="Arial" w:cs="Arial"/>
          <w:sz w:val="20"/>
          <w:szCs w:val="20"/>
          <w:lang w:val="en-US"/>
        </w:rPr>
        <w:t>.</w:t>
      </w:r>
    </w:p>
    <w:p w14:paraId="0B86FA05" w14:textId="2A7533EC" w:rsidR="00F6073C" w:rsidRPr="009C63F6" w:rsidRDefault="00116997"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The crime of torture is aggravated under</w:t>
      </w:r>
      <w:r w:rsidR="00F6073C" w:rsidRPr="009C63F6">
        <w:rPr>
          <w:rFonts w:ascii="Arial" w:hAnsi="Arial" w:cs="Arial"/>
          <w:sz w:val="20"/>
          <w:szCs w:val="20"/>
          <w:lang w:val="en-US"/>
        </w:rPr>
        <w:t xml:space="preserve"> the circumstances described in</w:t>
      </w:r>
      <w:r w:rsidRPr="009C63F6">
        <w:rPr>
          <w:rFonts w:ascii="Arial" w:hAnsi="Arial" w:cs="Arial"/>
          <w:sz w:val="20"/>
          <w:szCs w:val="20"/>
          <w:lang w:val="en-US"/>
        </w:rPr>
        <w:t xml:space="preserve"> article 244</w:t>
      </w:r>
      <w:r w:rsidR="00F6073C" w:rsidRPr="009C63F6">
        <w:rPr>
          <w:rFonts w:ascii="Arial" w:hAnsi="Arial" w:cs="Arial"/>
          <w:sz w:val="20"/>
          <w:szCs w:val="20"/>
          <w:lang w:val="en-US"/>
        </w:rPr>
        <w:t xml:space="preserve"> of the </w:t>
      </w:r>
      <w:r w:rsidR="007A4ECF">
        <w:rPr>
          <w:rFonts w:ascii="Arial" w:hAnsi="Arial" w:cs="Arial"/>
          <w:sz w:val="20"/>
          <w:szCs w:val="20"/>
          <w:lang w:val="en-US"/>
        </w:rPr>
        <w:t>Penal</w:t>
      </w:r>
      <w:r w:rsidR="00F6073C" w:rsidRPr="009C63F6">
        <w:rPr>
          <w:rFonts w:ascii="Arial" w:hAnsi="Arial" w:cs="Arial"/>
          <w:sz w:val="20"/>
          <w:szCs w:val="20"/>
          <w:lang w:val="en-US"/>
        </w:rPr>
        <w:t xml:space="preserve"> </w:t>
      </w:r>
      <w:r w:rsidR="007A4ECF">
        <w:rPr>
          <w:rFonts w:ascii="Arial" w:hAnsi="Arial" w:cs="Arial"/>
          <w:sz w:val="20"/>
          <w:szCs w:val="20"/>
          <w:lang w:val="en-US"/>
        </w:rPr>
        <w:t>C</w:t>
      </w:r>
      <w:r w:rsidR="00F6073C" w:rsidRPr="009C63F6">
        <w:rPr>
          <w:rFonts w:ascii="Arial" w:hAnsi="Arial" w:cs="Arial"/>
          <w:sz w:val="20"/>
          <w:szCs w:val="20"/>
          <w:lang w:val="en-US"/>
        </w:rPr>
        <w:t>ode, namely</w:t>
      </w:r>
      <w:r w:rsidRPr="009C63F6">
        <w:rPr>
          <w:rFonts w:ascii="Arial" w:hAnsi="Arial" w:cs="Arial"/>
          <w:sz w:val="20"/>
          <w:szCs w:val="20"/>
          <w:lang w:val="en-US"/>
        </w:rPr>
        <w:t xml:space="preserve"> when i) the offense against physical integrity is serious</w:t>
      </w:r>
      <w:r w:rsidR="007A4ECF">
        <w:rPr>
          <w:rFonts w:ascii="Arial" w:hAnsi="Arial" w:cs="Arial"/>
          <w:sz w:val="20"/>
          <w:szCs w:val="20"/>
          <w:lang w:val="en-US"/>
        </w:rPr>
        <w:t>;</w:t>
      </w:r>
      <w:r w:rsidRPr="009C63F6">
        <w:rPr>
          <w:rFonts w:ascii="Arial" w:hAnsi="Arial" w:cs="Arial"/>
          <w:sz w:val="20"/>
          <w:szCs w:val="20"/>
          <w:lang w:val="en-US"/>
        </w:rPr>
        <w:t xml:space="preserve"> ii) particularly serious means or methods of torture are employed, namely beatings, electroshock, simulated </w:t>
      </w:r>
      <w:r w:rsidR="002D308C" w:rsidRPr="009C63F6">
        <w:rPr>
          <w:rFonts w:ascii="Arial" w:hAnsi="Arial" w:cs="Arial"/>
          <w:sz w:val="20"/>
          <w:szCs w:val="20"/>
          <w:lang w:val="en-US"/>
        </w:rPr>
        <w:t>execution,</w:t>
      </w:r>
      <w:r w:rsidRPr="009C63F6">
        <w:rPr>
          <w:rFonts w:ascii="Arial" w:hAnsi="Arial" w:cs="Arial"/>
          <w:sz w:val="20"/>
          <w:szCs w:val="20"/>
          <w:lang w:val="en-US"/>
        </w:rPr>
        <w:t xml:space="preserve"> or hallucinatory substances; or iii) the perpetrator habitually carries out acts </w:t>
      </w:r>
      <w:r w:rsidR="007A4ECF">
        <w:rPr>
          <w:rFonts w:ascii="Arial" w:hAnsi="Arial" w:cs="Arial"/>
          <w:sz w:val="20"/>
          <w:szCs w:val="20"/>
          <w:lang w:val="en-US"/>
        </w:rPr>
        <w:t>of torture</w:t>
      </w:r>
      <w:r w:rsidR="00F6073C" w:rsidRPr="009C63F6">
        <w:rPr>
          <w:rFonts w:ascii="Arial" w:hAnsi="Arial" w:cs="Arial"/>
          <w:sz w:val="20"/>
          <w:szCs w:val="20"/>
          <w:lang w:val="en-US"/>
        </w:rPr>
        <w:t>. U</w:t>
      </w:r>
      <w:r w:rsidRPr="009C63F6">
        <w:rPr>
          <w:rFonts w:ascii="Arial" w:hAnsi="Arial" w:cs="Arial"/>
          <w:sz w:val="20"/>
          <w:szCs w:val="20"/>
          <w:lang w:val="en-US"/>
        </w:rPr>
        <w:t xml:space="preserve">nder such circumstances, </w:t>
      </w:r>
      <w:r w:rsidR="00F6073C" w:rsidRPr="009C63F6">
        <w:rPr>
          <w:rFonts w:ascii="Arial" w:hAnsi="Arial" w:cs="Arial"/>
          <w:sz w:val="20"/>
          <w:szCs w:val="20"/>
          <w:lang w:val="en-US"/>
        </w:rPr>
        <w:t xml:space="preserve">the crime of torture </w:t>
      </w:r>
      <w:r w:rsidRPr="009C63F6">
        <w:rPr>
          <w:rFonts w:ascii="Arial" w:hAnsi="Arial" w:cs="Arial"/>
          <w:sz w:val="20"/>
          <w:szCs w:val="20"/>
          <w:lang w:val="en-US"/>
        </w:rPr>
        <w:t xml:space="preserve">is punished with imprisonment </w:t>
      </w:r>
      <w:r w:rsidR="00F6073C" w:rsidRPr="009C63F6">
        <w:rPr>
          <w:rFonts w:ascii="Arial" w:hAnsi="Arial" w:cs="Arial"/>
          <w:sz w:val="20"/>
          <w:szCs w:val="20"/>
          <w:lang w:val="en-US"/>
        </w:rPr>
        <w:t>from</w:t>
      </w:r>
      <w:r w:rsidRPr="009C63F6">
        <w:rPr>
          <w:rFonts w:ascii="Arial" w:hAnsi="Arial" w:cs="Arial"/>
          <w:sz w:val="20"/>
          <w:szCs w:val="20"/>
          <w:lang w:val="en-US"/>
        </w:rPr>
        <w:t xml:space="preserve"> 3 to 12 years.</w:t>
      </w:r>
      <w:r w:rsidR="00F6073C" w:rsidRPr="009C63F6">
        <w:rPr>
          <w:rFonts w:ascii="Arial" w:hAnsi="Arial" w:cs="Arial"/>
          <w:sz w:val="20"/>
          <w:szCs w:val="20"/>
          <w:lang w:val="en-US"/>
        </w:rPr>
        <w:t xml:space="preserve"> </w:t>
      </w:r>
      <w:r w:rsidR="007A4ECF">
        <w:rPr>
          <w:rFonts w:ascii="Arial" w:hAnsi="Arial" w:cs="Arial"/>
          <w:sz w:val="20"/>
          <w:szCs w:val="20"/>
          <w:lang w:val="en-US"/>
        </w:rPr>
        <w:t xml:space="preserve">If torture results in the victim’s death or suicide, the crime is punished </w:t>
      </w:r>
      <w:r w:rsidR="007A4ECF" w:rsidRPr="009C63F6">
        <w:rPr>
          <w:rFonts w:ascii="Arial" w:hAnsi="Arial" w:cs="Arial"/>
          <w:sz w:val="20"/>
          <w:szCs w:val="20"/>
          <w:lang w:val="en-US"/>
        </w:rPr>
        <w:t xml:space="preserve">with imprisonment from </w:t>
      </w:r>
      <w:r w:rsidR="007A4ECF">
        <w:rPr>
          <w:rFonts w:ascii="Arial" w:hAnsi="Arial" w:cs="Arial"/>
          <w:sz w:val="20"/>
          <w:szCs w:val="20"/>
          <w:lang w:val="en-US"/>
        </w:rPr>
        <w:t>8</w:t>
      </w:r>
      <w:r w:rsidR="007A4ECF" w:rsidRPr="009C63F6">
        <w:rPr>
          <w:rFonts w:ascii="Arial" w:hAnsi="Arial" w:cs="Arial"/>
          <w:sz w:val="20"/>
          <w:szCs w:val="20"/>
          <w:lang w:val="en-US"/>
        </w:rPr>
        <w:t xml:space="preserve"> to 1</w:t>
      </w:r>
      <w:r w:rsidR="007A4ECF">
        <w:rPr>
          <w:rFonts w:ascii="Arial" w:hAnsi="Arial" w:cs="Arial"/>
          <w:sz w:val="20"/>
          <w:szCs w:val="20"/>
          <w:lang w:val="en-US"/>
        </w:rPr>
        <w:t>6</w:t>
      </w:r>
      <w:r w:rsidR="007A4ECF" w:rsidRPr="009C63F6">
        <w:rPr>
          <w:rFonts w:ascii="Arial" w:hAnsi="Arial" w:cs="Arial"/>
          <w:sz w:val="20"/>
          <w:szCs w:val="20"/>
          <w:lang w:val="en-US"/>
        </w:rPr>
        <w:t xml:space="preserve"> years</w:t>
      </w:r>
      <w:r w:rsidR="007A4ECF">
        <w:rPr>
          <w:rFonts w:ascii="Arial" w:hAnsi="Arial" w:cs="Arial"/>
          <w:sz w:val="20"/>
          <w:szCs w:val="20"/>
          <w:lang w:val="en-US"/>
        </w:rPr>
        <w:t>.</w:t>
      </w:r>
    </w:p>
    <w:p w14:paraId="40C13FB6" w14:textId="2726095F" w:rsidR="002D308C" w:rsidRPr="009C63F6" w:rsidRDefault="002D308C"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 xml:space="preserve">The perpetrator is the person who either commits the act </w:t>
      </w:r>
      <w:r w:rsidR="007A4ECF">
        <w:rPr>
          <w:rFonts w:ascii="Arial" w:hAnsi="Arial" w:cs="Arial"/>
          <w:sz w:val="20"/>
          <w:szCs w:val="20"/>
          <w:lang w:val="en-US"/>
        </w:rPr>
        <w:t>the</w:t>
      </w:r>
      <w:r w:rsidRPr="009C63F6">
        <w:rPr>
          <w:rFonts w:ascii="Arial" w:hAnsi="Arial" w:cs="Arial"/>
          <w:sz w:val="20"/>
          <w:szCs w:val="20"/>
          <w:lang w:val="en-US"/>
        </w:rPr>
        <w:t>msel</w:t>
      </w:r>
      <w:r w:rsidR="007A4ECF">
        <w:rPr>
          <w:rFonts w:ascii="Arial" w:hAnsi="Arial" w:cs="Arial"/>
          <w:sz w:val="20"/>
          <w:szCs w:val="20"/>
          <w:lang w:val="en-US"/>
        </w:rPr>
        <w:t xml:space="preserve">ves </w:t>
      </w:r>
      <w:r w:rsidRPr="009C63F6">
        <w:rPr>
          <w:rFonts w:ascii="Arial" w:hAnsi="Arial" w:cs="Arial"/>
          <w:sz w:val="20"/>
          <w:szCs w:val="20"/>
          <w:lang w:val="en-US"/>
        </w:rPr>
        <w:t xml:space="preserve">or through another person, or who directly participates in its execution, as well as the person who knowingly causes another person to commit the act (article 26 of the </w:t>
      </w:r>
      <w:r w:rsidR="007A4ECF">
        <w:rPr>
          <w:rFonts w:ascii="Arial" w:hAnsi="Arial" w:cs="Arial"/>
          <w:sz w:val="20"/>
          <w:szCs w:val="20"/>
          <w:lang w:val="en-US"/>
        </w:rPr>
        <w:t>Penal</w:t>
      </w:r>
      <w:r w:rsidRPr="009C63F6">
        <w:rPr>
          <w:rFonts w:ascii="Arial" w:hAnsi="Arial" w:cs="Arial"/>
          <w:sz w:val="20"/>
          <w:szCs w:val="20"/>
          <w:lang w:val="en-US"/>
        </w:rPr>
        <w:t xml:space="preserve"> Code).</w:t>
      </w:r>
    </w:p>
    <w:p w14:paraId="40B0C350" w14:textId="3D0DD611" w:rsidR="002D308C" w:rsidRPr="009C63F6" w:rsidRDefault="002D308C"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lastRenderedPageBreak/>
        <w:t>According to article 245, the Penal Code also punishes a hierarchical superior who, having knowledge of a subordinate</w:t>
      </w:r>
      <w:r w:rsidR="007A4ECF">
        <w:rPr>
          <w:rFonts w:ascii="Arial" w:hAnsi="Arial" w:cs="Arial"/>
          <w:sz w:val="20"/>
          <w:szCs w:val="20"/>
          <w:lang w:val="en-US"/>
        </w:rPr>
        <w:t>’</w:t>
      </w:r>
      <w:r w:rsidRPr="009C63F6">
        <w:rPr>
          <w:rFonts w:ascii="Arial" w:hAnsi="Arial" w:cs="Arial"/>
          <w:sz w:val="20"/>
          <w:szCs w:val="20"/>
          <w:lang w:val="en-US"/>
        </w:rPr>
        <w:t xml:space="preserve">s practice of an act </w:t>
      </w:r>
      <w:r w:rsidR="007A4ECF">
        <w:rPr>
          <w:rFonts w:ascii="Arial" w:hAnsi="Arial" w:cs="Arial"/>
          <w:sz w:val="20"/>
          <w:szCs w:val="20"/>
          <w:lang w:val="en-US"/>
        </w:rPr>
        <w:t>of torture</w:t>
      </w:r>
      <w:r w:rsidRPr="009C63F6">
        <w:rPr>
          <w:rFonts w:ascii="Arial" w:hAnsi="Arial" w:cs="Arial"/>
          <w:sz w:val="20"/>
          <w:szCs w:val="20"/>
          <w:lang w:val="en-US"/>
        </w:rPr>
        <w:t>, fails to report it within three days of becoming aware of it.</w:t>
      </w:r>
    </w:p>
    <w:p w14:paraId="29D0C1A4" w14:textId="56DA18D9" w:rsidR="002D308C" w:rsidRPr="009C63F6" w:rsidRDefault="002D308C"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As per article 118 of the Penal Code, the statute of limitations for prosecution of the crime of torture is ten years.</w:t>
      </w:r>
    </w:p>
    <w:p w14:paraId="541F7CAF" w14:textId="52CC0B2F" w:rsidR="00F6073C" w:rsidRPr="009C63F6" w:rsidRDefault="00F6073C"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It shou</w:t>
      </w:r>
      <w:r w:rsidR="00CE22EA" w:rsidRPr="009C63F6">
        <w:rPr>
          <w:rFonts w:ascii="Arial" w:hAnsi="Arial" w:cs="Arial"/>
          <w:sz w:val="20"/>
          <w:szCs w:val="20"/>
          <w:lang w:val="en-US"/>
        </w:rPr>
        <w:t xml:space="preserve">ld also be noted that offenses </w:t>
      </w:r>
      <w:r w:rsidRPr="009C63F6">
        <w:rPr>
          <w:rFonts w:ascii="Arial" w:hAnsi="Arial" w:cs="Arial"/>
          <w:sz w:val="20"/>
          <w:szCs w:val="20"/>
          <w:lang w:val="en-US"/>
        </w:rPr>
        <w:t xml:space="preserve">against physical integrity </w:t>
      </w:r>
      <w:r w:rsidR="00CE22EA" w:rsidRPr="009C63F6">
        <w:rPr>
          <w:rFonts w:ascii="Arial" w:hAnsi="Arial" w:cs="Arial"/>
          <w:sz w:val="20"/>
          <w:szCs w:val="20"/>
          <w:lang w:val="en-US"/>
        </w:rPr>
        <w:t>are</w:t>
      </w:r>
      <w:r w:rsidRPr="009C63F6">
        <w:rPr>
          <w:rFonts w:ascii="Arial" w:hAnsi="Arial" w:cs="Arial"/>
          <w:sz w:val="20"/>
          <w:szCs w:val="20"/>
          <w:lang w:val="en-US"/>
        </w:rPr>
        <w:t xml:space="preserve"> </w:t>
      </w:r>
      <w:r w:rsidR="007A4ECF">
        <w:rPr>
          <w:rFonts w:ascii="Arial" w:hAnsi="Arial" w:cs="Arial"/>
          <w:sz w:val="20"/>
          <w:szCs w:val="20"/>
          <w:lang w:val="en-US"/>
        </w:rPr>
        <w:t>considered ‘</w:t>
      </w:r>
      <w:r w:rsidRPr="009C63F6">
        <w:rPr>
          <w:rFonts w:ascii="Arial" w:hAnsi="Arial" w:cs="Arial"/>
          <w:sz w:val="20"/>
          <w:szCs w:val="20"/>
          <w:lang w:val="en-US"/>
        </w:rPr>
        <w:t>qualified</w:t>
      </w:r>
      <w:r w:rsidR="007A4ECF">
        <w:rPr>
          <w:rFonts w:ascii="Arial" w:hAnsi="Arial" w:cs="Arial"/>
          <w:sz w:val="20"/>
          <w:szCs w:val="20"/>
          <w:lang w:val="en-US"/>
        </w:rPr>
        <w:t>’</w:t>
      </w:r>
      <w:r w:rsidRPr="009C63F6">
        <w:rPr>
          <w:rFonts w:ascii="Arial" w:hAnsi="Arial" w:cs="Arial"/>
          <w:sz w:val="20"/>
          <w:szCs w:val="20"/>
          <w:lang w:val="en-US"/>
        </w:rPr>
        <w:t xml:space="preserve"> when, under the terms of article 145, committed under circumstances that reveal the agent</w:t>
      </w:r>
      <w:r w:rsidR="007A4ECF">
        <w:rPr>
          <w:rFonts w:ascii="Arial" w:hAnsi="Arial" w:cs="Arial"/>
          <w:sz w:val="20"/>
          <w:szCs w:val="20"/>
          <w:lang w:val="en-US"/>
        </w:rPr>
        <w:t>’</w:t>
      </w:r>
      <w:r w:rsidRPr="009C63F6">
        <w:rPr>
          <w:rFonts w:ascii="Arial" w:hAnsi="Arial" w:cs="Arial"/>
          <w:sz w:val="20"/>
          <w:szCs w:val="20"/>
          <w:lang w:val="en-US"/>
        </w:rPr>
        <w:t xml:space="preserve">s special </w:t>
      </w:r>
      <w:r w:rsidR="007A4ECF">
        <w:rPr>
          <w:rFonts w:ascii="Arial" w:hAnsi="Arial" w:cs="Arial"/>
          <w:sz w:val="20"/>
          <w:szCs w:val="20"/>
          <w:lang w:val="en-US"/>
        </w:rPr>
        <w:t>‘</w:t>
      </w:r>
      <w:r w:rsidRPr="009C63F6">
        <w:rPr>
          <w:rFonts w:ascii="Arial" w:hAnsi="Arial" w:cs="Arial"/>
          <w:sz w:val="20"/>
          <w:szCs w:val="20"/>
          <w:lang w:val="en-US"/>
        </w:rPr>
        <w:t>perversity</w:t>
      </w:r>
      <w:r w:rsidR="007A4ECF">
        <w:rPr>
          <w:rFonts w:ascii="Arial" w:hAnsi="Arial" w:cs="Arial"/>
          <w:sz w:val="20"/>
          <w:szCs w:val="20"/>
          <w:lang w:val="en-US"/>
        </w:rPr>
        <w:t>’</w:t>
      </w:r>
      <w:r w:rsidRPr="009C63F6">
        <w:rPr>
          <w:rFonts w:ascii="Arial" w:hAnsi="Arial" w:cs="Arial"/>
          <w:sz w:val="20"/>
          <w:szCs w:val="20"/>
          <w:lang w:val="en-US"/>
        </w:rPr>
        <w:t xml:space="preserve">, circumstances that include the </w:t>
      </w:r>
      <w:r w:rsidRPr="007A4ECF">
        <w:rPr>
          <w:rFonts w:ascii="Arial" w:hAnsi="Arial" w:cs="Arial"/>
          <w:sz w:val="20"/>
          <w:szCs w:val="20"/>
          <w:lang w:val="en-US"/>
        </w:rPr>
        <w:t>use of torture</w:t>
      </w:r>
      <w:r w:rsidRPr="009C63F6">
        <w:rPr>
          <w:rFonts w:ascii="Arial" w:hAnsi="Arial" w:cs="Arial"/>
          <w:sz w:val="20"/>
          <w:szCs w:val="20"/>
          <w:lang w:val="en-US"/>
        </w:rPr>
        <w:t xml:space="preserve"> or other cruelty to increase the victim</w:t>
      </w:r>
      <w:r w:rsidR="007A4ECF">
        <w:rPr>
          <w:rFonts w:ascii="Arial" w:hAnsi="Arial" w:cs="Arial"/>
          <w:sz w:val="20"/>
          <w:szCs w:val="20"/>
          <w:lang w:val="en-US"/>
        </w:rPr>
        <w:t>’</w:t>
      </w:r>
      <w:r w:rsidRPr="009C63F6">
        <w:rPr>
          <w:rFonts w:ascii="Arial" w:hAnsi="Arial" w:cs="Arial"/>
          <w:sz w:val="20"/>
          <w:szCs w:val="20"/>
          <w:lang w:val="en-US"/>
        </w:rPr>
        <w:t>s suffering and/or are determined by racial, religious</w:t>
      </w:r>
      <w:r w:rsidR="007A4ECF">
        <w:rPr>
          <w:rFonts w:ascii="Arial" w:hAnsi="Arial" w:cs="Arial"/>
          <w:sz w:val="20"/>
          <w:szCs w:val="20"/>
          <w:lang w:val="en-US"/>
        </w:rPr>
        <w:t xml:space="preserve"> or</w:t>
      </w:r>
      <w:r w:rsidRPr="009C63F6">
        <w:rPr>
          <w:rFonts w:ascii="Arial" w:hAnsi="Arial" w:cs="Arial"/>
          <w:sz w:val="20"/>
          <w:szCs w:val="20"/>
          <w:lang w:val="en-US"/>
        </w:rPr>
        <w:t xml:space="preserve"> political hatred </w:t>
      </w:r>
      <w:r w:rsidR="007A4ECF">
        <w:rPr>
          <w:rFonts w:ascii="Arial" w:hAnsi="Arial" w:cs="Arial"/>
          <w:sz w:val="20"/>
          <w:szCs w:val="20"/>
          <w:lang w:val="en-US"/>
        </w:rPr>
        <w:t>as well as</w:t>
      </w:r>
      <w:r w:rsidRPr="009C63F6">
        <w:rPr>
          <w:rFonts w:ascii="Arial" w:hAnsi="Arial" w:cs="Arial"/>
          <w:sz w:val="20"/>
          <w:szCs w:val="20"/>
          <w:lang w:val="en-US"/>
        </w:rPr>
        <w:t xml:space="preserve"> hatred for the victim</w:t>
      </w:r>
      <w:r w:rsidR="007A4ECF">
        <w:rPr>
          <w:rFonts w:ascii="Arial" w:hAnsi="Arial" w:cs="Arial"/>
          <w:sz w:val="20"/>
          <w:szCs w:val="20"/>
          <w:lang w:val="en-US"/>
        </w:rPr>
        <w:t>’</w:t>
      </w:r>
      <w:r w:rsidRPr="009C63F6">
        <w:rPr>
          <w:rFonts w:ascii="Arial" w:hAnsi="Arial" w:cs="Arial"/>
          <w:sz w:val="20"/>
          <w:szCs w:val="20"/>
          <w:lang w:val="en-US"/>
        </w:rPr>
        <w:t xml:space="preserve">s ethnic or national origin, </w:t>
      </w:r>
      <w:r w:rsidR="007A4ECF">
        <w:rPr>
          <w:rFonts w:ascii="Arial" w:hAnsi="Arial" w:cs="Arial"/>
          <w:sz w:val="20"/>
          <w:szCs w:val="20"/>
          <w:lang w:val="en-US"/>
        </w:rPr>
        <w:t>gender</w:t>
      </w:r>
      <w:r w:rsidRPr="009C63F6">
        <w:rPr>
          <w:rFonts w:ascii="Arial" w:hAnsi="Arial" w:cs="Arial"/>
          <w:sz w:val="20"/>
          <w:szCs w:val="20"/>
          <w:lang w:val="en-US"/>
        </w:rPr>
        <w:t>, sexual orientation or gender identity (article 132).</w:t>
      </w:r>
    </w:p>
    <w:p w14:paraId="56FF16A5" w14:textId="10055736" w:rsidR="00F6073C" w:rsidRPr="009C63F6" w:rsidRDefault="00F6073C"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 xml:space="preserve">If </w:t>
      </w:r>
      <w:r w:rsidR="007A4ECF">
        <w:rPr>
          <w:rFonts w:ascii="Arial" w:hAnsi="Arial" w:cs="Arial"/>
          <w:sz w:val="20"/>
          <w:szCs w:val="20"/>
          <w:lang w:val="en-US"/>
        </w:rPr>
        <w:t>considered ‘</w:t>
      </w:r>
      <w:r w:rsidRPr="009C63F6">
        <w:rPr>
          <w:rFonts w:ascii="Arial" w:hAnsi="Arial" w:cs="Arial"/>
          <w:sz w:val="20"/>
          <w:szCs w:val="20"/>
          <w:lang w:val="en-US"/>
        </w:rPr>
        <w:t>qualified</w:t>
      </w:r>
      <w:r w:rsidR="007A4ECF">
        <w:rPr>
          <w:rFonts w:ascii="Arial" w:hAnsi="Arial" w:cs="Arial"/>
          <w:sz w:val="20"/>
          <w:szCs w:val="20"/>
          <w:lang w:val="en-US"/>
        </w:rPr>
        <w:t>’</w:t>
      </w:r>
      <w:r w:rsidRPr="009C63F6">
        <w:rPr>
          <w:rFonts w:ascii="Arial" w:hAnsi="Arial" w:cs="Arial"/>
          <w:sz w:val="20"/>
          <w:szCs w:val="20"/>
          <w:lang w:val="en-US"/>
        </w:rPr>
        <w:t xml:space="preserve">, offenses against physical integrity can be punished with </w:t>
      </w:r>
      <w:r w:rsidR="00CE22EA" w:rsidRPr="009C63F6">
        <w:rPr>
          <w:rFonts w:ascii="Arial" w:hAnsi="Arial" w:cs="Arial"/>
          <w:sz w:val="20"/>
          <w:szCs w:val="20"/>
          <w:lang w:val="en-US"/>
        </w:rPr>
        <w:t>imprisonment</w:t>
      </w:r>
      <w:r w:rsidRPr="009C63F6">
        <w:rPr>
          <w:rFonts w:ascii="Arial" w:hAnsi="Arial" w:cs="Arial"/>
          <w:sz w:val="20"/>
          <w:szCs w:val="20"/>
          <w:lang w:val="en-US"/>
        </w:rPr>
        <w:t xml:space="preserve"> up to </w:t>
      </w:r>
      <w:r w:rsidR="007A4ECF">
        <w:rPr>
          <w:rFonts w:ascii="Arial" w:hAnsi="Arial" w:cs="Arial"/>
          <w:sz w:val="20"/>
          <w:szCs w:val="20"/>
          <w:lang w:val="en-US"/>
        </w:rPr>
        <w:t>4</w:t>
      </w:r>
      <w:r w:rsidRPr="009C63F6">
        <w:rPr>
          <w:rFonts w:ascii="Arial" w:hAnsi="Arial" w:cs="Arial"/>
          <w:sz w:val="20"/>
          <w:szCs w:val="20"/>
          <w:lang w:val="en-US"/>
        </w:rPr>
        <w:t xml:space="preserve"> years (in the case of a simple offense against physical integrity) and with prison sentences of </w:t>
      </w:r>
      <w:r w:rsidR="00CE22EA" w:rsidRPr="009C63F6">
        <w:rPr>
          <w:rFonts w:ascii="Arial" w:hAnsi="Arial" w:cs="Arial"/>
          <w:sz w:val="20"/>
          <w:szCs w:val="20"/>
          <w:lang w:val="en-US"/>
        </w:rPr>
        <w:t>up</w:t>
      </w:r>
      <w:r w:rsidRPr="009C63F6">
        <w:rPr>
          <w:rFonts w:ascii="Arial" w:hAnsi="Arial" w:cs="Arial"/>
          <w:sz w:val="20"/>
          <w:szCs w:val="20"/>
          <w:lang w:val="en-US"/>
        </w:rPr>
        <w:t xml:space="preserve"> 12 years in the case of an aggravated offense against physical integrity</w:t>
      </w:r>
      <w:r w:rsidR="007A4ECF">
        <w:rPr>
          <w:rFonts w:ascii="Arial" w:hAnsi="Arial" w:cs="Arial"/>
          <w:sz w:val="20"/>
          <w:szCs w:val="20"/>
          <w:lang w:val="en-US"/>
        </w:rPr>
        <w:t>.</w:t>
      </w:r>
    </w:p>
    <w:p w14:paraId="1314A650" w14:textId="74CDC82A" w:rsidR="00F6073C" w:rsidRPr="009C63F6" w:rsidRDefault="00F6073C"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Similarly, the crime of kidnapping, p</w:t>
      </w:r>
      <w:r w:rsidR="00CE22EA" w:rsidRPr="009C63F6">
        <w:rPr>
          <w:rFonts w:ascii="Arial" w:hAnsi="Arial" w:cs="Arial"/>
          <w:sz w:val="20"/>
          <w:szCs w:val="20"/>
          <w:lang w:val="en-US"/>
        </w:rPr>
        <w:t xml:space="preserve">unishable by up to </w:t>
      </w:r>
      <w:r w:rsidR="007A4ECF">
        <w:rPr>
          <w:rFonts w:ascii="Arial" w:hAnsi="Arial" w:cs="Arial"/>
          <w:sz w:val="20"/>
          <w:szCs w:val="20"/>
          <w:lang w:val="en-US"/>
        </w:rPr>
        <w:t>3</w:t>
      </w:r>
      <w:r w:rsidR="00CE22EA" w:rsidRPr="009C63F6">
        <w:rPr>
          <w:rFonts w:ascii="Arial" w:hAnsi="Arial" w:cs="Arial"/>
          <w:sz w:val="20"/>
          <w:szCs w:val="20"/>
          <w:lang w:val="en-US"/>
        </w:rPr>
        <w:t xml:space="preserve"> years in prison </w:t>
      </w:r>
      <w:r w:rsidRPr="009C63F6">
        <w:rPr>
          <w:rFonts w:ascii="Arial" w:hAnsi="Arial" w:cs="Arial"/>
          <w:sz w:val="20"/>
          <w:szCs w:val="20"/>
          <w:lang w:val="en-US"/>
        </w:rPr>
        <w:t xml:space="preserve">or a fine, is </w:t>
      </w:r>
      <w:r w:rsidR="00CE22EA" w:rsidRPr="009C63F6">
        <w:rPr>
          <w:rFonts w:ascii="Arial" w:hAnsi="Arial" w:cs="Arial"/>
          <w:sz w:val="20"/>
          <w:szCs w:val="20"/>
          <w:lang w:val="en-US"/>
        </w:rPr>
        <w:t>punished with a sentence</w:t>
      </w:r>
      <w:r w:rsidRPr="009C63F6">
        <w:rPr>
          <w:rFonts w:ascii="Arial" w:hAnsi="Arial" w:cs="Arial"/>
          <w:sz w:val="20"/>
          <w:szCs w:val="20"/>
          <w:lang w:val="en-US"/>
        </w:rPr>
        <w:t xml:space="preserve"> </w:t>
      </w:r>
      <w:r w:rsidR="00CE22EA" w:rsidRPr="009C63F6">
        <w:rPr>
          <w:rFonts w:ascii="Arial" w:hAnsi="Arial" w:cs="Arial"/>
          <w:sz w:val="20"/>
          <w:szCs w:val="20"/>
          <w:lang w:val="en-US"/>
        </w:rPr>
        <w:t xml:space="preserve">from </w:t>
      </w:r>
      <w:r w:rsidR="007A4ECF">
        <w:rPr>
          <w:rFonts w:ascii="Arial" w:hAnsi="Arial" w:cs="Arial"/>
          <w:sz w:val="20"/>
          <w:szCs w:val="20"/>
          <w:lang w:val="en-US"/>
        </w:rPr>
        <w:t>2</w:t>
      </w:r>
      <w:r w:rsidRPr="009C63F6">
        <w:rPr>
          <w:rFonts w:ascii="Arial" w:hAnsi="Arial" w:cs="Arial"/>
          <w:sz w:val="20"/>
          <w:szCs w:val="20"/>
          <w:lang w:val="en-US"/>
        </w:rPr>
        <w:t xml:space="preserve"> </w:t>
      </w:r>
      <w:r w:rsidR="00CE22EA" w:rsidRPr="009C63F6">
        <w:rPr>
          <w:rFonts w:ascii="Arial" w:hAnsi="Arial" w:cs="Arial"/>
          <w:sz w:val="20"/>
          <w:szCs w:val="20"/>
          <w:lang w:val="en-US"/>
        </w:rPr>
        <w:t xml:space="preserve">to </w:t>
      </w:r>
      <w:r w:rsidR="007A4ECF">
        <w:rPr>
          <w:rFonts w:ascii="Arial" w:hAnsi="Arial" w:cs="Arial"/>
          <w:sz w:val="20"/>
          <w:szCs w:val="20"/>
          <w:lang w:val="en-US"/>
        </w:rPr>
        <w:t>10</w:t>
      </w:r>
      <w:r w:rsidR="00CE22EA" w:rsidRPr="009C63F6">
        <w:rPr>
          <w:rFonts w:ascii="Arial" w:hAnsi="Arial" w:cs="Arial"/>
          <w:sz w:val="20"/>
          <w:szCs w:val="20"/>
          <w:lang w:val="en-US"/>
        </w:rPr>
        <w:t xml:space="preserve"> years</w:t>
      </w:r>
      <w:r w:rsidRPr="009C63F6">
        <w:rPr>
          <w:rFonts w:ascii="Arial" w:hAnsi="Arial" w:cs="Arial"/>
          <w:sz w:val="20"/>
          <w:szCs w:val="20"/>
          <w:lang w:val="en-US"/>
        </w:rPr>
        <w:t xml:space="preserve"> if the kidnapping is preceded or accompanied by an offense against physical integrity, </w:t>
      </w:r>
      <w:r w:rsidRPr="007A4ECF">
        <w:rPr>
          <w:rFonts w:ascii="Arial" w:hAnsi="Arial" w:cs="Arial"/>
          <w:bCs/>
          <w:sz w:val="20"/>
          <w:szCs w:val="20"/>
          <w:lang w:val="en-US"/>
        </w:rPr>
        <w:t xml:space="preserve">torture or other cruel, </w:t>
      </w:r>
      <w:r w:rsidR="009005FC" w:rsidRPr="007A4ECF">
        <w:rPr>
          <w:rFonts w:ascii="Arial" w:hAnsi="Arial" w:cs="Arial"/>
          <w:bCs/>
          <w:sz w:val="20"/>
          <w:szCs w:val="20"/>
          <w:lang w:val="en-US"/>
        </w:rPr>
        <w:t>degrading,</w:t>
      </w:r>
      <w:r w:rsidRPr="007A4ECF">
        <w:rPr>
          <w:rFonts w:ascii="Arial" w:hAnsi="Arial" w:cs="Arial"/>
          <w:bCs/>
          <w:sz w:val="20"/>
          <w:szCs w:val="20"/>
          <w:lang w:val="en-US"/>
        </w:rPr>
        <w:t xml:space="preserve"> or inhuman treatment.</w:t>
      </w:r>
    </w:p>
    <w:p w14:paraId="343100F3" w14:textId="24F8430C" w:rsidR="00CE22EA" w:rsidRPr="009C63F6" w:rsidRDefault="00CE22EA"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On the other hand, the Portuguese legal system punishes with a prison sentence of 12 to 25 years whoever, as part of a generalized or systematic attack against any civilian population</w:t>
      </w:r>
      <w:r w:rsidR="007A4ECF">
        <w:rPr>
          <w:rFonts w:ascii="Arial" w:hAnsi="Arial" w:cs="Arial"/>
          <w:sz w:val="20"/>
          <w:szCs w:val="20"/>
          <w:lang w:val="en-US"/>
        </w:rPr>
        <w:t>,</w:t>
      </w:r>
      <w:r w:rsidRPr="009C63F6">
        <w:rPr>
          <w:rFonts w:ascii="Arial" w:hAnsi="Arial" w:cs="Arial"/>
          <w:sz w:val="20"/>
          <w:szCs w:val="20"/>
          <w:lang w:val="en-US"/>
        </w:rPr>
        <w:t xml:space="preserve"> commits torture</w:t>
      </w:r>
      <w:r w:rsidR="007A4ECF">
        <w:rPr>
          <w:rFonts w:ascii="Arial" w:hAnsi="Arial" w:cs="Arial"/>
          <w:sz w:val="20"/>
          <w:szCs w:val="20"/>
          <w:lang w:val="en-US"/>
        </w:rPr>
        <w:t xml:space="preserve"> </w:t>
      </w:r>
      <w:r w:rsidRPr="009C63F6">
        <w:rPr>
          <w:rFonts w:ascii="Arial" w:hAnsi="Arial" w:cs="Arial"/>
          <w:sz w:val="20"/>
          <w:szCs w:val="20"/>
          <w:lang w:val="en-US"/>
        </w:rPr>
        <w:t>(</w:t>
      </w:r>
      <w:r w:rsidR="009005FC" w:rsidRPr="009C63F6">
        <w:rPr>
          <w:rFonts w:ascii="Arial" w:hAnsi="Arial" w:cs="Arial"/>
          <w:sz w:val="20"/>
          <w:szCs w:val="20"/>
          <w:lang w:val="en-US"/>
        </w:rPr>
        <w:t xml:space="preserve">under </w:t>
      </w:r>
      <w:r w:rsidRPr="009C63F6">
        <w:rPr>
          <w:rFonts w:ascii="Arial" w:hAnsi="Arial" w:cs="Arial"/>
          <w:sz w:val="20"/>
          <w:szCs w:val="20"/>
          <w:lang w:val="en-US"/>
        </w:rPr>
        <w:t>article 9 of</w:t>
      </w:r>
      <w:r w:rsidR="00986AC7" w:rsidRPr="00986AC7">
        <w:rPr>
          <w:rFonts w:ascii="Arial" w:hAnsi="Arial" w:cs="Arial"/>
          <w:sz w:val="20"/>
          <w:szCs w:val="20"/>
          <w:lang w:val="en-GB"/>
        </w:rPr>
        <w:t xml:space="preserve"> </w:t>
      </w:r>
      <w:r w:rsidR="00986AC7">
        <w:rPr>
          <w:rFonts w:ascii="Arial" w:hAnsi="Arial" w:cs="Arial"/>
          <w:sz w:val="20"/>
          <w:szCs w:val="20"/>
          <w:lang w:val="en-GB"/>
        </w:rPr>
        <w:t xml:space="preserve">the </w:t>
      </w:r>
      <w:r w:rsidR="00986AC7" w:rsidRPr="009C63F6">
        <w:rPr>
          <w:rFonts w:ascii="Arial" w:hAnsi="Arial" w:cs="Arial"/>
          <w:sz w:val="20"/>
          <w:szCs w:val="20"/>
          <w:lang w:val="en-US"/>
        </w:rPr>
        <w:t>Law on Violations of International Humanitarian Law</w:t>
      </w:r>
      <w:r w:rsidRPr="009C63F6">
        <w:rPr>
          <w:rFonts w:ascii="Arial" w:hAnsi="Arial" w:cs="Arial"/>
          <w:sz w:val="20"/>
          <w:szCs w:val="20"/>
          <w:lang w:val="en-US"/>
        </w:rPr>
        <w:t>).</w:t>
      </w:r>
    </w:p>
    <w:p w14:paraId="7DD96786" w14:textId="3623B3F2" w:rsidR="00CE22EA" w:rsidRPr="009C63F6" w:rsidRDefault="00083A2B"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 xml:space="preserve">In Portugal, the granting </w:t>
      </w:r>
      <w:r w:rsidR="00CE22EA" w:rsidRPr="009C63F6">
        <w:rPr>
          <w:rFonts w:ascii="Arial" w:hAnsi="Arial" w:cs="Arial"/>
          <w:sz w:val="20"/>
          <w:szCs w:val="20"/>
          <w:lang w:val="en-US"/>
        </w:rPr>
        <w:t xml:space="preserve">of general amnesties and pardons falls under the legislative and political authority of </w:t>
      </w:r>
      <w:r w:rsidRPr="009C63F6">
        <w:rPr>
          <w:rFonts w:ascii="Arial" w:hAnsi="Arial" w:cs="Arial"/>
          <w:sz w:val="20"/>
          <w:szCs w:val="20"/>
          <w:lang w:val="en-US"/>
        </w:rPr>
        <w:t>Parliament</w:t>
      </w:r>
      <w:r w:rsidR="00CE22EA" w:rsidRPr="009C63F6">
        <w:rPr>
          <w:rFonts w:ascii="Arial" w:hAnsi="Arial" w:cs="Arial"/>
          <w:sz w:val="20"/>
          <w:szCs w:val="20"/>
          <w:lang w:val="en-US"/>
        </w:rPr>
        <w:t xml:space="preserve"> (</w:t>
      </w:r>
      <w:r w:rsidR="009005FC" w:rsidRPr="009C63F6">
        <w:rPr>
          <w:rFonts w:ascii="Arial" w:hAnsi="Arial" w:cs="Arial"/>
          <w:sz w:val="20"/>
          <w:szCs w:val="20"/>
          <w:lang w:val="en-US"/>
        </w:rPr>
        <w:t xml:space="preserve">under </w:t>
      </w:r>
      <w:r w:rsidR="00CE22EA" w:rsidRPr="009C63F6">
        <w:rPr>
          <w:rFonts w:ascii="Arial" w:hAnsi="Arial" w:cs="Arial"/>
          <w:sz w:val="20"/>
          <w:szCs w:val="20"/>
          <w:lang w:val="en-US"/>
        </w:rPr>
        <w:t>article 161</w:t>
      </w:r>
      <w:r w:rsidR="00986AC7">
        <w:rPr>
          <w:rFonts w:ascii="Arial" w:hAnsi="Arial" w:cs="Arial"/>
          <w:sz w:val="20"/>
          <w:szCs w:val="20"/>
          <w:lang w:val="en-US"/>
        </w:rPr>
        <w:t xml:space="preserve"> of</w:t>
      </w:r>
      <w:r w:rsidR="009005FC" w:rsidRPr="009C63F6">
        <w:rPr>
          <w:rFonts w:ascii="Arial" w:hAnsi="Arial" w:cs="Arial"/>
          <w:sz w:val="20"/>
          <w:szCs w:val="20"/>
          <w:lang w:val="en-US"/>
        </w:rPr>
        <w:t xml:space="preserve"> </w:t>
      </w:r>
      <w:r w:rsidR="00986AC7">
        <w:rPr>
          <w:rFonts w:ascii="Arial" w:hAnsi="Arial" w:cs="Arial"/>
          <w:sz w:val="20"/>
          <w:szCs w:val="20"/>
          <w:lang w:val="en-US"/>
        </w:rPr>
        <w:t>the Constitution</w:t>
      </w:r>
      <w:r w:rsidR="00CE22EA" w:rsidRPr="009C63F6">
        <w:rPr>
          <w:rFonts w:ascii="Arial" w:hAnsi="Arial" w:cs="Arial"/>
          <w:sz w:val="20"/>
          <w:szCs w:val="20"/>
          <w:lang w:val="en-US"/>
        </w:rPr>
        <w:t>)</w:t>
      </w:r>
      <w:r w:rsidR="009005FC" w:rsidRPr="009C63F6">
        <w:rPr>
          <w:rFonts w:ascii="Arial" w:hAnsi="Arial" w:cs="Arial"/>
          <w:sz w:val="20"/>
          <w:szCs w:val="20"/>
          <w:lang w:val="en-US"/>
        </w:rPr>
        <w:t>.</w:t>
      </w:r>
      <w:r w:rsidR="00986AC7">
        <w:rPr>
          <w:rFonts w:ascii="Arial" w:hAnsi="Arial" w:cs="Arial"/>
          <w:sz w:val="20"/>
          <w:szCs w:val="20"/>
          <w:lang w:val="en-US"/>
        </w:rPr>
        <w:t xml:space="preserve"> </w:t>
      </w:r>
      <w:r w:rsidRPr="009C63F6">
        <w:rPr>
          <w:rFonts w:ascii="Arial" w:hAnsi="Arial" w:cs="Arial"/>
          <w:sz w:val="20"/>
          <w:szCs w:val="20"/>
          <w:lang w:val="en-US"/>
        </w:rPr>
        <w:t>Amnesties and general pardons</w:t>
      </w:r>
      <w:r w:rsidR="00CE22EA" w:rsidRPr="009C63F6">
        <w:rPr>
          <w:rFonts w:ascii="Arial" w:hAnsi="Arial" w:cs="Arial"/>
          <w:sz w:val="20"/>
          <w:szCs w:val="20"/>
          <w:lang w:val="en-US"/>
        </w:rPr>
        <w:t xml:space="preserve"> </w:t>
      </w:r>
      <w:r w:rsidRPr="009C63F6">
        <w:rPr>
          <w:rFonts w:ascii="Arial" w:hAnsi="Arial" w:cs="Arial"/>
          <w:sz w:val="20"/>
          <w:szCs w:val="20"/>
          <w:lang w:val="en-US"/>
        </w:rPr>
        <w:t>are</w:t>
      </w:r>
      <w:r w:rsidR="00CE22EA" w:rsidRPr="009C63F6">
        <w:rPr>
          <w:rFonts w:ascii="Arial" w:hAnsi="Arial" w:cs="Arial"/>
          <w:sz w:val="20"/>
          <w:szCs w:val="20"/>
          <w:lang w:val="en-US"/>
        </w:rPr>
        <w:t xml:space="preserve"> understood as act</w:t>
      </w:r>
      <w:r w:rsidRPr="009C63F6">
        <w:rPr>
          <w:rFonts w:ascii="Arial" w:hAnsi="Arial" w:cs="Arial"/>
          <w:sz w:val="20"/>
          <w:szCs w:val="20"/>
          <w:lang w:val="en-US"/>
        </w:rPr>
        <w:t>s of sovereignty and appear</w:t>
      </w:r>
      <w:r w:rsidR="00CE22EA" w:rsidRPr="009C63F6">
        <w:rPr>
          <w:rFonts w:ascii="Arial" w:hAnsi="Arial" w:cs="Arial"/>
          <w:sz w:val="20"/>
          <w:szCs w:val="20"/>
          <w:lang w:val="en-US"/>
        </w:rPr>
        <w:t xml:space="preserve"> as general and objective measure</w:t>
      </w:r>
      <w:r w:rsidRPr="009C63F6">
        <w:rPr>
          <w:rFonts w:ascii="Arial" w:hAnsi="Arial" w:cs="Arial"/>
          <w:sz w:val="20"/>
          <w:szCs w:val="20"/>
          <w:lang w:val="en-US"/>
        </w:rPr>
        <w:t>s</w:t>
      </w:r>
      <w:r w:rsidR="00CE22EA" w:rsidRPr="009C63F6">
        <w:rPr>
          <w:rFonts w:ascii="Arial" w:hAnsi="Arial" w:cs="Arial"/>
          <w:sz w:val="20"/>
          <w:szCs w:val="20"/>
          <w:lang w:val="en-US"/>
        </w:rPr>
        <w:t xml:space="preserve">, aimed not at a specific person but at a category of infractions committed under certain circumstances or within a specific </w:t>
      </w:r>
      <w:r w:rsidR="009005FC" w:rsidRPr="009C63F6">
        <w:rPr>
          <w:rFonts w:ascii="Arial" w:hAnsi="Arial" w:cs="Arial"/>
          <w:sz w:val="20"/>
          <w:szCs w:val="20"/>
          <w:lang w:val="en-US"/>
        </w:rPr>
        <w:t>timeframe</w:t>
      </w:r>
      <w:r w:rsidR="00CE22EA" w:rsidRPr="009C63F6">
        <w:rPr>
          <w:rFonts w:ascii="Arial" w:hAnsi="Arial" w:cs="Arial"/>
          <w:sz w:val="20"/>
          <w:szCs w:val="20"/>
          <w:lang w:val="en-US"/>
        </w:rPr>
        <w:t>.</w:t>
      </w:r>
      <w:r w:rsidR="00986AC7">
        <w:rPr>
          <w:rFonts w:ascii="Arial" w:hAnsi="Arial" w:cs="Arial"/>
          <w:sz w:val="20"/>
          <w:szCs w:val="20"/>
          <w:lang w:val="en-US"/>
        </w:rPr>
        <w:t xml:space="preserve"> </w:t>
      </w:r>
      <w:r w:rsidR="00CE22EA" w:rsidRPr="009C63F6">
        <w:rPr>
          <w:rFonts w:ascii="Arial" w:hAnsi="Arial" w:cs="Arial"/>
          <w:sz w:val="20"/>
          <w:szCs w:val="20"/>
          <w:lang w:val="en-US"/>
        </w:rPr>
        <w:t>The last amnesty granted by the Por</w:t>
      </w:r>
      <w:r w:rsidRPr="009C63F6">
        <w:rPr>
          <w:rFonts w:ascii="Arial" w:hAnsi="Arial" w:cs="Arial"/>
          <w:sz w:val="20"/>
          <w:szCs w:val="20"/>
          <w:lang w:val="en-US"/>
        </w:rPr>
        <w:t>tuguese Parliament was in 1999 (</w:t>
      </w:r>
      <w:hyperlink r:id="rId10" w:history="1">
        <w:r w:rsidR="00CE22EA" w:rsidRPr="009C63F6">
          <w:rPr>
            <w:rStyle w:val="Hiperligao"/>
            <w:rFonts w:ascii="Arial" w:hAnsi="Arial" w:cs="Arial"/>
            <w:sz w:val="20"/>
            <w:szCs w:val="20"/>
            <w:lang w:val="en-US"/>
          </w:rPr>
          <w:t>Law no. 29/99</w:t>
        </w:r>
      </w:hyperlink>
      <w:r w:rsidRPr="009C63F6">
        <w:rPr>
          <w:rFonts w:ascii="Arial" w:hAnsi="Arial" w:cs="Arial"/>
          <w:sz w:val="20"/>
          <w:szCs w:val="20"/>
          <w:lang w:val="en-US"/>
        </w:rPr>
        <w:t>)</w:t>
      </w:r>
      <w:r w:rsidR="00CE22EA" w:rsidRPr="009C63F6">
        <w:rPr>
          <w:rFonts w:ascii="Arial" w:hAnsi="Arial" w:cs="Arial"/>
          <w:sz w:val="20"/>
          <w:szCs w:val="20"/>
          <w:lang w:val="en-US"/>
        </w:rPr>
        <w:t xml:space="preserve">, </w:t>
      </w:r>
      <w:r w:rsidRPr="009C63F6">
        <w:rPr>
          <w:rFonts w:ascii="Arial" w:hAnsi="Arial" w:cs="Arial"/>
          <w:sz w:val="20"/>
          <w:szCs w:val="20"/>
          <w:lang w:val="en-US"/>
        </w:rPr>
        <w:t>granting</w:t>
      </w:r>
      <w:r w:rsidR="00CE22EA" w:rsidRPr="009C63F6">
        <w:rPr>
          <w:rFonts w:ascii="Arial" w:hAnsi="Arial" w:cs="Arial"/>
          <w:sz w:val="20"/>
          <w:szCs w:val="20"/>
          <w:lang w:val="en-US"/>
        </w:rPr>
        <w:t xml:space="preserve"> </w:t>
      </w:r>
      <w:r w:rsidRPr="009C63F6">
        <w:rPr>
          <w:rFonts w:ascii="Arial" w:hAnsi="Arial" w:cs="Arial"/>
          <w:sz w:val="20"/>
          <w:szCs w:val="20"/>
          <w:lang w:val="en-US"/>
        </w:rPr>
        <w:t>the general pardon and amnesty of</w:t>
      </w:r>
      <w:r w:rsidR="00CE22EA" w:rsidRPr="009C63F6">
        <w:rPr>
          <w:rFonts w:ascii="Arial" w:hAnsi="Arial" w:cs="Arial"/>
          <w:sz w:val="20"/>
          <w:szCs w:val="20"/>
          <w:lang w:val="en-US"/>
        </w:rPr>
        <w:t xml:space="preserve"> minor infractions, not covering the crime of torture, </w:t>
      </w:r>
      <w:r w:rsidR="00986AC7">
        <w:rPr>
          <w:rFonts w:ascii="Arial" w:hAnsi="Arial" w:cs="Arial"/>
          <w:sz w:val="20"/>
          <w:szCs w:val="20"/>
          <w:lang w:val="en-US"/>
        </w:rPr>
        <w:t>similar to</w:t>
      </w:r>
      <w:r w:rsidR="00CE22EA" w:rsidRPr="009C63F6">
        <w:rPr>
          <w:rFonts w:ascii="Arial" w:hAnsi="Arial" w:cs="Arial"/>
          <w:sz w:val="20"/>
          <w:szCs w:val="20"/>
          <w:lang w:val="en-US"/>
        </w:rPr>
        <w:t xml:space="preserve"> the previous amnesties granted by the parliament. </w:t>
      </w:r>
    </w:p>
    <w:p w14:paraId="3D587F31" w14:textId="77777777" w:rsidR="009C63F6" w:rsidRDefault="009C63F6" w:rsidP="009C63F6">
      <w:pPr>
        <w:tabs>
          <w:tab w:val="left" w:pos="2730"/>
        </w:tabs>
        <w:spacing w:line="360" w:lineRule="auto"/>
        <w:jc w:val="both"/>
        <w:rPr>
          <w:rFonts w:ascii="Arial" w:hAnsi="Arial" w:cs="Arial"/>
          <w:sz w:val="20"/>
          <w:szCs w:val="20"/>
          <w:lang w:val="en-US"/>
        </w:rPr>
      </w:pPr>
    </w:p>
    <w:p w14:paraId="22EBFFE9" w14:textId="2C6B3CC5" w:rsidR="009C63F6" w:rsidRPr="009C63F6" w:rsidRDefault="009C63F6" w:rsidP="009C63F6">
      <w:pPr>
        <w:tabs>
          <w:tab w:val="left" w:pos="2730"/>
        </w:tabs>
        <w:spacing w:line="360" w:lineRule="auto"/>
        <w:jc w:val="both"/>
        <w:rPr>
          <w:rFonts w:ascii="Arial" w:hAnsi="Arial" w:cs="Arial"/>
          <w:sz w:val="20"/>
          <w:szCs w:val="20"/>
          <w:u w:val="single"/>
          <w:lang w:val="en-GB"/>
        </w:rPr>
      </w:pPr>
      <w:r w:rsidRPr="009C63F6">
        <w:rPr>
          <w:rFonts w:ascii="Arial" w:hAnsi="Arial" w:cs="Arial"/>
          <w:sz w:val="20"/>
          <w:szCs w:val="20"/>
          <w:u w:val="single"/>
          <w:lang w:val="en-GB"/>
        </w:rPr>
        <w:t>Elements of human rights-compliant investigations and prosecutions</w:t>
      </w:r>
    </w:p>
    <w:p w14:paraId="77FF9D8E" w14:textId="754FE0A0" w:rsidR="00F251F2" w:rsidRPr="009C63F6" w:rsidRDefault="008E6344"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Under</w:t>
      </w:r>
      <w:r w:rsidR="00F251F2" w:rsidRPr="009C63F6">
        <w:rPr>
          <w:rFonts w:ascii="Arial" w:hAnsi="Arial" w:cs="Arial"/>
          <w:sz w:val="20"/>
          <w:szCs w:val="20"/>
          <w:lang w:val="en-US"/>
        </w:rPr>
        <w:t xml:space="preserve"> article 32 of</w:t>
      </w:r>
      <w:r w:rsidRPr="009C63F6">
        <w:rPr>
          <w:rFonts w:ascii="Arial" w:hAnsi="Arial" w:cs="Arial"/>
          <w:sz w:val="20"/>
          <w:szCs w:val="20"/>
          <w:lang w:val="en-US"/>
        </w:rPr>
        <w:t xml:space="preserve"> the </w:t>
      </w:r>
      <w:r w:rsidR="00F251F2" w:rsidRPr="009C63F6">
        <w:rPr>
          <w:rFonts w:ascii="Arial" w:hAnsi="Arial" w:cs="Arial"/>
          <w:sz w:val="20"/>
          <w:szCs w:val="20"/>
          <w:lang w:val="en-US"/>
        </w:rPr>
        <w:t>Constitution</w:t>
      </w:r>
      <w:r w:rsidR="00E50646" w:rsidRPr="009C63F6">
        <w:rPr>
          <w:rFonts w:ascii="Arial" w:hAnsi="Arial" w:cs="Arial"/>
          <w:sz w:val="20"/>
          <w:szCs w:val="20"/>
          <w:lang w:val="en-US"/>
        </w:rPr>
        <w:t>, c</w:t>
      </w:r>
      <w:r w:rsidRPr="009C63F6">
        <w:rPr>
          <w:rFonts w:ascii="Arial" w:hAnsi="Arial" w:cs="Arial"/>
          <w:sz w:val="20"/>
          <w:szCs w:val="20"/>
          <w:lang w:val="en-US"/>
        </w:rPr>
        <w:t>riminal proce</w:t>
      </w:r>
      <w:r w:rsidR="00F251F2" w:rsidRPr="009C63F6">
        <w:rPr>
          <w:rFonts w:ascii="Arial" w:hAnsi="Arial" w:cs="Arial"/>
          <w:sz w:val="20"/>
          <w:szCs w:val="20"/>
          <w:lang w:val="en-US"/>
        </w:rPr>
        <w:t xml:space="preserve">edings </w:t>
      </w:r>
      <w:r w:rsidRPr="009C63F6">
        <w:rPr>
          <w:rFonts w:ascii="Arial" w:hAnsi="Arial" w:cs="Arial"/>
          <w:sz w:val="20"/>
          <w:szCs w:val="20"/>
          <w:lang w:val="en-US"/>
        </w:rPr>
        <w:t xml:space="preserve">must ensure all guarantees of defense, including appeal. Everyone investigated </w:t>
      </w:r>
      <w:r w:rsidR="00F251F2" w:rsidRPr="009C63F6">
        <w:rPr>
          <w:rFonts w:ascii="Arial" w:hAnsi="Arial" w:cs="Arial"/>
          <w:sz w:val="20"/>
          <w:szCs w:val="20"/>
          <w:lang w:val="en-US"/>
        </w:rPr>
        <w:t xml:space="preserve">or </w:t>
      </w:r>
      <w:r w:rsidRPr="009C63F6">
        <w:rPr>
          <w:rFonts w:ascii="Arial" w:hAnsi="Arial" w:cs="Arial"/>
          <w:sz w:val="20"/>
          <w:szCs w:val="20"/>
          <w:lang w:val="en-US"/>
        </w:rPr>
        <w:t xml:space="preserve">prosecuted for a crime </w:t>
      </w:r>
      <w:r w:rsidRPr="00986AC7">
        <w:rPr>
          <w:rFonts w:ascii="Arial" w:hAnsi="Arial" w:cs="Arial"/>
          <w:sz w:val="20"/>
          <w:szCs w:val="20"/>
          <w:lang w:val="en-US"/>
        </w:rPr>
        <w:t>shall be presumed innocent until the conviction has become final</w:t>
      </w:r>
      <w:r w:rsidRPr="009C63F6">
        <w:rPr>
          <w:rFonts w:ascii="Arial" w:hAnsi="Arial" w:cs="Arial"/>
          <w:sz w:val="20"/>
          <w:szCs w:val="20"/>
          <w:lang w:val="en-US"/>
        </w:rPr>
        <w:t xml:space="preserve"> and shall be tried as soon as possible, in a manner compatible with the guarantees of the defense.</w:t>
      </w:r>
    </w:p>
    <w:p w14:paraId="244C45A0" w14:textId="1FC8B7AF" w:rsidR="00F251F2" w:rsidRPr="009C63F6" w:rsidRDefault="008E6344"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 xml:space="preserve">The defendant shall have the right to choose a lawyer and to be assisted by </w:t>
      </w:r>
      <w:r w:rsidR="00986AC7">
        <w:rPr>
          <w:rFonts w:ascii="Arial" w:hAnsi="Arial" w:cs="Arial"/>
          <w:sz w:val="20"/>
          <w:szCs w:val="20"/>
          <w:lang w:val="en-US"/>
        </w:rPr>
        <w:t>them</w:t>
      </w:r>
      <w:r w:rsidRPr="009C63F6">
        <w:rPr>
          <w:rFonts w:ascii="Arial" w:hAnsi="Arial" w:cs="Arial"/>
          <w:sz w:val="20"/>
          <w:szCs w:val="20"/>
          <w:lang w:val="en-US"/>
        </w:rPr>
        <w:t xml:space="preserve"> in all acts of the process, and the law shall specify the cases and phases in which the assistance of a lawyer shall be mandatory.</w:t>
      </w:r>
    </w:p>
    <w:p w14:paraId="1D17DA7A" w14:textId="3FD0EF7C" w:rsidR="008E6344" w:rsidRPr="009C63F6" w:rsidRDefault="008E6344"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 xml:space="preserve">All </w:t>
      </w:r>
      <w:r w:rsidR="00F251F2" w:rsidRPr="009C63F6">
        <w:rPr>
          <w:rFonts w:ascii="Arial" w:hAnsi="Arial" w:cs="Arial"/>
          <w:sz w:val="20"/>
          <w:szCs w:val="20"/>
          <w:lang w:val="en-US"/>
        </w:rPr>
        <w:t>investigations</w:t>
      </w:r>
      <w:r w:rsidRPr="009C63F6">
        <w:rPr>
          <w:rFonts w:ascii="Arial" w:hAnsi="Arial" w:cs="Arial"/>
          <w:sz w:val="20"/>
          <w:szCs w:val="20"/>
          <w:lang w:val="en-US"/>
        </w:rPr>
        <w:t xml:space="preserve"> </w:t>
      </w:r>
      <w:r w:rsidR="00F251F2" w:rsidRPr="009C63F6">
        <w:rPr>
          <w:rFonts w:ascii="Arial" w:hAnsi="Arial" w:cs="Arial"/>
          <w:sz w:val="20"/>
          <w:szCs w:val="20"/>
          <w:lang w:val="en-US"/>
        </w:rPr>
        <w:t>are under the</w:t>
      </w:r>
      <w:r w:rsidRPr="009C63F6">
        <w:rPr>
          <w:rFonts w:ascii="Arial" w:hAnsi="Arial" w:cs="Arial"/>
          <w:sz w:val="20"/>
          <w:szCs w:val="20"/>
          <w:lang w:val="en-US"/>
        </w:rPr>
        <w:t xml:space="preserve"> responsibility of a judge, who may delegate to other bodies the performance of acts of fact-finding that are not directly related to </w:t>
      </w:r>
      <w:r w:rsidR="00986AC7">
        <w:rPr>
          <w:rFonts w:ascii="Arial" w:hAnsi="Arial" w:cs="Arial"/>
          <w:sz w:val="20"/>
          <w:szCs w:val="20"/>
          <w:lang w:val="en-US"/>
        </w:rPr>
        <w:t>human</w:t>
      </w:r>
      <w:r w:rsidRPr="009C63F6">
        <w:rPr>
          <w:rFonts w:ascii="Arial" w:hAnsi="Arial" w:cs="Arial"/>
          <w:sz w:val="20"/>
          <w:szCs w:val="20"/>
          <w:lang w:val="en-US"/>
        </w:rPr>
        <w:t xml:space="preserve"> rights.</w:t>
      </w:r>
    </w:p>
    <w:p w14:paraId="37253B82" w14:textId="21A6625B" w:rsidR="008E6344" w:rsidRPr="009C63F6" w:rsidRDefault="008E6344"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 xml:space="preserve">Criminal proceedings shall be based on an accusatorial structure and the hearing of the </w:t>
      </w:r>
      <w:r w:rsidR="00E50646" w:rsidRPr="009C63F6">
        <w:rPr>
          <w:rFonts w:ascii="Arial" w:hAnsi="Arial" w:cs="Arial"/>
          <w:sz w:val="20"/>
          <w:szCs w:val="20"/>
          <w:lang w:val="en-US"/>
        </w:rPr>
        <w:t>case,</w:t>
      </w:r>
      <w:r w:rsidRPr="009C63F6">
        <w:rPr>
          <w:rFonts w:ascii="Arial" w:hAnsi="Arial" w:cs="Arial"/>
          <w:sz w:val="20"/>
          <w:szCs w:val="20"/>
          <w:lang w:val="en-US"/>
        </w:rPr>
        <w:t xml:space="preserve"> and any investigative acts determined by law shall be subject to the adversarial principle.</w:t>
      </w:r>
    </w:p>
    <w:p w14:paraId="2A68C51E" w14:textId="77777777" w:rsidR="00F251F2" w:rsidRPr="009C63F6" w:rsidRDefault="008E6344"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 xml:space="preserve">The law shall define the cases in which, provided </w:t>
      </w:r>
      <w:r w:rsidR="00F251F2" w:rsidRPr="009C63F6">
        <w:rPr>
          <w:rFonts w:ascii="Arial" w:hAnsi="Arial" w:cs="Arial"/>
          <w:sz w:val="20"/>
          <w:szCs w:val="20"/>
          <w:lang w:val="en-US"/>
        </w:rPr>
        <w:t xml:space="preserve">that </w:t>
      </w:r>
      <w:r w:rsidRPr="009C63F6">
        <w:rPr>
          <w:rFonts w:ascii="Arial" w:hAnsi="Arial" w:cs="Arial"/>
          <w:sz w:val="20"/>
          <w:szCs w:val="20"/>
          <w:lang w:val="en-US"/>
        </w:rPr>
        <w:t xml:space="preserve">the rights of the </w:t>
      </w:r>
      <w:r w:rsidR="00F251F2" w:rsidRPr="009C63F6">
        <w:rPr>
          <w:rFonts w:ascii="Arial" w:hAnsi="Arial" w:cs="Arial"/>
          <w:sz w:val="20"/>
          <w:szCs w:val="20"/>
          <w:lang w:val="en-US"/>
        </w:rPr>
        <w:t>defense</w:t>
      </w:r>
      <w:r w:rsidRPr="009C63F6">
        <w:rPr>
          <w:rFonts w:ascii="Arial" w:hAnsi="Arial" w:cs="Arial"/>
          <w:sz w:val="20"/>
          <w:szCs w:val="20"/>
          <w:lang w:val="en-US"/>
        </w:rPr>
        <w:t xml:space="preserve"> are assured, the presence of the defendant or accused person in procedural acts, including the tria</w:t>
      </w:r>
      <w:r w:rsidR="00F251F2" w:rsidRPr="009C63F6">
        <w:rPr>
          <w:rFonts w:ascii="Arial" w:hAnsi="Arial" w:cs="Arial"/>
          <w:sz w:val="20"/>
          <w:szCs w:val="20"/>
          <w:lang w:val="en-US"/>
        </w:rPr>
        <w:t>l hearing, may be dispensed</w:t>
      </w:r>
      <w:r w:rsidRPr="009C63F6">
        <w:rPr>
          <w:rFonts w:ascii="Arial" w:hAnsi="Arial" w:cs="Arial"/>
          <w:sz w:val="20"/>
          <w:szCs w:val="20"/>
          <w:lang w:val="en-US"/>
        </w:rPr>
        <w:t>.</w:t>
      </w:r>
    </w:p>
    <w:p w14:paraId="357188C2" w14:textId="77777777" w:rsidR="00986AC7" w:rsidRDefault="008E6344"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The victim shall have the right to participate in the proceedings, under the terms of the law.</w:t>
      </w:r>
    </w:p>
    <w:p w14:paraId="205FD5B1" w14:textId="64088209" w:rsidR="008E6344" w:rsidRPr="00986AC7" w:rsidRDefault="008E6344" w:rsidP="009C63F6">
      <w:pPr>
        <w:tabs>
          <w:tab w:val="left" w:pos="2730"/>
        </w:tabs>
        <w:spacing w:line="360" w:lineRule="auto"/>
        <w:jc w:val="both"/>
        <w:rPr>
          <w:rFonts w:ascii="Arial" w:hAnsi="Arial" w:cs="Arial"/>
          <w:sz w:val="20"/>
          <w:szCs w:val="20"/>
          <w:lang w:val="en-US"/>
        </w:rPr>
      </w:pPr>
      <w:r w:rsidRPr="00986AC7">
        <w:rPr>
          <w:rFonts w:ascii="Arial" w:hAnsi="Arial" w:cs="Arial"/>
          <w:sz w:val="20"/>
          <w:szCs w:val="20"/>
          <w:lang w:val="en-US"/>
        </w:rPr>
        <w:t xml:space="preserve">All evidence obtained through torture, coercion, offence against the physical or moral integrity of the person, abusive intrusion into private life, the home, </w:t>
      </w:r>
      <w:r w:rsidR="00055395" w:rsidRPr="00986AC7">
        <w:rPr>
          <w:rFonts w:ascii="Arial" w:hAnsi="Arial" w:cs="Arial"/>
          <w:sz w:val="20"/>
          <w:szCs w:val="20"/>
          <w:lang w:val="en-US"/>
        </w:rPr>
        <w:t>correspondence,</w:t>
      </w:r>
      <w:r w:rsidRPr="00986AC7">
        <w:rPr>
          <w:rFonts w:ascii="Arial" w:hAnsi="Arial" w:cs="Arial"/>
          <w:sz w:val="20"/>
          <w:szCs w:val="20"/>
          <w:lang w:val="en-US"/>
        </w:rPr>
        <w:t xml:space="preserve"> or telecommunications, shall be null and void.</w:t>
      </w:r>
    </w:p>
    <w:p w14:paraId="662AFEBE" w14:textId="608D4903" w:rsidR="008E6344" w:rsidRPr="009C63F6" w:rsidRDefault="008E6344"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No case may be removed from the court whose jurisdiction is established by previous law.</w:t>
      </w:r>
      <w:r w:rsidR="00055395" w:rsidRPr="009C63F6">
        <w:rPr>
          <w:rFonts w:ascii="Arial" w:hAnsi="Arial" w:cs="Arial"/>
          <w:sz w:val="20"/>
          <w:szCs w:val="20"/>
          <w:lang w:val="en-US"/>
        </w:rPr>
        <w:t xml:space="preserve"> </w:t>
      </w:r>
      <w:r w:rsidRPr="009C63F6">
        <w:rPr>
          <w:rFonts w:ascii="Arial" w:hAnsi="Arial" w:cs="Arial"/>
          <w:sz w:val="20"/>
          <w:szCs w:val="20"/>
          <w:lang w:val="en-US"/>
        </w:rPr>
        <w:t xml:space="preserve">In administrative infraction proceedings, as well as in any </w:t>
      </w:r>
      <w:r w:rsidR="00055395" w:rsidRPr="009C63F6">
        <w:rPr>
          <w:rFonts w:ascii="Arial" w:hAnsi="Arial" w:cs="Arial"/>
          <w:sz w:val="20"/>
          <w:szCs w:val="20"/>
          <w:lang w:val="en-US"/>
        </w:rPr>
        <w:t>sanction’s</w:t>
      </w:r>
      <w:r w:rsidRPr="009C63F6">
        <w:rPr>
          <w:rFonts w:ascii="Arial" w:hAnsi="Arial" w:cs="Arial"/>
          <w:sz w:val="20"/>
          <w:szCs w:val="20"/>
          <w:lang w:val="en-US"/>
        </w:rPr>
        <w:t xml:space="preserve"> proceedings, the accused shall be assured the right to a hearing and the right of defense.</w:t>
      </w:r>
    </w:p>
    <w:p w14:paraId="1A7B9D70" w14:textId="5F984D1F" w:rsidR="00F251F2" w:rsidRDefault="00F251F2"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All the principles enshrined in Article 32 are set forth in the Code of Criminal Procedure</w:t>
      </w:r>
      <w:r w:rsidR="00A9048F" w:rsidRPr="009C63F6">
        <w:rPr>
          <w:rFonts w:ascii="Arial" w:hAnsi="Arial" w:cs="Arial"/>
          <w:sz w:val="20"/>
          <w:szCs w:val="20"/>
          <w:lang w:val="en-US"/>
        </w:rPr>
        <w:t xml:space="preserve"> (</w:t>
      </w:r>
      <w:hyperlink r:id="rId11" w:history="1">
        <w:r w:rsidR="00A9048F" w:rsidRPr="009C63F6">
          <w:rPr>
            <w:rStyle w:val="Hiperligao"/>
            <w:rFonts w:ascii="Arial" w:hAnsi="Arial" w:cs="Arial"/>
            <w:sz w:val="20"/>
            <w:szCs w:val="20"/>
            <w:lang w:val="en-US"/>
          </w:rPr>
          <w:t>Decree Law No. 78/87</w:t>
        </w:r>
      </w:hyperlink>
      <w:r w:rsidR="00A9048F" w:rsidRPr="009C63F6">
        <w:rPr>
          <w:rFonts w:ascii="Arial" w:hAnsi="Arial" w:cs="Arial"/>
          <w:sz w:val="20"/>
          <w:szCs w:val="20"/>
          <w:lang w:val="en-US"/>
        </w:rPr>
        <w:t>)</w:t>
      </w:r>
      <w:r w:rsidRPr="009C63F6">
        <w:rPr>
          <w:rFonts w:ascii="Arial" w:hAnsi="Arial" w:cs="Arial"/>
          <w:sz w:val="20"/>
          <w:szCs w:val="20"/>
          <w:lang w:val="en-US"/>
        </w:rPr>
        <w:t>.</w:t>
      </w:r>
    </w:p>
    <w:p w14:paraId="0C844FFC" w14:textId="4AFD3F9A" w:rsidR="009C63F6" w:rsidRDefault="009C63F6" w:rsidP="009C63F6">
      <w:pPr>
        <w:tabs>
          <w:tab w:val="left" w:pos="2730"/>
        </w:tabs>
        <w:spacing w:line="360" w:lineRule="auto"/>
        <w:jc w:val="both"/>
        <w:rPr>
          <w:rFonts w:ascii="Arial" w:hAnsi="Arial" w:cs="Arial"/>
          <w:sz w:val="20"/>
          <w:szCs w:val="20"/>
          <w:lang w:val="en-US"/>
        </w:rPr>
      </w:pPr>
    </w:p>
    <w:p w14:paraId="707DD49A" w14:textId="37F2FD1B" w:rsidR="009C63F6" w:rsidRPr="009C63F6" w:rsidRDefault="009C63F6" w:rsidP="009C63F6">
      <w:pPr>
        <w:tabs>
          <w:tab w:val="left" w:pos="2730"/>
        </w:tabs>
        <w:spacing w:line="360" w:lineRule="auto"/>
        <w:jc w:val="both"/>
        <w:rPr>
          <w:rFonts w:ascii="Arial" w:hAnsi="Arial" w:cs="Arial"/>
          <w:sz w:val="20"/>
          <w:szCs w:val="20"/>
          <w:u w:val="single"/>
          <w:lang w:val="en-GB"/>
        </w:rPr>
      </w:pPr>
      <w:r w:rsidRPr="009C63F6">
        <w:rPr>
          <w:rFonts w:ascii="Arial" w:hAnsi="Arial" w:cs="Arial"/>
          <w:sz w:val="20"/>
          <w:szCs w:val="20"/>
          <w:u w:val="single"/>
          <w:lang w:val="en-GB"/>
        </w:rPr>
        <w:t xml:space="preserve">Mechanisms/institutions/entities involved in complaints, </w:t>
      </w:r>
      <w:proofErr w:type="gramStart"/>
      <w:r w:rsidRPr="009C63F6">
        <w:rPr>
          <w:rFonts w:ascii="Arial" w:hAnsi="Arial" w:cs="Arial"/>
          <w:sz w:val="20"/>
          <w:szCs w:val="20"/>
          <w:u w:val="single"/>
          <w:lang w:val="en-GB"/>
        </w:rPr>
        <w:t>investigations</w:t>
      </w:r>
      <w:proofErr w:type="gramEnd"/>
      <w:r w:rsidRPr="009C63F6">
        <w:rPr>
          <w:rFonts w:ascii="Arial" w:hAnsi="Arial" w:cs="Arial"/>
          <w:sz w:val="20"/>
          <w:szCs w:val="20"/>
          <w:u w:val="single"/>
          <w:lang w:val="en-GB"/>
        </w:rPr>
        <w:t xml:space="preserve"> and prosecution</w:t>
      </w:r>
    </w:p>
    <w:p w14:paraId="13538012" w14:textId="3421CF8C" w:rsidR="00A9048F" w:rsidRPr="009C63F6" w:rsidRDefault="00A9048F"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To implement the international obligations assumed by the State arising from the ratification of the Optional Protocol to the Convention against Torture and Other Cruel, Inhuman or Degrading Treatment or Punishment (OPCAT), the Ombuds</w:t>
      </w:r>
      <w:r w:rsidR="00986AC7">
        <w:rPr>
          <w:rFonts w:ascii="Arial" w:hAnsi="Arial" w:cs="Arial"/>
          <w:sz w:val="20"/>
          <w:szCs w:val="20"/>
          <w:lang w:val="en-US"/>
        </w:rPr>
        <w:t>person</w:t>
      </w:r>
      <w:r w:rsidRPr="009C63F6">
        <w:rPr>
          <w:rFonts w:ascii="Arial" w:hAnsi="Arial" w:cs="Arial"/>
          <w:sz w:val="20"/>
          <w:szCs w:val="20"/>
          <w:lang w:val="en-US"/>
        </w:rPr>
        <w:t xml:space="preserve"> was designated </w:t>
      </w:r>
      <w:r w:rsidR="00055395" w:rsidRPr="009C63F6">
        <w:rPr>
          <w:rFonts w:ascii="Arial" w:hAnsi="Arial" w:cs="Arial"/>
          <w:sz w:val="20"/>
          <w:szCs w:val="20"/>
          <w:lang w:val="en-US"/>
        </w:rPr>
        <w:t xml:space="preserve">as the </w:t>
      </w:r>
      <w:r w:rsidRPr="009C63F6">
        <w:rPr>
          <w:rFonts w:ascii="Arial" w:hAnsi="Arial" w:cs="Arial"/>
          <w:sz w:val="20"/>
          <w:szCs w:val="20"/>
          <w:lang w:val="en-US"/>
        </w:rPr>
        <w:t xml:space="preserve">National Preventive Mechanism. </w:t>
      </w:r>
    </w:p>
    <w:p w14:paraId="0564F6BA" w14:textId="1A42B790" w:rsidR="00F251F2" w:rsidRPr="009C63F6" w:rsidRDefault="00A9048F"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Therefore, the Ombuds</w:t>
      </w:r>
      <w:r w:rsidR="00986AC7">
        <w:rPr>
          <w:rFonts w:ascii="Arial" w:hAnsi="Arial" w:cs="Arial"/>
          <w:sz w:val="20"/>
          <w:szCs w:val="20"/>
          <w:lang w:val="en-US"/>
        </w:rPr>
        <w:t>person</w:t>
      </w:r>
      <w:r w:rsidRPr="009C63F6">
        <w:rPr>
          <w:rFonts w:ascii="Arial" w:hAnsi="Arial" w:cs="Arial"/>
          <w:sz w:val="20"/>
          <w:szCs w:val="20"/>
          <w:lang w:val="en-US"/>
        </w:rPr>
        <w:t xml:space="preserve"> is responsible for regularly examining</w:t>
      </w:r>
      <w:r w:rsidR="00657BE9" w:rsidRPr="009C63F6">
        <w:rPr>
          <w:rFonts w:ascii="Arial" w:hAnsi="Arial" w:cs="Arial"/>
          <w:sz w:val="20"/>
          <w:szCs w:val="20"/>
          <w:lang w:val="en-US"/>
        </w:rPr>
        <w:t xml:space="preserve"> </w:t>
      </w:r>
      <w:r w:rsidRPr="009C63F6">
        <w:rPr>
          <w:rFonts w:ascii="Arial" w:hAnsi="Arial" w:cs="Arial"/>
          <w:sz w:val="20"/>
          <w:szCs w:val="20"/>
          <w:lang w:val="en-US"/>
        </w:rPr>
        <w:t>the treatment of persons deprived of their liberty in places of detention,</w:t>
      </w:r>
      <w:r w:rsidR="00986AC7">
        <w:rPr>
          <w:rFonts w:ascii="Arial" w:hAnsi="Arial" w:cs="Arial"/>
          <w:sz w:val="20"/>
          <w:szCs w:val="20"/>
          <w:lang w:val="en-US"/>
        </w:rPr>
        <w:t xml:space="preserve"> </w:t>
      </w:r>
      <w:r w:rsidRPr="009C63F6">
        <w:rPr>
          <w:rFonts w:ascii="Arial" w:hAnsi="Arial" w:cs="Arial"/>
          <w:sz w:val="20"/>
          <w:szCs w:val="20"/>
          <w:lang w:val="en-US"/>
        </w:rPr>
        <w:t xml:space="preserve">making recommendations to the competent authorities in order to improve the treatment and situation of persons deprived of liberty and prevent torture and other cruel, inhuman or degrading treatment or punishment, and presenting proposals and observations concerning current legislation or draft legislation on the matter enjoying total independence in the exercise of </w:t>
      </w:r>
      <w:r w:rsidR="00986AC7">
        <w:rPr>
          <w:rFonts w:ascii="Arial" w:hAnsi="Arial" w:cs="Arial"/>
          <w:sz w:val="20"/>
          <w:szCs w:val="20"/>
          <w:lang w:val="en-US"/>
        </w:rPr>
        <w:t>their</w:t>
      </w:r>
      <w:r w:rsidRPr="009C63F6">
        <w:rPr>
          <w:rFonts w:ascii="Arial" w:hAnsi="Arial" w:cs="Arial"/>
          <w:sz w:val="20"/>
          <w:szCs w:val="20"/>
          <w:lang w:val="en-US"/>
        </w:rPr>
        <w:t xml:space="preserve"> functions. Accordingly, in order to exercise </w:t>
      </w:r>
      <w:r w:rsidR="00986AC7">
        <w:rPr>
          <w:rFonts w:ascii="Arial" w:hAnsi="Arial" w:cs="Arial"/>
          <w:sz w:val="20"/>
          <w:szCs w:val="20"/>
          <w:lang w:val="en-US"/>
        </w:rPr>
        <w:t>their</w:t>
      </w:r>
      <w:r w:rsidRPr="009C63F6">
        <w:rPr>
          <w:rFonts w:ascii="Arial" w:hAnsi="Arial" w:cs="Arial"/>
          <w:sz w:val="20"/>
          <w:szCs w:val="20"/>
          <w:lang w:val="en-US"/>
        </w:rPr>
        <w:t xml:space="preserve"> functions, the Ombuds</w:t>
      </w:r>
      <w:r w:rsidR="00986AC7">
        <w:rPr>
          <w:rFonts w:ascii="Arial" w:hAnsi="Arial" w:cs="Arial"/>
          <w:sz w:val="20"/>
          <w:szCs w:val="20"/>
          <w:lang w:val="en-US"/>
        </w:rPr>
        <w:t>person</w:t>
      </w:r>
      <w:r w:rsidRPr="009C63F6">
        <w:rPr>
          <w:rFonts w:ascii="Arial" w:hAnsi="Arial" w:cs="Arial"/>
          <w:sz w:val="20"/>
          <w:szCs w:val="20"/>
          <w:lang w:val="en-US"/>
        </w:rPr>
        <w:t xml:space="preserve"> is empowered to carry out, with or without notice, inspection visits to all and any sector of activity of the central, regional and local administration, specifically public services and civil and military prisons, companies and services of general interest, whatever their legal nature, or to any entities subject to </w:t>
      </w:r>
      <w:r w:rsidR="00986AC7">
        <w:rPr>
          <w:rFonts w:ascii="Arial" w:hAnsi="Arial" w:cs="Arial"/>
          <w:sz w:val="20"/>
          <w:szCs w:val="20"/>
          <w:lang w:val="en-US"/>
        </w:rPr>
        <w:t>their</w:t>
      </w:r>
      <w:r w:rsidRPr="009C63F6">
        <w:rPr>
          <w:rFonts w:ascii="Arial" w:hAnsi="Arial" w:cs="Arial"/>
          <w:sz w:val="20"/>
          <w:szCs w:val="20"/>
          <w:lang w:val="en-US"/>
        </w:rPr>
        <w:t xml:space="preserve"> control, hearing the respective bodies and agents and requesting information, as well as the exhibition of documents that he deems appropriate.</w:t>
      </w:r>
    </w:p>
    <w:p w14:paraId="52D8A205" w14:textId="015675DC" w:rsidR="00055395" w:rsidRDefault="00055395" w:rsidP="009C63F6">
      <w:pPr>
        <w:tabs>
          <w:tab w:val="left" w:pos="2730"/>
        </w:tabs>
        <w:spacing w:line="360" w:lineRule="auto"/>
        <w:jc w:val="both"/>
        <w:rPr>
          <w:rFonts w:ascii="Arial" w:hAnsi="Arial" w:cs="Arial"/>
          <w:sz w:val="20"/>
          <w:szCs w:val="20"/>
          <w:lang w:val="en-US"/>
        </w:rPr>
      </w:pPr>
    </w:p>
    <w:p w14:paraId="6CF43AB5" w14:textId="4A83FBB9" w:rsidR="009C63F6" w:rsidRPr="009C63F6" w:rsidRDefault="009C63F6" w:rsidP="009C63F6">
      <w:pPr>
        <w:tabs>
          <w:tab w:val="left" w:pos="2730"/>
        </w:tabs>
        <w:spacing w:line="360" w:lineRule="auto"/>
        <w:jc w:val="both"/>
        <w:rPr>
          <w:rFonts w:ascii="Arial" w:hAnsi="Arial" w:cs="Arial"/>
          <w:sz w:val="20"/>
          <w:szCs w:val="20"/>
          <w:u w:val="single"/>
          <w:lang w:val="en-US"/>
        </w:rPr>
      </w:pPr>
      <w:r w:rsidRPr="009C63F6">
        <w:rPr>
          <w:rFonts w:ascii="Arial" w:hAnsi="Arial" w:cs="Arial"/>
          <w:sz w:val="20"/>
          <w:szCs w:val="20"/>
          <w:u w:val="single"/>
          <w:lang w:val="en-US"/>
        </w:rPr>
        <w:t>Victim participation and protection</w:t>
      </w:r>
    </w:p>
    <w:p w14:paraId="0D59FC4A" w14:textId="062AF45B" w:rsidR="001C57CB" w:rsidRPr="009C63F6" w:rsidRDefault="001C57CB"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 xml:space="preserve">Under the Code of Criminal Procedure, a </w:t>
      </w:r>
      <w:r w:rsidR="00986AC7">
        <w:rPr>
          <w:rFonts w:ascii="Arial" w:hAnsi="Arial" w:cs="Arial"/>
          <w:sz w:val="20"/>
          <w:szCs w:val="20"/>
          <w:lang w:val="en-US"/>
        </w:rPr>
        <w:t>‘</w:t>
      </w:r>
      <w:r w:rsidRPr="009C63F6">
        <w:rPr>
          <w:rFonts w:ascii="Arial" w:hAnsi="Arial" w:cs="Arial"/>
          <w:sz w:val="20"/>
          <w:szCs w:val="20"/>
          <w:lang w:val="en-US"/>
        </w:rPr>
        <w:t>victim</w:t>
      </w:r>
      <w:r w:rsidR="00986AC7">
        <w:rPr>
          <w:rFonts w:ascii="Arial" w:hAnsi="Arial" w:cs="Arial"/>
          <w:sz w:val="20"/>
          <w:szCs w:val="20"/>
          <w:lang w:val="en-US"/>
        </w:rPr>
        <w:t>’</w:t>
      </w:r>
      <w:r w:rsidRPr="009C63F6">
        <w:rPr>
          <w:rFonts w:ascii="Arial" w:hAnsi="Arial" w:cs="Arial"/>
          <w:sz w:val="20"/>
          <w:szCs w:val="20"/>
          <w:lang w:val="en-US"/>
        </w:rPr>
        <w:t xml:space="preserve"> </w:t>
      </w:r>
      <w:proofErr w:type="gramStart"/>
      <w:r w:rsidRPr="009C63F6">
        <w:rPr>
          <w:rFonts w:ascii="Arial" w:hAnsi="Arial" w:cs="Arial"/>
          <w:sz w:val="20"/>
          <w:szCs w:val="20"/>
          <w:lang w:val="en-US"/>
        </w:rPr>
        <w:t>is considered to be</w:t>
      </w:r>
      <w:proofErr w:type="gramEnd"/>
      <w:r w:rsidRPr="009C63F6">
        <w:rPr>
          <w:rFonts w:ascii="Arial" w:hAnsi="Arial" w:cs="Arial"/>
          <w:sz w:val="20"/>
          <w:szCs w:val="20"/>
          <w:lang w:val="en-US"/>
        </w:rPr>
        <w:t xml:space="preserve"> a person who has suffered harm, namely physical or psychological integrity or emotional or moral damage, directly caused by action or omission, in the commission of a crime, as well as, in the case of death resulting from a crime, the relatives of the deceased.</w:t>
      </w:r>
    </w:p>
    <w:p w14:paraId="503057A2" w14:textId="77777777" w:rsidR="001C57CB" w:rsidRPr="009C63F6" w:rsidRDefault="001C57CB"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Under the Victim Statute (</w:t>
      </w:r>
      <w:hyperlink r:id="rId12" w:history="1">
        <w:r w:rsidRPr="009C63F6">
          <w:rPr>
            <w:rStyle w:val="Hiperligao"/>
            <w:rFonts w:ascii="Arial" w:hAnsi="Arial" w:cs="Arial"/>
            <w:sz w:val="20"/>
            <w:szCs w:val="20"/>
            <w:lang w:val="en-US"/>
          </w:rPr>
          <w:t>Law no. 130/2015</w:t>
        </w:r>
      </w:hyperlink>
      <w:r w:rsidRPr="009C63F6">
        <w:rPr>
          <w:rFonts w:ascii="Arial" w:hAnsi="Arial" w:cs="Arial"/>
          <w:sz w:val="20"/>
          <w:szCs w:val="20"/>
          <w:lang w:val="en-US"/>
        </w:rPr>
        <w:t xml:space="preserve">), victims enjoy the right to information, which includes access to elements such as the type of services or organizations they can turn to for support; the type of support they can receive; where and how to make a complaint; procedures following a complaint and their role in them; how and requirements of obtaining protection; information on access to legal consultation, legal aid, other forms of counselling, compensation, reimbursement of expenses, interpretation and translation. They shall also have the right to consult the case file and to obtain copies of procedural documents and, whenever they so request, to be informed of the progress of the proceedings and decisions taken </w:t>
      </w:r>
      <w:proofErr w:type="gramStart"/>
      <w:r w:rsidRPr="009C63F6">
        <w:rPr>
          <w:rFonts w:ascii="Arial" w:hAnsi="Arial" w:cs="Arial"/>
          <w:sz w:val="20"/>
          <w:szCs w:val="20"/>
          <w:lang w:val="en-US"/>
        </w:rPr>
        <w:t>in the course of</w:t>
      </w:r>
      <w:proofErr w:type="gramEnd"/>
      <w:r w:rsidRPr="009C63F6">
        <w:rPr>
          <w:rFonts w:ascii="Arial" w:hAnsi="Arial" w:cs="Arial"/>
          <w:sz w:val="20"/>
          <w:szCs w:val="20"/>
          <w:lang w:val="en-US"/>
        </w:rPr>
        <w:t xml:space="preserve"> the proceedings, including on the coercive measures applied to the accused, as well as to be informed of the court verdict.</w:t>
      </w:r>
    </w:p>
    <w:p w14:paraId="607C1ED8" w14:textId="28160369" w:rsidR="001C57CB" w:rsidRPr="009C63F6" w:rsidRDefault="001C57CB"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Victims are also entitled to have the necessary measures taken to ensure that they understand what is happening and are understood in the criminal proceedings, as well as to have access to legal consultation and, if necessary, to subsequent legal aid.</w:t>
      </w:r>
      <w:r w:rsidR="00986AC7">
        <w:rPr>
          <w:rFonts w:ascii="Arial" w:hAnsi="Arial" w:cs="Arial"/>
          <w:sz w:val="20"/>
          <w:szCs w:val="20"/>
          <w:lang w:val="en-US"/>
        </w:rPr>
        <w:t xml:space="preserve"> </w:t>
      </w:r>
      <w:r w:rsidRPr="009C63F6">
        <w:rPr>
          <w:rFonts w:ascii="Arial" w:hAnsi="Arial" w:cs="Arial"/>
          <w:sz w:val="20"/>
          <w:szCs w:val="20"/>
          <w:lang w:val="en-US"/>
        </w:rPr>
        <w:t xml:space="preserve">They should also be reimbursed for expenses incurred </w:t>
      </w:r>
      <w:proofErr w:type="gramStart"/>
      <w:r w:rsidRPr="009C63F6">
        <w:rPr>
          <w:rFonts w:ascii="Arial" w:hAnsi="Arial" w:cs="Arial"/>
          <w:sz w:val="20"/>
          <w:szCs w:val="20"/>
          <w:lang w:val="en-US"/>
        </w:rPr>
        <w:t>as a result of</w:t>
      </w:r>
      <w:proofErr w:type="gramEnd"/>
      <w:r w:rsidRPr="009C63F6">
        <w:rPr>
          <w:rFonts w:ascii="Arial" w:hAnsi="Arial" w:cs="Arial"/>
          <w:sz w:val="20"/>
          <w:szCs w:val="20"/>
          <w:lang w:val="en-US"/>
        </w:rPr>
        <w:t xml:space="preserve"> their participation in criminal proceedings, and their safety and privacy should be </w:t>
      </w:r>
      <w:r w:rsidR="00903903" w:rsidRPr="009C63F6">
        <w:rPr>
          <w:rFonts w:ascii="Arial" w:hAnsi="Arial" w:cs="Arial"/>
          <w:sz w:val="20"/>
          <w:szCs w:val="20"/>
          <w:lang w:val="en-US"/>
        </w:rPr>
        <w:t>protected,</w:t>
      </w:r>
      <w:r w:rsidRPr="009C63F6">
        <w:rPr>
          <w:rFonts w:ascii="Arial" w:hAnsi="Arial" w:cs="Arial"/>
          <w:sz w:val="20"/>
          <w:szCs w:val="20"/>
          <w:lang w:val="en-US"/>
        </w:rPr>
        <w:t xml:space="preserve"> and secondary victimization prevented.</w:t>
      </w:r>
      <w:r w:rsidR="00986AC7">
        <w:rPr>
          <w:rFonts w:ascii="Arial" w:hAnsi="Arial" w:cs="Arial"/>
          <w:sz w:val="20"/>
          <w:szCs w:val="20"/>
          <w:lang w:val="en-US"/>
        </w:rPr>
        <w:t xml:space="preserve"> </w:t>
      </w:r>
      <w:r w:rsidRPr="009C63F6">
        <w:rPr>
          <w:rFonts w:ascii="Arial" w:hAnsi="Arial" w:cs="Arial"/>
          <w:sz w:val="20"/>
          <w:szCs w:val="20"/>
          <w:lang w:val="en-US"/>
        </w:rPr>
        <w:t>The victim shall be entitled, in the framework of criminal proceedings, to obtain a decision on compensation within a reasonable time.</w:t>
      </w:r>
    </w:p>
    <w:p w14:paraId="76D9E995" w14:textId="348BE152" w:rsidR="004922A4" w:rsidRPr="009C63F6" w:rsidRDefault="001C57CB" w:rsidP="009C63F6">
      <w:pPr>
        <w:tabs>
          <w:tab w:val="left" w:pos="2730"/>
        </w:tabs>
        <w:spacing w:line="360" w:lineRule="auto"/>
        <w:jc w:val="both"/>
        <w:rPr>
          <w:rFonts w:ascii="Arial" w:hAnsi="Arial" w:cs="Arial"/>
          <w:sz w:val="20"/>
          <w:szCs w:val="20"/>
          <w:lang w:val="en-US"/>
        </w:rPr>
      </w:pPr>
      <w:r w:rsidRPr="009C63F6">
        <w:rPr>
          <w:rFonts w:ascii="Arial" w:hAnsi="Arial" w:cs="Arial"/>
          <w:sz w:val="20"/>
          <w:szCs w:val="20"/>
          <w:lang w:val="en-US"/>
        </w:rPr>
        <w:t>Given the gravity of the consequences, victims of torture, cruel, inhuman or degrading treatment as well as of sexual and</w:t>
      </w:r>
      <w:r w:rsidR="004922A4" w:rsidRPr="009C63F6">
        <w:rPr>
          <w:rFonts w:ascii="Arial" w:hAnsi="Arial" w:cs="Arial"/>
          <w:sz w:val="20"/>
          <w:szCs w:val="20"/>
          <w:lang w:val="en-US"/>
        </w:rPr>
        <w:t xml:space="preserve"> gender</w:t>
      </w:r>
      <w:r w:rsidR="00986AC7">
        <w:rPr>
          <w:rFonts w:ascii="Arial" w:hAnsi="Arial" w:cs="Arial"/>
          <w:sz w:val="20"/>
          <w:szCs w:val="20"/>
          <w:lang w:val="en-US"/>
        </w:rPr>
        <w:t>-</w:t>
      </w:r>
      <w:r w:rsidR="004922A4" w:rsidRPr="009C63F6">
        <w:rPr>
          <w:rFonts w:ascii="Arial" w:hAnsi="Arial" w:cs="Arial"/>
          <w:sz w:val="20"/>
          <w:szCs w:val="20"/>
          <w:lang w:val="en-US"/>
        </w:rPr>
        <w:t>base</w:t>
      </w:r>
      <w:r w:rsidR="00986AC7">
        <w:rPr>
          <w:rFonts w:ascii="Arial" w:hAnsi="Arial" w:cs="Arial"/>
          <w:sz w:val="20"/>
          <w:szCs w:val="20"/>
          <w:lang w:val="en-US"/>
        </w:rPr>
        <w:t>d</w:t>
      </w:r>
      <w:r w:rsidR="004922A4" w:rsidRPr="009C63F6">
        <w:rPr>
          <w:rFonts w:ascii="Arial" w:hAnsi="Arial" w:cs="Arial"/>
          <w:sz w:val="20"/>
          <w:szCs w:val="20"/>
          <w:lang w:val="en-US"/>
        </w:rPr>
        <w:t xml:space="preserve"> violence</w:t>
      </w:r>
      <w:r w:rsidRPr="009C63F6">
        <w:rPr>
          <w:rFonts w:ascii="Arial" w:hAnsi="Arial" w:cs="Arial"/>
          <w:sz w:val="20"/>
          <w:szCs w:val="20"/>
          <w:lang w:val="en-US"/>
        </w:rPr>
        <w:t xml:space="preserve"> </w:t>
      </w:r>
      <w:r w:rsidR="004922A4" w:rsidRPr="009C63F6">
        <w:rPr>
          <w:rFonts w:ascii="Arial" w:hAnsi="Arial" w:cs="Arial"/>
          <w:sz w:val="20"/>
          <w:szCs w:val="20"/>
          <w:lang w:val="en-US"/>
        </w:rPr>
        <w:t>can be</w:t>
      </w:r>
      <w:r w:rsidRPr="009C63F6">
        <w:rPr>
          <w:rFonts w:ascii="Arial" w:hAnsi="Arial" w:cs="Arial"/>
          <w:sz w:val="20"/>
          <w:szCs w:val="20"/>
          <w:lang w:val="en-US"/>
        </w:rPr>
        <w:t xml:space="preserve"> granted the status of </w:t>
      </w:r>
      <w:r w:rsidR="00986AC7">
        <w:rPr>
          <w:rFonts w:ascii="Arial" w:hAnsi="Arial" w:cs="Arial"/>
          <w:sz w:val="20"/>
          <w:szCs w:val="20"/>
          <w:lang w:val="en-US"/>
        </w:rPr>
        <w:t>‘</w:t>
      </w:r>
      <w:r w:rsidRPr="009C63F6">
        <w:rPr>
          <w:rFonts w:ascii="Arial" w:hAnsi="Arial" w:cs="Arial"/>
          <w:sz w:val="20"/>
          <w:szCs w:val="20"/>
          <w:lang w:val="en-US"/>
        </w:rPr>
        <w:t>particularly vulnerable victims</w:t>
      </w:r>
      <w:r w:rsidR="00986AC7">
        <w:rPr>
          <w:rFonts w:ascii="Arial" w:hAnsi="Arial" w:cs="Arial"/>
          <w:sz w:val="20"/>
          <w:szCs w:val="20"/>
          <w:lang w:val="en-US"/>
        </w:rPr>
        <w:t>’</w:t>
      </w:r>
      <w:r w:rsidRPr="009C63F6">
        <w:rPr>
          <w:rFonts w:ascii="Arial" w:hAnsi="Arial" w:cs="Arial"/>
          <w:sz w:val="20"/>
          <w:szCs w:val="20"/>
          <w:lang w:val="en-US"/>
        </w:rPr>
        <w:t>, which entitles them to benefit from special protection measures</w:t>
      </w:r>
      <w:r w:rsidR="005A7CFC">
        <w:rPr>
          <w:rFonts w:ascii="Arial" w:hAnsi="Arial" w:cs="Arial"/>
          <w:sz w:val="20"/>
          <w:szCs w:val="20"/>
          <w:lang w:val="en-US"/>
        </w:rPr>
        <w:t>,</w:t>
      </w:r>
      <w:r w:rsidRPr="009C63F6">
        <w:rPr>
          <w:rFonts w:ascii="Arial" w:hAnsi="Arial" w:cs="Arial"/>
          <w:sz w:val="20"/>
          <w:szCs w:val="20"/>
          <w:lang w:val="en-US"/>
        </w:rPr>
        <w:t xml:space="preserve"> such as the right to be questioned by the same person at all times, action to avoid visual contact between victims and accused persons, including during the giving of evidence, through the use of appropriate technological means, the provision of statements for future use and the exclusion of publicity during hearings. If necessary, access to State-supported shelters and medical assistance and medication can also be provided. These victims are exempted from the payment of user charges within the National Health Service.</w:t>
      </w:r>
    </w:p>
    <w:p w14:paraId="3E9822CC" w14:textId="3E2423E5" w:rsidR="004922A4" w:rsidRPr="009C63F6" w:rsidRDefault="00000000" w:rsidP="009C63F6">
      <w:pPr>
        <w:tabs>
          <w:tab w:val="left" w:pos="2730"/>
        </w:tabs>
        <w:spacing w:line="360" w:lineRule="auto"/>
        <w:jc w:val="both"/>
        <w:rPr>
          <w:rFonts w:ascii="Arial" w:hAnsi="Arial" w:cs="Arial"/>
          <w:sz w:val="20"/>
          <w:szCs w:val="20"/>
          <w:lang w:val="en-US"/>
        </w:rPr>
      </w:pPr>
      <w:hyperlink r:id="rId13" w:history="1">
        <w:r w:rsidR="004922A4" w:rsidRPr="009C63F6">
          <w:rPr>
            <w:rStyle w:val="Hiperligao"/>
            <w:rFonts w:ascii="Arial" w:hAnsi="Arial" w:cs="Arial"/>
            <w:sz w:val="20"/>
            <w:szCs w:val="20"/>
            <w:lang w:val="en-US"/>
          </w:rPr>
          <w:t>Law No. 93/2021</w:t>
        </w:r>
      </w:hyperlink>
      <w:r w:rsidR="004922A4" w:rsidRPr="009C63F6">
        <w:rPr>
          <w:rFonts w:ascii="Arial" w:hAnsi="Arial" w:cs="Arial"/>
          <w:sz w:val="20"/>
          <w:szCs w:val="20"/>
          <w:lang w:val="en-US"/>
        </w:rPr>
        <w:t xml:space="preserve"> established the general regime for the protection of whistleblowers, transposing the </w:t>
      </w:r>
      <w:hyperlink r:id="rId14" w:history="1">
        <w:r w:rsidR="004922A4" w:rsidRPr="009C63F6">
          <w:rPr>
            <w:rStyle w:val="Hiperligao"/>
            <w:rFonts w:ascii="Arial" w:hAnsi="Arial" w:cs="Arial"/>
            <w:sz w:val="20"/>
            <w:szCs w:val="20"/>
            <w:lang w:val="en-US"/>
          </w:rPr>
          <w:t>European Union Directive 2019/1937</w:t>
        </w:r>
      </w:hyperlink>
      <w:r w:rsidR="004922A4" w:rsidRPr="009C63F6">
        <w:rPr>
          <w:rFonts w:ascii="Arial" w:hAnsi="Arial" w:cs="Arial"/>
          <w:sz w:val="20"/>
          <w:szCs w:val="20"/>
          <w:lang w:val="en-US"/>
        </w:rPr>
        <w:t xml:space="preserve"> of the European Parliament and of the Council of October 23, 2019 on the protection of persons who report violations of European Union law.</w:t>
      </w:r>
    </w:p>
    <w:p w14:paraId="188BF0C1" w14:textId="4A1BCF6D" w:rsidR="00413C2B" w:rsidRPr="009C63F6" w:rsidRDefault="00000000" w:rsidP="005A7CFC">
      <w:pPr>
        <w:tabs>
          <w:tab w:val="left" w:pos="2730"/>
        </w:tabs>
        <w:spacing w:line="360" w:lineRule="auto"/>
        <w:jc w:val="both"/>
        <w:rPr>
          <w:rFonts w:ascii="Arial" w:hAnsi="Arial" w:cs="Arial"/>
          <w:sz w:val="20"/>
          <w:szCs w:val="20"/>
          <w:lang w:val="en-GB"/>
        </w:rPr>
      </w:pPr>
      <w:hyperlink r:id="rId15" w:history="1">
        <w:r w:rsidR="004922A4" w:rsidRPr="009C63F6">
          <w:rPr>
            <w:rStyle w:val="Hiperligao"/>
            <w:rFonts w:ascii="Arial" w:hAnsi="Arial" w:cs="Arial"/>
            <w:sz w:val="20"/>
            <w:szCs w:val="20"/>
            <w:lang w:val="en-US"/>
          </w:rPr>
          <w:t>Law 93/99</w:t>
        </w:r>
      </w:hyperlink>
      <w:r w:rsidR="004922A4" w:rsidRPr="009C63F6">
        <w:rPr>
          <w:rFonts w:ascii="Arial" w:hAnsi="Arial" w:cs="Arial"/>
          <w:sz w:val="20"/>
          <w:szCs w:val="20"/>
          <w:lang w:val="en-US"/>
        </w:rPr>
        <w:t xml:space="preserve"> regulates the application of measures to protect witnesses in criminal proceedings when their life, physical or psychological integrity, freedom, or property of considerable value are endangered </w:t>
      </w:r>
      <w:proofErr w:type="gramStart"/>
      <w:r w:rsidR="004922A4" w:rsidRPr="009C63F6">
        <w:rPr>
          <w:rFonts w:ascii="Arial" w:hAnsi="Arial" w:cs="Arial"/>
          <w:sz w:val="20"/>
          <w:szCs w:val="20"/>
          <w:lang w:val="en-US"/>
        </w:rPr>
        <w:t>as a result of</w:t>
      </w:r>
      <w:proofErr w:type="gramEnd"/>
      <w:r w:rsidR="004922A4" w:rsidRPr="009C63F6">
        <w:rPr>
          <w:rFonts w:ascii="Arial" w:hAnsi="Arial" w:cs="Arial"/>
          <w:sz w:val="20"/>
          <w:szCs w:val="20"/>
          <w:lang w:val="en-US"/>
        </w:rPr>
        <w:t xml:space="preserve"> their contribution to the evidence of the facts that are the subject matter of the proceedings.</w:t>
      </w:r>
    </w:p>
    <w:sectPr w:rsidR="00413C2B" w:rsidRPr="009C63F6" w:rsidSect="00841877">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5661" w14:textId="77777777" w:rsidR="00E307A4" w:rsidRDefault="00E307A4" w:rsidP="0091264A">
      <w:pPr>
        <w:spacing w:after="0" w:line="240" w:lineRule="auto"/>
      </w:pPr>
      <w:r>
        <w:separator/>
      </w:r>
    </w:p>
  </w:endnote>
  <w:endnote w:type="continuationSeparator" w:id="0">
    <w:p w14:paraId="4CE87B84" w14:textId="77777777" w:rsidR="00E307A4" w:rsidRDefault="00E307A4" w:rsidP="0091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9972"/>
      <w:docPartObj>
        <w:docPartGallery w:val="Page Numbers (Bottom of Page)"/>
        <w:docPartUnique/>
      </w:docPartObj>
    </w:sdtPr>
    <w:sdtContent>
      <w:p w14:paraId="77954922" w14:textId="32D8DCE7" w:rsidR="009005FC" w:rsidRDefault="009005FC">
        <w:pPr>
          <w:pStyle w:val="Rodap"/>
          <w:jc w:val="center"/>
        </w:pPr>
        <w:r>
          <w:fldChar w:fldCharType="begin"/>
        </w:r>
        <w:r>
          <w:instrText>PAGE   \* MERGEFORMAT</w:instrText>
        </w:r>
        <w:r>
          <w:fldChar w:fldCharType="separate"/>
        </w:r>
        <w:r>
          <w:t>2</w:t>
        </w:r>
        <w:r>
          <w:fldChar w:fldCharType="end"/>
        </w:r>
      </w:p>
    </w:sdtContent>
  </w:sdt>
  <w:p w14:paraId="3B2DE135" w14:textId="77777777" w:rsidR="009005FC" w:rsidRDefault="009005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0AFE" w14:textId="77777777" w:rsidR="00E307A4" w:rsidRDefault="00E307A4" w:rsidP="0091264A">
      <w:pPr>
        <w:spacing w:after="0" w:line="240" w:lineRule="auto"/>
      </w:pPr>
      <w:r>
        <w:separator/>
      </w:r>
    </w:p>
  </w:footnote>
  <w:footnote w:type="continuationSeparator" w:id="0">
    <w:p w14:paraId="3BA0CB11" w14:textId="77777777" w:rsidR="00E307A4" w:rsidRDefault="00E307A4" w:rsidP="00912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CEFC" w14:textId="77777777" w:rsidR="009157D6" w:rsidRDefault="009157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B32"/>
    <w:multiLevelType w:val="hybridMultilevel"/>
    <w:tmpl w:val="BE704D9A"/>
    <w:lvl w:ilvl="0" w:tplc="265CFAA8">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AA10C06"/>
    <w:multiLevelType w:val="hybridMultilevel"/>
    <w:tmpl w:val="182CAB76"/>
    <w:lvl w:ilvl="0" w:tplc="7102BE82">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345446343">
    <w:abstractNumId w:val="1"/>
  </w:num>
  <w:num w:numId="2" w16cid:durableId="80107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4D"/>
    <w:rsid w:val="00055395"/>
    <w:rsid w:val="000604D7"/>
    <w:rsid w:val="000662D6"/>
    <w:rsid w:val="00083A2B"/>
    <w:rsid w:val="000D0CEB"/>
    <w:rsid w:val="001136FC"/>
    <w:rsid w:val="00116997"/>
    <w:rsid w:val="00181454"/>
    <w:rsid w:val="001C57CB"/>
    <w:rsid w:val="001C6CAE"/>
    <w:rsid w:val="002209B7"/>
    <w:rsid w:val="002510DF"/>
    <w:rsid w:val="002D308C"/>
    <w:rsid w:val="00354793"/>
    <w:rsid w:val="003E6108"/>
    <w:rsid w:val="00413C2B"/>
    <w:rsid w:val="004150CF"/>
    <w:rsid w:val="00440F69"/>
    <w:rsid w:val="004922A4"/>
    <w:rsid w:val="00543A3B"/>
    <w:rsid w:val="005A7CFC"/>
    <w:rsid w:val="00604F96"/>
    <w:rsid w:val="006064FE"/>
    <w:rsid w:val="00657BE9"/>
    <w:rsid w:val="00685C47"/>
    <w:rsid w:val="007A4ECF"/>
    <w:rsid w:val="00827A31"/>
    <w:rsid w:val="008E6344"/>
    <w:rsid w:val="008E6A78"/>
    <w:rsid w:val="009005FC"/>
    <w:rsid w:val="00903903"/>
    <w:rsid w:val="0091264A"/>
    <w:rsid w:val="009157D6"/>
    <w:rsid w:val="00933483"/>
    <w:rsid w:val="00940489"/>
    <w:rsid w:val="009621F7"/>
    <w:rsid w:val="00963EB3"/>
    <w:rsid w:val="0097154D"/>
    <w:rsid w:val="00986AC7"/>
    <w:rsid w:val="009A7336"/>
    <w:rsid w:val="009C63F6"/>
    <w:rsid w:val="009C78B7"/>
    <w:rsid w:val="00A66E73"/>
    <w:rsid w:val="00A80306"/>
    <w:rsid w:val="00A9048F"/>
    <w:rsid w:val="00B262B5"/>
    <w:rsid w:val="00B75AB5"/>
    <w:rsid w:val="00C340AB"/>
    <w:rsid w:val="00C830B9"/>
    <w:rsid w:val="00CE22EA"/>
    <w:rsid w:val="00D14473"/>
    <w:rsid w:val="00D14FD2"/>
    <w:rsid w:val="00D2453F"/>
    <w:rsid w:val="00D57659"/>
    <w:rsid w:val="00D60550"/>
    <w:rsid w:val="00D80E28"/>
    <w:rsid w:val="00DA4D0D"/>
    <w:rsid w:val="00DE4811"/>
    <w:rsid w:val="00DE7F33"/>
    <w:rsid w:val="00E307A4"/>
    <w:rsid w:val="00E50646"/>
    <w:rsid w:val="00E71F5B"/>
    <w:rsid w:val="00EA19BB"/>
    <w:rsid w:val="00EC73D5"/>
    <w:rsid w:val="00F251F2"/>
    <w:rsid w:val="00F3514A"/>
    <w:rsid w:val="00F6073C"/>
    <w:rsid w:val="00F84A86"/>
    <w:rsid w:val="00F94822"/>
    <w:rsid w:val="00FB6398"/>
    <w:rsid w:val="00FE195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97BE"/>
  <w15:chartTrackingRefBased/>
  <w15:docId w15:val="{9FE299FC-F89B-4DF9-B279-CEAE8C0E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0662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1264A"/>
    <w:pPr>
      <w:tabs>
        <w:tab w:val="center" w:pos="4252"/>
        <w:tab w:val="right" w:pos="8504"/>
      </w:tabs>
      <w:spacing w:after="0" w:line="240" w:lineRule="auto"/>
      <w:ind w:firstLine="567"/>
      <w:jc w:val="both"/>
    </w:pPr>
    <w:rPr>
      <w:rFonts w:ascii="Tahoma" w:hAnsi="Tahoma" w:cs="Times New Roman"/>
      <w:sz w:val="20"/>
      <w:szCs w:val="24"/>
    </w:rPr>
  </w:style>
  <w:style w:type="character" w:customStyle="1" w:styleId="CabealhoCarter">
    <w:name w:val="Cabeçalho Caráter"/>
    <w:basedOn w:val="Tipodeletrapredefinidodopargrafo"/>
    <w:link w:val="Cabealho"/>
    <w:uiPriority w:val="99"/>
    <w:rsid w:val="0091264A"/>
    <w:rPr>
      <w:rFonts w:ascii="Tahoma" w:hAnsi="Tahoma" w:cs="Times New Roman"/>
      <w:sz w:val="20"/>
      <w:szCs w:val="24"/>
    </w:rPr>
  </w:style>
  <w:style w:type="paragraph" w:styleId="Rodap">
    <w:name w:val="footer"/>
    <w:basedOn w:val="Normal"/>
    <w:link w:val="RodapCarter"/>
    <w:uiPriority w:val="99"/>
    <w:unhideWhenUsed/>
    <w:rsid w:val="0091264A"/>
    <w:pPr>
      <w:tabs>
        <w:tab w:val="center" w:pos="4252"/>
        <w:tab w:val="right" w:pos="8504"/>
      </w:tabs>
      <w:spacing w:after="0" w:line="240" w:lineRule="auto"/>
      <w:ind w:firstLine="567"/>
      <w:jc w:val="both"/>
    </w:pPr>
    <w:rPr>
      <w:rFonts w:ascii="Tahoma" w:hAnsi="Tahoma" w:cs="Times New Roman"/>
      <w:sz w:val="20"/>
      <w:szCs w:val="24"/>
    </w:rPr>
  </w:style>
  <w:style w:type="character" w:customStyle="1" w:styleId="RodapCarter">
    <w:name w:val="Rodapé Caráter"/>
    <w:basedOn w:val="Tipodeletrapredefinidodopargrafo"/>
    <w:link w:val="Rodap"/>
    <w:uiPriority w:val="99"/>
    <w:rsid w:val="0091264A"/>
    <w:rPr>
      <w:rFonts w:ascii="Tahoma" w:hAnsi="Tahoma" w:cs="Times New Roman"/>
      <w:sz w:val="20"/>
      <w:szCs w:val="24"/>
    </w:rPr>
  </w:style>
  <w:style w:type="paragraph" w:styleId="NormalWeb">
    <w:name w:val="Normal (Web)"/>
    <w:basedOn w:val="Normal"/>
    <w:uiPriority w:val="99"/>
    <w:semiHidden/>
    <w:unhideWhenUsed/>
    <w:rsid w:val="00604F96"/>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highlight">
    <w:name w:val="highlight"/>
    <w:basedOn w:val="Tipodeletrapredefinidodopargrafo"/>
    <w:rsid w:val="00604F96"/>
  </w:style>
  <w:style w:type="character" w:customStyle="1" w:styleId="Ttulo1Carter">
    <w:name w:val="Título 1 Caráter"/>
    <w:basedOn w:val="Tipodeletrapredefinidodopargrafo"/>
    <w:link w:val="Ttulo1"/>
    <w:uiPriority w:val="9"/>
    <w:rsid w:val="000662D6"/>
    <w:rPr>
      <w:rFonts w:ascii="Times New Roman" w:eastAsia="Times New Roman" w:hAnsi="Times New Roman" w:cs="Times New Roman"/>
      <w:b/>
      <w:bCs/>
      <w:kern w:val="36"/>
      <w:sz w:val="48"/>
      <w:szCs w:val="48"/>
      <w:lang w:eastAsia="pt-PT"/>
    </w:rPr>
  </w:style>
  <w:style w:type="character" w:customStyle="1" w:styleId="heading1">
    <w:name w:val="heading1"/>
    <w:basedOn w:val="Tipodeletrapredefinidodopargrafo"/>
    <w:rsid w:val="000662D6"/>
  </w:style>
  <w:style w:type="character" w:styleId="Hiperligao">
    <w:name w:val="Hyperlink"/>
    <w:basedOn w:val="Tipodeletrapredefinidodopargrafo"/>
    <w:uiPriority w:val="99"/>
    <w:unhideWhenUsed/>
    <w:rsid w:val="006064FE"/>
    <w:rPr>
      <w:color w:val="0563C1" w:themeColor="hyperlink"/>
      <w:u w:val="single"/>
    </w:rPr>
  </w:style>
  <w:style w:type="character" w:styleId="nfase">
    <w:name w:val="Emphasis"/>
    <w:basedOn w:val="Tipodeletrapredefinidodopargrafo"/>
    <w:uiPriority w:val="20"/>
    <w:qFormat/>
    <w:rsid w:val="00FB6398"/>
    <w:rPr>
      <w:i/>
      <w:iCs/>
    </w:rPr>
  </w:style>
  <w:style w:type="paragraph" w:styleId="PargrafodaLista">
    <w:name w:val="List Paragraph"/>
    <w:basedOn w:val="Normal"/>
    <w:uiPriority w:val="34"/>
    <w:qFormat/>
    <w:rsid w:val="001C6CAE"/>
    <w:pPr>
      <w:ind w:left="720"/>
      <w:contextualSpacing/>
    </w:pPr>
  </w:style>
  <w:style w:type="character" w:styleId="Forte">
    <w:name w:val="Strong"/>
    <w:basedOn w:val="Tipodeletrapredefinidodopargrafo"/>
    <w:uiPriority w:val="22"/>
    <w:qFormat/>
    <w:rsid w:val="001C57CB"/>
    <w:rPr>
      <w:b/>
      <w:bCs/>
    </w:rPr>
  </w:style>
  <w:style w:type="character" w:styleId="Hiperligaovisitada">
    <w:name w:val="FollowedHyperlink"/>
    <w:basedOn w:val="Tipodeletrapredefinidodopargrafo"/>
    <w:uiPriority w:val="99"/>
    <w:semiHidden/>
    <w:unhideWhenUsed/>
    <w:rsid w:val="00492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59930">
      <w:bodyDiv w:val="1"/>
      <w:marLeft w:val="0"/>
      <w:marRight w:val="0"/>
      <w:marTop w:val="0"/>
      <w:marBottom w:val="0"/>
      <w:divBdr>
        <w:top w:val="none" w:sz="0" w:space="0" w:color="auto"/>
        <w:left w:val="none" w:sz="0" w:space="0" w:color="auto"/>
        <w:bottom w:val="none" w:sz="0" w:space="0" w:color="auto"/>
        <w:right w:val="none" w:sz="0" w:space="0" w:color="auto"/>
      </w:divBdr>
    </w:div>
    <w:div w:id="914127941">
      <w:bodyDiv w:val="1"/>
      <w:marLeft w:val="0"/>
      <w:marRight w:val="0"/>
      <w:marTop w:val="0"/>
      <w:marBottom w:val="0"/>
      <w:divBdr>
        <w:top w:val="none" w:sz="0" w:space="0" w:color="auto"/>
        <w:left w:val="none" w:sz="0" w:space="0" w:color="auto"/>
        <w:bottom w:val="none" w:sz="0" w:space="0" w:color="auto"/>
        <w:right w:val="none" w:sz="0" w:space="0" w:color="auto"/>
      </w:divBdr>
    </w:div>
    <w:div w:id="1265386744">
      <w:bodyDiv w:val="1"/>
      <w:marLeft w:val="0"/>
      <w:marRight w:val="0"/>
      <w:marTop w:val="0"/>
      <w:marBottom w:val="0"/>
      <w:divBdr>
        <w:top w:val="none" w:sz="0" w:space="0" w:color="auto"/>
        <w:left w:val="none" w:sz="0" w:space="0" w:color="auto"/>
        <w:bottom w:val="none" w:sz="0" w:space="0" w:color="auto"/>
        <w:right w:val="none" w:sz="0" w:space="0" w:color="auto"/>
      </w:divBdr>
      <w:divsChild>
        <w:div w:id="474492670">
          <w:marLeft w:val="0"/>
          <w:marRight w:val="0"/>
          <w:marTop w:val="300"/>
          <w:marBottom w:val="300"/>
          <w:divBdr>
            <w:top w:val="none" w:sz="0" w:space="0" w:color="auto"/>
            <w:left w:val="none" w:sz="0" w:space="0" w:color="auto"/>
            <w:bottom w:val="none" w:sz="0" w:space="0" w:color="auto"/>
            <w:right w:val="none" w:sz="0" w:space="0" w:color="auto"/>
          </w:divBdr>
        </w:div>
        <w:div w:id="1498233017">
          <w:marLeft w:val="0"/>
          <w:marRight w:val="0"/>
          <w:marTop w:val="300"/>
          <w:marBottom w:val="300"/>
          <w:divBdr>
            <w:top w:val="none" w:sz="0" w:space="0" w:color="auto"/>
            <w:left w:val="none" w:sz="0" w:space="0" w:color="auto"/>
            <w:bottom w:val="none" w:sz="0" w:space="0" w:color="auto"/>
            <w:right w:val="none" w:sz="0" w:space="0" w:color="auto"/>
          </w:divBdr>
        </w:div>
        <w:div w:id="411972729">
          <w:marLeft w:val="0"/>
          <w:marRight w:val="0"/>
          <w:marTop w:val="0"/>
          <w:marBottom w:val="38"/>
          <w:divBdr>
            <w:top w:val="single" w:sz="2" w:space="0" w:color="999999"/>
            <w:left w:val="single" w:sz="2" w:space="0" w:color="999999"/>
            <w:bottom w:val="single" w:sz="6" w:space="0" w:color="999999"/>
            <w:right w:val="single" w:sz="2" w:space="0" w:color="999999"/>
          </w:divBdr>
        </w:div>
        <w:div w:id="1925337282">
          <w:marLeft w:val="0"/>
          <w:marRight w:val="0"/>
          <w:marTop w:val="150"/>
          <w:marBottom w:val="150"/>
          <w:divBdr>
            <w:top w:val="none" w:sz="0" w:space="0" w:color="auto"/>
            <w:left w:val="none" w:sz="0" w:space="0" w:color="auto"/>
            <w:bottom w:val="none" w:sz="0" w:space="0" w:color="auto"/>
            <w:right w:val="none" w:sz="0" w:space="0" w:color="auto"/>
          </w:divBdr>
          <w:divsChild>
            <w:div w:id="1320504445">
              <w:marLeft w:val="0"/>
              <w:marRight w:val="0"/>
              <w:marTop w:val="0"/>
              <w:marBottom w:val="0"/>
              <w:divBdr>
                <w:top w:val="none" w:sz="0" w:space="0" w:color="auto"/>
                <w:left w:val="none" w:sz="0" w:space="0" w:color="auto"/>
                <w:bottom w:val="none" w:sz="0" w:space="0" w:color="auto"/>
                <w:right w:val="none" w:sz="0" w:space="0" w:color="auto"/>
              </w:divBdr>
              <w:divsChild>
                <w:div w:id="3097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8802">
      <w:bodyDiv w:val="1"/>
      <w:marLeft w:val="0"/>
      <w:marRight w:val="0"/>
      <w:marTop w:val="0"/>
      <w:marBottom w:val="0"/>
      <w:divBdr>
        <w:top w:val="none" w:sz="0" w:space="0" w:color="auto"/>
        <w:left w:val="none" w:sz="0" w:space="0" w:color="auto"/>
        <w:bottom w:val="none" w:sz="0" w:space="0" w:color="auto"/>
        <w:right w:val="none" w:sz="0" w:space="0" w:color="auto"/>
      </w:divBdr>
    </w:div>
    <w:div w:id="1351681182">
      <w:bodyDiv w:val="1"/>
      <w:marLeft w:val="0"/>
      <w:marRight w:val="0"/>
      <w:marTop w:val="0"/>
      <w:marBottom w:val="0"/>
      <w:divBdr>
        <w:top w:val="none" w:sz="0" w:space="0" w:color="auto"/>
        <w:left w:val="none" w:sz="0" w:space="0" w:color="auto"/>
        <w:bottom w:val="none" w:sz="0" w:space="0" w:color="auto"/>
        <w:right w:val="none" w:sz="0" w:space="0" w:color="auto"/>
      </w:divBdr>
    </w:div>
    <w:div w:id="19095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dlisboa.pt/leis/lei_mostra_articulado.php?nid=109&amp;tabela=leis" TargetMode="External"/><Relationship Id="rId13" Type="http://schemas.openxmlformats.org/officeDocument/2006/relationships/hyperlink" Target="https://dre.pt/dre/detalhe/lei/93-2021-1761479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gdlisboa.pt/leis/lei_mostra_articulado.php?tabela=leis&amp;nid=2394&amp;pagina=1&amp;ficha=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dlisboa.pt/leis/lei_mostra_articulado.php?nid=199&amp;tabela=leis" TargetMode="External"/><Relationship Id="rId5" Type="http://schemas.openxmlformats.org/officeDocument/2006/relationships/webSettings" Target="webSettings.xml"/><Relationship Id="rId15" Type="http://schemas.openxmlformats.org/officeDocument/2006/relationships/hyperlink" Target="https://www.pgdlisboa.pt/leis/lei_mostra_articulado.php?nid=234&amp;tabela=leis" TargetMode="External"/><Relationship Id="rId10" Type="http://schemas.openxmlformats.org/officeDocument/2006/relationships/hyperlink" Target="https://www.pgdlisboa.pt/leis/lei_mostra_articulado.php?nid=326&amp;tabela=leis&amp;so_miol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gdlisboa.pt/leis/lei_mostra_articulado.php?nid=123&amp;tabela=leis" TargetMode="External"/><Relationship Id="rId14" Type="http://schemas.openxmlformats.org/officeDocument/2006/relationships/hyperlink" Target="https://eur-lex.europa.eu/legal-content/EN/TXT/HTML/?uri=CELEX:32019L1937&amp;from=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3E7D-1C30-4A6D-A55D-131F0347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Matos</dc:creator>
  <cp:keywords/>
  <dc:description/>
  <cp:lastModifiedBy>Gonçalo Motta</cp:lastModifiedBy>
  <cp:revision>2</cp:revision>
  <cp:lastPrinted>2022-12-01T09:37:00Z</cp:lastPrinted>
  <dcterms:created xsi:type="dcterms:W3CDTF">2022-12-01T16:54:00Z</dcterms:created>
  <dcterms:modified xsi:type="dcterms:W3CDTF">2022-12-01T16:54:00Z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UrlBase">
    <vt:lpwstr>https://dgpj.edoc.mj.pt/</vt:lpwstr>
  </property>
  <property fmtid="{D5CDD505-2E9C-101B-9397-08002B2CF9AE}" pid="3" name="_edoclink_DocumentKey">
    <vt:lpwstr>1b6edc80-04e2-4887-9302-0caa0304475b</vt:lpwstr>
  </property>
  <property fmtid="{D5CDD505-2E9C-101B-9397-08002B2CF9AE}" pid="4" name="_edoclink_DocumentVersion">
    <vt:lpwstr>3</vt:lpwstr>
  </property>
  <property fmtid="{D5CDD505-2E9C-101B-9397-08002B2CF9AE}" pid="5" name="_edoclink_StageKey">
    <vt:lpwstr>09c15c8b-d96c-ed11-910d-0050569dfd47</vt:lpwstr>
  </property>
  <property fmtid="{D5CDD505-2E9C-101B-9397-08002B2CF9AE}" pid="6" name="_edoclink_ContainerType">
    <vt:lpwstr>Distribution</vt:lpwstr>
  </property>
  <property fmtid="{D5CDD505-2E9C-101B-9397-08002B2CF9AE}" pid="7" name="_edoclink_ContainerKey">
    <vt:lpwstr>08e7e8a4-6466-ed11-910d-0050569dfd47</vt:lpwstr>
  </property>
</Properties>
</file>