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F162" w14:textId="4FF70866" w:rsidR="002761E8" w:rsidRPr="006D7BAF" w:rsidRDefault="002761E8" w:rsidP="006516F1">
      <w:pPr>
        <w:pStyle w:val="xmsonormal"/>
        <w:jc w:val="right"/>
        <w:rPr>
          <w:rFonts w:ascii="Montserrat" w:hAnsi="Montserrat"/>
          <w:i/>
          <w:iCs/>
          <w:color w:val="000000"/>
          <w:sz w:val="20"/>
          <w:szCs w:val="20"/>
          <w:lang w:val="es-MX"/>
        </w:rPr>
      </w:pPr>
      <w:r w:rsidRPr="006D7BAF">
        <w:rPr>
          <w:rFonts w:ascii="Montserrat" w:hAnsi="Montserrat"/>
          <w:i/>
          <w:iCs/>
          <w:color w:val="000000"/>
          <w:sz w:val="20"/>
          <w:szCs w:val="20"/>
          <w:lang w:val="es-MX"/>
        </w:rPr>
        <w:t xml:space="preserve">“2022, </w:t>
      </w:r>
      <w:r w:rsidR="0023346E">
        <w:rPr>
          <w:rFonts w:ascii="Montserrat" w:hAnsi="Montserrat"/>
          <w:i/>
          <w:iCs/>
          <w:color w:val="000000"/>
          <w:sz w:val="20"/>
          <w:szCs w:val="20"/>
          <w:lang w:val="es-MX"/>
        </w:rPr>
        <w:t>Año de Ricardo Flores Magón</w:t>
      </w:r>
      <w:r w:rsidRPr="006D7BAF">
        <w:rPr>
          <w:rFonts w:ascii="Montserrat" w:hAnsi="Montserrat"/>
          <w:i/>
          <w:iCs/>
          <w:color w:val="000000"/>
          <w:sz w:val="20"/>
          <w:szCs w:val="20"/>
          <w:lang w:val="es-MX"/>
        </w:rPr>
        <w:t>”</w:t>
      </w:r>
    </w:p>
    <w:p w14:paraId="2E2E65E8" w14:textId="260E0D3A" w:rsidR="006516F1" w:rsidRDefault="006516F1" w:rsidP="006516F1">
      <w:pPr>
        <w:pStyle w:val="xmsonormal"/>
        <w:jc w:val="right"/>
        <w:rPr>
          <w:rFonts w:ascii="Montserrat" w:hAnsi="Montserrat"/>
          <w:lang w:val="es-MX"/>
        </w:rPr>
      </w:pPr>
      <w:r>
        <w:rPr>
          <w:rFonts w:ascii="Montserrat" w:hAnsi="Montserrat"/>
          <w:color w:val="000000"/>
          <w:sz w:val="22"/>
          <w:szCs w:val="22"/>
          <w:bdr w:val="none" w:sz="0" w:space="0" w:color="auto" w:frame="1"/>
          <w:lang w:val="es-MX"/>
        </w:rPr>
        <w:t> </w:t>
      </w:r>
    </w:p>
    <w:p w14:paraId="45085198" w14:textId="77777777" w:rsidR="006516F1" w:rsidRDefault="006516F1" w:rsidP="006516F1">
      <w:pPr>
        <w:pStyle w:val="xmsonormal"/>
        <w:shd w:val="clear" w:color="auto" w:fill="FFFFFF"/>
        <w:jc w:val="right"/>
        <w:rPr>
          <w:rFonts w:ascii="Montserrat" w:hAnsi="Montserrat"/>
          <w:lang w:val="es-MX"/>
        </w:rPr>
      </w:pPr>
      <w:r>
        <w:rPr>
          <w:rFonts w:ascii="Montserrat" w:hAnsi="Montserrat"/>
          <w:b/>
          <w:bCs/>
          <w:color w:val="000000"/>
          <w:sz w:val="22"/>
          <w:szCs w:val="22"/>
          <w:bdr w:val="none" w:sz="0" w:space="0" w:color="auto" w:frame="1"/>
          <w:lang w:val="es-MX"/>
        </w:rPr>
        <w:t>Subsecretaría para Asuntos Multilaterales y Derechos Humanos</w:t>
      </w:r>
    </w:p>
    <w:p w14:paraId="6B2F05AA" w14:textId="77777777" w:rsidR="006516F1" w:rsidRDefault="006516F1" w:rsidP="006516F1">
      <w:pPr>
        <w:pStyle w:val="xmsonormal"/>
        <w:shd w:val="clear" w:color="auto" w:fill="FFFFFF"/>
        <w:jc w:val="right"/>
        <w:rPr>
          <w:rFonts w:ascii="Montserrat" w:hAnsi="Montserrat"/>
          <w:color w:val="000000"/>
          <w:sz w:val="20"/>
          <w:szCs w:val="20"/>
          <w:bdr w:val="none" w:sz="0" w:space="0" w:color="auto" w:frame="1"/>
          <w:lang w:val="es-MX"/>
        </w:rPr>
      </w:pPr>
      <w:r>
        <w:rPr>
          <w:rFonts w:ascii="Montserrat" w:hAnsi="Montserrat"/>
          <w:color w:val="000000"/>
          <w:sz w:val="20"/>
          <w:szCs w:val="20"/>
          <w:bdr w:val="none" w:sz="0" w:space="0" w:color="auto" w:frame="1"/>
          <w:lang w:val="es-MX"/>
        </w:rPr>
        <w:t>Dirección General de Derechos Humanos y Democracia</w:t>
      </w:r>
    </w:p>
    <w:p w14:paraId="2CE48DC2" w14:textId="0C859793" w:rsidR="00110CE3" w:rsidRDefault="00AA5597" w:rsidP="00110CE3">
      <w:pPr>
        <w:pStyle w:val="NormalWeb"/>
        <w:shd w:val="clear" w:color="auto" w:fill="AB2523"/>
        <w:jc w:val="center"/>
        <w:rPr>
          <w:b/>
          <w:bCs/>
          <w:color w:val="FFFFFF" w:themeColor="background1"/>
        </w:rPr>
      </w:pPr>
      <w:r>
        <w:rPr>
          <w:b/>
          <w:bCs/>
          <w:color w:val="FFFFFF" w:themeColor="background1"/>
        </w:rPr>
        <w:t>Respuestas</w:t>
      </w:r>
      <w:r w:rsidR="00145D9C">
        <w:rPr>
          <w:b/>
          <w:bCs/>
          <w:color w:val="FFFFFF" w:themeColor="background1"/>
        </w:rPr>
        <w:t xml:space="preserve"> de </w:t>
      </w:r>
      <w:r w:rsidR="00BE1701">
        <w:rPr>
          <w:b/>
          <w:bCs/>
          <w:color w:val="FFFFFF" w:themeColor="background1"/>
        </w:rPr>
        <w:t>México</w:t>
      </w:r>
      <w:r>
        <w:rPr>
          <w:b/>
          <w:bCs/>
          <w:color w:val="FFFFFF" w:themeColor="background1"/>
        </w:rPr>
        <w:t xml:space="preserve"> a cuestionario</w:t>
      </w:r>
      <w:r w:rsidR="00373026">
        <w:rPr>
          <w:b/>
          <w:bCs/>
          <w:color w:val="FFFFFF" w:themeColor="background1"/>
        </w:rPr>
        <w:t xml:space="preserve"> de la Relatora</w:t>
      </w:r>
      <w:r w:rsidR="0090214F" w:rsidRPr="0090214F">
        <w:rPr>
          <w:b/>
          <w:bCs/>
          <w:color w:val="FFFFFF" w:themeColor="background1"/>
        </w:rPr>
        <w:t xml:space="preserve"> Especial sobre la tortura y otros tratos o penas crueles, inhumanos o degradantes</w:t>
      </w:r>
      <w:r w:rsidR="00DF162F">
        <w:rPr>
          <w:b/>
          <w:bCs/>
          <w:color w:val="FFFFFF" w:themeColor="background1"/>
        </w:rPr>
        <w:t xml:space="preserve"> </w:t>
      </w:r>
    </w:p>
    <w:p w14:paraId="294C0A0F" w14:textId="5DCB29EB" w:rsidR="00C94268" w:rsidRPr="00C94268" w:rsidRDefault="0090214F" w:rsidP="00110CE3">
      <w:pPr>
        <w:pStyle w:val="NormalWeb"/>
        <w:shd w:val="clear" w:color="auto" w:fill="AB2523"/>
        <w:jc w:val="center"/>
        <w:rPr>
          <w:b/>
          <w:bCs/>
          <w:color w:val="FFFFFF" w:themeColor="background1"/>
        </w:rPr>
      </w:pPr>
      <w:r>
        <w:rPr>
          <w:b/>
          <w:bCs/>
          <w:color w:val="FFFFFF" w:themeColor="background1"/>
        </w:rPr>
        <w:t>24</w:t>
      </w:r>
      <w:r w:rsidR="00C94268" w:rsidRPr="0090214F">
        <w:rPr>
          <w:b/>
          <w:bCs/>
          <w:color w:val="FFFFFF" w:themeColor="background1"/>
        </w:rPr>
        <w:t xml:space="preserve"> de </w:t>
      </w:r>
      <w:r>
        <w:rPr>
          <w:b/>
          <w:bCs/>
          <w:color w:val="FFFFFF" w:themeColor="background1"/>
        </w:rPr>
        <w:t>noviembre</w:t>
      </w:r>
      <w:r w:rsidR="00C94268" w:rsidRPr="0090214F">
        <w:rPr>
          <w:b/>
          <w:bCs/>
          <w:color w:val="FFFFFF" w:themeColor="background1"/>
        </w:rPr>
        <w:t xml:space="preserve"> de 2022</w:t>
      </w:r>
    </w:p>
    <w:p w14:paraId="2A0A2F0F" w14:textId="623B92A2" w:rsidR="0090214F" w:rsidRDefault="0090214F" w:rsidP="0090214F">
      <w:pPr>
        <w:pStyle w:val="AutoridadEditable"/>
        <w:numPr>
          <w:ilvl w:val="0"/>
          <w:numId w:val="16"/>
        </w:numPr>
        <w:spacing w:before="240" w:after="240" w:line="276" w:lineRule="auto"/>
        <w:ind w:right="108"/>
        <w:rPr>
          <w:rFonts w:ascii="Times New Roman" w:hAnsi="Times New Roman" w:cs="Times New Roman"/>
        </w:rPr>
      </w:pPr>
      <w:r w:rsidRPr="0090214F">
        <w:rPr>
          <w:rFonts w:ascii="Times New Roman" w:hAnsi="Times New Roman" w:cs="Times New Roman"/>
        </w:rPr>
        <w:t>Desafíos, impedimentos y obstáculos para la investigación y el enjuici</w:t>
      </w:r>
      <w:r w:rsidR="00373026">
        <w:rPr>
          <w:rFonts w:ascii="Times New Roman" w:hAnsi="Times New Roman" w:cs="Times New Roman"/>
        </w:rPr>
        <w:t>amiento de los actos de tortura</w:t>
      </w:r>
    </w:p>
    <w:p w14:paraId="1A80DEE5" w14:textId="6E52D650" w:rsidR="0090214F" w:rsidRPr="0090214F" w:rsidRDefault="0090214F" w:rsidP="0090214F">
      <w:pPr>
        <w:pStyle w:val="AutoridadEditable"/>
        <w:spacing w:before="240" w:after="240" w:line="276" w:lineRule="auto"/>
        <w:ind w:right="108"/>
        <w:rPr>
          <w:rFonts w:ascii="Times New Roman" w:hAnsi="Times New Roman" w:cs="Times New Roman"/>
          <w:b w:val="0"/>
        </w:rPr>
      </w:pPr>
      <w:r w:rsidRPr="0090214F">
        <w:rPr>
          <w:rFonts w:ascii="Times New Roman" w:hAnsi="Times New Roman" w:cs="Times New Roman"/>
          <w:b w:val="0"/>
        </w:rPr>
        <w:t xml:space="preserve">Los obstáculos detectados </w:t>
      </w:r>
      <w:r w:rsidR="00BF3D50">
        <w:rPr>
          <w:rFonts w:ascii="Times New Roman" w:hAnsi="Times New Roman" w:cs="Times New Roman"/>
          <w:b w:val="0"/>
        </w:rPr>
        <w:t>por parte del E</w:t>
      </w:r>
      <w:r w:rsidR="0039409C">
        <w:rPr>
          <w:rFonts w:ascii="Times New Roman" w:hAnsi="Times New Roman" w:cs="Times New Roman"/>
          <w:b w:val="0"/>
        </w:rPr>
        <w:t>stado mexicano</w:t>
      </w:r>
      <w:r w:rsidRPr="0090214F">
        <w:rPr>
          <w:rFonts w:ascii="Times New Roman" w:hAnsi="Times New Roman" w:cs="Times New Roman"/>
          <w:b w:val="0"/>
        </w:rPr>
        <w:t xml:space="preserve"> son:</w:t>
      </w:r>
    </w:p>
    <w:p w14:paraId="5CF3C2F1" w14:textId="18C1F98F" w:rsidR="0090214F" w:rsidRPr="0090214F" w:rsidRDefault="0090214F" w:rsidP="0090214F">
      <w:pPr>
        <w:pStyle w:val="AutoridadEditable"/>
        <w:numPr>
          <w:ilvl w:val="0"/>
          <w:numId w:val="17"/>
        </w:numPr>
        <w:spacing w:before="240" w:after="240" w:line="276" w:lineRule="auto"/>
        <w:ind w:right="108"/>
        <w:rPr>
          <w:rFonts w:ascii="Times New Roman" w:hAnsi="Times New Roman" w:cs="Times New Roman"/>
          <w:b w:val="0"/>
        </w:rPr>
      </w:pPr>
      <w:r w:rsidRPr="0090214F">
        <w:rPr>
          <w:rFonts w:ascii="Times New Roman" w:hAnsi="Times New Roman" w:cs="Times New Roman"/>
          <w:b w:val="0"/>
        </w:rPr>
        <w:t>Falta de información por parte de las autoridades correspondientes (jurisdiccionales o administrativas) a las personas que</w:t>
      </w:r>
      <w:r w:rsidR="007B5055">
        <w:rPr>
          <w:rFonts w:ascii="Times New Roman" w:hAnsi="Times New Roman" w:cs="Times New Roman"/>
          <w:b w:val="0"/>
        </w:rPr>
        <w:t xml:space="preserve"> son privadas</w:t>
      </w:r>
      <w:r w:rsidRPr="0090214F">
        <w:rPr>
          <w:rFonts w:ascii="Times New Roman" w:hAnsi="Times New Roman" w:cs="Times New Roman"/>
          <w:b w:val="0"/>
        </w:rPr>
        <w:t xml:space="preserve"> de la libertad, sobre la situación en que se encuentran, el proced</w:t>
      </w:r>
      <w:r w:rsidR="007B5055">
        <w:rPr>
          <w:rFonts w:ascii="Times New Roman" w:hAnsi="Times New Roman" w:cs="Times New Roman"/>
          <w:b w:val="0"/>
        </w:rPr>
        <w:t>imiento a que serán sujeta</w:t>
      </w:r>
      <w:r w:rsidRPr="0090214F">
        <w:rPr>
          <w:rFonts w:ascii="Times New Roman" w:hAnsi="Times New Roman" w:cs="Times New Roman"/>
          <w:b w:val="0"/>
        </w:rPr>
        <w:t>s y la le</w:t>
      </w:r>
      <w:r w:rsidR="007B5055">
        <w:rPr>
          <w:rFonts w:ascii="Times New Roman" w:hAnsi="Times New Roman" w:cs="Times New Roman"/>
          <w:b w:val="0"/>
        </w:rPr>
        <w:t>ctura efectiva de sus derechos.</w:t>
      </w:r>
    </w:p>
    <w:p w14:paraId="0E8A89E5" w14:textId="13BE1ECC" w:rsidR="0090214F" w:rsidRPr="0090214F" w:rsidRDefault="0090214F" w:rsidP="0090214F">
      <w:pPr>
        <w:pStyle w:val="AutoridadEditable"/>
        <w:numPr>
          <w:ilvl w:val="0"/>
          <w:numId w:val="17"/>
        </w:numPr>
        <w:spacing w:before="240" w:after="240" w:line="276" w:lineRule="auto"/>
        <w:ind w:right="108"/>
        <w:rPr>
          <w:rFonts w:ascii="Times New Roman" w:hAnsi="Times New Roman" w:cs="Times New Roman"/>
          <w:b w:val="0"/>
        </w:rPr>
      </w:pPr>
      <w:r w:rsidRPr="0090214F">
        <w:rPr>
          <w:rFonts w:ascii="Times New Roman" w:hAnsi="Times New Roman" w:cs="Times New Roman"/>
          <w:b w:val="0"/>
        </w:rPr>
        <w:t>Demora en el traslado de las personas que son privadas de la libertad a los lugares de reclusión por parte de las autoridades correspondientes (juris</w:t>
      </w:r>
      <w:r w:rsidR="00DE414E">
        <w:rPr>
          <w:rFonts w:ascii="Times New Roman" w:hAnsi="Times New Roman" w:cs="Times New Roman"/>
          <w:b w:val="0"/>
        </w:rPr>
        <w:t>diccionales o administrativas).</w:t>
      </w:r>
    </w:p>
    <w:p w14:paraId="73D8D0B5" w14:textId="0C9F1112" w:rsidR="0090214F" w:rsidRPr="0090214F" w:rsidRDefault="0090214F" w:rsidP="0090214F">
      <w:pPr>
        <w:pStyle w:val="AutoridadEditable"/>
        <w:numPr>
          <w:ilvl w:val="0"/>
          <w:numId w:val="17"/>
        </w:numPr>
        <w:spacing w:before="240" w:after="240" w:line="276" w:lineRule="auto"/>
        <w:ind w:right="108"/>
        <w:rPr>
          <w:rFonts w:ascii="Times New Roman" w:hAnsi="Times New Roman" w:cs="Times New Roman"/>
          <w:b w:val="0"/>
        </w:rPr>
      </w:pPr>
      <w:r w:rsidRPr="0090214F">
        <w:rPr>
          <w:rFonts w:ascii="Times New Roman" w:hAnsi="Times New Roman" w:cs="Times New Roman"/>
          <w:b w:val="0"/>
        </w:rPr>
        <w:t>Deficiencias en la revisión y certificación médicas, ya que se ha identificado que, a pesar de que las personas manifiesten que han sido golpeadas o agredidas, el personal médico omite reportar las lesione</w:t>
      </w:r>
      <w:r w:rsidR="007B5055">
        <w:rPr>
          <w:rFonts w:ascii="Times New Roman" w:hAnsi="Times New Roman" w:cs="Times New Roman"/>
          <w:b w:val="0"/>
        </w:rPr>
        <w:t>s en el certificado, por lo que</w:t>
      </w:r>
      <w:r w:rsidRPr="0090214F">
        <w:rPr>
          <w:rFonts w:ascii="Times New Roman" w:hAnsi="Times New Roman" w:cs="Times New Roman"/>
          <w:b w:val="0"/>
        </w:rPr>
        <w:t xml:space="preserve"> no se evidencian las lesiones y tampoco se cuenta con registros fotográficos de lesiones.</w:t>
      </w:r>
    </w:p>
    <w:p w14:paraId="5FCBAAA2" w14:textId="26203D80" w:rsidR="0090214F" w:rsidRPr="0090214F" w:rsidRDefault="0090214F" w:rsidP="0090214F">
      <w:pPr>
        <w:pStyle w:val="AutoridadEditable"/>
        <w:numPr>
          <w:ilvl w:val="0"/>
          <w:numId w:val="17"/>
        </w:numPr>
        <w:spacing w:before="240" w:after="240" w:line="276" w:lineRule="auto"/>
        <w:ind w:right="108"/>
        <w:rPr>
          <w:rFonts w:ascii="Times New Roman" w:hAnsi="Times New Roman" w:cs="Times New Roman"/>
          <w:b w:val="0"/>
        </w:rPr>
      </w:pPr>
      <w:r w:rsidRPr="0090214F">
        <w:rPr>
          <w:rFonts w:ascii="Times New Roman" w:hAnsi="Times New Roman" w:cs="Times New Roman"/>
          <w:b w:val="0"/>
        </w:rPr>
        <w:t>Imposibilidad de contar con una comunicación inmediata con terceros sobre el lugar en donde se encuentran las personas privadas de la li</w:t>
      </w:r>
      <w:r w:rsidR="007B5055">
        <w:rPr>
          <w:rFonts w:ascii="Times New Roman" w:hAnsi="Times New Roman" w:cs="Times New Roman"/>
          <w:b w:val="0"/>
        </w:rPr>
        <w:t>bertad y su situación jurídica.</w:t>
      </w:r>
    </w:p>
    <w:p w14:paraId="235E04DC" w14:textId="77777777" w:rsidR="0090214F" w:rsidRPr="0090214F" w:rsidRDefault="0090214F" w:rsidP="0090214F">
      <w:pPr>
        <w:pStyle w:val="AutoridadEditable"/>
        <w:numPr>
          <w:ilvl w:val="0"/>
          <w:numId w:val="17"/>
        </w:numPr>
        <w:spacing w:before="240" w:after="240" w:line="276" w:lineRule="auto"/>
        <w:ind w:right="108"/>
        <w:rPr>
          <w:rFonts w:ascii="Times New Roman" w:hAnsi="Times New Roman" w:cs="Times New Roman"/>
          <w:b w:val="0"/>
        </w:rPr>
      </w:pPr>
      <w:r w:rsidRPr="0090214F">
        <w:rPr>
          <w:rFonts w:ascii="Times New Roman" w:hAnsi="Times New Roman" w:cs="Times New Roman"/>
          <w:b w:val="0"/>
        </w:rPr>
        <w:t>Inexistencia o deficiencia en la integración de los expedientes de las personas detenidas, en algunos casos incluso sin la presencia de un reporte o informe de las autoridades que realizaron la detención (informe policial homologado), que soporte la actuación de detención de las personas privadas.</w:t>
      </w:r>
    </w:p>
    <w:p w14:paraId="68ED36FF" w14:textId="77777777" w:rsidR="0090214F" w:rsidRPr="0090214F" w:rsidRDefault="0090214F" w:rsidP="0090214F">
      <w:pPr>
        <w:pStyle w:val="AutoridadEditable"/>
        <w:numPr>
          <w:ilvl w:val="0"/>
          <w:numId w:val="17"/>
        </w:numPr>
        <w:spacing w:before="240" w:after="240" w:line="276" w:lineRule="auto"/>
        <w:ind w:right="108"/>
        <w:rPr>
          <w:rFonts w:ascii="Times New Roman" w:hAnsi="Times New Roman" w:cs="Times New Roman"/>
          <w:b w:val="0"/>
        </w:rPr>
      </w:pPr>
      <w:r w:rsidRPr="0090214F">
        <w:rPr>
          <w:rFonts w:ascii="Times New Roman" w:hAnsi="Times New Roman" w:cs="Times New Roman"/>
          <w:b w:val="0"/>
        </w:rPr>
        <w:t>Dificultad en el acceso a un abogado defensor, derivado de las prácticas institucionales de las autoridades, para que no sean brindados de manera oportuna.</w:t>
      </w:r>
    </w:p>
    <w:p w14:paraId="6F63D4FC" w14:textId="77777777" w:rsidR="0090214F" w:rsidRPr="0090214F" w:rsidRDefault="0090214F" w:rsidP="0090214F">
      <w:pPr>
        <w:pStyle w:val="AutoridadEditable"/>
        <w:numPr>
          <w:ilvl w:val="0"/>
          <w:numId w:val="17"/>
        </w:numPr>
        <w:spacing w:before="240" w:after="240" w:line="276" w:lineRule="auto"/>
        <w:ind w:right="108"/>
        <w:rPr>
          <w:rFonts w:ascii="Times New Roman" w:hAnsi="Times New Roman" w:cs="Times New Roman"/>
          <w:b w:val="0"/>
        </w:rPr>
      </w:pPr>
      <w:r w:rsidRPr="0090214F">
        <w:rPr>
          <w:rFonts w:ascii="Times New Roman" w:hAnsi="Times New Roman" w:cs="Times New Roman"/>
          <w:b w:val="0"/>
        </w:rPr>
        <w:t>Estancias o lugares de privación que no cumplen con condiciones de habitabilidad, donde son alojadas las personas privadas de la libertad, en el cual, se menoscaba su integridad física, durante el tiempo en que se encuentran privados de su libertad.</w:t>
      </w:r>
    </w:p>
    <w:p w14:paraId="63EECD84" w14:textId="77777777" w:rsidR="0090214F" w:rsidRPr="0090214F" w:rsidRDefault="0090214F" w:rsidP="0090214F">
      <w:pPr>
        <w:pStyle w:val="AutoridadEditable"/>
        <w:numPr>
          <w:ilvl w:val="0"/>
          <w:numId w:val="17"/>
        </w:numPr>
        <w:spacing w:before="240" w:after="240" w:line="276" w:lineRule="auto"/>
        <w:ind w:right="108"/>
        <w:rPr>
          <w:rFonts w:ascii="Times New Roman" w:hAnsi="Times New Roman" w:cs="Times New Roman"/>
          <w:b w:val="0"/>
        </w:rPr>
      </w:pPr>
      <w:r w:rsidRPr="0090214F">
        <w:rPr>
          <w:rFonts w:ascii="Times New Roman" w:hAnsi="Times New Roman" w:cs="Times New Roman"/>
          <w:b w:val="0"/>
        </w:rPr>
        <w:lastRenderedPageBreak/>
        <w:t>Falta de capacitación de las personas servidoras públicas sobre la obligación de denunciar actos posiblemente constitutivos de tortura y/o otros tratos o penas crueles, inhumanos o degradantes, así como, sobre el uso correcto de los protocolos que rigen sus actuaciones (uso de la fuerza mínima, primer respondiente, resguardo y traslado de las personas).</w:t>
      </w:r>
    </w:p>
    <w:p w14:paraId="237DAA73" w14:textId="15124775" w:rsidR="0090214F" w:rsidRDefault="0090214F" w:rsidP="00A34603">
      <w:pPr>
        <w:pStyle w:val="AutoridadEditable"/>
        <w:numPr>
          <w:ilvl w:val="0"/>
          <w:numId w:val="16"/>
        </w:numPr>
        <w:spacing w:before="240" w:after="240" w:line="276" w:lineRule="auto"/>
        <w:ind w:right="108"/>
        <w:rPr>
          <w:rFonts w:ascii="Times New Roman" w:hAnsi="Times New Roman" w:cs="Times New Roman"/>
        </w:rPr>
      </w:pPr>
      <w:r w:rsidRPr="0090214F">
        <w:rPr>
          <w:rFonts w:ascii="Times New Roman" w:hAnsi="Times New Roman" w:cs="Times New Roman"/>
        </w:rPr>
        <w:t>Marcos normativos nacionales par</w:t>
      </w:r>
      <w:r w:rsidR="0039409C">
        <w:rPr>
          <w:rFonts w:ascii="Times New Roman" w:hAnsi="Times New Roman" w:cs="Times New Roman"/>
        </w:rPr>
        <w:t>a la penalización de la tortura</w:t>
      </w:r>
    </w:p>
    <w:p w14:paraId="71A41413" w14:textId="6C1E9C20" w:rsidR="00245A3E" w:rsidRDefault="00C279CB" w:rsidP="00DE414E">
      <w:pPr>
        <w:pStyle w:val="AutoridadEditable"/>
        <w:numPr>
          <w:ilvl w:val="0"/>
          <w:numId w:val="31"/>
        </w:numPr>
        <w:spacing w:before="240" w:after="240" w:line="276" w:lineRule="auto"/>
        <w:ind w:right="108"/>
        <w:rPr>
          <w:rFonts w:ascii="Times New Roman" w:hAnsi="Times New Roman" w:cs="Times New Roman"/>
          <w:b w:val="0"/>
        </w:rPr>
      </w:pPr>
      <w:r w:rsidRPr="00245A3E">
        <w:rPr>
          <w:rFonts w:ascii="Times New Roman" w:hAnsi="Times New Roman" w:cs="Times New Roman"/>
          <w:b w:val="0"/>
        </w:rPr>
        <w:t>Ley Federal para Pr</w:t>
      </w:r>
      <w:r w:rsidR="00DE414E">
        <w:rPr>
          <w:rFonts w:ascii="Times New Roman" w:hAnsi="Times New Roman" w:cs="Times New Roman"/>
          <w:b w:val="0"/>
        </w:rPr>
        <w:t>evenir y Sancionar la Tortura.</w:t>
      </w:r>
    </w:p>
    <w:p w14:paraId="334CD682" w14:textId="00F1CAC4" w:rsidR="00245A3E" w:rsidRDefault="00C279CB" w:rsidP="00DE414E">
      <w:pPr>
        <w:pStyle w:val="AutoridadEditable"/>
        <w:numPr>
          <w:ilvl w:val="0"/>
          <w:numId w:val="31"/>
        </w:numPr>
        <w:spacing w:before="240" w:after="240" w:line="276" w:lineRule="auto"/>
        <w:ind w:right="108"/>
        <w:rPr>
          <w:rFonts w:ascii="Times New Roman" w:hAnsi="Times New Roman" w:cs="Times New Roman"/>
          <w:b w:val="0"/>
        </w:rPr>
      </w:pPr>
      <w:r w:rsidRPr="00245A3E">
        <w:rPr>
          <w:rFonts w:ascii="Times New Roman" w:hAnsi="Times New Roman" w:cs="Times New Roman"/>
          <w:b w:val="0"/>
        </w:rPr>
        <w:t>Ley General para Prevenir, Investigar y Sancionar la Tortura y otros Tratos o Penas Crueles, Inhumanos o Degradantes</w:t>
      </w:r>
      <w:r w:rsidR="00053A6E">
        <w:rPr>
          <w:rFonts w:ascii="Times New Roman" w:hAnsi="Times New Roman" w:cs="Times New Roman"/>
          <w:b w:val="0"/>
        </w:rPr>
        <w:t xml:space="preserve"> (</w:t>
      </w:r>
      <w:r w:rsidR="00053A6E" w:rsidRPr="00412A36">
        <w:rPr>
          <w:rFonts w:ascii="Times New Roman" w:hAnsi="Times New Roman" w:cs="Times New Roman"/>
          <w:b w:val="0"/>
        </w:rPr>
        <w:t>LGPIST</w:t>
      </w:r>
      <w:r w:rsidR="00053A6E">
        <w:rPr>
          <w:rFonts w:ascii="Times New Roman" w:hAnsi="Times New Roman" w:cs="Times New Roman"/>
          <w:b w:val="0"/>
        </w:rPr>
        <w:t>)</w:t>
      </w:r>
      <w:r w:rsidRPr="00245A3E">
        <w:rPr>
          <w:rFonts w:ascii="Times New Roman" w:hAnsi="Times New Roman" w:cs="Times New Roman"/>
          <w:b w:val="0"/>
        </w:rPr>
        <w:t>.</w:t>
      </w:r>
    </w:p>
    <w:p w14:paraId="4012C9EB" w14:textId="1A004970" w:rsidR="00245A3E" w:rsidRDefault="00C279CB" w:rsidP="00DE414E">
      <w:pPr>
        <w:pStyle w:val="AutoridadEditable"/>
        <w:numPr>
          <w:ilvl w:val="0"/>
          <w:numId w:val="31"/>
        </w:numPr>
        <w:spacing w:before="240" w:after="240" w:line="276" w:lineRule="auto"/>
        <w:ind w:right="108"/>
        <w:rPr>
          <w:rFonts w:ascii="Times New Roman" w:hAnsi="Times New Roman" w:cs="Times New Roman"/>
          <w:b w:val="0"/>
        </w:rPr>
      </w:pPr>
      <w:r w:rsidRPr="00245A3E">
        <w:rPr>
          <w:rFonts w:ascii="Times New Roman" w:hAnsi="Times New Roman" w:cs="Times New Roman"/>
          <w:b w:val="0"/>
        </w:rPr>
        <w:t>Acuerdo A/006/2018, emitido por el Subprocurador Jurídico y de Asuntos Internacionales, en suplencia del Procurador General de la República y publicado en el Diario Oficial de la Federación, el 26 de enero de 20</w:t>
      </w:r>
      <w:r w:rsidR="00DE414E">
        <w:rPr>
          <w:rFonts w:ascii="Times New Roman" w:hAnsi="Times New Roman" w:cs="Times New Roman"/>
          <w:b w:val="0"/>
        </w:rPr>
        <w:t>18.</w:t>
      </w:r>
    </w:p>
    <w:p w14:paraId="2B3BCEC3" w14:textId="77777777" w:rsidR="00245A3E" w:rsidRDefault="00C279CB" w:rsidP="00DE414E">
      <w:pPr>
        <w:pStyle w:val="AutoridadEditable"/>
        <w:numPr>
          <w:ilvl w:val="0"/>
          <w:numId w:val="31"/>
        </w:numPr>
        <w:spacing w:before="240" w:after="240" w:line="276" w:lineRule="auto"/>
        <w:ind w:right="108"/>
        <w:rPr>
          <w:rFonts w:ascii="Times New Roman" w:hAnsi="Times New Roman" w:cs="Times New Roman"/>
          <w:b w:val="0"/>
        </w:rPr>
      </w:pPr>
      <w:r w:rsidRPr="00245A3E">
        <w:rPr>
          <w:rFonts w:ascii="Times New Roman" w:hAnsi="Times New Roman" w:cs="Times New Roman"/>
          <w:b w:val="0"/>
        </w:rPr>
        <w:t xml:space="preserve">Acuerdo A/013/19, emitido por el </w:t>
      </w:r>
      <w:proofErr w:type="gramStart"/>
      <w:r w:rsidRPr="00245A3E">
        <w:rPr>
          <w:rFonts w:ascii="Times New Roman" w:hAnsi="Times New Roman" w:cs="Times New Roman"/>
          <w:b w:val="0"/>
        </w:rPr>
        <w:t>Fiscal General</w:t>
      </w:r>
      <w:proofErr w:type="gramEnd"/>
      <w:r w:rsidRPr="00245A3E">
        <w:rPr>
          <w:rFonts w:ascii="Times New Roman" w:hAnsi="Times New Roman" w:cs="Times New Roman"/>
          <w:b w:val="0"/>
        </w:rPr>
        <w:t xml:space="preserve"> de la República, y publicado en el Diario Oficial de la Federación el 15 de julio de 2019.</w:t>
      </w:r>
    </w:p>
    <w:p w14:paraId="2580FE7B" w14:textId="6D5870B5" w:rsidR="00C279CB" w:rsidRDefault="00C279CB" w:rsidP="00DE414E">
      <w:pPr>
        <w:pStyle w:val="AutoridadEditable"/>
        <w:numPr>
          <w:ilvl w:val="0"/>
          <w:numId w:val="31"/>
        </w:numPr>
        <w:spacing w:before="240" w:after="240" w:line="276" w:lineRule="auto"/>
        <w:ind w:right="108"/>
        <w:rPr>
          <w:rFonts w:ascii="Times New Roman" w:hAnsi="Times New Roman" w:cs="Times New Roman"/>
          <w:b w:val="0"/>
        </w:rPr>
      </w:pPr>
      <w:r w:rsidRPr="00245A3E">
        <w:rPr>
          <w:rFonts w:ascii="Times New Roman" w:hAnsi="Times New Roman" w:cs="Times New Roman"/>
          <w:b w:val="0"/>
        </w:rPr>
        <w:t>Protocolo Homologado para la Investigación del Delito de Tortura</w:t>
      </w:r>
      <w:r w:rsidR="00DE414E">
        <w:rPr>
          <w:rFonts w:ascii="Times New Roman" w:hAnsi="Times New Roman" w:cs="Times New Roman"/>
          <w:b w:val="0"/>
        </w:rPr>
        <w:t>.</w:t>
      </w:r>
    </w:p>
    <w:p w14:paraId="47EDE164" w14:textId="05381DF5" w:rsidR="00412A36" w:rsidRPr="00412A36" w:rsidRDefault="00412A36" w:rsidP="00412A36">
      <w:pPr>
        <w:pStyle w:val="AutoridadEditable"/>
        <w:spacing w:before="240" w:after="240" w:line="276" w:lineRule="auto"/>
        <w:ind w:right="108"/>
        <w:rPr>
          <w:rFonts w:ascii="Times New Roman" w:hAnsi="Times New Roman" w:cs="Times New Roman"/>
          <w:b w:val="0"/>
        </w:rPr>
      </w:pPr>
      <w:r>
        <w:rPr>
          <w:rFonts w:ascii="Times New Roman" w:hAnsi="Times New Roman" w:cs="Times New Roman"/>
          <w:b w:val="0"/>
        </w:rPr>
        <w:t xml:space="preserve">Asimismo, </w:t>
      </w:r>
      <w:r w:rsidRPr="00412A36">
        <w:rPr>
          <w:rFonts w:ascii="Times New Roman" w:hAnsi="Times New Roman" w:cs="Times New Roman"/>
          <w:b w:val="0"/>
        </w:rPr>
        <w:t>19 entidades federativas cuentan con una ley específica sobre tortura. De las 19 leyes especiales de la materia, se observa que en el 42% se establece una sanción del delito de tortura de 3 a 12 años de prisión, lo cual dista de la pena señalada en la Ley General de la Materia que es de 10 a 20 años.</w:t>
      </w:r>
    </w:p>
    <w:p w14:paraId="0CDE4F4D" w14:textId="79EAB700" w:rsidR="00412A36" w:rsidRPr="00412A36" w:rsidRDefault="00412A36" w:rsidP="00412A36">
      <w:pPr>
        <w:pStyle w:val="AutoridadEditable"/>
        <w:spacing w:before="240" w:after="240" w:line="276" w:lineRule="auto"/>
        <w:ind w:right="108"/>
        <w:rPr>
          <w:rFonts w:ascii="Times New Roman" w:hAnsi="Times New Roman" w:cs="Times New Roman"/>
          <w:b w:val="0"/>
        </w:rPr>
      </w:pPr>
      <w:r w:rsidRPr="00412A36">
        <w:rPr>
          <w:rFonts w:ascii="Times New Roman" w:hAnsi="Times New Roman" w:cs="Times New Roman"/>
          <w:b w:val="0"/>
        </w:rPr>
        <w:t>Las entidades federativas que no cuentan con una ley local en la materia son las siguientes: Baja California, Baja California Sur, Ciudad de México, Durango, Gu</w:t>
      </w:r>
      <w:r>
        <w:rPr>
          <w:rFonts w:ascii="Times New Roman" w:hAnsi="Times New Roman" w:cs="Times New Roman"/>
          <w:b w:val="0"/>
        </w:rPr>
        <w:t>anajuato, Nuevo León y Sinaloa.</w:t>
      </w:r>
    </w:p>
    <w:p w14:paraId="4794EC2D" w14:textId="17E3EDA1" w:rsidR="00412A36" w:rsidRPr="00412A36" w:rsidRDefault="00412A36" w:rsidP="00412A36">
      <w:pPr>
        <w:pStyle w:val="AutoridadEditable"/>
        <w:spacing w:before="240" w:after="240" w:line="276" w:lineRule="auto"/>
        <w:ind w:right="108"/>
        <w:rPr>
          <w:rFonts w:ascii="Times New Roman" w:hAnsi="Times New Roman" w:cs="Times New Roman"/>
          <w:b w:val="0"/>
        </w:rPr>
      </w:pPr>
      <w:r w:rsidRPr="00412A36">
        <w:rPr>
          <w:rFonts w:ascii="Times New Roman" w:hAnsi="Times New Roman" w:cs="Times New Roman"/>
          <w:b w:val="0"/>
        </w:rPr>
        <w:t>De las 6 entidades federativas restantes (Querétaro, Michoacán, Quintana Roo, Tabasco, Tamaulipas y Zacatecas), destacan los casos de Michoacán y Quintana Roo, pues estas entidades federativas contaban con una ley especial que regulaba la tortura; sin embargo, fueron abrogadas mediante la emisión de decretos y ahora se apegan a la LGPIST. Por su parte</w:t>
      </w:r>
      <w:r w:rsidR="00053A6E">
        <w:rPr>
          <w:rFonts w:ascii="Times New Roman" w:hAnsi="Times New Roman" w:cs="Times New Roman"/>
          <w:b w:val="0"/>
        </w:rPr>
        <w:t>,</w:t>
      </w:r>
      <w:r w:rsidRPr="00412A36">
        <w:rPr>
          <w:rFonts w:ascii="Times New Roman" w:hAnsi="Times New Roman" w:cs="Times New Roman"/>
          <w:b w:val="0"/>
        </w:rPr>
        <w:t xml:space="preserve"> Querétaro, Tabasco, Tamaulipas y Zacatecas no contaban con una ley especial y sujetaban la regulación del delito tortura en su código penal, mismos que fueron derogados, mediante decretos, y actualmente se encuentran sujetos a la LGPIST.</w:t>
      </w:r>
    </w:p>
    <w:p w14:paraId="373564D2" w14:textId="77777777" w:rsidR="00412A36" w:rsidRPr="00412A36" w:rsidRDefault="00412A36" w:rsidP="00412A36">
      <w:pPr>
        <w:pStyle w:val="AutoridadEditable"/>
        <w:spacing w:before="240" w:after="240" w:line="276" w:lineRule="auto"/>
        <w:ind w:right="108"/>
        <w:rPr>
          <w:rFonts w:ascii="Times New Roman" w:hAnsi="Times New Roman" w:cs="Times New Roman"/>
          <w:b w:val="0"/>
        </w:rPr>
      </w:pPr>
    </w:p>
    <w:p w14:paraId="397B2DAA" w14:textId="758F1306" w:rsidR="00C279CB" w:rsidRPr="00C279CB" w:rsidRDefault="00C279CB" w:rsidP="00A34603">
      <w:pPr>
        <w:pStyle w:val="AutoridadEditable"/>
        <w:numPr>
          <w:ilvl w:val="0"/>
          <w:numId w:val="16"/>
        </w:numPr>
        <w:spacing w:before="240" w:after="240" w:line="276" w:lineRule="auto"/>
        <w:ind w:right="108"/>
        <w:rPr>
          <w:rFonts w:ascii="Times New Roman" w:hAnsi="Times New Roman" w:cs="Times New Roman"/>
          <w:lang w:val="es-MX"/>
        </w:rPr>
      </w:pPr>
      <w:r>
        <w:rPr>
          <w:rFonts w:ascii="Times New Roman" w:hAnsi="Times New Roman" w:cs="Times New Roman"/>
          <w:lang w:val="es-MX"/>
        </w:rPr>
        <w:lastRenderedPageBreak/>
        <w:t>Elementos</w:t>
      </w:r>
      <w:r w:rsidRPr="00C279CB">
        <w:t xml:space="preserve"> </w:t>
      </w:r>
      <w:r w:rsidR="00463161">
        <w:rPr>
          <w:rFonts w:ascii="Times New Roman" w:hAnsi="Times New Roman" w:cs="Times New Roman"/>
          <w:lang w:val="es-MX"/>
        </w:rPr>
        <w:t xml:space="preserve">de investigaciones y </w:t>
      </w:r>
      <w:r w:rsidRPr="00C279CB">
        <w:rPr>
          <w:rFonts w:ascii="Times New Roman" w:hAnsi="Times New Roman" w:cs="Times New Roman"/>
          <w:lang w:val="es-MX"/>
        </w:rPr>
        <w:t>enjuiciamientos en</w:t>
      </w:r>
      <w:r w:rsidR="0039409C">
        <w:rPr>
          <w:rFonts w:ascii="Times New Roman" w:hAnsi="Times New Roman" w:cs="Times New Roman"/>
          <w:lang w:val="es-MX"/>
        </w:rPr>
        <w:t xml:space="preserve"> línea con los derechos humanos</w:t>
      </w:r>
    </w:p>
    <w:p w14:paraId="3A63CEED" w14:textId="77777777" w:rsidR="007A423F" w:rsidRDefault="00C279CB" w:rsidP="00A34603">
      <w:pPr>
        <w:pStyle w:val="ListParagraph"/>
        <w:numPr>
          <w:ilvl w:val="0"/>
          <w:numId w:val="32"/>
        </w:numPr>
        <w:spacing w:after="160" w:line="276" w:lineRule="auto"/>
        <w:jc w:val="both"/>
        <w:rPr>
          <w:rFonts w:ascii="Times New Roman" w:hAnsi="Times New Roman" w:cs="Times New Roman"/>
          <w:sz w:val="24"/>
          <w:szCs w:val="24"/>
          <w:lang w:val="es-MX"/>
        </w:rPr>
      </w:pPr>
      <w:r w:rsidRPr="007A423F">
        <w:rPr>
          <w:rFonts w:ascii="Times New Roman" w:hAnsi="Times New Roman" w:cs="Times New Roman"/>
          <w:sz w:val="24"/>
          <w:szCs w:val="24"/>
          <w:lang w:val="es-MX"/>
        </w:rPr>
        <w:t>I</w:t>
      </w:r>
      <w:r w:rsidR="00463161" w:rsidRPr="007A423F">
        <w:rPr>
          <w:rFonts w:ascii="Times New Roman" w:hAnsi="Times New Roman" w:cs="Times New Roman"/>
          <w:sz w:val="24"/>
          <w:szCs w:val="24"/>
          <w:lang w:val="es-MX"/>
        </w:rPr>
        <w:t>ndependientes e imparciales:</w:t>
      </w:r>
    </w:p>
    <w:p w14:paraId="7459830C" w14:textId="1AE36EC4" w:rsidR="00C279CB" w:rsidRDefault="00C279CB" w:rsidP="00A34603">
      <w:pPr>
        <w:pStyle w:val="ListParagraph"/>
        <w:numPr>
          <w:ilvl w:val="0"/>
          <w:numId w:val="33"/>
        </w:numPr>
        <w:spacing w:after="160" w:line="276" w:lineRule="auto"/>
        <w:jc w:val="both"/>
        <w:rPr>
          <w:rFonts w:ascii="Times New Roman" w:hAnsi="Times New Roman" w:cs="Times New Roman"/>
          <w:sz w:val="24"/>
          <w:szCs w:val="24"/>
          <w:lang w:val="es-MX"/>
        </w:rPr>
      </w:pPr>
      <w:r w:rsidRPr="007A423F">
        <w:rPr>
          <w:rFonts w:ascii="Times New Roman" w:hAnsi="Times New Roman" w:cs="Times New Roman"/>
          <w:sz w:val="24"/>
          <w:szCs w:val="24"/>
          <w:lang w:val="es-MX"/>
        </w:rPr>
        <w:t>La Constitución Política de los Estados Unidos Mexicanos</w:t>
      </w:r>
      <w:r w:rsidR="0050640C">
        <w:rPr>
          <w:rFonts w:ascii="Times New Roman" w:hAnsi="Times New Roman" w:cs="Times New Roman"/>
          <w:sz w:val="24"/>
          <w:szCs w:val="24"/>
          <w:lang w:val="es-MX"/>
        </w:rPr>
        <w:t xml:space="preserve"> (CPEUM)</w:t>
      </w:r>
      <w:r w:rsidRPr="007A423F">
        <w:rPr>
          <w:rFonts w:ascii="Times New Roman" w:hAnsi="Times New Roman" w:cs="Times New Roman"/>
          <w:sz w:val="24"/>
          <w:szCs w:val="24"/>
          <w:lang w:val="es-MX"/>
        </w:rPr>
        <w:t xml:space="preserve">, mediante el cual se faculta al Ministerio Público de la Federación —artículos 21 y 102— llevara a cabo la investigación y persecución de los delitos. </w:t>
      </w:r>
    </w:p>
    <w:p w14:paraId="29054657" w14:textId="1237582B" w:rsidR="00C279CB" w:rsidRDefault="00C279CB" w:rsidP="00A34603">
      <w:pPr>
        <w:pStyle w:val="ListParagraph"/>
        <w:numPr>
          <w:ilvl w:val="0"/>
          <w:numId w:val="33"/>
        </w:numPr>
        <w:spacing w:after="160" w:line="276" w:lineRule="auto"/>
        <w:jc w:val="both"/>
        <w:rPr>
          <w:rFonts w:ascii="Times New Roman" w:hAnsi="Times New Roman" w:cs="Times New Roman"/>
          <w:sz w:val="24"/>
          <w:szCs w:val="24"/>
          <w:lang w:val="es-MX"/>
        </w:rPr>
      </w:pPr>
      <w:r w:rsidRPr="007A423F">
        <w:rPr>
          <w:rFonts w:ascii="Times New Roman" w:hAnsi="Times New Roman" w:cs="Times New Roman"/>
          <w:sz w:val="24"/>
          <w:szCs w:val="24"/>
          <w:lang w:val="es-MX"/>
        </w:rPr>
        <w:t>Código Nacional de Procedimientos Penales</w:t>
      </w:r>
      <w:r w:rsidR="0050640C">
        <w:rPr>
          <w:rFonts w:ascii="Times New Roman" w:hAnsi="Times New Roman" w:cs="Times New Roman"/>
          <w:sz w:val="24"/>
          <w:szCs w:val="24"/>
          <w:lang w:val="es-MX"/>
        </w:rPr>
        <w:t xml:space="preserve"> (CNPP)</w:t>
      </w:r>
      <w:r w:rsidRPr="007A423F">
        <w:rPr>
          <w:rFonts w:ascii="Times New Roman" w:hAnsi="Times New Roman" w:cs="Times New Roman"/>
          <w:sz w:val="24"/>
          <w:szCs w:val="24"/>
          <w:lang w:val="es-MX"/>
        </w:rPr>
        <w:t>, a través de cual se establecen principios, objeto, requisitos y reglas para llevar a cabo las investigaciones de los delitos del orden federal.</w:t>
      </w:r>
    </w:p>
    <w:p w14:paraId="6A90922A" w14:textId="73C91661" w:rsidR="00053A6E" w:rsidRPr="00053A6E" w:rsidRDefault="00C279CB" w:rsidP="00053A6E">
      <w:pPr>
        <w:pStyle w:val="ListParagraph"/>
        <w:numPr>
          <w:ilvl w:val="0"/>
          <w:numId w:val="33"/>
        </w:numPr>
        <w:spacing w:after="160" w:line="276" w:lineRule="auto"/>
        <w:jc w:val="both"/>
        <w:rPr>
          <w:rFonts w:ascii="Times New Roman" w:hAnsi="Times New Roman" w:cs="Times New Roman"/>
          <w:sz w:val="24"/>
          <w:szCs w:val="24"/>
          <w:lang w:val="es-MX"/>
        </w:rPr>
      </w:pPr>
      <w:r w:rsidRPr="007A423F">
        <w:rPr>
          <w:rFonts w:ascii="Times New Roman" w:hAnsi="Times New Roman" w:cs="Times New Roman"/>
          <w:sz w:val="24"/>
          <w:szCs w:val="24"/>
          <w:lang w:val="es-MX"/>
        </w:rPr>
        <w:t>La Ley General para Prevenir, Investigar y Sancionar la Tortura y otros Tratos o Penas Crueles, Inhumanos o Degradantes</w:t>
      </w:r>
      <w:r w:rsidR="007B5055">
        <w:rPr>
          <w:rFonts w:ascii="Times New Roman" w:hAnsi="Times New Roman" w:cs="Times New Roman"/>
          <w:sz w:val="24"/>
          <w:szCs w:val="24"/>
          <w:lang w:val="es-MX"/>
        </w:rPr>
        <w:t>,</w:t>
      </w:r>
      <w:r w:rsidRPr="007A423F">
        <w:rPr>
          <w:rFonts w:ascii="Times New Roman" w:hAnsi="Times New Roman" w:cs="Times New Roman"/>
          <w:sz w:val="24"/>
          <w:szCs w:val="24"/>
          <w:lang w:val="es-MX"/>
        </w:rPr>
        <w:t xml:space="preserve"> en su artículo 6</w:t>
      </w:r>
      <w:r w:rsidR="007B5055">
        <w:rPr>
          <w:rFonts w:ascii="Times New Roman" w:hAnsi="Times New Roman" w:cs="Times New Roman"/>
          <w:sz w:val="24"/>
          <w:szCs w:val="24"/>
          <w:lang w:val="es-MX"/>
        </w:rPr>
        <w:t>,</w:t>
      </w:r>
      <w:r w:rsidRPr="007A423F">
        <w:rPr>
          <w:rFonts w:ascii="Times New Roman" w:hAnsi="Times New Roman" w:cs="Times New Roman"/>
          <w:sz w:val="24"/>
          <w:szCs w:val="24"/>
          <w:lang w:val="es-MX"/>
        </w:rPr>
        <w:t xml:space="preserve"> dispone que en todo procedimiento se deben aplicar los principios de dignidad humana, debida diligencia, enfoque diferencial y especializado, no revictimización, perspectiva de género, transparencia y acceso a la información.</w:t>
      </w:r>
    </w:p>
    <w:p w14:paraId="4A2F458D" w14:textId="77777777" w:rsidR="00BF3D50" w:rsidRDefault="00C279CB" w:rsidP="00A34603">
      <w:pPr>
        <w:pStyle w:val="ListParagraph"/>
        <w:numPr>
          <w:ilvl w:val="0"/>
          <w:numId w:val="32"/>
        </w:numPr>
        <w:spacing w:after="160" w:line="276" w:lineRule="auto"/>
        <w:jc w:val="both"/>
        <w:rPr>
          <w:rFonts w:ascii="Times New Roman" w:hAnsi="Times New Roman" w:cs="Times New Roman"/>
          <w:sz w:val="24"/>
          <w:szCs w:val="24"/>
          <w:lang w:val="es-MX"/>
        </w:rPr>
      </w:pPr>
      <w:r w:rsidRPr="00463161">
        <w:rPr>
          <w:rFonts w:ascii="Times New Roman" w:hAnsi="Times New Roman" w:cs="Times New Roman"/>
          <w:sz w:val="24"/>
          <w:szCs w:val="24"/>
          <w:lang w:val="es-MX"/>
        </w:rPr>
        <w:t>I</w:t>
      </w:r>
      <w:r w:rsidR="00463161">
        <w:rPr>
          <w:rFonts w:ascii="Times New Roman" w:hAnsi="Times New Roman" w:cs="Times New Roman"/>
          <w:sz w:val="24"/>
          <w:szCs w:val="24"/>
          <w:lang w:val="es-MX"/>
        </w:rPr>
        <w:t>nmediatos:</w:t>
      </w:r>
    </w:p>
    <w:p w14:paraId="432DCB2D" w14:textId="31733399" w:rsidR="00C279CB" w:rsidRPr="007A423F" w:rsidRDefault="00C279CB" w:rsidP="00A34603">
      <w:pPr>
        <w:pStyle w:val="ListParagraph"/>
        <w:numPr>
          <w:ilvl w:val="0"/>
          <w:numId w:val="35"/>
        </w:numPr>
        <w:spacing w:after="160" w:line="276" w:lineRule="auto"/>
        <w:jc w:val="both"/>
        <w:rPr>
          <w:rFonts w:ascii="Times New Roman" w:hAnsi="Times New Roman" w:cs="Times New Roman"/>
          <w:sz w:val="24"/>
          <w:szCs w:val="24"/>
          <w:lang w:val="es-MX"/>
        </w:rPr>
      </w:pPr>
      <w:r w:rsidRPr="007A423F">
        <w:rPr>
          <w:rFonts w:ascii="Times New Roman" w:hAnsi="Times New Roman" w:cs="Times New Roman"/>
          <w:sz w:val="24"/>
          <w:szCs w:val="24"/>
          <w:lang w:val="es-MX"/>
        </w:rPr>
        <w:t>La Ley General para Prevenir, Investigar y Sancionar la Tortura y otros Tratos o Penas Crueles</w:t>
      </w:r>
      <w:r w:rsidR="00463161" w:rsidRPr="007A423F">
        <w:rPr>
          <w:rFonts w:ascii="Times New Roman" w:hAnsi="Times New Roman" w:cs="Times New Roman"/>
          <w:sz w:val="24"/>
          <w:szCs w:val="24"/>
          <w:lang w:val="es-MX"/>
        </w:rPr>
        <w:t xml:space="preserve">, </w:t>
      </w:r>
      <w:r w:rsidRPr="007A423F">
        <w:rPr>
          <w:rFonts w:ascii="Times New Roman" w:hAnsi="Times New Roman" w:cs="Times New Roman"/>
          <w:sz w:val="24"/>
          <w:szCs w:val="24"/>
          <w:lang w:val="es-MX"/>
        </w:rPr>
        <w:t>Inhumanos o Degradantes</w:t>
      </w:r>
      <w:r w:rsidR="007B5055">
        <w:rPr>
          <w:rFonts w:ascii="Times New Roman" w:hAnsi="Times New Roman" w:cs="Times New Roman"/>
          <w:sz w:val="24"/>
          <w:szCs w:val="24"/>
          <w:lang w:val="es-MX"/>
        </w:rPr>
        <w:t>,</w:t>
      </w:r>
      <w:r w:rsidRPr="007A423F">
        <w:rPr>
          <w:rFonts w:ascii="Times New Roman" w:hAnsi="Times New Roman" w:cs="Times New Roman"/>
          <w:sz w:val="24"/>
          <w:szCs w:val="24"/>
          <w:lang w:val="es-MX"/>
        </w:rPr>
        <w:t xml:space="preserve"> en su artículo 35 fracción I</w:t>
      </w:r>
      <w:r w:rsidR="007B5055">
        <w:rPr>
          <w:rFonts w:ascii="Times New Roman" w:hAnsi="Times New Roman" w:cs="Times New Roman"/>
          <w:sz w:val="24"/>
          <w:szCs w:val="24"/>
          <w:lang w:val="es-MX"/>
        </w:rPr>
        <w:t>,</w:t>
      </w:r>
      <w:r w:rsidRPr="007A423F">
        <w:rPr>
          <w:rFonts w:ascii="Times New Roman" w:hAnsi="Times New Roman" w:cs="Times New Roman"/>
          <w:sz w:val="24"/>
          <w:szCs w:val="24"/>
          <w:lang w:val="es-MX"/>
        </w:rPr>
        <w:t xml:space="preserve"> </w:t>
      </w:r>
      <w:r w:rsidR="00053A6E">
        <w:rPr>
          <w:rFonts w:ascii="Times New Roman" w:hAnsi="Times New Roman" w:cs="Times New Roman"/>
          <w:sz w:val="24"/>
          <w:szCs w:val="24"/>
          <w:lang w:val="es-MX"/>
        </w:rPr>
        <w:t>establece</w:t>
      </w:r>
      <w:r w:rsidRPr="007A423F">
        <w:rPr>
          <w:rFonts w:ascii="Times New Roman" w:hAnsi="Times New Roman" w:cs="Times New Roman"/>
          <w:sz w:val="24"/>
          <w:szCs w:val="24"/>
          <w:lang w:val="es-MX"/>
        </w:rPr>
        <w:t>:</w:t>
      </w:r>
    </w:p>
    <w:p w14:paraId="625AF4CD" w14:textId="2B8F419C" w:rsidR="00053A6E" w:rsidRDefault="00463161" w:rsidP="00053A6E">
      <w:pPr>
        <w:spacing w:after="160" w:line="276" w:lineRule="auto"/>
        <w:ind w:left="142" w:hanging="295"/>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C279CB" w:rsidRPr="00C279CB">
        <w:rPr>
          <w:rFonts w:ascii="Times New Roman" w:hAnsi="Times New Roman" w:cs="Times New Roman"/>
          <w:sz w:val="24"/>
          <w:szCs w:val="24"/>
          <w:lang w:val="es-MX"/>
        </w:rPr>
        <w:t xml:space="preserve">Iniciar de manera inmediata la investigación por el delito de tortura. </w:t>
      </w:r>
    </w:p>
    <w:p w14:paraId="5A50F83B" w14:textId="7FC1B2D7" w:rsidR="00C279CB" w:rsidRPr="00463161" w:rsidRDefault="00C279CB" w:rsidP="00A34603">
      <w:pPr>
        <w:pStyle w:val="ListParagraph"/>
        <w:numPr>
          <w:ilvl w:val="0"/>
          <w:numId w:val="32"/>
        </w:numPr>
        <w:spacing w:after="160" w:line="276" w:lineRule="auto"/>
        <w:jc w:val="both"/>
        <w:rPr>
          <w:rFonts w:ascii="Times New Roman" w:hAnsi="Times New Roman" w:cs="Times New Roman"/>
          <w:sz w:val="24"/>
          <w:szCs w:val="24"/>
          <w:lang w:val="es-MX"/>
        </w:rPr>
      </w:pPr>
      <w:r w:rsidRPr="00463161">
        <w:rPr>
          <w:rFonts w:ascii="Times New Roman" w:hAnsi="Times New Roman" w:cs="Times New Roman"/>
          <w:sz w:val="24"/>
          <w:szCs w:val="24"/>
          <w:lang w:val="es-MX"/>
        </w:rPr>
        <w:t xml:space="preserve">Adecuados </w:t>
      </w:r>
      <w:r w:rsidR="00463161">
        <w:rPr>
          <w:rFonts w:ascii="Times New Roman" w:hAnsi="Times New Roman" w:cs="Times New Roman"/>
          <w:sz w:val="24"/>
          <w:szCs w:val="24"/>
          <w:lang w:val="es-MX"/>
        </w:rPr>
        <w:t>y eficaces:</w:t>
      </w:r>
    </w:p>
    <w:p w14:paraId="35611259" w14:textId="063F01FC" w:rsidR="00355D82" w:rsidRPr="00355D82" w:rsidRDefault="00C279CB" w:rsidP="00A34603">
      <w:pPr>
        <w:pStyle w:val="ListParagraph"/>
        <w:numPr>
          <w:ilvl w:val="0"/>
          <w:numId w:val="35"/>
        </w:numPr>
        <w:spacing w:after="160" w:line="276" w:lineRule="auto"/>
        <w:jc w:val="both"/>
        <w:rPr>
          <w:rFonts w:ascii="Times New Roman" w:hAnsi="Times New Roman" w:cs="Times New Roman"/>
          <w:sz w:val="24"/>
          <w:szCs w:val="24"/>
          <w:lang w:val="es-MX"/>
        </w:rPr>
      </w:pPr>
      <w:r w:rsidRPr="007A423F">
        <w:rPr>
          <w:rFonts w:ascii="Times New Roman" w:hAnsi="Times New Roman" w:cs="Times New Roman"/>
          <w:sz w:val="24"/>
          <w:szCs w:val="24"/>
          <w:lang w:val="es-MX"/>
        </w:rPr>
        <w:t>La Ley General para Prevenir, Investigar y Sancionar la Tortura y otros Tratos o Penas Crueles, Inhumanos o Degradantes</w:t>
      </w:r>
      <w:r w:rsidR="007B5055">
        <w:rPr>
          <w:rFonts w:ascii="Times New Roman" w:hAnsi="Times New Roman" w:cs="Times New Roman"/>
          <w:sz w:val="24"/>
          <w:szCs w:val="24"/>
          <w:lang w:val="es-MX"/>
        </w:rPr>
        <w:t>,</w:t>
      </w:r>
      <w:r w:rsidRPr="007A423F">
        <w:rPr>
          <w:rFonts w:ascii="Times New Roman" w:hAnsi="Times New Roman" w:cs="Times New Roman"/>
          <w:sz w:val="24"/>
          <w:szCs w:val="24"/>
          <w:lang w:val="es-MX"/>
        </w:rPr>
        <w:t xml:space="preserve"> en su artículo 6</w:t>
      </w:r>
      <w:r w:rsidR="007B5055">
        <w:rPr>
          <w:rFonts w:ascii="Times New Roman" w:hAnsi="Times New Roman" w:cs="Times New Roman"/>
          <w:sz w:val="24"/>
          <w:szCs w:val="24"/>
          <w:lang w:val="es-MX"/>
        </w:rPr>
        <w:t>,</w:t>
      </w:r>
      <w:r w:rsidRPr="007A423F">
        <w:rPr>
          <w:rFonts w:ascii="Times New Roman" w:hAnsi="Times New Roman" w:cs="Times New Roman"/>
          <w:sz w:val="24"/>
          <w:szCs w:val="24"/>
          <w:lang w:val="es-MX"/>
        </w:rPr>
        <w:t xml:space="preserve"> dispone que todo procedimiento debe ser encaminado con la debida diligencia que implica que sea eficaz, oportuna, exhaustiva, respetando los derechos humanos y profesional. </w:t>
      </w:r>
    </w:p>
    <w:p w14:paraId="0DA0E116" w14:textId="68F40D03" w:rsidR="00C279CB" w:rsidRPr="00463161" w:rsidRDefault="00C279CB" w:rsidP="00A34603">
      <w:pPr>
        <w:pStyle w:val="ListParagraph"/>
        <w:numPr>
          <w:ilvl w:val="0"/>
          <w:numId w:val="32"/>
        </w:numPr>
        <w:spacing w:after="160" w:line="276" w:lineRule="auto"/>
        <w:jc w:val="both"/>
        <w:rPr>
          <w:rFonts w:ascii="Times New Roman" w:hAnsi="Times New Roman" w:cs="Times New Roman"/>
          <w:sz w:val="24"/>
          <w:szCs w:val="24"/>
          <w:lang w:val="es-MX"/>
        </w:rPr>
      </w:pPr>
      <w:r w:rsidRPr="00463161">
        <w:rPr>
          <w:rFonts w:ascii="Times New Roman" w:hAnsi="Times New Roman" w:cs="Times New Roman"/>
          <w:sz w:val="24"/>
          <w:szCs w:val="24"/>
          <w:lang w:val="es-MX"/>
        </w:rPr>
        <w:t>Abiertos al escr</w:t>
      </w:r>
      <w:r w:rsidR="00463161">
        <w:rPr>
          <w:rFonts w:ascii="Times New Roman" w:hAnsi="Times New Roman" w:cs="Times New Roman"/>
          <w:sz w:val="24"/>
          <w:szCs w:val="24"/>
          <w:lang w:val="es-MX"/>
        </w:rPr>
        <w:t>utinio público y transparentes:</w:t>
      </w:r>
    </w:p>
    <w:p w14:paraId="6C437019" w14:textId="26BAADDD" w:rsidR="00463161" w:rsidRPr="00355D82" w:rsidRDefault="00C279CB" w:rsidP="00A34603">
      <w:pPr>
        <w:pStyle w:val="ListParagraph"/>
        <w:numPr>
          <w:ilvl w:val="0"/>
          <w:numId w:val="35"/>
        </w:numPr>
        <w:spacing w:after="160" w:line="276" w:lineRule="auto"/>
        <w:jc w:val="both"/>
        <w:rPr>
          <w:rFonts w:ascii="Times New Roman" w:hAnsi="Times New Roman" w:cs="Times New Roman"/>
          <w:sz w:val="24"/>
          <w:szCs w:val="24"/>
          <w:lang w:val="es-MX"/>
        </w:rPr>
      </w:pPr>
      <w:r w:rsidRPr="007A423F">
        <w:rPr>
          <w:rFonts w:ascii="Times New Roman" w:hAnsi="Times New Roman" w:cs="Times New Roman"/>
          <w:sz w:val="24"/>
          <w:szCs w:val="24"/>
          <w:lang w:val="es-MX"/>
        </w:rPr>
        <w:t>La Ley General para Prevenir, Investigar y Sancionar la Tortura y Otros Tratos o Penas Crueles, Inhumanos o Degradantes</w:t>
      </w:r>
      <w:r w:rsidR="007B5055">
        <w:rPr>
          <w:rFonts w:ascii="Times New Roman" w:hAnsi="Times New Roman" w:cs="Times New Roman"/>
          <w:sz w:val="24"/>
          <w:szCs w:val="24"/>
          <w:lang w:val="es-MX"/>
        </w:rPr>
        <w:t>,</w:t>
      </w:r>
      <w:r w:rsidRPr="007A423F">
        <w:rPr>
          <w:rFonts w:ascii="Times New Roman" w:hAnsi="Times New Roman" w:cs="Times New Roman"/>
          <w:sz w:val="24"/>
          <w:szCs w:val="24"/>
          <w:lang w:val="es-MX"/>
        </w:rPr>
        <w:t xml:space="preserve"> en su artículo 6</w:t>
      </w:r>
      <w:r w:rsidR="007B5055">
        <w:rPr>
          <w:rFonts w:ascii="Times New Roman" w:hAnsi="Times New Roman" w:cs="Times New Roman"/>
          <w:sz w:val="24"/>
          <w:szCs w:val="24"/>
          <w:lang w:val="es-MX"/>
        </w:rPr>
        <w:t>,</w:t>
      </w:r>
      <w:r w:rsidRPr="007A423F">
        <w:rPr>
          <w:rFonts w:ascii="Times New Roman" w:hAnsi="Times New Roman" w:cs="Times New Roman"/>
          <w:sz w:val="24"/>
          <w:szCs w:val="24"/>
          <w:lang w:val="es-MX"/>
        </w:rPr>
        <w:t xml:space="preserve"> dispone que en todo procedimiento debe aplicar el principio de transparencia y acceso a la información, aunado a que el CNPP artículo 109 </w:t>
      </w:r>
      <w:r w:rsidR="00053A6E">
        <w:rPr>
          <w:rFonts w:ascii="Times New Roman" w:hAnsi="Times New Roman" w:cs="Times New Roman"/>
          <w:sz w:val="24"/>
          <w:szCs w:val="24"/>
          <w:lang w:val="es-MX"/>
        </w:rPr>
        <w:t>establece</w:t>
      </w:r>
      <w:r w:rsidRPr="007A423F">
        <w:rPr>
          <w:rFonts w:ascii="Times New Roman" w:hAnsi="Times New Roman" w:cs="Times New Roman"/>
          <w:sz w:val="24"/>
          <w:szCs w:val="24"/>
          <w:lang w:val="es-MX"/>
        </w:rPr>
        <w:t xml:space="preserve"> que a la información que obra en la investigación tendrá acceso la víctima por si o a través de sus asesor jurídico, toda determinación que suspenda, termine o paralice la investigación del ilícito de tortura puede impugnarse ante Juez de Control conforme a lo dispuesto en el numeral 258 del CNPP. </w:t>
      </w:r>
    </w:p>
    <w:p w14:paraId="1DB2A01E" w14:textId="77777777" w:rsidR="00355D82" w:rsidRDefault="00C279CB" w:rsidP="00A34603">
      <w:pPr>
        <w:pStyle w:val="ListParagraph"/>
        <w:numPr>
          <w:ilvl w:val="0"/>
          <w:numId w:val="32"/>
        </w:numPr>
        <w:spacing w:after="160" w:line="276" w:lineRule="auto"/>
        <w:jc w:val="both"/>
        <w:rPr>
          <w:rFonts w:ascii="Times New Roman" w:hAnsi="Times New Roman" w:cs="Times New Roman"/>
          <w:sz w:val="24"/>
          <w:szCs w:val="24"/>
          <w:lang w:val="es-MX"/>
        </w:rPr>
      </w:pPr>
      <w:r w:rsidRPr="00463161">
        <w:rPr>
          <w:rFonts w:ascii="Times New Roman" w:hAnsi="Times New Roman" w:cs="Times New Roman"/>
          <w:sz w:val="24"/>
          <w:szCs w:val="24"/>
          <w:lang w:val="es-MX"/>
        </w:rPr>
        <w:t>Garanticen derechos y recursos para víctimas y sobrevivientes.</w:t>
      </w:r>
    </w:p>
    <w:p w14:paraId="5E87D5AA" w14:textId="06DF573B" w:rsidR="00C279CB" w:rsidRPr="00355D82" w:rsidRDefault="00C279CB" w:rsidP="00A34603">
      <w:pPr>
        <w:pStyle w:val="ListParagraph"/>
        <w:numPr>
          <w:ilvl w:val="0"/>
          <w:numId w:val="35"/>
        </w:numPr>
        <w:spacing w:after="160" w:line="276" w:lineRule="auto"/>
        <w:jc w:val="both"/>
        <w:rPr>
          <w:rFonts w:ascii="Times New Roman" w:hAnsi="Times New Roman" w:cs="Times New Roman"/>
          <w:sz w:val="24"/>
          <w:szCs w:val="24"/>
          <w:lang w:val="es-MX"/>
        </w:rPr>
      </w:pPr>
      <w:r w:rsidRPr="00355D82">
        <w:rPr>
          <w:rFonts w:ascii="Times New Roman" w:hAnsi="Times New Roman" w:cs="Times New Roman"/>
          <w:sz w:val="24"/>
          <w:szCs w:val="24"/>
          <w:lang w:val="es-MX"/>
        </w:rPr>
        <w:t>La CPEUM</w:t>
      </w:r>
      <w:r w:rsidR="007B5055">
        <w:rPr>
          <w:rFonts w:ascii="Times New Roman" w:hAnsi="Times New Roman" w:cs="Times New Roman"/>
          <w:sz w:val="24"/>
          <w:szCs w:val="24"/>
          <w:lang w:val="es-MX"/>
        </w:rPr>
        <w:t>,</w:t>
      </w:r>
      <w:r w:rsidRPr="00355D82">
        <w:rPr>
          <w:rFonts w:ascii="Times New Roman" w:hAnsi="Times New Roman" w:cs="Times New Roman"/>
          <w:sz w:val="24"/>
          <w:szCs w:val="24"/>
          <w:lang w:val="es-MX"/>
        </w:rPr>
        <w:t xml:space="preserve"> en el apartado C del artículo 20</w:t>
      </w:r>
      <w:r w:rsidR="007B5055">
        <w:rPr>
          <w:rFonts w:ascii="Times New Roman" w:hAnsi="Times New Roman" w:cs="Times New Roman"/>
          <w:sz w:val="24"/>
          <w:szCs w:val="24"/>
          <w:lang w:val="es-MX"/>
        </w:rPr>
        <w:t>,</w:t>
      </w:r>
      <w:r w:rsidRPr="00355D82">
        <w:rPr>
          <w:rFonts w:ascii="Times New Roman" w:hAnsi="Times New Roman" w:cs="Times New Roman"/>
          <w:sz w:val="24"/>
          <w:szCs w:val="24"/>
          <w:lang w:val="es-MX"/>
        </w:rPr>
        <w:t xml:space="preserve"> consagra los derechos de las víctimas entre ellos recibir asesoría jurídica, coadyuvar en la investigación, recibir atención médica y psicológica, reparación del daño, resguardo de identidad, solicitar medidas </w:t>
      </w:r>
      <w:r w:rsidRPr="00355D82">
        <w:rPr>
          <w:rFonts w:ascii="Times New Roman" w:hAnsi="Times New Roman" w:cs="Times New Roman"/>
          <w:sz w:val="24"/>
          <w:szCs w:val="24"/>
          <w:lang w:val="es-MX"/>
        </w:rPr>
        <w:lastRenderedPageBreak/>
        <w:t>cautelares para la protección y</w:t>
      </w:r>
      <w:r w:rsidRPr="00355D82">
        <w:rPr>
          <w:rFonts w:ascii="Times New Roman" w:hAnsi="Times New Roman" w:cs="Times New Roman"/>
          <w:sz w:val="24"/>
          <w:szCs w:val="24"/>
        </w:rPr>
        <w:t xml:space="preserve"> </w:t>
      </w:r>
      <w:r w:rsidRPr="00355D82">
        <w:rPr>
          <w:rFonts w:ascii="Times New Roman" w:hAnsi="Times New Roman" w:cs="Times New Roman"/>
          <w:sz w:val="24"/>
          <w:szCs w:val="24"/>
          <w:lang w:val="es-MX"/>
        </w:rPr>
        <w:t xml:space="preserve">restitución de sus derechos, impugnar las determinaciones del Ministerio Público.  </w:t>
      </w:r>
    </w:p>
    <w:p w14:paraId="2B26F88B" w14:textId="00901925" w:rsidR="00DB7995" w:rsidRPr="00DB7995" w:rsidRDefault="00DB7995" w:rsidP="00C279CB">
      <w:pPr>
        <w:pStyle w:val="AutoridadEditable"/>
        <w:numPr>
          <w:ilvl w:val="0"/>
          <w:numId w:val="16"/>
        </w:numPr>
        <w:spacing w:before="240" w:after="240" w:line="276" w:lineRule="auto"/>
        <w:ind w:right="108"/>
        <w:rPr>
          <w:rFonts w:ascii="Times New Roman" w:hAnsi="Times New Roman" w:cs="Times New Roman"/>
          <w:lang w:val="es-MX"/>
        </w:rPr>
      </w:pPr>
      <w:r w:rsidRPr="00DB7995">
        <w:rPr>
          <w:rFonts w:ascii="Times New Roman" w:hAnsi="Times New Roman" w:cs="Times New Roman"/>
          <w:lang w:val="es-MX"/>
        </w:rPr>
        <w:t>Mecanismos/instituciones/entidades que participan en las denuncias, i</w:t>
      </w:r>
      <w:r w:rsidR="00982187">
        <w:rPr>
          <w:rFonts w:ascii="Times New Roman" w:hAnsi="Times New Roman" w:cs="Times New Roman"/>
          <w:lang w:val="es-MX"/>
        </w:rPr>
        <w:t>nvestigaciones y enjuiciamiento</w:t>
      </w:r>
    </w:p>
    <w:p w14:paraId="21CFA5F7" w14:textId="0172877A" w:rsidR="00DB7995" w:rsidRPr="00DB7995" w:rsidRDefault="00DB7995" w:rsidP="00DB7995">
      <w:pPr>
        <w:pStyle w:val="AutoridadEditable"/>
        <w:spacing w:before="240" w:after="240" w:line="276" w:lineRule="auto"/>
        <w:ind w:right="108"/>
        <w:rPr>
          <w:rFonts w:ascii="Times New Roman" w:hAnsi="Times New Roman" w:cs="Times New Roman"/>
          <w:b w:val="0"/>
          <w:lang w:val="es-MX"/>
        </w:rPr>
      </w:pPr>
      <w:r w:rsidRPr="00DE414E">
        <w:rPr>
          <w:rFonts w:ascii="Times New Roman" w:hAnsi="Times New Roman" w:cs="Times New Roman"/>
          <w:b w:val="0"/>
          <w:lang w:val="es-MX"/>
        </w:rPr>
        <w:t>El</w:t>
      </w:r>
      <w:r w:rsidRPr="00DB7995">
        <w:rPr>
          <w:rFonts w:ascii="Times New Roman" w:hAnsi="Times New Roman" w:cs="Times New Roman"/>
          <w:b w:val="0"/>
          <w:lang w:val="es-MX"/>
        </w:rPr>
        <w:t xml:space="preserve"> Estado Mexicano cuenta con un sistema no jurisdiccional de protección a Derechos Humanos integrado por 29 Comisiones Estatales, 2 Defensorías, 1 Procuraduría de Protección de Derechos Humanos y la Comisión Nacional de los Derechos Humanos</w:t>
      </w:r>
      <w:r w:rsidR="00053A6E">
        <w:rPr>
          <w:rFonts w:ascii="Times New Roman" w:hAnsi="Times New Roman" w:cs="Times New Roman"/>
          <w:b w:val="0"/>
          <w:lang w:val="es-MX"/>
        </w:rPr>
        <w:t xml:space="preserve">, </w:t>
      </w:r>
      <w:r w:rsidRPr="00DB7995">
        <w:rPr>
          <w:rFonts w:ascii="Times New Roman" w:hAnsi="Times New Roman" w:cs="Times New Roman"/>
          <w:b w:val="0"/>
          <w:lang w:val="es-MX"/>
        </w:rPr>
        <w:t>las cuales investigan presuntas violaciones a derechos humanos, entre ellos la tortura y otros tratos o penas cr</w:t>
      </w:r>
      <w:r>
        <w:rPr>
          <w:rFonts w:ascii="Times New Roman" w:hAnsi="Times New Roman" w:cs="Times New Roman"/>
          <w:b w:val="0"/>
          <w:lang w:val="es-MX"/>
        </w:rPr>
        <w:t>ueles inhumanos o degradantes.</w:t>
      </w:r>
    </w:p>
    <w:p w14:paraId="51BA6454" w14:textId="71625C60" w:rsidR="00DB7995" w:rsidRPr="00DB7995" w:rsidRDefault="00DB7995" w:rsidP="00DB7995">
      <w:pPr>
        <w:pStyle w:val="AutoridadEditable"/>
        <w:spacing w:before="240" w:after="240" w:line="276" w:lineRule="auto"/>
        <w:ind w:right="108"/>
        <w:rPr>
          <w:rFonts w:ascii="Times New Roman" w:hAnsi="Times New Roman" w:cs="Times New Roman"/>
          <w:b w:val="0"/>
          <w:lang w:val="es-MX"/>
        </w:rPr>
      </w:pPr>
      <w:r w:rsidRPr="00DB7995">
        <w:rPr>
          <w:rFonts w:ascii="Times New Roman" w:hAnsi="Times New Roman" w:cs="Times New Roman"/>
          <w:b w:val="0"/>
          <w:lang w:val="es-MX"/>
        </w:rPr>
        <w:t>Asimismo, para la investigación y persecución de los delitos de tortura y otros tratos o penas crueles inhumanos o degradantes cuenta con 26 F</w:t>
      </w:r>
      <w:r w:rsidR="00DE414E">
        <w:rPr>
          <w:rFonts w:ascii="Times New Roman" w:hAnsi="Times New Roman" w:cs="Times New Roman"/>
          <w:b w:val="0"/>
          <w:lang w:val="es-MX"/>
        </w:rPr>
        <w:t>iscalías Especializadas en los e</w:t>
      </w:r>
      <w:r w:rsidRPr="00DB7995">
        <w:rPr>
          <w:rFonts w:ascii="Times New Roman" w:hAnsi="Times New Roman" w:cs="Times New Roman"/>
          <w:b w:val="0"/>
          <w:lang w:val="es-MX"/>
        </w:rPr>
        <w:t>stados de Aguascalientes, Baja California, Campeche, Chiapas, Colima, Estado de México, Hidalgo, Guanajuato, Michoacán, Nuevo León, Querétaro, Quintana Roo, Sinaloa,</w:t>
      </w:r>
      <w:r>
        <w:rPr>
          <w:rFonts w:ascii="Times New Roman" w:hAnsi="Times New Roman" w:cs="Times New Roman"/>
          <w:b w:val="0"/>
          <w:lang w:val="es-MX"/>
        </w:rPr>
        <w:t xml:space="preserve"> Tabasco, Veracruz y Zacatecas.</w:t>
      </w:r>
    </w:p>
    <w:p w14:paraId="2012E6FB" w14:textId="5A7986D0" w:rsidR="00DB7995" w:rsidRPr="00DB7995" w:rsidRDefault="00DB7995" w:rsidP="00DB7995">
      <w:pPr>
        <w:pStyle w:val="AutoridadEditable"/>
        <w:spacing w:before="240" w:after="240" w:line="276" w:lineRule="auto"/>
        <w:ind w:right="108"/>
        <w:rPr>
          <w:rFonts w:ascii="Times New Roman" w:hAnsi="Times New Roman" w:cs="Times New Roman"/>
          <w:b w:val="0"/>
          <w:lang w:val="es-MX"/>
        </w:rPr>
      </w:pPr>
      <w:r w:rsidRPr="00DB7995">
        <w:rPr>
          <w:rFonts w:ascii="Times New Roman" w:hAnsi="Times New Roman" w:cs="Times New Roman"/>
          <w:b w:val="0"/>
          <w:lang w:val="es-MX"/>
        </w:rPr>
        <w:t>Sumado a lo anterior, cuenta también con 10 Unidades Especializadas en materia de Investigación de Tortura y otros Tratos o Penas Crueles, Inhumanos o Degradantes, adscritas a diversas Fiscalías en las entidades federativas: Chihuahua, Ciudad de México, Durango, Jalisco, Morelos, Oaxaca, Puebla, San Lui</w:t>
      </w:r>
      <w:r>
        <w:rPr>
          <w:rFonts w:ascii="Times New Roman" w:hAnsi="Times New Roman" w:cs="Times New Roman"/>
          <w:b w:val="0"/>
          <w:lang w:val="es-MX"/>
        </w:rPr>
        <w:t>s Potosí, Tamaulipas y Yucatán.</w:t>
      </w:r>
    </w:p>
    <w:p w14:paraId="30ACCE2C" w14:textId="207F8CEF" w:rsidR="00DB7995" w:rsidRDefault="00DB7995" w:rsidP="00DB7995">
      <w:pPr>
        <w:pStyle w:val="AutoridadEditable"/>
        <w:spacing w:before="240" w:after="240" w:line="276" w:lineRule="auto"/>
        <w:ind w:right="108"/>
        <w:rPr>
          <w:rFonts w:ascii="Times New Roman" w:hAnsi="Times New Roman" w:cs="Times New Roman"/>
          <w:b w:val="0"/>
          <w:lang w:val="es-MX"/>
        </w:rPr>
      </w:pPr>
      <w:r w:rsidRPr="00DB7995">
        <w:rPr>
          <w:rFonts w:ascii="Times New Roman" w:hAnsi="Times New Roman" w:cs="Times New Roman"/>
          <w:b w:val="0"/>
          <w:lang w:val="es-MX"/>
        </w:rPr>
        <w:t>Los estados de Baja California Sur, Coahuila, Guerrero, Nayarit, Sonora y Tlaxcala no cuentan con una fiscalía o unidad especializada en la materia, no obstante, esos delitos son investigados por las Unidades Especializadas en Derechos Humanos, Co</w:t>
      </w:r>
      <w:r w:rsidR="00C279CB">
        <w:rPr>
          <w:rFonts w:ascii="Times New Roman" w:hAnsi="Times New Roman" w:cs="Times New Roman"/>
          <w:b w:val="0"/>
          <w:lang w:val="es-MX"/>
        </w:rPr>
        <w:t>rrupción o Servidores Públicos.</w:t>
      </w:r>
    </w:p>
    <w:p w14:paraId="4F481809" w14:textId="6E074C09" w:rsidR="00DB7995" w:rsidRDefault="00DE414E" w:rsidP="00DB7995">
      <w:pPr>
        <w:pStyle w:val="AutoridadEditable"/>
        <w:spacing w:before="240" w:after="240" w:line="276" w:lineRule="auto"/>
        <w:ind w:right="108"/>
        <w:rPr>
          <w:rFonts w:ascii="Times New Roman" w:hAnsi="Times New Roman" w:cs="Times New Roman"/>
          <w:b w:val="0"/>
          <w:lang w:val="es-MX"/>
        </w:rPr>
      </w:pPr>
      <w:r>
        <w:rPr>
          <w:rFonts w:ascii="Times New Roman" w:hAnsi="Times New Roman" w:cs="Times New Roman"/>
          <w:b w:val="0"/>
          <w:lang w:val="es-MX"/>
        </w:rPr>
        <w:t xml:space="preserve">Asimismo, se cuenta con un </w:t>
      </w:r>
      <w:r w:rsidRPr="00DE414E">
        <w:rPr>
          <w:rFonts w:ascii="Times New Roman" w:hAnsi="Times New Roman" w:cs="Times New Roman"/>
          <w:b w:val="0"/>
          <w:lang w:val="es-MX"/>
        </w:rPr>
        <w:t>Mecanismo Nacional de Prevención de la Tortura</w:t>
      </w:r>
      <w:r w:rsidR="00AB47A5">
        <w:rPr>
          <w:rFonts w:ascii="Times New Roman" w:hAnsi="Times New Roman" w:cs="Times New Roman"/>
          <w:b w:val="0"/>
          <w:lang w:val="es-MX"/>
        </w:rPr>
        <w:t xml:space="preserve"> (MNPT)</w:t>
      </w:r>
      <w:r>
        <w:rPr>
          <w:rFonts w:ascii="Times New Roman" w:hAnsi="Times New Roman" w:cs="Times New Roman"/>
          <w:b w:val="0"/>
          <w:lang w:val="es-MX"/>
        </w:rPr>
        <w:t>,</w:t>
      </w:r>
      <w:r w:rsidR="00DB7995" w:rsidRPr="00DB7995">
        <w:rPr>
          <w:rFonts w:ascii="Times New Roman" w:hAnsi="Times New Roman" w:cs="Times New Roman"/>
          <w:b w:val="0"/>
          <w:lang w:val="es-MX"/>
        </w:rPr>
        <w:t xml:space="preserve"> facultado para presentar quejas y denuncias a las instancias competentes por los hechos probablemente constitutivos de tortura y otros tratos o penas crueles inhumanos o degradantes de los que tiene conocimiento durante las visitas de supervisión in situ a los lugares de privación de la libertad, facultad que se ha reforzado con el seguimiento de notas periodísticas lo que ha ampliado la presentación de quejas y denuncias. Aunado a la anterior, cuenta con un elemento interno de colaboración a través de las Visitadurías Generales de la Comisión Nacional, las cuales acorde a su competencia, se encargan de la documentación e integración de expedientes por las presuntas violaciones a los derechos humanos por tortura y otros tatos o penas c</w:t>
      </w:r>
      <w:r w:rsidR="00DB7995">
        <w:rPr>
          <w:rFonts w:ascii="Times New Roman" w:hAnsi="Times New Roman" w:cs="Times New Roman"/>
          <w:b w:val="0"/>
          <w:lang w:val="es-MX"/>
        </w:rPr>
        <w:t>rueles inhumanos o degradantes.</w:t>
      </w:r>
    </w:p>
    <w:p w14:paraId="5D7D9014" w14:textId="05B95F5B" w:rsidR="00932A22" w:rsidRPr="00DB7995" w:rsidRDefault="00932A22" w:rsidP="00932A22">
      <w:pPr>
        <w:pStyle w:val="AutoridadEditable"/>
        <w:spacing w:before="240" w:after="240" w:line="276" w:lineRule="auto"/>
        <w:ind w:right="108"/>
        <w:rPr>
          <w:rFonts w:ascii="Times New Roman" w:hAnsi="Times New Roman" w:cs="Times New Roman"/>
          <w:b w:val="0"/>
          <w:lang w:val="es-MX"/>
        </w:rPr>
      </w:pPr>
      <w:r>
        <w:rPr>
          <w:rFonts w:ascii="Times New Roman" w:hAnsi="Times New Roman" w:cs="Times New Roman"/>
          <w:b w:val="0"/>
          <w:lang w:val="es-MX"/>
        </w:rPr>
        <w:t>Finalmente, con</w:t>
      </w:r>
      <w:r w:rsidRPr="00932A22">
        <w:rPr>
          <w:rFonts w:ascii="Times New Roman" w:hAnsi="Times New Roman" w:cs="Times New Roman"/>
          <w:b w:val="0"/>
          <w:lang w:val="es-ES"/>
        </w:rPr>
        <w:t xml:space="preserve"> la creación de la Secretaría Técnica de Combate a la Tortura, Tratos Crueles e Inhumanos (STCT), se fortalecieron e impulsaron diversas acciones a nivel nacional e </w:t>
      </w:r>
      <w:r w:rsidRPr="00932A22">
        <w:rPr>
          <w:rFonts w:ascii="Times New Roman" w:hAnsi="Times New Roman" w:cs="Times New Roman"/>
          <w:b w:val="0"/>
          <w:lang w:val="es-ES"/>
        </w:rPr>
        <w:lastRenderedPageBreak/>
        <w:t>internacional para contribuir a garantizar los derechos de las personas representadas sobrevivientes de tortura y malos tratos, que les permita un acceso a la verdad, la justicia y la reparación</w:t>
      </w:r>
      <w:r>
        <w:rPr>
          <w:rFonts w:ascii="Times New Roman" w:hAnsi="Times New Roman" w:cs="Times New Roman"/>
          <w:lang w:val="es-MX"/>
        </w:rPr>
        <w:t>.</w:t>
      </w:r>
    </w:p>
    <w:p w14:paraId="16FBD284" w14:textId="21864B91" w:rsidR="00DB7995" w:rsidRPr="00DB7995" w:rsidRDefault="00DB7995" w:rsidP="00A33DDC">
      <w:pPr>
        <w:pStyle w:val="ListParagraph"/>
        <w:numPr>
          <w:ilvl w:val="0"/>
          <w:numId w:val="16"/>
        </w:numPr>
        <w:spacing w:line="276" w:lineRule="auto"/>
        <w:jc w:val="both"/>
        <w:rPr>
          <w:rFonts w:ascii="Times New Roman" w:eastAsia="Times New Roman" w:hAnsi="Times New Roman" w:cs="Times New Roman"/>
          <w:b/>
          <w:color w:val="000000"/>
          <w:sz w:val="24"/>
          <w:szCs w:val="24"/>
          <w:shd w:val="clear" w:color="auto" w:fill="FFFFFF"/>
          <w:lang w:eastAsia="es-ES"/>
        </w:rPr>
      </w:pPr>
      <w:r w:rsidRPr="00DB7995">
        <w:rPr>
          <w:rFonts w:ascii="Times New Roman" w:eastAsia="Times New Roman" w:hAnsi="Times New Roman" w:cs="Times New Roman"/>
          <w:b/>
          <w:color w:val="000000"/>
          <w:sz w:val="24"/>
          <w:szCs w:val="24"/>
          <w:shd w:val="clear" w:color="auto" w:fill="FFFFFF"/>
          <w:lang w:eastAsia="es-ES"/>
        </w:rPr>
        <w:t>Participaci</w:t>
      </w:r>
      <w:r w:rsidR="00982187">
        <w:rPr>
          <w:rFonts w:ascii="Times New Roman" w:eastAsia="Times New Roman" w:hAnsi="Times New Roman" w:cs="Times New Roman"/>
          <w:b/>
          <w:color w:val="000000"/>
          <w:sz w:val="24"/>
          <w:szCs w:val="24"/>
          <w:shd w:val="clear" w:color="auto" w:fill="FFFFFF"/>
          <w:lang w:eastAsia="es-ES"/>
        </w:rPr>
        <w:t>ón y protección de las víctimas</w:t>
      </w:r>
    </w:p>
    <w:p w14:paraId="5EED7CD2" w14:textId="77777777" w:rsidR="00DB7995" w:rsidRPr="00DB7995" w:rsidRDefault="00DB7995" w:rsidP="00DB7995">
      <w:pPr>
        <w:spacing w:line="276" w:lineRule="auto"/>
        <w:ind w:left="720"/>
        <w:jc w:val="both"/>
        <w:rPr>
          <w:rFonts w:ascii="Times New Roman" w:eastAsia="Times New Roman" w:hAnsi="Times New Roman" w:cs="Times New Roman"/>
          <w:color w:val="000000"/>
          <w:sz w:val="24"/>
          <w:szCs w:val="24"/>
          <w:shd w:val="clear" w:color="auto" w:fill="FFFFFF"/>
          <w:lang w:eastAsia="es-ES"/>
        </w:rPr>
      </w:pPr>
    </w:p>
    <w:p w14:paraId="2E9F9222" w14:textId="5C2C1247" w:rsidR="00760905" w:rsidRDefault="00A33DDC" w:rsidP="00A33DDC">
      <w:pPr>
        <w:spacing w:line="276" w:lineRule="auto"/>
        <w:jc w:val="both"/>
        <w:rPr>
          <w:rFonts w:ascii="Times New Roman" w:eastAsia="Times New Roman" w:hAnsi="Times New Roman" w:cs="Times New Roman"/>
          <w:color w:val="000000"/>
          <w:sz w:val="24"/>
          <w:szCs w:val="24"/>
          <w:shd w:val="clear" w:color="auto" w:fill="FFFFFF"/>
          <w:lang w:eastAsia="es-ES"/>
        </w:rPr>
      </w:pPr>
      <w:r w:rsidRPr="00760905">
        <w:rPr>
          <w:rFonts w:ascii="Times New Roman" w:eastAsia="Times New Roman" w:hAnsi="Times New Roman" w:cs="Times New Roman"/>
          <w:color w:val="000000"/>
          <w:sz w:val="24"/>
          <w:szCs w:val="24"/>
          <w:shd w:val="clear" w:color="auto" w:fill="FFFFFF"/>
          <w:lang w:eastAsia="es-ES"/>
        </w:rPr>
        <w:t xml:space="preserve">La </w:t>
      </w:r>
      <w:r w:rsidRPr="00A33DDC">
        <w:rPr>
          <w:rFonts w:ascii="Times New Roman" w:eastAsia="Times New Roman" w:hAnsi="Times New Roman" w:cs="Times New Roman"/>
          <w:color w:val="000000"/>
          <w:sz w:val="24"/>
          <w:szCs w:val="24"/>
          <w:shd w:val="clear" w:color="auto" w:fill="FFFFFF"/>
          <w:lang w:eastAsia="es-ES"/>
        </w:rPr>
        <w:t xml:space="preserve">víctima tiene la calidad de parte en la investigación de los hechos, y tiene derecho a ser asistida por un asesor jurídico, a ofrecer datos de prueba, al resguardo de su identidad, </w:t>
      </w:r>
      <w:r w:rsidR="00760905">
        <w:rPr>
          <w:rFonts w:ascii="Times New Roman" w:eastAsia="Times New Roman" w:hAnsi="Times New Roman" w:cs="Times New Roman"/>
          <w:color w:val="000000"/>
          <w:sz w:val="24"/>
          <w:szCs w:val="24"/>
          <w:shd w:val="clear" w:color="auto" w:fill="FFFFFF"/>
          <w:lang w:eastAsia="es-ES"/>
        </w:rPr>
        <w:t>y medidas de protección. A</w:t>
      </w:r>
      <w:r w:rsidRPr="00A33DDC">
        <w:rPr>
          <w:rFonts w:ascii="Times New Roman" w:eastAsia="Times New Roman" w:hAnsi="Times New Roman" w:cs="Times New Roman"/>
          <w:color w:val="000000"/>
          <w:sz w:val="24"/>
          <w:szCs w:val="24"/>
          <w:shd w:val="clear" w:color="auto" w:fill="FFFFFF"/>
          <w:lang w:eastAsia="es-ES"/>
        </w:rPr>
        <w:t>simismo</w:t>
      </w:r>
      <w:r w:rsidR="00760905">
        <w:rPr>
          <w:rFonts w:ascii="Times New Roman" w:eastAsia="Times New Roman" w:hAnsi="Times New Roman" w:cs="Times New Roman"/>
          <w:color w:val="000000"/>
          <w:sz w:val="24"/>
          <w:szCs w:val="24"/>
          <w:shd w:val="clear" w:color="auto" w:fill="FFFFFF"/>
          <w:lang w:eastAsia="es-ES"/>
        </w:rPr>
        <w:t>,</w:t>
      </w:r>
      <w:r w:rsidRPr="00A33DDC">
        <w:rPr>
          <w:rFonts w:ascii="Times New Roman" w:eastAsia="Times New Roman" w:hAnsi="Times New Roman" w:cs="Times New Roman"/>
          <w:color w:val="000000"/>
          <w:sz w:val="24"/>
          <w:szCs w:val="24"/>
          <w:shd w:val="clear" w:color="auto" w:fill="FFFFFF"/>
          <w:lang w:eastAsia="es-ES"/>
        </w:rPr>
        <w:t xml:space="preserve"> la Comisión Ejecutiva de Atención a Víctimas es una institución creada para garantizar los derechos de esta asesoría jurídica, reparación integral, verdad, justicia, protección, debida diligencia, etc.  </w:t>
      </w:r>
    </w:p>
    <w:p w14:paraId="0E840708" w14:textId="3AB5ED95" w:rsidR="00A33DDC" w:rsidRPr="00A33DDC" w:rsidRDefault="00A33DDC" w:rsidP="00A33DDC">
      <w:pPr>
        <w:spacing w:line="276" w:lineRule="auto"/>
        <w:jc w:val="both"/>
        <w:rPr>
          <w:rFonts w:ascii="Times New Roman" w:eastAsia="Times New Roman" w:hAnsi="Times New Roman" w:cs="Times New Roman"/>
          <w:color w:val="000000"/>
          <w:sz w:val="24"/>
          <w:szCs w:val="24"/>
          <w:shd w:val="clear" w:color="auto" w:fill="FFFFFF"/>
          <w:lang w:eastAsia="es-ES"/>
        </w:rPr>
      </w:pPr>
      <w:r w:rsidRPr="00A33DDC">
        <w:rPr>
          <w:rFonts w:ascii="Times New Roman" w:eastAsia="Times New Roman" w:hAnsi="Times New Roman" w:cs="Times New Roman"/>
          <w:color w:val="000000"/>
          <w:sz w:val="24"/>
          <w:szCs w:val="24"/>
          <w:shd w:val="clear" w:color="auto" w:fill="FFFFFF"/>
          <w:lang w:eastAsia="es-ES"/>
        </w:rPr>
        <w:t xml:space="preserve"> </w:t>
      </w:r>
    </w:p>
    <w:p w14:paraId="7A0E73C7" w14:textId="7FBC8894" w:rsidR="00A33DDC" w:rsidRDefault="00A33DDC" w:rsidP="00A33DDC">
      <w:pPr>
        <w:spacing w:line="276" w:lineRule="auto"/>
        <w:jc w:val="both"/>
        <w:rPr>
          <w:rFonts w:ascii="Times New Roman" w:eastAsia="Times New Roman" w:hAnsi="Times New Roman" w:cs="Times New Roman"/>
          <w:color w:val="000000"/>
          <w:sz w:val="24"/>
          <w:szCs w:val="24"/>
          <w:shd w:val="clear" w:color="auto" w:fill="FFFFFF"/>
          <w:lang w:eastAsia="es-ES"/>
        </w:rPr>
      </w:pPr>
      <w:r w:rsidRPr="00A33DDC">
        <w:rPr>
          <w:rFonts w:ascii="Times New Roman" w:eastAsia="Times New Roman" w:hAnsi="Times New Roman" w:cs="Times New Roman"/>
          <w:color w:val="000000"/>
          <w:sz w:val="24"/>
          <w:szCs w:val="24"/>
          <w:shd w:val="clear" w:color="auto" w:fill="FFFFFF"/>
          <w:lang w:eastAsia="es-ES"/>
        </w:rPr>
        <w:t>En casos de violencia sexual o género se debe brindar atención médica especializada, por médicos del sex</w:t>
      </w:r>
      <w:r w:rsidR="00760905">
        <w:rPr>
          <w:rFonts w:ascii="Times New Roman" w:eastAsia="Times New Roman" w:hAnsi="Times New Roman" w:cs="Times New Roman"/>
          <w:color w:val="000000"/>
          <w:sz w:val="24"/>
          <w:szCs w:val="24"/>
          <w:shd w:val="clear" w:color="auto" w:fill="FFFFFF"/>
          <w:lang w:eastAsia="es-ES"/>
        </w:rPr>
        <w:t>o que así lo decida la víctima. E</w:t>
      </w:r>
      <w:r w:rsidRPr="00A33DDC">
        <w:rPr>
          <w:rFonts w:ascii="Times New Roman" w:eastAsia="Times New Roman" w:hAnsi="Times New Roman" w:cs="Times New Roman"/>
          <w:color w:val="000000"/>
          <w:sz w:val="24"/>
          <w:szCs w:val="24"/>
          <w:shd w:val="clear" w:color="auto" w:fill="FFFFFF"/>
          <w:lang w:eastAsia="es-ES"/>
        </w:rPr>
        <w:t>n el caso de mujeres</w:t>
      </w:r>
      <w:r w:rsidR="00760905">
        <w:rPr>
          <w:rFonts w:ascii="Times New Roman" w:eastAsia="Times New Roman" w:hAnsi="Times New Roman" w:cs="Times New Roman"/>
          <w:color w:val="000000"/>
          <w:sz w:val="24"/>
          <w:szCs w:val="24"/>
          <w:shd w:val="clear" w:color="auto" w:fill="FFFFFF"/>
          <w:lang w:eastAsia="es-ES"/>
        </w:rPr>
        <w:t>,</w:t>
      </w:r>
      <w:r w:rsidRPr="00A33DDC">
        <w:rPr>
          <w:rFonts w:ascii="Times New Roman" w:eastAsia="Times New Roman" w:hAnsi="Times New Roman" w:cs="Times New Roman"/>
          <w:color w:val="000000"/>
          <w:sz w:val="24"/>
          <w:szCs w:val="24"/>
          <w:shd w:val="clear" w:color="auto" w:fill="FFFFFF"/>
          <w:lang w:eastAsia="es-ES"/>
        </w:rPr>
        <w:t xml:space="preserve"> por médico del mismo sexo. </w:t>
      </w:r>
    </w:p>
    <w:p w14:paraId="70682EB0" w14:textId="77777777" w:rsidR="00760905" w:rsidRPr="00A33DDC" w:rsidRDefault="00760905" w:rsidP="00A33DDC">
      <w:pPr>
        <w:spacing w:line="276" w:lineRule="auto"/>
        <w:jc w:val="both"/>
        <w:rPr>
          <w:rFonts w:ascii="Times New Roman" w:eastAsia="Times New Roman" w:hAnsi="Times New Roman" w:cs="Times New Roman"/>
          <w:color w:val="000000"/>
          <w:sz w:val="24"/>
          <w:szCs w:val="24"/>
          <w:shd w:val="clear" w:color="auto" w:fill="FFFFFF"/>
          <w:lang w:eastAsia="es-ES"/>
        </w:rPr>
      </w:pPr>
    </w:p>
    <w:p w14:paraId="313A07DF" w14:textId="73A37C3C" w:rsidR="00A965AD" w:rsidRPr="00760905" w:rsidRDefault="00760905" w:rsidP="00760905">
      <w:pPr>
        <w:spacing w:line="276" w:lineRule="auto"/>
        <w:jc w:val="both"/>
        <w:rPr>
          <w:rFonts w:ascii="Times New Roman" w:eastAsia="Times New Roman" w:hAnsi="Times New Roman" w:cs="Times New Roman"/>
          <w:color w:val="000000"/>
          <w:sz w:val="24"/>
          <w:szCs w:val="24"/>
          <w:shd w:val="clear" w:color="auto" w:fill="FFFFFF"/>
          <w:lang w:eastAsia="es-ES"/>
        </w:rPr>
      </w:pPr>
      <w:r>
        <w:rPr>
          <w:rFonts w:ascii="Times New Roman" w:eastAsia="Times New Roman" w:hAnsi="Times New Roman" w:cs="Times New Roman"/>
          <w:color w:val="000000"/>
          <w:sz w:val="24"/>
          <w:szCs w:val="24"/>
          <w:shd w:val="clear" w:color="auto" w:fill="FFFFFF"/>
          <w:lang w:eastAsia="es-ES"/>
        </w:rPr>
        <w:t>La CPEUM,</w:t>
      </w:r>
      <w:r w:rsidR="00A33DDC" w:rsidRPr="00A33DDC">
        <w:rPr>
          <w:rFonts w:ascii="Times New Roman" w:eastAsia="Times New Roman" w:hAnsi="Times New Roman" w:cs="Times New Roman"/>
          <w:color w:val="000000"/>
          <w:sz w:val="24"/>
          <w:szCs w:val="24"/>
          <w:shd w:val="clear" w:color="auto" w:fill="FFFFFF"/>
          <w:lang w:eastAsia="es-ES"/>
        </w:rPr>
        <w:t xml:space="preserve"> en su artículo 20 apartado C</w:t>
      </w:r>
      <w:r>
        <w:rPr>
          <w:rFonts w:ascii="Times New Roman" w:eastAsia="Times New Roman" w:hAnsi="Times New Roman" w:cs="Times New Roman"/>
          <w:color w:val="000000"/>
          <w:sz w:val="24"/>
          <w:szCs w:val="24"/>
          <w:shd w:val="clear" w:color="auto" w:fill="FFFFFF"/>
          <w:lang w:eastAsia="es-ES"/>
        </w:rPr>
        <w:t>,</w:t>
      </w:r>
      <w:r w:rsidR="00A33DDC" w:rsidRPr="00A33DDC">
        <w:rPr>
          <w:rFonts w:ascii="Times New Roman" w:eastAsia="Times New Roman" w:hAnsi="Times New Roman" w:cs="Times New Roman"/>
          <w:color w:val="000000"/>
          <w:sz w:val="24"/>
          <w:szCs w:val="24"/>
          <w:shd w:val="clear" w:color="auto" w:fill="FFFFFF"/>
          <w:lang w:eastAsia="es-ES"/>
        </w:rPr>
        <w:t xml:space="preserve"> establece los derec</w:t>
      </w:r>
      <w:r>
        <w:rPr>
          <w:rFonts w:ascii="Times New Roman" w:eastAsia="Times New Roman" w:hAnsi="Times New Roman" w:cs="Times New Roman"/>
          <w:color w:val="000000"/>
          <w:sz w:val="24"/>
          <w:szCs w:val="24"/>
          <w:shd w:val="clear" w:color="auto" w:fill="FFFFFF"/>
          <w:lang w:eastAsia="es-ES"/>
        </w:rPr>
        <w:t xml:space="preserve">hos de toda víctima del delito. </w:t>
      </w:r>
      <w:r w:rsidR="00A33DDC" w:rsidRPr="00A33DDC">
        <w:rPr>
          <w:rFonts w:ascii="Times New Roman" w:eastAsia="Times New Roman" w:hAnsi="Times New Roman" w:cs="Times New Roman"/>
          <w:color w:val="000000"/>
          <w:sz w:val="24"/>
          <w:szCs w:val="24"/>
          <w:shd w:val="clear" w:color="auto" w:fill="FFFFFF"/>
          <w:lang w:eastAsia="es-ES"/>
        </w:rPr>
        <w:t>De la misma forma existe la Ley General de Atención a Víctimas.</w:t>
      </w:r>
    </w:p>
    <w:p w14:paraId="126336A2" w14:textId="3A1E796A" w:rsidR="00A965AD" w:rsidRPr="00A965AD" w:rsidRDefault="00982187" w:rsidP="00A33DDC">
      <w:pPr>
        <w:pStyle w:val="AutoridadEditable"/>
        <w:numPr>
          <w:ilvl w:val="0"/>
          <w:numId w:val="16"/>
        </w:numPr>
        <w:spacing w:before="240" w:after="240" w:line="276" w:lineRule="auto"/>
        <w:ind w:right="108"/>
        <w:rPr>
          <w:rFonts w:ascii="Times New Roman" w:hAnsi="Times New Roman" w:cs="Times New Roman"/>
          <w:lang w:val="es-MX"/>
        </w:rPr>
      </w:pPr>
      <w:r>
        <w:rPr>
          <w:rFonts w:ascii="Times New Roman" w:hAnsi="Times New Roman" w:cs="Times New Roman"/>
          <w:lang w:val="es-MX"/>
        </w:rPr>
        <w:t>Investigaciones difíciles</w:t>
      </w:r>
    </w:p>
    <w:p w14:paraId="64532D04" w14:textId="22074469" w:rsidR="00A965AD" w:rsidRPr="00A965AD" w:rsidRDefault="00A965AD" w:rsidP="00A965AD">
      <w:pPr>
        <w:pStyle w:val="AutoridadEditable"/>
        <w:spacing w:before="240" w:after="240" w:line="276" w:lineRule="auto"/>
        <w:ind w:right="108"/>
        <w:rPr>
          <w:rFonts w:ascii="Times New Roman" w:hAnsi="Times New Roman" w:cs="Times New Roman"/>
          <w:b w:val="0"/>
          <w:lang w:val="es-MX"/>
        </w:rPr>
      </w:pPr>
      <w:r w:rsidRPr="00A965AD">
        <w:rPr>
          <w:rFonts w:ascii="Times New Roman" w:hAnsi="Times New Roman" w:cs="Times New Roman"/>
          <w:b w:val="0"/>
          <w:lang w:val="es-MX"/>
        </w:rPr>
        <w:t>De acuerdo con la exper</w:t>
      </w:r>
      <w:r w:rsidR="00C267C5">
        <w:rPr>
          <w:rFonts w:ascii="Times New Roman" w:hAnsi="Times New Roman" w:cs="Times New Roman"/>
          <w:b w:val="0"/>
          <w:lang w:val="es-MX"/>
        </w:rPr>
        <w:t>iencia del Estado mexicano</w:t>
      </w:r>
      <w:r w:rsidRPr="00A965AD">
        <w:rPr>
          <w:rFonts w:ascii="Times New Roman" w:hAnsi="Times New Roman" w:cs="Times New Roman"/>
          <w:b w:val="0"/>
          <w:lang w:val="es-MX"/>
        </w:rPr>
        <w:t>, un aspecto difícil de investigar en materia de tortura y malos tratos e</w:t>
      </w:r>
      <w:r w:rsidR="00813593">
        <w:rPr>
          <w:rFonts w:ascii="Times New Roman" w:hAnsi="Times New Roman" w:cs="Times New Roman"/>
          <w:b w:val="0"/>
          <w:lang w:val="es-MX"/>
        </w:rPr>
        <w:t xml:space="preserve">s el de las personas migrantes, </w:t>
      </w:r>
      <w:r w:rsidRPr="00A965AD">
        <w:rPr>
          <w:rFonts w:ascii="Times New Roman" w:hAnsi="Times New Roman" w:cs="Times New Roman"/>
          <w:b w:val="0"/>
          <w:lang w:val="es-MX"/>
        </w:rPr>
        <w:t>e</w:t>
      </w:r>
      <w:r w:rsidR="00813593">
        <w:rPr>
          <w:rFonts w:ascii="Times New Roman" w:hAnsi="Times New Roman" w:cs="Times New Roman"/>
          <w:b w:val="0"/>
          <w:lang w:val="es-MX"/>
        </w:rPr>
        <w:t xml:space="preserve">n su tránsito por México. </w:t>
      </w:r>
      <w:r w:rsidRPr="00A965AD">
        <w:rPr>
          <w:rFonts w:ascii="Times New Roman" w:hAnsi="Times New Roman" w:cs="Times New Roman"/>
          <w:b w:val="0"/>
          <w:lang w:val="es-MX"/>
        </w:rPr>
        <w:t>Derivado de visitas de supervisión por parte del personal del MNPT, se ha observado que no se cuenta con un proceso mediante el que las personas migrantes puedan señalar los posibles delitos de los que fue</w:t>
      </w:r>
      <w:r w:rsidR="00813593">
        <w:rPr>
          <w:rFonts w:ascii="Times New Roman" w:hAnsi="Times New Roman" w:cs="Times New Roman"/>
          <w:b w:val="0"/>
          <w:lang w:val="es-MX"/>
        </w:rPr>
        <w:t>ron</w:t>
      </w:r>
      <w:r w:rsidRPr="00A965AD">
        <w:rPr>
          <w:rFonts w:ascii="Times New Roman" w:hAnsi="Times New Roman" w:cs="Times New Roman"/>
          <w:b w:val="0"/>
          <w:lang w:val="es-MX"/>
        </w:rPr>
        <w:t xml:space="preserve"> víctima</w:t>
      </w:r>
      <w:r w:rsidR="00813593">
        <w:rPr>
          <w:rFonts w:ascii="Times New Roman" w:hAnsi="Times New Roman" w:cs="Times New Roman"/>
          <w:b w:val="0"/>
          <w:lang w:val="es-MX"/>
        </w:rPr>
        <w:t>s</w:t>
      </w:r>
      <w:r w:rsidRPr="00A965AD">
        <w:rPr>
          <w:rFonts w:ascii="Times New Roman" w:hAnsi="Times New Roman" w:cs="Times New Roman"/>
          <w:b w:val="0"/>
          <w:lang w:val="es-MX"/>
        </w:rPr>
        <w:t>; hay deficiencias en hacerles saber sus derechos, sobre todo en lo que tiene que ver con su representación jurídica y consular; las certificaciones médicas son deficientes y no se hacen de</w:t>
      </w:r>
      <w:r w:rsidR="00813593">
        <w:rPr>
          <w:rFonts w:ascii="Times New Roman" w:hAnsi="Times New Roman" w:cs="Times New Roman"/>
          <w:b w:val="0"/>
          <w:lang w:val="es-MX"/>
        </w:rPr>
        <w:t>l</w:t>
      </w:r>
      <w:r w:rsidRPr="00A965AD">
        <w:rPr>
          <w:rFonts w:ascii="Times New Roman" w:hAnsi="Times New Roman" w:cs="Times New Roman"/>
          <w:b w:val="0"/>
          <w:lang w:val="es-MX"/>
        </w:rPr>
        <w:t xml:space="preserve"> conocimiento de las autoridades competentes</w:t>
      </w:r>
      <w:r w:rsidR="00813593">
        <w:rPr>
          <w:rFonts w:ascii="Times New Roman" w:hAnsi="Times New Roman" w:cs="Times New Roman"/>
          <w:b w:val="0"/>
          <w:lang w:val="es-MX"/>
        </w:rPr>
        <w:t>,</w:t>
      </w:r>
      <w:r w:rsidRPr="00A965AD">
        <w:rPr>
          <w:rFonts w:ascii="Times New Roman" w:hAnsi="Times New Roman" w:cs="Times New Roman"/>
          <w:b w:val="0"/>
          <w:lang w:val="es-MX"/>
        </w:rPr>
        <w:t xml:space="preserve"> y la posibilidad de comunicar su situación es deficiente ya que</w:t>
      </w:r>
      <w:r w:rsidR="00813593">
        <w:rPr>
          <w:rFonts w:ascii="Times New Roman" w:hAnsi="Times New Roman" w:cs="Times New Roman"/>
          <w:b w:val="0"/>
          <w:lang w:val="es-MX"/>
        </w:rPr>
        <w:t xml:space="preserve"> no hay servicios de traducción. Lo anterior </w:t>
      </w:r>
      <w:r w:rsidRPr="00A965AD">
        <w:rPr>
          <w:rFonts w:ascii="Times New Roman" w:hAnsi="Times New Roman" w:cs="Times New Roman"/>
          <w:b w:val="0"/>
          <w:lang w:val="es-MX"/>
        </w:rPr>
        <w:t>contradice lo establecido en el artículo 67, 68 y 69 de la Ley de Migración dificultando la investigación en caso de denuncias sobre tortura, malos tratos, inhumanos o degradantes.</w:t>
      </w:r>
    </w:p>
    <w:p w14:paraId="302F386D" w14:textId="0F7FBAAD" w:rsidR="00A965AD" w:rsidRPr="00A965AD" w:rsidRDefault="00FB1C87" w:rsidP="00A965AD">
      <w:pPr>
        <w:pStyle w:val="AutoridadEditable"/>
        <w:spacing w:before="240" w:after="240" w:line="276" w:lineRule="auto"/>
        <w:ind w:right="108"/>
        <w:rPr>
          <w:rFonts w:ascii="Times New Roman" w:hAnsi="Times New Roman" w:cs="Times New Roman"/>
          <w:b w:val="0"/>
          <w:lang w:val="es-MX"/>
        </w:rPr>
      </w:pPr>
      <w:r>
        <w:rPr>
          <w:rFonts w:ascii="Times New Roman" w:hAnsi="Times New Roman" w:cs="Times New Roman"/>
          <w:b w:val="0"/>
          <w:lang w:val="es-MX"/>
        </w:rPr>
        <w:t xml:space="preserve">Adicionalmente, para </w:t>
      </w:r>
      <w:r w:rsidR="00A965AD" w:rsidRPr="00A965AD">
        <w:rPr>
          <w:rFonts w:ascii="Times New Roman" w:hAnsi="Times New Roman" w:cs="Times New Roman"/>
          <w:b w:val="0"/>
          <w:lang w:val="es-MX"/>
        </w:rPr>
        <w:t>las personas migrantes que sufren tortura, penas crueles inhumanas o degradantes dentro del territorio nacional, es difícil continuar con el proceso de denuncia o reparación del daño</w:t>
      </w:r>
      <w:r>
        <w:rPr>
          <w:rFonts w:ascii="Times New Roman" w:hAnsi="Times New Roman" w:cs="Times New Roman"/>
          <w:b w:val="0"/>
          <w:lang w:val="es-MX"/>
        </w:rPr>
        <w:t>,</w:t>
      </w:r>
      <w:r w:rsidR="00A965AD" w:rsidRPr="00A965AD">
        <w:rPr>
          <w:rFonts w:ascii="Times New Roman" w:hAnsi="Times New Roman" w:cs="Times New Roman"/>
          <w:b w:val="0"/>
          <w:lang w:val="es-MX"/>
        </w:rPr>
        <w:t xml:space="preserve"> debido a que en ocasiones son retornados a su país de origen o están en constante movimiento por lo que no se les puede ubicar.</w:t>
      </w:r>
    </w:p>
    <w:p w14:paraId="64438A0F" w14:textId="40D23ACF" w:rsidR="00A965AD" w:rsidRPr="00A965AD" w:rsidRDefault="00A965AD" w:rsidP="00A965AD">
      <w:pPr>
        <w:pStyle w:val="AutoridadEditable"/>
        <w:spacing w:before="240" w:after="240" w:line="276" w:lineRule="auto"/>
        <w:ind w:right="108"/>
        <w:rPr>
          <w:rFonts w:ascii="Times New Roman" w:hAnsi="Times New Roman" w:cs="Times New Roman"/>
          <w:b w:val="0"/>
          <w:lang w:val="es-MX"/>
        </w:rPr>
      </w:pPr>
      <w:r w:rsidRPr="00A965AD">
        <w:rPr>
          <w:rFonts w:ascii="Times New Roman" w:hAnsi="Times New Roman" w:cs="Times New Roman"/>
          <w:b w:val="0"/>
          <w:lang w:val="es-MX"/>
        </w:rPr>
        <w:t>Otra situación de difícil investigación, es la relacionada con centros residenciales de tratamie</w:t>
      </w:r>
      <w:r w:rsidR="00D544FF">
        <w:rPr>
          <w:rFonts w:ascii="Times New Roman" w:hAnsi="Times New Roman" w:cs="Times New Roman"/>
          <w:b w:val="0"/>
          <w:lang w:val="es-MX"/>
        </w:rPr>
        <w:t>nto de adicciones, donde el Estado mexicano</w:t>
      </w:r>
      <w:r w:rsidRPr="00A965AD">
        <w:rPr>
          <w:rFonts w:ascii="Times New Roman" w:hAnsi="Times New Roman" w:cs="Times New Roman"/>
          <w:b w:val="0"/>
          <w:lang w:val="es-MX"/>
        </w:rPr>
        <w:t xml:space="preserve"> ha logrado corroborar que existe un importante subregistro ante las instituciones reguladoras, tanto a nivel nacional, como lo es </w:t>
      </w:r>
      <w:r w:rsidRPr="00A965AD">
        <w:rPr>
          <w:rFonts w:ascii="Times New Roman" w:hAnsi="Times New Roman" w:cs="Times New Roman"/>
          <w:b w:val="0"/>
          <w:lang w:val="es-MX"/>
        </w:rPr>
        <w:lastRenderedPageBreak/>
        <w:t>el Consejo Nacional contra las Adicciones (CONADIC), como los Consejos Estatales contras las Adicciones (CECA), ya que al tratarse de lugares que se utilizan con fines lucrativos, existe una importante movilidad domiciliaria para evitar ser supervisados. Se ha podido corroborar a través de los Informes de supervisión del Mecanismo Nacional de Prevención de la Tortura, que existe una relación directa entre la falta de regulación de este tipo de lugares y la presencia de tortura y tratos crueles, inhumanos y degradantes</w:t>
      </w:r>
      <w:r w:rsidRPr="00A965AD">
        <w:rPr>
          <w:rFonts w:ascii="Times New Roman" w:hAnsi="Times New Roman" w:cs="Times New Roman"/>
          <w:b w:val="0"/>
          <w:vertAlign w:val="superscript"/>
          <w:lang w:val="es-MX"/>
        </w:rPr>
        <w:footnoteReference w:id="1"/>
      </w:r>
      <w:r w:rsidRPr="00A965AD">
        <w:rPr>
          <w:rFonts w:ascii="Times New Roman" w:hAnsi="Times New Roman" w:cs="Times New Roman"/>
          <w:b w:val="0"/>
          <w:lang w:val="es-MX"/>
        </w:rPr>
        <w:t>, lo que ha convertido a estos establecimientos en un foco rojo dentro de las supervisiones del MNPT.</w:t>
      </w:r>
    </w:p>
    <w:p w14:paraId="3A2A8C6F" w14:textId="58F53C76" w:rsidR="00A965AD" w:rsidRPr="00A965AD" w:rsidRDefault="00A965AD" w:rsidP="00A965AD">
      <w:pPr>
        <w:pStyle w:val="AutoridadEditable"/>
        <w:spacing w:before="240" w:after="240" w:line="276" w:lineRule="auto"/>
        <w:ind w:right="108"/>
        <w:rPr>
          <w:rFonts w:ascii="Times New Roman" w:hAnsi="Times New Roman" w:cs="Times New Roman"/>
          <w:b w:val="0"/>
          <w:lang w:val="es-MX"/>
        </w:rPr>
      </w:pPr>
      <w:r w:rsidRPr="00A965AD">
        <w:rPr>
          <w:rFonts w:ascii="Times New Roman" w:hAnsi="Times New Roman" w:cs="Times New Roman"/>
          <w:b w:val="0"/>
          <w:lang w:val="es-MX"/>
        </w:rPr>
        <w:t>Dentro de los problemas más relevantes que se encuentran las Comisiones Estatales de Derechos Humanos para la supervisión de este tipo de lugares, se encuentra la negativa por parte de estos centros, ya que han argumentado que son lugares privados que no tienen que ser supervisados por órganos de esta naturaleza. No obstante, desde el Mecanismo Nacional de Prevención de la Tortura se ha buscado incidir con su presencia, a través de acciones de supervisión coordinada con las Comisiones Estatales, ya que al formar parte del mandato del propio MNPT, la visita a estos lugares se prevé como parte de sus atribuciones.</w:t>
      </w:r>
    </w:p>
    <w:p w14:paraId="0D5A4E93" w14:textId="77777777" w:rsidR="00A965AD" w:rsidRDefault="00A965AD" w:rsidP="00A965AD">
      <w:pPr>
        <w:pStyle w:val="AutoridadEditable"/>
        <w:spacing w:before="240" w:after="240" w:line="276" w:lineRule="auto"/>
        <w:ind w:right="108"/>
        <w:rPr>
          <w:rFonts w:ascii="Times New Roman" w:hAnsi="Times New Roman" w:cs="Times New Roman"/>
          <w:b w:val="0"/>
          <w:lang w:val="es-MX"/>
        </w:rPr>
      </w:pPr>
      <w:r w:rsidRPr="00A965AD">
        <w:rPr>
          <w:rFonts w:ascii="Times New Roman" w:hAnsi="Times New Roman" w:cs="Times New Roman"/>
          <w:b w:val="0"/>
          <w:lang w:val="es-MX"/>
        </w:rPr>
        <w:t xml:space="preserve">Además, si bien, en la mayoría de los casos, los centros de tratamiento de adicciones son espacios privados, la Corte Interamericana en el </w:t>
      </w:r>
      <w:r w:rsidRPr="00A965AD">
        <w:rPr>
          <w:rFonts w:ascii="Times New Roman" w:hAnsi="Times New Roman" w:cs="Times New Roman"/>
          <w:b w:val="0"/>
          <w:i/>
          <w:iCs/>
          <w:lang w:val="es-MX"/>
        </w:rPr>
        <w:t>caso Ximenes Lopes vs Brasil</w:t>
      </w:r>
      <w:r w:rsidRPr="00A965AD">
        <w:rPr>
          <w:rFonts w:ascii="Times New Roman" w:hAnsi="Times New Roman" w:cs="Times New Roman"/>
          <w:b w:val="0"/>
          <w:lang w:val="es-MX"/>
        </w:rPr>
        <w:t>, mencionó que el Estado conserva su potestad de supervisarlas. Esto es así, ya que la prestación de servicios públicos implica la protección de bienes públicos, la cual es una de las finalidades de los Estados. Si bien los Estados pueden delegar su prestación, a través de la llamada “tercerización”, mantienen la titularidad de la obligación de proveer los servicios públicos y de proteger el bien público respectivo</w:t>
      </w:r>
      <w:r w:rsidRPr="00A965AD">
        <w:rPr>
          <w:rFonts w:ascii="Times New Roman" w:hAnsi="Times New Roman" w:cs="Times New Roman"/>
          <w:b w:val="0"/>
          <w:vertAlign w:val="superscript"/>
          <w:lang w:val="es-MX"/>
        </w:rPr>
        <w:footnoteReference w:id="2"/>
      </w:r>
      <w:r w:rsidRPr="00A965AD">
        <w:rPr>
          <w:rFonts w:ascii="Times New Roman" w:hAnsi="Times New Roman" w:cs="Times New Roman"/>
          <w:b w:val="0"/>
          <w:lang w:val="es-MX"/>
        </w:rPr>
        <w:t>.</w:t>
      </w:r>
    </w:p>
    <w:p w14:paraId="2AC11B38" w14:textId="76EF8C82" w:rsidR="00A33DDC" w:rsidRPr="00537E0C" w:rsidRDefault="005F5E1A" w:rsidP="00A33DDC">
      <w:pPr>
        <w:pStyle w:val="ListParagraph"/>
        <w:numPr>
          <w:ilvl w:val="0"/>
          <w:numId w:val="16"/>
        </w:numPr>
        <w:spacing w:line="276" w:lineRule="auto"/>
        <w:jc w:val="both"/>
        <w:rPr>
          <w:rFonts w:ascii="Times New Roman" w:eastAsia="Times New Roman" w:hAnsi="Times New Roman" w:cs="Times New Roman"/>
          <w:sz w:val="24"/>
          <w:szCs w:val="24"/>
        </w:rPr>
      </w:pPr>
      <w:r w:rsidRPr="00537E0C">
        <w:rPr>
          <w:rFonts w:ascii="Times New Roman" w:hAnsi="Times New Roman" w:cs="Times New Roman"/>
          <w:b/>
          <w:bCs/>
          <w:sz w:val="24"/>
          <w:szCs w:val="24"/>
        </w:rPr>
        <w:t xml:space="preserve">Recopilación de evidencia e innovación </w:t>
      </w:r>
    </w:p>
    <w:p w14:paraId="5ECF09CA" w14:textId="6EEF25D6" w:rsidR="00A33DDC" w:rsidRPr="00537E0C" w:rsidRDefault="00A33DDC" w:rsidP="00A33DDC">
      <w:pPr>
        <w:spacing w:line="360" w:lineRule="auto"/>
        <w:jc w:val="both"/>
        <w:rPr>
          <w:rFonts w:ascii="Raleway" w:eastAsia="Times New Roman" w:hAnsi="Raleway"/>
        </w:rPr>
      </w:pPr>
    </w:p>
    <w:p w14:paraId="47B77CB9" w14:textId="7FB03552" w:rsidR="00A33DDC" w:rsidRPr="00537E0C" w:rsidRDefault="00A33DDC" w:rsidP="00A33DDC">
      <w:pPr>
        <w:pStyle w:val="ListParagraph"/>
        <w:spacing w:line="276" w:lineRule="auto"/>
        <w:ind w:left="142"/>
        <w:jc w:val="both"/>
        <w:rPr>
          <w:rFonts w:ascii="Times New Roman" w:eastAsia="Times New Roman" w:hAnsi="Times New Roman" w:cs="Times New Roman"/>
          <w:sz w:val="24"/>
          <w:szCs w:val="24"/>
        </w:rPr>
      </w:pPr>
      <w:r w:rsidRPr="00537E0C">
        <w:rPr>
          <w:rFonts w:ascii="Times New Roman" w:eastAsia="Times New Roman" w:hAnsi="Times New Roman" w:cs="Times New Roman"/>
          <w:sz w:val="24"/>
          <w:szCs w:val="24"/>
        </w:rPr>
        <w:t xml:space="preserve">Es </w:t>
      </w:r>
      <w:r w:rsidR="005F5E1A" w:rsidRPr="00537E0C">
        <w:rPr>
          <w:rFonts w:ascii="Times New Roman" w:eastAsia="Times New Roman" w:hAnsi="Times New Roman" w:cs="Times New Roman"/>
          <w:sz w:val="24"/>
          <w:szCs w:val="24"/>
        </w:rPr>
        <w:t xml:space="preserve">una práctica </w:t>
      </w:r>
      <w:r w:rsidRPr="00537E0C">
        <w:rPr>
          <w:rFonts w:ascii="Times New Roman" w:eastAsia="Times New Roman" w:hAnsi="Times New Roman" w:cs="Times New Roman"/>
          <w:sz w:val="24"/>
          <w:szCs w:val="24"/>
        </w:rPr>
        <w:t>común</w:t>
      </w:r>
      <w:r w:rsidR="005F5E1A" w:rsidRPr="00537E0C">
        <w:rPr>
          <w:rFonts w:ascii="Times New Roman" w:eastAsia="Times New Roman" w:hAnsi="Times New Roman" w:cs="Times New Roman"/>
          <w:sz w:val="24"/>
          <w:szCs w:val="24"/>
        </w:rPr>
        <w:t xml:space="preserve"> </w:t>
      </w:r>
      <w:r w:rsidRPr="00537E0C">
        <w:rPr>
          <w:rFonts w:ascii="Times New Roman" w:eastAsia="Times New Roman" w:hAnsi="Times New Roman" w:cs="Times New Roman"/>
          <w:sz w:val="24"/>
          <w:szCs w:val="24"/>
        </w:rPr>
        <w:t>efectuar la identificación por fotografía de los imputados relacionados con el ilícito de tortura, así como la práctica de técnicas de investigación como la intervención de comunicaciones privadas en su modalidad de datos conservados.</w:t>
      </w:r>
    </w:p>
    <w:p w14:paraId="6538A616" w14:textId="77777777" w:rsidR="00A33DDC" w:rsidRPr="00537E0C" w:rsidRDefault="00A33DDC" w:rsidP="00A33DDC">
      <w:pPr>
        <w:pStyle w:val="ListParagraph"/>
        <w:spacing w:line="276" w:lineRule="auto"/>
        <w:ind w:left="142"/>
        <w:jc w:val="both"/>
        <w:rPr>
          <w:rFonts w:ascii="Times New Roman" w:eastAsia="Times New Roman" w:hAnsi="Times New Roman" w:cs="Times New Roman"/>
          <w:sz w:val="24"/>
          <w:szCs w:val="24"/>
        </w:rPr>
      </w:pPr>
    </w:p>
    <w:p w14:paraId="494894E0" w14:textId="37C88EE5" w:rsidR="00A33DDC" w:rsidRPr="00537E0C" w:rsidRDefault="00A33DDC" w:rsidP="00A33DDC">
      <w:pPr>
        <w:pStyle w:val="ListParagraph"/>
        <w:spacing w:line="276" w:lineRule="auto"/>
        <w:ind w:left="142"/>
        <w:jc w:val="both"/>
        <w:rPr>
          <w:rFonts w:ascii="Times New Roman" w:eastAsia="Times New Roman" w:hAnsi="Times New Roman" w:cs="Times New Roman"/>
          <w:sz w:val="24"/>
          <w:szCs w:val="24"/>
        </w:rPr>
      </w:pPr>
      <w:r w:rsidRPr="00537E0C">
        <w:rPr>
          <w:rFonts w:ascii="Times New Roman" w:eastAsia="Times New Roman" w:hAnsi="Times New Roman" w:cs="Times New Roman"/>
          <w:sz w:val="24"/>
          <w:szCs w:val="24"/>
        </w:rPr>
        <w:t>El dictamen médico psicológico sustentado en el manual para la investigación y documentación eficaces de la tortura y otros tratos o pen</w:t>
      </w:r>
      <w:r w:rsidR="005F5E1A" w:rsidRPr="00537E0C">
        <w:rPr>
          <w:rFonts w:ascii="Times New Roman" w:eastAsia="Times New Roman" w:hAnsi="Times New Roman" w:cs="Times New Roman"/>
          <w:sz w:val="24"/>
          <w:szCs w:val="24"/>
        </w:rPr>
        <w:t>as crueles, inhumanos o degradantes</w:t>
      </w:r>
      <w:r w:rsidRPr="00537E0C">
        <w:rPr>
          <w:rFonts w:ascii="Times New Roman" w:eastAsia="Times New Roman" w:hAnsi="Times New Roman" w:cs="Times New Roman"/>
          <w:sz w:val="24"/>
          <w:szCs w:val="24"/>
        </w:rPr>
        <w:t xml:space="preserve"> es fundamental</w:t>
      </w:r>
      <w:r w:rsidR="005F5E1A" w:rsidRPr="00537E0C">
        <w:rPr>
          <w:rFonts w:ascii="Times New Roman" w:eastAsia="Times New Roman" w:hAnsi="Times New Roman" w:cs="Times New Roman"/>
          <w:sz w:val="24"/>
          <w:szCs w:val="24"/>
        </w:rPr>
        <w:t>,</w:t>
      </w:r>
      <w:r w:rsidRPr="00537E0C">
        <w:rPr>
          <w:rFonts w:ascii="Times New Roman" w:eastAsia="Times New Roman" w:hAnsi="Times New Roman" w:cs="Times New Roman"/>
          <w:sz w:val="24"/>
          <w:szCs w:val="24"/>
        </w:rPr>
        <w:t xml:space="preserve"> ya que el ilícito de tortura suele cometerse de manera subrepticia, sin la</w:t>
      </w:r>
      <w:r w:rsidR="005F5E1A" w:rsidRPr="00537E0C">
        <w:rPr>
          <w:rFonts w:ascii="Times New Roman" w:eastAsia="Times New Roman" w:hAnsi="Times New Roman" w:cs="Times New Roman"/>
          <w:sz w:val="24"/>
          <w:szCs w:val="24"/>
        </w:rPr>
        <w:t xml:space="preserve"> presencia de testigos. De igual forma, se utiliza</w:t>
      </w:r>
      <w:r w:rsidRPr="00537E0C">
        <w:rPr>
          <w:rFonts w:ascii="Times New Roman" w:eastAsia="Times New Roman" w:hAnsi="Times New Roman" w:cs="Times New Roman"/>
          <w:sz w:val="24"/>
          <w:szCs w:val="24"/>
        </w:rPr>
        <w:t xml:space="preserve"> la mecánica de lesiones para determinar los mecanismos de producción de estas.  </w:t>
      </w:r>
    </w:p>
    <w:p w14:paraId="00842B06" w14:textId="77777777" w:rsidR="00A33DDC" w:rsidRPr="00537E0C" w:rsidRDefault="00A33DDC" w:rsidP="00A33DDC">
      <w:pPr>
        <w:pStyle w:val="ListParagraph"/>
        <w:spacing w:line="276" w:lineRule="auto"/>
        <w:ind w:left="142"/>
        <w:jc w:val="both"/>
        <w:rPr>
          <w:rFonts w:ascii="Times New Roman" w:eastAsia="Times New Roman" w:hAnsi="Times New Roman" w:cs="Times New Roman"/>
          <w:sz w:val="24"/>
          <w:szCs w:val="24"/>
        </w:rPr>
      </w:pPr>
    </w:p>
    <w:p w14:paraId="794AB692" w14:textId="685278F7" w:rsidR="005F5E1A" w:rsidRPr="00537E0C" w:rsidRDefault="005F5E1A" w:rsidP="005F5E1A">
      <w:pPr>
        <w:pStyle w:val="ListParagraph"/>
        <w:spacing w:line="276" w:lineRule="auto"/>
        <w:ind w:left="142"/>
        <w:jc w:val="both"/>
        <w:rPr>
          <w:rFonts w:ascii="Times New Roman" w:eastAsia="Times New Roman" w:hAnsi="Times New Roman" w:cs="Times New Roman"/>
          <w:sz w:val="24"/>
          <w:szCs w:val="24"/>
        </w:rPr>
      </w:pPr>
      <w:r w:rsidRPr="00537E0C">
        <w:rPr>
          <w:rFonts w:ascii="Times New Roman" w:eastAsia="Times New Roman" w:hAnsi="Times New Roman" w:cs="Times New Roman"/>
          <w:sz w:val="24"/>
          <w:szCs w:val="24"/>
        </w:rPr>
        <w:t>Asi</w:t>
      </w:r>
      <w:r w:rsidR="0020131E">
        <w:rPr>
          <w:rFonts w:ascii="Times New Roman" w:eastAsia="Times New Roman" w:hAnsi="Times New Roman" w:cs="Times New Roman"/>
          <w:sz w:val="24"/>
          <w:szCs w:val="24"/>
        </w:rPr>
        <w:t xml:space="preserve">mismo, la </w:t>
      </w:r>
      <w:proofErr w:type="gramStart"/>
      <w:r w:rsidR="0020131E">
        <w:rPr>
          <w:rFonts w:ascii="Times New Roman" w:eastAsia="Times New Roman" w:hAnsi="Times New Roman" w:cs="Times New Roman"/>
          <w:sz w:val="24"/>
          <w:szCs w:val="24"/>
        </w:rPr>
        <w:t>Fiscalía General</w:t>
      </w:r>
      <w:proofErr w:type="gramEnd"/>
      <w:r w:rsidR="0020131E">
        <w:rPr>
          <w:rFonts w:ascii="Times New Roman" w:eastAsia="Times New Roman" w:hAnsi="Times New Roman" w:cs="Times New Roman"/>
          <w:sz w:val="24"/>
          <w:szCs w:val="24"/>
        </w:rPr>
        <w:t xml:space="preserve"> de la República</w:t>
      </w:r>
      <w:r w:rsidR="00A33DDC" w:rsidRPr="00537E0C">
        <w:rPr>
          <w:rFonts w:ascii="Times New Roman" w:eastAsia="Times New Roman" w:hAnsi="Times New Roman" w:cs="Times New Roman"/>
          <w:sz w:val="24"/>
          <w:szCs w:val="24"/>
        </w:rPr>
        <w:t xml:space="preserve"> solicita el auxilio de la Agencia </w:t>
      </w:r>
      <w:r w:rsidRPr="00537E0C">
        <w:rPr>
          <w:rFonts w:ascii="Times New Roman" w:eastAsia="Times New Roman" w:hAnsi="Times New Roman" w:cs="Times New Roman"/>
          <w:sz w:val="24"/>
          <w:szCs w:val="24"/>
        </w:rPr>
        <w:t>de Investigación Criminal, que</w:t>
      </w:r>
      <w:r w:rsidR="00A33DDC" w:rsidRPr="00537E0C">
        <w:rPr>
          <w:rFonts w:ascii="Times New Roman" w:eastAsia="Times New Roman" w:hAnsi="Times New Roman" w:cs="Times New Roman"/>
          <w:sz w:val="24"/>
          <w:szCs w:val="24"/>
        </w:rPr>
        <w:t xml:space="preserve"> utiliza la investigación de campo y tecnologías para la localización de personas</w:t>
      </w:r>
      <w:r w:rsidRPr="00537E0C">
        <w:rPr>
          <w:rFonts w:ascii="Times New Roman" w:eastAsia="Times New Roman" w:hAnsi="Times New Roman" w:cs="Times New Roman"/>
          <w:sz w:val="24"/>
          <w:szCs w:val="24"/>
        </w:rPr>
        <w:t>. P</w:t>
      </w:r>
      <w:r w:rsidR="00A33DDC" w:rsidRPr="00537E0C">
        <w:rPr>
          <w:rFonts w:ascii="Times New Roman" w:eastAsia="Times New Roman" w:hAnsi="Times New Roman" w:cs="Times New Roman"/>
          <w:sz w:val="24"/>
          <w:szCs w:val="24"/>
        </w:rPr>
        <w:t>ara tal efecto, se solicita apoyo con el C</w:t>
      </w:r>
      <w:r w:rsidR="0020131E">
        <w:rPr>
          <w:rFonts w:ascii="Times New Roman" w:eastAsia="Times New Roman" w:hAnsi="Times New Roman" w:cs="Times New Roman"/>
          <w:sz w:val="24"/>
          <w:szCs w:val="24"/>
        </w:rPr>
        <w:t xml:space="preserve">entro </w:t>
      </w:r>
      <w:r w:rsidR="00A33DDC" w:rsidRPr="00537E0C">
        <w:rPr>
          <w:rFonts w:ascii="Times New Roman" w:eastAsia="Times New Roman" w:hAnsi="Times New Roman" w:cs="Times New Roman"/>
          <w:sz w:val="24"/>
          <w:szCs w:val="24"/>
        </w:rPr>
        <w:t>N</w:t>
      </w:r>
      <w:r w:rsidR="0020131E">
        <w:rPr>
          <w:rFonts w:ascii="Times New Roman" w:eastAsia="Times New Roman" w:hAnsi="Times New Roman" w:cs="Times New Roman"/>
          <w:sz w:val="24"/>
          <w:szCs w:val="24"/>
        </w:rPr>
        <w:t>acional de Planeación, Análisis e Información para el Combate a la Delincuencia</w:t>
      </w:r>
      <w:r w:rsidR="00A33DDC" w:rsidRPr="00537E0C">
        <w:rPr>
          <w:rFonts w:ascii="Times New Roman" w:eastAsia="Times New Roman" w:hAnsi="Times New Roman" w:cs="Times New Roman"/>
          <w:sz w:val="24"/>
          <w:szCs w:val="24"/>
        </w:rPr>
        <w:t xml:space="preserve"> y Policía Federal Ministerial para obtener datos y/o p</w:t>
      </w:r>
      <w:r w:rsidRPr="00537E0C">
        <w:rPr>
          <w:rFonts w:ascii="Times New Roman" w:eastAsia="Times New Roman" w:hAnsi="Times New Roman" w:cs="Times New Roman"/>
          <w:sz w:val="24"/>
          <w:szCs w:val="24"/>
        </w:rPr>
        <w:t>ruebas para las investigaciones</w:t>
      </w:r>
      <w:r w:rsidR="00A33DDC" w:rsidRPr="00537E0C">
        <w:rPr>
          <w:rFonts w:ascii="Times New Roman" w:eastAsia="Times New Roman" w:hAnsi="Times New Roman" w:cs="Times New Roman"/>
          <w:sz w:val="24"/>
          <w:szCs w:val="24"/>
        </w:rPr>
        <w:t>, así como de la Coordinación General de Servicios Periciales para la obtención de diversos dictámenes periciales, entre ellos, el Protocolo de Estambul.</w:t>
      </w:r>
    </w:p>
    <w:p w14:paraId="50855269" w14:textId="77777777" w:rsidR="005F5E1A" w:rsidRPr="00537E0C" w:rsidRDefault="005F5E1A" w:rsidP="005F5E1A">
      <w:pPr>
        <w:pStyle w:val="ListParagraph"/>
        <w:spacing w:line="276" w:lineRule="auto"/>
        <w:ind w:left="142"/>
        <w:jc w:val="both"/>
        <w:rPr>
          <w:rFonts w:ascii="Times New Roman" w:eastAsia="Times New Roman" w:hAnsi="Times New Roman" w:cs="Times New Roman"/>
          <w:sz w:val="24"/>
          <w:szCs w:val="24"/>
        </w:rPr>
      </w:pPr>
    </w:p>
    <w:p w14:paraId="63489FC8" w14:textId="4EF22C41" w:rsidR="00A33DDC" w:rsidRPr="005F5E1A" w:rsidRDefault="005F5E1A" w:rsidP="005F5E1A">
      <w:pPr>
        <w:pStyle w:val="ListParagraph"/>
        <w:spacing w:line="276" w:lineRule="auto"/>
        <w:ind w:left="142"/>
        <w:jc w:val="both"/>
        <w:rPr>
          <w:rFonts w:ascii="Times New Roman" w:eastAsia="Times New Roman" w:hAnsi="Times New Roman" w:cs="Times New Roman"/>
          <w:sz w:val="24"/>
          <w:szCs w:val="24"/>
        </w:rPr>
      </w:pPr>
      <w:r w:rsidRPr="00537E0C">
        <w:rPr>
          <w:rFonts w:ascii="Times New Roman" w:eastAsia="Times New Roman" w:hAnsi="Times New Roman" w:cs="Times New Roman"/>
          <w:sz w:val="24"/>
          <w:szCs w:val="24"/>
        </w:rPr>
        <w:t xml:space="preserve">Adicionalmente, la </w:t>
      </w:r>
      <w:proofErr w:type="gramStart"/>
      <w:r w:rsidRPr="00537E0C">
        <w:rPr>
          <w:rFonts w:ascii="Times New Roman" w:eastAsia="Times New Roman" w:hAnsi="Times New Roman" w:cs="Times New Roman"/>
          <w:sz w:val="24"/>
          <w:szCs w:val="24"/>
        </w:rPr>
        <w:t>Fiscalía General</w:t>
      </w:r>
      <w:proofErr w:type="gramEnd"/>
      <w:r w:rsidRPr="00537E0C">
        <w:rPr>
          <w:rFonts w:ascii="Times New Roman" w:eastAsia="Times New Roman" w:hAnsi="Times New Roman" w:cs="Times New Roman"/>
          <w:sz w:val="24"/>
          <w:szCs w:val="24"/>
        </w:rPr>
        <w:t xml:space="preserve"> de la República,</w:t>
      </w:r>
      <w:r w:rsidR="00A33DDC" w:rsidRPr="00537E0C">
        <w:rPr>
          <w:rFonts w:ascii="Times New Roman" w:eastAsia="Times New Roman" w:hAnsi="Times New Roman" w:cs="Times New Roman"/>
          <w:sz w:val="24"/>
          <w:szCs w:val="24"/>
        </w:rPr>
        <w:t xml:space="preserve"> dentro de su marco legal para la preservación, obtención y manejo de indicios</w:t>
      </w:r>
      <w:r w:rsidRPr="00537E0C">
        <w:rPr>
          <w:rFonts w:ascii="Times New Roman" w:eastAsia="Times New Roman" w:hAnsi="Times New Roman" w:cs="Times New Roman"/>
          <w:sz w:val="24"/>
          <w:szCs w:val="24"/>
        </w:rPr>
        <w:t>,</w:t>
      </w:r>
      <w:r w:rsidR="00A33DDC" w:rsidRPr="00537E0C">
        <w:rPr>
          <w:rFonts w:ascii="Times New Roman" w:eastAsia="Times New Roman" w:hAnsi="Times New Roman" w:cs="Times New Roman"/>
          <w:sz w:val="24"/>
          <w:szCs w:val="24"/>
        </w:rPr>
        <w:t xml:space="preserve"> cuenta con un Protocolo de Cadena de Custodia</w:t>
      </w:r>
      <w:r w:rsidR="00053A6E">
        <w:rPr>
          <w:rFonts w:ascii="Times New Roman" w:eastAsia="Times New Roman" w:hAnsi="Times New Roman" w:cs="Times New Roman"/>
          <w:sz w:val="24"/>
          <w:szCs w:val="24"/>
        </w:rPr>
        <w:t xml:space="preserve"> </w:t>
      </w:r>
      <w:r w:rsidR="00A33DDC" w:rsidRPr="00537E0C">
        <w:rPr>
          <w:rFonts w:ascii="Times New Roman" w:eastAsia="Times New Roman" w:hAnsi="Times New Roman" w:cs="Times New Roman"/>
          <w:sz w:val="24"/>
          <w:szCs w:val="24"/>
        </w:rPr>
        <w:t>(A/009/2015).</w:t>
      </w:r>
    </w:p>
    <w:p w14:paraId="6CDA569A" w14:textId="240BB93F" w:rsidR="00A33DDC" w:rsidRPr="00A965AD" w:rsidRDefault="00A33DDC" w:rsidP="00A33DDC">
      <w:pPr>
        <w:pStyle w:val="AutoridadEditable"/>
        <w:spacing w:before="240" w:after="240" w:line="276" w:lineRule="auto"/>
        <w:ind w:right="108"/>
        <w:rPr>
          <w:rFonts w:ascii="Times New Roman" w:hAnsi="Times New Roman" w:cs="Times New Roman"/>
          <w:b w:val="0"/>
          <w:lang w:val="es-MX"/>
        </w:rPr>
      </w:pPr>
    </w:p>
    <w:p w14:paraId="2C9EBF76" w14:textId="409EF5E3" w:rsidR="007A57B1" w:rsidRPr="00A965AD" w:rsidRDefault="007A57B1" w:rsidP="0097133A">
      <w:pPr>
        <w:pStyle w:val="AutoridadEditable"/>
        <w:spacing w:before="240" w:after="240" w:line="276" w:lineRule="auto"/>
        <w:ind w:right="108"/>
        <w:rPr>
          <w:rFonts w:ascii="Times New Roman" w:hAnsi="Times New Roman" w:cs="Times New Roman"/>
          <w:b w:val="0"/>
          <w:lang w:val="es-MX"/>
        </w:rPr>
      </w:pPr>
    </w:p>
    <w:sectPr w:rsidR="007A57B1" w:rsidRPr="00A965A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3FFE" w14:textId="77777777" w:rsidR="00F00241" w:rsidRDefault="00F00241" w:rsidP="0098098C">
      <w:r>
        <w:separator/>
      </w:r>
    </w:p>
  </w:endnote>
  <w:endnote w:type="continuationSeparator" w:id="0">
    <w:p w14:paraId="3933B29D" w14:textId="77777777" w:rsidR="00F00241" w:rsidRDefault="00F00241" w:rsidP="009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ontserrat">
    <w:panose1 w:val="020B0604020202020204"/>
    <w:charset w:val="4D"/>
    <w:family w:val="auto"/>
    <w:pitch w:val="variable"/>
    <w:sig w:usb0="2000020F" w:usb1="00000003" w:usb2="00000000" w:usb3="00000000" w:csb0="00000197" w:csb1="00000000"/>
  </w:font>
  <w:font w:name="Raleway">
    <w:panose1 w:val="020B0604020202020204"/>
    <w:charset w:val="4D"/>
    <w:family w:val="auto"/>
    <w:pitch w:val="variable"/>
    <w:sig w:usb0="A00002FF" w:usb1="5000205B" w:usb2="00000000" w:usb3="00000000" w:csb0="00000197" w:csb1="00000000"/>
  </w:font>
  <w:font w:name="Montserrat Medium">
    <w:panose1 w:val="000006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77963"/>
      <w:docPartObj>
        <w:docPartGallery w:val="Page Numbers (Bottom of Page)"/>
        <w:docPartUnique/>
      </w:docPartObj>
    </w:sdtPr>
    <w:sdtContent>
      <w:sdt>
        <w:sdtPr>
          <w:id w:val="-1769616900"/>
          <w:docPartObj>
            <w:docPartGallery w:val="Page Numbers (Top of Page)"/>
            <w:docPartUnique/>
          </w:docPartObj>
        </w:sdtPr>
        <w:sdtContent>
          <w:p w14:paraId="24744960" w14:textId="0C61BF24" w:rsidR="00BB340C" w:rsidRDefault="00BB340C" w:rsidP="002761E8">
            <w:pPr>
              <w:pStyle w:val="Footer"/>
            </w:pPr>
            <w:r>
              <w:rPr>
                <w:noProof/>
                <w:lang w:val="es-MX" w:eastAsia="es-MX"/>
              </w:rPr>
              <mc:AlternateContent>
                <mc:Choice Requires="wps">
                  <w:drawing>
                    <wp:anchor distT="0" distB="0" distL="114300" distR="114300" simplePos="0" relativeHeight="251659264" behindDoc="0" locked="0" layoutInCell="1" allowOverlap="1" wp14:anchorId="1CEE7257" wp14:editId="492C0524">
                      <wp:simplePos x="0" y="0"/>
                      <wp:positionH relativeFrom="column">
                        <wp:posOffset>-232410</wp:posOffset>
                      </wp:positionH>
                      <wp:positionV relativeFrom="paragraph">
                        <wp:posOffset>8890</wp:posOffset>
                      </wp:positionV>
                      <wp:extent cx="3267075" cy="3835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267075" cy="383540"/>
                              </a:xfrm>
                              <a:prstGeom prst="rect">
                                <a:avLst/>
                              </a:prstGeom>
                              <a:noFill/>
                              <a:ln w="6350">
                                <a:noFill/>
                              </a:ln>
                            </wps:spPr>
                            <wps:txbx>
                              <w:txbxContent>
                                <w:p w14:paraId="2F3AE722" w14:textId="77777777" w:rsidR="00BB340C" w:rsidRPr="009055E2" w:rsidRDefault="00BB340C"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BB340C" w:rsidRPr="009055E2" w:rsidRDefault="00BB340C"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BB340C" w:rsidRDefault="00BB340C" w:rsidP="00276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E7257" id="_x0000_t202" coordsize="21600,21600" o:spt="202" path="m,l,21600r21600,l21600,xe">
                      <v:stroke joinstyle="miter"/>
                      <v:path gradientshapeok="t" o:connecttype="rect"/>
                    </v:shapetype>
                    <v:shape id="Cuadro de texto 1" o:spid="_x0000_s1026" type="#_x0000_t202" style="position:absolute;margin-left:-18.3pt;margin-top:.7pt;width:257.2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" filled="f" stroked="f" strokeweight=".5pt">
                      <v:textbox>
                        <w:txbxContent>
                          <w:p w14:paraId="2F3AE722" w14:textId="77777777" w:rsidR="00BB340C" w:rsidRPr="009055E2" w:rsidRDefault="00BB340C"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BB340C" w:rsidRPr="009055E2" w:rsidRDefault="00BB340C"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BB340C" w:rsidRDefault="00BB340C" w:rsidP="002761E8"/>
                        </w:txbxContent>
                      </v:textbox>
                    </v:shape>
                  </w:pict>
                </mc:Fallback>
              </mc:AlternateContent>
            </w:r>
          </w:p>
          <w:p w14:paraId="51A01312" w14:textId="0B472D43" w:rsidR="00BB340C" w:rsidRDefault="00BB340C" w:rsidP="00F0307C">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sidR="00AA5597">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A5597">
              <w:rPr>
                <w:b/>
                <w:bCs/>
                <w:noProof/>
              </w:rPr>
              <w:t>7</w:t>
            </w:r>
            <w:r>
              <w:rPr>
                <w:b/>
                <w:bCs/>
                <w:sz w:val="24"/>
                <w:szCs w:val="24"/>
              </w:rPr>
              <w:fldChar w:fldCharType="end"/>
            </w:r>
          </w:p>
        </w:sdtContent>
      </w:sdt>
    </w:sdtContent>
  </w:sdt>
  <w:p w14:paraId="569B27CE" w14:textId="343ADF94" w:rsidR="00BB340C" w:rsidRDefault="00BB340C" w:rsidP="00901A98">
    <w:pPr>
      <w:pStyle w:val="Footer"/>
    </w:pPr>
  </w:p>
  <w:p w14:paraId="07D34522" w14:textId="77777777" w:rsidR="00BB340C" w:rsidRDefault="00BB3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26C7" w14:textId="77777777" w:rsidR="00F00241" w:rsidRDefault="00F00241" w:rsidP="0098098C">
      <w:r>
        <w:separator/>
      </w:r>
    </w:p>
  </w:footnote>
  <w:footnote w:type="continuationSeparator" w:id="0">
    <w:p w14:paraId="11ECAE30" w14:textId="77777777" w:rsidR="00F00241" w:rsidRDefault="00F00241" w:rsidP="0098098C">
      <w:r>
        <w:continuationSeparator/>
      </w:r>
    </w:p>
  </w:footnote>
  <w:footnote w:id="1">
    <w:p w14:paraId="7AFBD5D8" w14:textId="77777777" w:rsidR="00A965AD" w:rsidRPr="000E3701" w:rsidRDefault="00A965AD" w:rsidP="00A965AD">
      <w:pPr>
        <w:pStyle w:val="FootnoteText"/>
        <w:jc w:val="both"/>
        <w:rPr>
          <w:rFonts w:ascii="Times New Roman" w:hAnsi="Times New Roman" w:cs="Times New Roman"/>
          <w:sz w:val="16"/>
          <w:szCs w:val="16"/>
        </w:rPr>
      </w:pPr>
      <w:r w:rsidRPr="000E3701">
        <w:rPr>
          <w:rStyle w:val="FootnoteReference"/>
          <w:rFonts w:ascii="Times New Roman" w:hAnsi="Times New Roman" w:cs="Times New Roman"/>
          <w:sz w:val="16"/>
          <w:szCs w:val="16"/>
        </w:rPr>
        <w:footnoteRef/>
      </w:r>
      <w:r w:rsidRPr="000E3701">
        <w:rPr>
          <w:rFonts w:ascii="Times New Roman" w:hAnsi="Times New Roman" w:cs="Times New Roman"/>
          <w:sz w:val="16"/>
          <w:szCs w:val="16"/>
        </w:rPr>
        <w:t xml:space="preserve"> Para más información, ver los Informes de Supervisión 1 a 8 del MNPT, a establecimientos especializados en atención residencial a personas con trastornos debido al consumo de sustancias 0 a comportamientos adictivos en diversos estados de la República Mexicana. Disponibles en el sitio: </w:t>
      </w:r>
      <w:hyperlink r:id="rId1" w:history="1">
        <w:r w:rsidRPr="000E3701">
          <w:rPr>
            <w:rStyle w:val="Hyperlink"/>
            <w:rFonts w:ascii="Times New Roman" w:hAnsi="Times New Roman" w:cs="Times New Roman"/>
            <w:sz w:val="16"/>
            <w:szCs w:val="16"/>
          </w:rPr>
          <w:t>https://www.cndh.org.mx/pagina/informes-de-supervision-MNPT</w:t>
        </w:r>
      </w:hyperlink>
      <w:r w:rsidRPr="000E3701">
        <w:rPr>
          <w:rFonts w:ascii="Times New Roman" w:hAnsi="Times New Roman" w:cs="Times New Roman"/>
          <w:sz w:val="16"/>
          <w:szCs w:val="16"/>
        </w:rPr>
        <w:t xml:space="preserve">  </w:t>
      </w:r>
    </w:p>
  </w:footnote>
  <w:footnote w:id="2">
    <w:p w14:paraId="2A47AA78" w14:textId="77777777" w:rsidR="00A965AD" w:rsidRDefault="00A965AD" w:rsidP="00A965AD">
      <w:pPr>
        <w:pStyle w:val="FootnoteText"/>
        <w:jc w:val="both"/>
      </w:pPr>
      <w:r w:rsidRPr="000E3701">
        <w:rPr>
          <w:rStyle w:val="FootnoteReference"/>
          <w:rFonts w:ascii="Times New Roman" w:hAnsi="Times New Roman" w:cs="Times New Roman"/>
          <w:sz w:val="16"/>
          <w:szCs w:val="16"/>
        </w:rPr>
        <w:footnoteRef/>
      </w:r>
      <w:r w:rsidRPr="000E3701">
        <w:rPr>
          <w:rFonts w:ascii="Times New Roman" w:hAnsi="Times New Roman" w:cs="Times New Roman"/>
          <w:sz w:val="16"/>
          <w:szCs w:val="16"/>
        </w:rPr>
        <w:t xml:space="preserve"> Corte Interamericana de Derechos Humanos, </w:t>
      </w:r>
      <w:r w:rsidRPr="000E3701">
        <w:rPr>
          <w:rFonts w:ascii="Times New Roman" w:hAnsi="Times New Roman" w:cs="Times New Roman"/>
          <w:i/>
          <w:iCs/>
          <w:sz w:val="16"/>
          <w:szCs w:val="16"/>
        </w:rPr>
        <w:t xml:space="preserve">Caso </w:t>
      </w:r>
      <w:proofErr w:type="spellStart"/>
      <w:r w:rsidRPr="000E3701">
        <w:rPr>
          <w:rFonts w:ascii="Times New Roman" w:hAnsi="Times New Roman" w:cs="Times New Roman"/>
          <w:i/>
          <w:iCs/>
          <w:sz w:val="16"/>
          <w:szCs w:val="16"/>
        </w:rPr>
        <w:t>Ximenes</w:t>
      </w:r>
      <w:proofErr w:type="spellEnd"/>
      <w:r w:rsidRPr="000E3701">
        <w:rPr>
          <w:rFonts w:ascii="Times New Roman" w:hAnsi="Times New Roman" w:cs="Times New Roman"/>
          <w:i/>
          <w:iCs/>
          <w:sz w:val="16"/>
          <w:szCs w:val="16"/>
        </w:rPr>
        <w:t xml:space="preserve"> </w:t>
      </w:r>
      <w:proofErr w:type="spellStart"/>
      <w:r w:rsidRPr="000E3701">
        <w:rPr>
          <w:rFonts w:ascii="Times New Roman" w:hAnsi="Times New Roman" w:cs="Times New Roman"/>
          <w:i/>
          <w:iCs/>
          <w:sz w:val="16"/>
          <w:szCs w:val="16"/>
        </w:rPr>
        <w:t>Lopes</w:t>
      </w:r>
      <w:proofErr w:type="spellEnd"/>
      <w:r w:rsidRPr="000E3701">
        <w:rPr>
          <w:rFonts w:ascii="Times New Roman" w:hAnsi="Times New Roman" w:cs="Times New Roman"/>
          <w:i/>
          <w:iCs/>
          <w:sz w:val="16"/>
          <w:szCs w:val="16"/>
        </w:rPr>
        <w:t xml:space="preserve"> vs. Brasil</w:t>
      </w:r>
      <w:r w:rsidRPr="000E3701">
        <w:rPr>
          <w:rFonts w:ascii="Times New Roman" w:hAnsi="Times New Roman" w:cs="Times New Roman"/>
          <w:sz w:val="16"/>
          <w:szCs w:val="16"/>
        </w:rPr>
        <w:t xml:space="preserve">, sentencia de 4 de julio de 2006, voto separado del juez A. A. </w:t>
      </w:r>
      <w:proofErr w:type="spellStart"/>
      <w:r w:rsidRPr="000E3701">
        <w:rPr>
          <w:rFonts w:ascii="Times New Roman" w:hAnsi="Times New Roman" w:cs="Times New Roman"/>
          <w:sz w:val="16"/>
          <w:szCs w:val="16"/>
        </w:rPr>
        <w:t>Cancado</w:t>
      </w:r>
      <w:proofErr w:type="spellEnd"/>
      <w:r w:rsidRPr="000E3701">
        <w:rPr>
          <w:rFonts w:ascii="Times New Roman" w:hAnsi="Times New Roman" w:cs="Times New Roman"/>
          <w:sz w:val="16"/>
          <w:szCs w:val="16"/>
        </w:rPr>
        <w:t xml:space="preserve"> </w:t>
      </w:r>
      <w:proofErr w:type="spellStart"/>
      <w:r w:rsidRPr="000E3701">
        <w:rPr>
          <w:rFonts w:ascii="Times New Roman" w:hAnsi="Times New Roman" w:cs="Times New Roman"/>
          <w:sz w:val="16"/>
          <w:szCs w:val="16"/>
        </w:rPr>
        <w:t>Trindade</w:t>
      </w:r>
      <w:proofErr w:type="spellEnd"/>
      <w:r w:rsidRPr="000E3701">
        <w:rPr>
          <w:rFonts w:ascii="Times New Roman" w:hAnsi="Times New Roman" w:cs="Times New Roman"/>
          <w:sz w:val="16"/>
          <w:szCs w:val="16"/>
        </w:rPr>
        <w:t xml:space="preserve">, visible en </w:t>
      </w:r>
      <w:hyperlink r:id="rId2" w:history="1">
        <w:r w:rsidRPr="000E3701">
          <w:rPr>
            <w:rStyle w:val="Hyperlink"/>
            <w:rFonts w:ascii="Times New Roman" w:hAnsi="Times New Roman" w:cs="Times New Roman"/>
            <w:sz w:val="16"/>
            <w:szCs w:val="16"/>
          </w:rPr>
          <w:t>https://www.corteidh.or.cr/docs/casos/articulos/Seriec_149_esp.pdf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21C" w14:textId="6CC1A37F" w:rsidR="00BB340C" w:rsidRDefault="00BB340C" w:rsidP="0098098C">
    <w:pPr>
      <w:pStyle w:val="Header"/>
      <w:jc w:val="right"/>
    </w:pPr>
    <w:r>
      <w:rPr>
        <w:noProof/>
        <w:lang w:val="es-MX" w:eastAsia="es-MX"/>
      </w:rPr>
      <w:drawing>
        <wp:anchor distT="0" distB="0" distL="0" distR="0" simplePos="0" relativeHeight="251661312" behindDoc="1" locked="0" layoutInCell="1" hidden="0" allowOverlap="1" wp14:anchorId="5BAA2B7B" wp14:editId="3EB5DA10">
          <wp:simplePos x="0" y="0"/>
          <wp:positionH relativeFrom="margin">
            <wp:align>center</wp:align>
          </wp:positionH>
          <wp:positionV relativeFrom="paragraph">
            <wp:posOffset>-857885</wp:posOffset>
          </wp:positionV>
          <wp:extent cx="8192453" cy="1067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p w14:paraId="0B7059BC" w14:textId="77777777" w:rsidR="00BB340C" w:rsidRDefault="00BB3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BD4"/>
    <w:multiLevelType w:val="hybridMultilevel"/>
    <w:tmpl w:val="E74CCCC0"/>
    <w:lvl w:ilvl="0" w:tplc="080A0001">
      <w:start w:val="1"/>
      <w:numFmt w:val="bullet"/>
      <w:lvlText w:val=""/>
      <w:lvlJc w:val="left"/>
      <w:pPr>
        <w:ind w:left="1145" w:hanging="360"/>
      </w:pPr>
      <w:rPr>
        <w:rFonts w:ascii="Symbol" w:hAnsi="Symbol" w:hint="default"/>
      </w:rPr>
    </w:lvl>
    <w:lvl w:ilvl="1" w:tplc="080A0003">
      <w:start w:val="1"/>
      <w:numFmt w:val="bullet"/>
      <w:lvlText w:val="o"/>
      <w:lvlJc w:val="left"/>
      <w:pPr>
        <w:ind w:left="1865" w:hanging="360"/>
      </w:pPr>
      <w:rPr>
        <w:rFonts w:ascii="Courier New" w:hAnsi="Courier New" w:cs="Courier New" w:hint="default"/>
      </w:rPr>
    </w:lvl>
    <w:lvl w:ilvl="2" w:tplc="080A0005">
      <w:start w:val="1"/>
      <w:numFmt w:val="bullet"/>
      <w:lvlText w:val=""/>
      <w:lvlJc w:val="left"/>
      <w:pPr>
        <w:ind w:left="2585" w:hanging="360"/>
      </w:pPr>
      <w:rPr>
        <w:rFonts w:ascii="Wingdings" w:hAnsi="Wingdings" w:hint="default"/>
      </w:rPr>
    </w:lvl>
    <w:lvl w:ilvl="3" w:tplc="080A0001">
      <w:start w:val="1"/>
      <w:numFmt w:val="bullet"/>
      <w:lvlText w:val=""/>
      <w:lvlJc w:val="left"/>
      <w:pPr>
        <w:ind w:left="3305" w:hanging="360"/>
      </w:pPr>
      <w:rPr>
        <w:rFonts w:ascii="Symbol" w:hAnsi="Symbol" w:hint="default"/>
      </w:rPr>
    </w:lvl>
    <w:lvl w:ilvl="4" w:tplc="080A0003">
      <w:start w:val="1"/>
      <w:numFmt w:val="bullet"/>
      <w:lvlText w:val="o"/>
      <w:lvlJc w:val="left"/>
      <w:pPr>
        <w:ind w:left="4025" w:hanging="360"/>
      </w:pPr>
      <w:rPr>
        <w:rFonts w:ascii="Courier New" w:hAnsi="Courier New" w:cs="Courier New" w:hint="default"/>
      </w:rPr>
    </w:lvl>
    <w:lvl w:ilvl="5" w:tplc="080A0005">
      <w:start w:val="1"/>
      <w:numFmt w:val="bullet"/>
      <w:lvlText w:val=""/>
      <w:lvlJc w:val="left"/>
      <w:pPr>
        <w:ind w:left="4745" w:hanging="360"/>
      </w:pPr>
      <w:rPr>
        <w:rFonts w:ascii="Wingdings" w:hAnsi="Wingdings" w:hint="default"/>
      </w:rPr>
    </w:lvl>
    <w:lvl w:ilvl="6" w:tplc="080A0001">
      <w:start w:val="1"/>
      <w:numFmt w:val="bullet"/>
      <w:lvlText w:val=""/>
      <w:lvlJc w:val="left"/>
      <w:pPr>
        <w:ind w:left="5465" w:hanging="360"/>
      </w:pPr>
      <w:rPr>
        <w:rFonts w:ascii="Symbol" w:hAnsi="Symbol" w:hint="default"/>
      </w:rPr>
    </w:lvl>
    <w:lvl w:ilvl="7" w:tplc="080A0003">
      <w:start w:val="1"/>
      <w:numFmt w:val="bullet"/>
      <w:lvlText w:val="o"/>
      <w:lvlJc w:val="left"/>
      <w:pPr>
        <w:ind w:left="6185" w:hanging="360"/>
      </w:pPr>
      <w:rPr>
        <w:rFonts w:ascii="Courier New" w:hAnsi="Courier New" w:cs="Courier New" w:hint="default"/>
      </w:rPr>
    </w:lvl>
    <w:lvl w:ilvl="8" w:tplc="080A0005">
      <w:start w:val="1"/>
      <w:numFmt w:val="bullet"/>
      <w:lvlText w:val=""/>
      <w:lvlJc w:val="left"/>
      <w:pPr>
        <w:ind w:left="6905" w:hanging="360"/>
      </w:pPr>
      <w:rPr>
        <w:rFonts w:ascii="Wingdings" w:hAnsi="Wingdings" w:hint="default"/>
      </w:rPr>
    </w:lvl>
  </w:abstractNum>
  <w:abstractNum w:abstractNumId="1" w15:restartNumberingAfterBreak="0">
    <w:nsid w:val="0DBD3987"/>
    <w:multiLevelType w:val="hybridMultilevel"/>
    <w:tmpl w:val="481A5FF8"/>
    <w:lvl w:ilvl="0" w:tplc="FFFFFFFF">
      <w:start w:val="1"/>
      <w:numFmt w:val="decimal"/>
      <w:lvlText w:val="%1."/>
      <w:lvlJc w:val="left"/>
      <w:pPr>
        <w:ind w:left="1428" w:hanging="360"/>
      </w:pPr>
    </w:lvl>
    <w:lvl w:ilvl="1" w:tplc="080A000F">
      <w:start w:val="1"/>
      <w:numFmt w:val="decimal"/>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0E463F0D"/>
    <w:multiLevelType w:val="hybridMultilevel"/>
    <w:tmpl w:val="2DF6AD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03A40FD"/>
    <w:multiLevelType w:val="hybridMultilevel"/>
    <w:tmpl w:val="AB78B678"/>
    <w:lvl w:ilvl="0" w:tplc="8B9437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2163B0"/>
    <w:multiLevelType w:val="hybridMultilevel"/>
    <w:tmpl w:val="2A7AF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37628"/>
    <w:multiLevelType w:val="hybridMultilevel"/>
    <w:tmpl w:val="2DCAF2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A969BA"/>
    <w:multiLevelType w:val="hybridMultilevel"/>
    <w:tmpl w:val="9FD2E8D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E0D1514"/>
    <w:multiLevelType w:val="hybridMultilevel"/>
    <w:tmpl w:val="7EAC12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54251B"/>
    <w:multiLevelType w:val="hybridMultilevel"/>
    <w:tmpl w:val="4CAE04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28314E"/>
    <w:multiLevelType w:val="hybridMultilevel"/>
    <w:tmpl w:val="867A7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420ECD"/>
    <w:multiLevelType w:val="hybridMultilevel"/>
    <w:tmpl w:val="1F08C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6263D9"/>
    <w:multiLevelType w:val="hybridMultilevel"/>
    <w:tmpl w:val="A2A4D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352F67"/>
    <w:multiLevelType w:val="hybridMultilevel"/>
    <w:tmpl w:val="7D4E95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662ABB"/>
    <w:multiLevelType w:val="hybridMultilevel"/>
    <w:tmpl w:val="1AEAF4EE"/>
    <w:lvl w:ilvl="0" w:tplc="080A000B">
      <w:start w:val="1"/>
      <w:numFmt w:val="bullet"/>
      <w:lvlText w:val=""/>
      <w:lvlJc w:val="left"/>
      <w:pPr>
        <w:ind w:left="1789" w:hanging="360"/>
      </w:pPr>
      <w:rPr>
        <w:rFonts w:ascii="Wingdings" w:hAnsi="Wingdings"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4" w15:restartNumberingAfterBreak="0">
    <w:nsid w:val="3C472099"/>
    <w:multiLevelType w:val="hybridMultilevel"/>
    <w:tmpl w:val="857EC8E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914121"/>
    <w:multiLevelType w:val="hybridMultilevel"/>
    <w:tmpl w:val="824647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342F1A"/>
    <w:multiLevelType w:val="hybridMultilevel"/>
    <w:tmpl w:val="77A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283F7F"/>
    <w:multiLevelType w:val="hybridMultilevel"/>
    <w:tmpl w:val="3F680B90"/>
    <w:lvl w:ilvl="0" w:tplc="080A000B">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8" w15:restartNumberingAfterBreak="0">
    <w:nsid w:val="46B30153"/>
    <w:multiLevelType w:val="hybridMultilevel"/>
    <w:tmpl w:val="195406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D67DFD"/>
    <w:multiLevelType w:val="hybridMultilevel"/>
    <w:tmpl w:val="6A1ADB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08745B"/>
    <w:multiLevelType w:val="hybridMultilevel"/>
    <w:tmpl w:val="10C6B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543B5A"/>
    <w:multiLevelType w:val="hybridMultilevel"/>
    <w:tmpl w:val="6986B6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F602AA"/>
    <w:multiLevelType w:val="hybridMultilevel"/>
    <w:tmpl w:val="D23A9D96"/>
    <w:lvl w:ilvl="0" w:tplc="080A0001">
      <w:start w:val="1"/>
      <w:numFmt w:val="bullet"/>
      <w:lvlText w:val=""/>
      <w:lvlJc w:val="left"/>
      <w:pPr>
        <w:ind w:left="1789" w:hanging="360"/>
      </w:pPr>
      <w:rPr>
        <w:rFonts w:ascii="Symbol" w:hAnsi="Symbol" w:hint="default"/>
      </w:rPr>
    </w:lvl>
    <w:lvl w:ilvl="1" w:tplc="080A0019">
      <w:start w:val="1"/>
      <w:numFmt w:val="lowerLetter"/>
      <w:lvlText w:val="%2."/>
      <w:lvlJc w:val="left"/>
      <w:pPr>
        <w:ind w:left="2509" w:hanging="360"/>
      </w:pPr>
    </w:lvl>
    <w:lvl w:ilvl="2" w:tplc="080A001B">
      <w:start w:val="1"/>
      <w:numFmt w:val="lowerRoman"/>
      <w:lvlText w:val="%3."/>
      <w:lvlJc w:val="right"/>
      <w:pPr>
        <w:ind w:left="3229" w:hanging="180"/>
      </w:pPr>
    </w:lvl>
    <w:lvl w:ilvl="3" w:tplc="080A000F">
      <w:start w:val="1"/>
      <w:numFmt w:val="decimal"/>
      <w:lvlText w:val="%4."/>
      <w:lvlJc w:val="left"/>
      <w:pPr>
        <w:ind w:left="3949" w:hanging="360"/>
      </w:pPr>
    </w:lvl>
    <w:lvl w:ilvl="4" w:tplc="080A0019">
      <w:start w:val="1"/>
      <w:numFmt w:val="lowerLetter"/>
      <w:lvlText w:val="%5."/>
      <w:lvlJc w:val="left"/>
      <w:pPr>
        <w:ind w:left="4669" w:hanging="360"/>
      </w:pPr>
    </w:lvl>
    <w:lvl w:ilvl="5" w:tplc="080A001B">
      <w:start w:val="1"/>
      <w:numFmt w:val="lowerRoman"/>
      <w:lvlText w:val="%6."/>
      <w:lvlJc w:val="right"/>
      <w:pPr>
        <w:ind w:left="5389" w:hanging="180"/>
      </w:pPr>
    </w:lvl>
    <w:lvl w:ilvl="6" w:tplc="080A000F">
      <w:start w:val="1"/>
      <w:numFmt w:val="decimal"/>
      <w:lvlText w:val="%7."/>
      <w:lvlJc w:val="left"/>
      <w:pPr>
        <w:ind w:left="6109" w:hanging="360"/>
      </w:pPr>
    </w:lvl>
    <w:lvl w:ilvl="7" w:tplc="080A0019">
      <w:start w:val="1"/>
      <w:numFmt w:val="lowerLetter"/>
      <w:lvlText w:val="%8."/>
      <w:lvlJc w:val="left"/>
      <w:pPr>
        <w:ind w:left="6829" w:hanging="360"/>
      </w:pPr>
    </w:lvl>
    <w:lvl w:ilvl="8" w:tplc="080A001B">
      <w:start w:val="1"/>
      <w:numFmt w:val="lowerRoman"/>
      <w:lvlText w:val="%9."/>
      <w:lvlJc w:val="right"/>
      <w:pPr>
        <w:ind w:left="7549" w:hanging="180"/>
      </w:pPr>
    </w:lvl>
  </w:abstractNum>
  <w:abstractNum w:abstractNumId="23" w15:restartNumberingAfterBreak="0">
    <w:nsid w:val="5ACA4DFE"/>
    <w:multiLevelType w:val="hybridMultilevel"/>
    <w:tmpl w:val="AB52F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A82AF1"/>
    <w:multiLevelType w:val="hybridMultilevel"/>
    <w:tmpl w:val="45E6DF9E"/>
    <w:lvl w:ilvl="0" w:tplc="080A000B">
      <w:start w:val="1"/>
      <w:numFmt w:val="bullet"/>
      <w:lvlText w:val=""/>
      <w:lvlJc w:val="left"/>
      <w:pPr>
        <w:ind w:left="567" w:hanging="360"/>
      </w:pPr>
      <w:rPr>
        <w:rFonts w:ascii="Wingdings" w:hAnsi="Wingdings" w:hint="default"/>
      </w:rPr>
    </w:lvl>
    <w:lvl w:ilvl="1" w:tplc="080A0003" w:tentative="1">
      <w:start w:val="1"/>
      <w:numFmt w:val="bullet"/>
      <w:lvlText w:val="o"/>
      <w:lvlJc w:val="left"/>
      <w:pPr>
        <w:ind w:left="1287" w:hanging="360"/>
      </w:pPr>
      <w:rPr>
        <w:rFonts w:ascii="Courier New" w:hAnsi="Courier New" w:cs="Courier New" w:hint="default"/>
      </w:rPr>
    </w:lvl>
    <w:lvl w:ilvl="2" w:tplc="080A0005" w:tentative="1">
      <w:start w:val="1"/>
      <w:numFmt w:val="bullet"/>
      <w:lvlText w:val=""/>
      <w:lvlJc w:val="left"/>
      <w:pPr>
        <w:ind w:left="2007" w:hanging="360"/>
      </w:pPr>
      <w:rPr>
        <w:rFonts w:ascii="Wingdings" w:hAnsi="Wingdings" w:hint="default"/>
      </w:rPr>
    </w:lvl>
    <w:lvl w:ilvl="3" w:tplc="080A0001" w:tentative="1">
      <w:start w:val="1"/>
      <w:numFmt w:val="bullet"/>
      <w:lvlText w:val=""/>
      <w:lvlJc w:val="left"/>
      <w:pPr>
        <w:ind w:left="2727" w:hanging="360"/>
      </w:pPr>
      <w:rPr>
        <w:rFonts w:ascii="Symbol" w:hAnsi="Symbol" w:hint="default"/>
      </w:rPr>
    </w:lvl>
    <w:lvl w:ilvl="4" w:tplc="080A0003" w:tentative="1">
      <w:start w:val="1"/>
      <w:numFmt w:val="bullet"/>
      <w:lvlText w:val="o"/>
      <w:lvlJc w:val="left"/>
      <w:pPr>
        <w:ind w:left="3447" w:hanging="360"/>
      </w:pPr>
      <w:rPr>
        <w:rFonts w:ascii="Courier New" w:hAnsi="Courier New" w:cs="Courier New" w:hint="default"/>
      </w:rPr>
    </w:lvl>
    <w:lvl w:ilvl="5" w:tplc="080A0005" w:tentative="1">
      <w:start w:val="1"/>
      <w:numFmt w:val="bullet"/>
      <w:lvlText w:val=""/>
      <w:lvlJc w:val="left"/>
      <w:pPr>
        <w:ind w:left="4167" w:hanging="360"/>
      </w:pPr>
      <w:rPr>
        <w:rFonts w:ascii="Wingdings" w:hAnsi="Wingdings" w:hint="default"/>
      </w:rPr>
    </w:lvl>
    <w:lvl w:ilvl="6" w:tplc="080A0001" w:tentative="1">
      <w:start w:val="1"/>
      <w:numFmt w:val="bullet"/>
      <w:lvlText w:val=""/>
      <w:lvlJc w:val="left"/>
      <w:pPr>
        <w:ind w:left="4887" w:hanging="360"/>
      </w:pPr>
      <w:rPr>
        <w:rFonts w:ascii="Symbol" w:hAnsi="Symbol" w:hint="default"/>
      </w:rPr>
    </w:lvl>
    <w:lvl w:ilvl="7" w:tplc="080A0003" w:tentative="1">
      <w:start w:val="1"/>
      <w:numFmt w:val="bullet"/>
      <w:lvlText w:val="o"/>
      <w:lvlJc w:val="left"/>
      <w:pPr>
        <w:ind w:left="5607" w:hanging="360"/>
      </w:pPr>
      <w:rPr>
        <w:rFonts w:ascii="Courier New" w:hAnsi="Courier New" w:cs="Courier New" w:hint="default"/>
      </w:rPr>
    </w:lvl>
    <w:lvl w:ilvl="8" w:tplc="080A0005" w:tentative="1">
      <w:start w:val="1"/>
      <w:numFmt w:val="bullet"/>
      <w:lvlText w:val=""/>
      <w:lvlJc w:val="left"/>
      <w:pPr>
        <w:ind w:left="6327" w:hanging="360"/>
      </w:pPr>
      <w:rPr>
        <w:rFonts w:ascii="Wingdings" w:hAnsi="Wingdings" w:hint="default"/>
      </w:rPr>
    </w:lvl>
  </w:abstractNum>
  <w:abstractNum w:abstractNumId="25" w15:restartNumberingAfterBreak="0">
    <w:nsid w:val="6640676E"/>
    <w:multiLevelType w:val="hybridMultilevel"/>
    <w:tmpl w:val="E4122CB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6665019D"/>
    <w:multiLevelType w:val="hybridMultilevel"/>
    <w:tmpl w:val="2952AD1C"/>
    <w:lvl w:ilvl="0" w:tplc="62DC1DC4">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9065798"/>
    <w:multiLevelType w:val="hybridMultilevel"/>
    <w:tmpl w:val="4B009D60"/>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28" w15:restartNumberingAfterBreak="0">
    <w:nsid w:val="6A1C0A0D"/>
    <w:multiLevelType w:val="hybridMultilevel"/>
    <w:tmpl w:val="F670BA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6F427D"/>
    <w:multiLevelType w:val="hybridMultilevel"/>
    <w:tmpl w:val="9094E834"/>
    <w:lvl w:ilvl="0" w:tplc="5A20D4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D33C81"/>
    <w:multiLevelType w:val="hybridMultilevel"/>
    <w:tmpl w:val="AD74F0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7C273F"/>
    <w:multiLevelType w:val="hybridMultilevel"/>
    <w:tmpl w:val="9454E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470EA7"/>
    <w:multiLevelType w:val="hybridMultilevel"/>
    <w:tmpl w:val="44B0A4CC"/>
    <w:lvl w:ilvl="0" w:tplc="02246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E62201"/>
    <w:multiLevelType w:val="hybridMultilevel"/>
    <w:tmpl w:val="55F8A0A4"/>
    <w:lvl w:ilvl="0" w:tplc="90906B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1366CD"/>
    <w:multiLevelType w:val="hybridMultilevel"/>
    <w:tmpl w:val="0D6C47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1780218">
    <w:abstractNumId w:val="1"/>
  </w:num>
  <w:num w:numId="2" w16cid:durableId="675769831">
    <w:abstractNumId w:val="0"/>
  </w:num>
  <w:num w:numId="3" w16cid:durableId="1261989344">
    <w:abstractNumId w:val="4"/>
  </w:num>
  <w:num w:numId="4" w16cid:durableId="430124917">
    <w:abstractNumId w:val="27"/>
  </w:num>
  <w:num w:numId="5" w16cid:durableId="1780876909">
    <w:abstractNumId w:val="18"/>
  </w:num>
  <w:num w:numId="6" w16cid:durableId="1295869925">
    <w:abstractNumId w:val="34"/>
  </w:num>
  <w:num w:numId="7" w16cid:durableId="1602957547">
    <w:abstractNumId w:val="6"/>
  </w:num>
  <w:num w:numId="8" w16cid:durableId="1843428745">
    <w:abstractNumId w:val="26"/>
  </w:num>
  <w:num w:numId="9" w16cid:durableId="805658154">
    <w:abstractNumId w:val="19"/>
  </w:num>
  <w:num w:numId="10" w16cid:durableId="1806893418">
    <w:abstractNumId w:val="8"/>
  </w:num>
  <w:num w:numId="11" w16cid:durableId="310911553">
    <w:abstractNumId w:val="33"/>
  </w:num>
  <w:num w:numId="12" w16cid:durableId="1245189316">
    <w:abstractNumId w:val="16"/>
  </w:num>
  <w:num w:numId="13" w16cid:durableId="2052030142">
    <w:abstractNumId w:val="20"/>
  </w:num>
  <w:num w:numId="14" w16cid:durableId="1059287153">
    <w:abstractNumId w:val="32"/>
  </w:num>
  <w:num w:numId="15" w16cid:durableId="285161044">
    <w:abstractNumId w:val="10"/>
  </w:num>
  <w:num w:numId="16" w16cid:durableId="2027513870">
    <w:abstractNumId w:val="3"/>
  </w:num>
  <w:num w:numId="17" w16cid:durableId="261452655">
    <w:abstractNumId w:val="11"/>
  </w:num>
  <w:num w:numId="18" w16cid:durableId="1918708980">
    <w:abstractNumId w:val="12"/>
  </w:num>
  <w:num w:numId="19" w16cid:durableId="12928333">
    <w:abstractNumId w:val="29"/>
  </w:num>
  <w:num w:numId="20" w16cid:durableId="847793382">
    <w:abstractNumId w:val="28"/>
  </w:num>
  <w:num w:numId="21" w16cid:durableId="587689279">
    <w:abstractNumId w:val="14"/>
  </w:num>
  <w:num w:numId="22" w16cid:durableId="1052579870">
    <w:abstractNumId w:val="5"/>
  </w:num>
  <w:num w:numId="23" w16cid:durableId="15145663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2807624">
    <w:abstractNumId w:val="13"/>
  </w:num>
  <w:num w:numId="25" w16cid:durableId="973752995">
    <w:abstractNumId w:val="25"/>
  </w:num>
  <w:num w:numId="26" w16cid:durableId="472020957">
    <w:abstractNumId w:val="24"/>
  </w:num>
  <w:num w:numId="27" w16cid:durableId="1461801500">
    <w:abstractNumId w:val="15"/>
  </w:num>
  <w:num w:numId="28" w16cid:durableId="682126743">
    <w:abstractNumId w:val="17"/>
  </w:num>
  <w:num w:numId="29" w16cid:durableId="307783389">
    <w:abstractNumId w:val="30"/>
  </w:num>
  <w:num w:numId="30" w16cid:durableId="43069818">
    <w:abstractNumId w:val="21"/>
  </w:num>
  <w:num w:numId="31" w16cid:durableId="1922448761">
    <w:abstractNumId w:val="23"/>
  </w:num>
  <w:num w:numId="32" w16cid:durableId="1039817686">
    <w:abstractNumId w:val="7"/>
  </w:num>
  <w:num w:numId="33" w16cid:durableId="1824856707">
    <w:abstractNumId w:val="9"/>
  </w:num>
  <w:num w:numId="34" w16cid:durableId="1233390462">
    <w:abstractNumId w:val="2"/>
  </w:num>
  <w:num w:numId="35" w16cid:durableId="1169978213">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F1"/>
    <w:rsid w:val="00013C65"/>
    <w:rsid w:val="000270CF"/>
    <w:rsid w:val="00031E85"/>
    <w:rsid w:val="00043E63"/>
    <w:rsid w:val="000475A1"/>
    <w:rsid w:val="00050787"/>
    <w:rsid w:val="00053A6E"/>
    <w:rsid w:val="00066A21"/>
    <w:rsid w:val="0007121E"/>
    <w:rsid w:val="00075787"/>
    <w:rsid w:val="00081445"/>
    <w:rsid w:val="00090DC4"/>
    <w:rsid w:val="0009151D"/>
    <w:rsid w:val="000A5984"/>
    <w:rsid w:val="000B248B"/>
    <w:rsid w:val="000B506A"/>
    <w:rsid w:val="000C13C5"/>
    <w:rsid w:val="000C4643"/>
    <w:rsid w:val="000E3701"/>
    <w:rsid w:val="000E6545"/>
    <w:rsid w:val="0010646D"/>
    <w:rsid w:val="00110CE3"/>
    <w:rsid w:val="00113720"/>
    <w:rsid w:val="00117E6B"/>
    <w:rsid w:val="00131C06"/>
    <w:rsid w:val="00145D9C"/>
    <w:rsid w:val="00153C9F"/>
    <w:rsid w:val="0015794B"/>
    <w:rsid w:val="00161E00"/>
    <w:rsid w:val="00171C29"/>
    <w:rsid w:val="001840FA"/>
    <w:rsid w:val="00197907"/>
    <w:rsid w:val="001C02BF"/>
    <w:rsid w:val="001D3F58"/>
    <w:rsid w:val="001E26FE"/>
    <w:rsid w:val="001F176F"/>
    <w:rsid w:val="001F614A"/>
    <w:rsid w:val="001F7D7E"/>
    <w:rsid w:val="002004FD"/>
    <w:rsid w:val="0020131E"/>
    <w:rsid w:val="002053EB"/>
    <w:rsid w:val="002141DB"/>
    <w:rsid w:val="00215995"/>
    <w:rsid w:val="00231D1F"/>
    <w:rsid w:val="00232C61"/>
    <w:rsid w:val="0023346E"/>
    <w:rsid w:val="0024045E"/>
    <w:rsid w:val="0024442D"/>
    <w:rsid w:val="00245A3E"/>
    <w:rsid w:val="00265692"/>
    <w:rsid w:val="002761E8"/>
    <w:rsid w:val="002833D6"/>
    <w:rsid w:val="002860AE"/>
    <w:rsid w:val="002917AB"/>
    <w:rsid w:val="0029600B"/>
    <w:rsid w:val="00296F09"/>
    <w:rsid w:val="002B17A3"/>
    <w:rsid w:val="002B4147"/>
    <w:rsid w:val="002B5760"/>
    <w:rsid w:val="002D3086"/>
    <w:rsid w:val="002D3A57"/>
    <w:rsid w:val="002E2472"/>
    <w:rsid w:val="002E5B70"/>
    <w:rsid w:val="002E7E3B"/>
    <w:rsid w:val="002F0B8D"/>
    <w:rsid w:val="002F0C12"/>
    <w:rsid w:val="003034FC"/>
    <w:rsid w:val="003059D9"/>
    <w:rsid w:val="003118BE"/>
    <w:rsid w:val="0031385D"/>
    <w:rsid w:val="00324FAD"/>
    <w:rsid w:val="00351879"/>
    <w:rsid w:val="00355D82"/>
    <w:rsid w:val="00373026"/>
    <w:rsid w:val="0037752F"/>
    <w:rsid w:val="00386CDF"/>
    <w:rsid w:val="0039262B"/>
    <w:rsid w:val="0039409C"/>
    <w:rsid w:val="003A2C89"/>
    <w:rsid w:val="003A5C59"/>
    <w:rsid w:val="003A6288"/>
    <w:rsid w:val="003B4A48"/>
    <w:rsid w:val="003C3A3E"/>
    <w:rsid w:val="003D1A7A"/>
    <w:rsid w:val="003D40FB"/>
    <w:rsid w:val="003E073B"/>
    <w:rsid w:val="003E2E2E"/>
    <w:rsid w:val="003E6628"/>
    <w:rsid w:val="003F04AC"/>
    <w:rsid w:val="003F1198"/>
    <w:rsid w:val="00412A36"/>
    <w:rsid w:val="00414403"/>
    <w:rsid w:val="004230C0"/>
    <w:rsid w:val="004248A0"/>
    <w:rsid w:val="00432785"/>
    <w:rsid w:val="00432A43"/>
    <w:rsid w:val="0043537F"/>
    <w:rsid w:val="004526E3"/>
    <w:rsid w:val="00453BB2"/>
    <w:rsid w:val="004571EE"/>
    <w:rsid w:val="00463161"/>
    <w:rsid w:val="0046768E"/>
    <w:rsid w:val="00470A8E"/>
    <w:rsid w:val="004A0DF7"/>
    <w:rsid w:val="004A30B6"/>
    <w:rsid w:val="004B25CE"/>
    <w:rsid w:val="004B6148"/>
    <w:rsid w:val="004B764C"/>
    <w:rsid w:val="004C0861"/>
    <w:rsid w:val="004C591D"/>
    <w:rsid w:val="004D0BC5"/>
    <w:rsid w:val="004D37DF"/>
    <w:rsid w:val="004F021E"/>
    <w:rsid w:val="004F311F"/>
    <w:rsid w:val="004F7F17"/>
    <w:rsid w:val="0050012C"/>
    <w:rsid w:val="0050640C"/>
    <w:rsid w:val="00514919"/>
    <w:rsid w:val="00522172"/>
    <w:rsid w:val="00531CBC"/>
    <w:rsid w:val="005326D6"/>
    <w:rsid w:val="00537E0C"/>
    <w:rsid w:val="00566E10"/>
    <w:rsid w:val="00582250"/>
    <w:rsid w:val="005844F8"/>
    <w:rsid w:val="00587470"/>
    <w:rsid w:val="005930BF"/>
    <w:rsid w:val="0059499B"/>
    <w:rsid w:val="00596A92"/>
    <w:rsid w:val="005A032E"/>
    <w:rsid w:val="005B4ECC"/>
    <w:rsid w:val="005C2B5D"/>
    <w:rsid w:val="005D2C2A"/>
    <w:rsid w:val="005E2AF3"/>
    <w:rsid w:val="005E40F7"/>
    <w:rsid w:val="005F5E1A"/>
    <w:rsid w:val="006029A2"/>
    <w:rsid w:val="006108EF"/>
    <w:rsid w:val="00616C49"/>
    <w:rsid w:val="0062030B"/>
    <w:rsid w:val="006203B3"/>
    <w:rsid w:val="0062756D"/>
    <w:rsid w:val="00636AB2"/>
    <w:rsid w:val="0064147B"/>
    <w:rsid w:val="006516F1"/>
    <w:rsid w:val="00673CA0"/>
    <w:rsid w:val="00675CB9"/>
    <w:rsid w:val="00686201"/>
    <w:rsid w:val="00691E39"/>
    <w:rsid w:val="0069563F"/>
    <w:rsid w:val="006A2BAA"/>
    <w:rsid w:val="006A6479"/>
    <w:rsid w:val="006B4AEB"/>
    <w:rsid w:val="006C4ECC"/>
    <w:rsid w:val="006C5199"/>
    <w:rsid w:val="006D6564"/>
    <w:rsid w:val="006D7BAF"/>
    <w:rsid w:val="006F3533"/>
    <w:rsid w:val="006F3CA3"/>
    <w:rsid w:val="0070076A"/>
    <w:rsid w:val="00701B1E"/>
    <w:rsid w:val="00701DB8"/>
    <w:rsid w:val="007216CA"/>
    <w:rsid w:val="00731ED5"/>
    <w:rsid w:val="00734F37"/>
    <w:rsid w:val="00743868"/>
    <w:rsid w:val="007438B1"/>
    <w:rsid w:val="007449A3"/>
    <w:rsid w:val="00760905"/>
    <w:rsid w:val="00762DB5"/>
    <w:rsid w:val="00770A5A"/>
    <w:rsid w:val="00770A9C"/>
    <w:rsid w:val="0077237F"/>
    <w:rsid w:val="007853DE"/>
    <w:rsid w:val="007870EE"/>
    <w:rsid w:val="00787EB3"/>
    <w:rsid w:val="00794211"/>
    <w:rsid w:val="00795383"/>
    <w:rsid w:val="007A423F"/>
    <w:rsid w:val="007A57B1"/>
    <w:rsid w:val="007B3601"/>
    <w:rsid w:val="007B3DB9"/>
    <w:rsid w:val="007B5055"/>
    <w:rsid w:val="007B772A"/>
    <w:rsid w:val="007C3ABD"/>
    <w:rsid w:val="007C7631"/>
    <w:rsid w:val="007D0EE9"/>
    <w:rsid w:val="007D22BB"/>
    <w:rsid w:val="007D3409"/>
    <w:rsid w:val="007D6514"/>
    <w:rsid w:val="007E04A9"/>
    <w:rsid w:val="007E0C0F"/>
    <w:rsid w:val="007E3DAD"/>
    <w:rsid w:val="007F50CC"/>
    <w:rsid w:val="007F5493"/>
    <w:rsid w:val="00813593"/>
    <w:rsid w:val="00815920"/>
    <w:rsid w:val="008167B4"/>
    <w:rsid w:val="00816B79"/>
    <w:rsid w:val="008172EA"/>
    <w:rsid w:val="00817909"/>
    <w:rsid w:val="00830A9C"/>
    <w:rsid w:val="008347B5"/>
    <w:rsid w:val="00836D37"/>
    <w:rsid w:val="00837371"/>
    <w:rsid w:val="008376FA"/>
    <w:rsid w:val="0084752B"/>
    <w:rsid w:val="00853ED0"/>
    <w:rsid w:val="008567AE"/>
    <w:rsid w:val="00861ECF"/>
    <w:rsid w:val="00865B9D"/>
    <w:rsid w:val="0087021D"/>
    <w:rsid w:val="00870AA3"/>
    <w:rsid w:val="00875427"/>
    <w:rsid w:val="008923CF"/>
    <w:rsid w:val="00892456"/>
    <w:rsid w:val="008A13E3"/>
    <w:rsid w:val="008B2C08"/>
    <w:rsid w:val="008B52D0"/>
    <w:rsid w:val="008C636E"/>
    <w:rsid w:val="008E139C"/>
    <w:rsid w:val="008E6807"/>
    <w:rsid w:val="009013C7"/>
    <w:rsid w:val="00901A98"/>
    <w:rsid w:val="0090214F"/>
    <w:rsid w:val="009051D2"/>
    <w:rsid w:val="00921941"/>
    <w:rsid w:val="00932004"/>
    <w:rsid w:val="00932A22"/>
    <w:rsid w:val="0093797E"/>
    <w:rsid w:val="009431C7"/>
    <w:rsid w:val="00945A50"/>
    <w:rsid w:val="009476C9"/>
    <w:rsid w:val="0095168B"/>
    <w:rsid w:val="00960F3C"/>
    <w:rsid w:val="0097133A"/>
    <w:rsid w:val="0097343D"/>
    <w:rsid w:val="00973745"/>
    <w:rsid w:val="00974FEA"/>
    <w:rsid w:val="0097711C"/>
    <w:rsid w:val="0098098C"/>
    <w:rsid w:val="00982187"/>
    <w:rsid w:val="00990DF9"/>
    <w:rsid w:val="009A58D5"/>
    <w:rsid w:val="009B78CC"/>
    <w:rsid w:val="009C4C97"/>
    <w:rsid w:val="009C62C7"/>
    <w:rsid w:val="009E51CA"/>
    <w:rsid w:val="009F240C"/>
    <w:rsid w:val="009F538C"/>
    <w:rsid w:val="009F61B4"/>
    <w:rsid w:val="009F7ED7"/>
    <w:rsid w:val="00A00231"/>
    <w:rsid w:val="00A00BA3"/>
    <w:rsid w:val="00A0132D"/>
    <w:rsid w:val="00A032EB"/>
    <w:rsid w:val="00A2336E"/>
    <w:rsid w:val="00A25A6A"/>
    <w:rsid w:val="00A33DDC"/>
    <w:rsid w:val="00A34603"/>
    <w:rsid w:val="00A37D25"/>
    <w:rsid w:val="00A45BB1"/>
    <w:rsid w:val="00A52064"/>
    <w:rsid w:val="00A53DA1"/>
    <w:rsid w:val="00A57587"/>
    <w:rsid w:val="00A65219"/>
    <w:rsid w:val="00A6659E"/>
    <w:rsid w:val="00A72DFA"/>
    <w:rsid w:val="00A76B19"/>
    <w:rsid w:val="00A81DF1"/>
    <w:rsid w:val="00A94152"/>
    <w:rsid w:val="00A965AD"/>
    <w:rsid w:val="00A9661E"/>
    <w:rsid w:val="00AA42A2"/>
    <w:rsid w:val="00AA5597"/>
    <w:rsid w:val="00AA6A27"/>
    <w:rsid w:val="00AB169D"/>
    <w:rsid w:val="00AB47A5"/>
    <w:rsid w:val="00AD17C6"/>
    <w:rsid w:val="00AD3C7A"/>
    <w:rsid w:val="00AF261F"/>
    <w:rsid w:val="00B02AEC"/>
    <w:rsid w:val="00B17DBB"/>
    <w:rsid w:val="00B20BF0"/>
    <w:rsid w:val="00B22E5D"/>
    <w:rsid w:val="00B2507F"/>
    <w:rsid w:val="00B25F98"/>
    <w:rsid w:val="00B365CF"/>
    <w:rsid w:val="00B36FBC"/>
    <w:rsid w:val="00B53414"/>
    <w:rsid w:val="00B62848"/>
    <w:rsid w:val="00B678D7"/>
    <w:rsid w:val="00B71274"/>
    <w:rsid w:val="00B838B7"/>
    <w:rsid w:val="00B905B7"/>
    <w:rsid w:val="00B920D0"/>
    <w:rsid w:val="00B96327"/>
    <w:rsid w:val="00BB340C"/>
    <w:rsid w:val="00BD285A"/>
    <w:rsid w:val="00BD7438"/>
    <w:rsid w:val="00BE1701"/>
    <w:rsid w:val="00BE2E9C"/>
    <w:rsid w:val="00BE3690"/>
    <w:rsid w:val="00BF3D50"/>
    <w:rsid w:val="00C115DF"/>
    <w:rsid w:val="00C127E1"/>
    <w:rsid w:val="00C247EE"/>
    <w:rsid w:val="00C248E8"/>
    <w:rsid w:val="00C267C5"/>
    <w:rsid w:val="00C279CB"/>
    <w:rsid w:val="00C31E93"/>
    <w:rsid w:val="00C324F5"/>
    <w:rsid w:val="00C34422"/>
    <w:rsid w:val="00C468F1"/>
    <w:rsid w:val="00C51A9D"/>
    <w:rsid w:val="00C542FA"/>
    <w:rsid w:val="00C570B2"/>
    <w:rsid w:val="00C61321"/>
    <w:rsid w:val="00C74E71"/>
    <w:rsid w:val="00C7618D"/>
    <w:rsid w:val="00C83472"/>
    <w:rsid w:val="00C94268"/>
    <w:rsid w:val="00CA3AE6"/>
    <w:rsid w:val="00CB5470"/>
    <w:rsid w:val="00CC2F15"/>
    <w:rsid w:val="00CC7068"/>
    <w:rsid w:val="00CE2ECE"/>
    <w:rsid w:val="00CE39B5"/>
    <w:rsid w:val="00CF7EF8"/>
    <w:rsid w:val="00D01A51"/>
    <w:rsid w:val="00D02ED2"/>
    <w:rsid w:val="00D04206"/>
    <w:rsid w:val="00D04AA4"/>
    <w:rsid w:val="00D06D80"/>
    <w:rsid w:val="00D0762C"/>
    <w:rsid w:val="00D13DE3"/>
    <w:rsid w:val="00D231BF"/>
    <w:rsid w:val="00D2413E"/>
    <w:rsid w:val="00D338B4"/>
    <w:rsid w:val="00D4664A"/>
    <w:rsid w:val="00D53E47"/>
    <w:rsid w:val="00D544FF"/>
    <w:rsid w:val="00D55507"/>
    <w:rsid w:val="00D66FEF"/>
    <w:rsid w:val="00D671A0"/>
    <w:rsid w:val="00D74459"/>
    <w:rsid w:val="00D74CE4"/>
    <w:rsid w:val="00D77DD2"/>
    <w:rsid w:val="00D8412D"/>
    <w:rsid w:val="00DA1AFC"/>
    <w:rsid w:val="00DA2CF7"/>
    <w:rsid w:val="00DB73FE"/>
    <w:rsid w:val="00DB7995"/>
    <w:rsid w:val="00DD2375"/>
    <w:rsid w:val="00DD2997"/>
    <w:rsid w:val="00DE414E"/>
    <w:rsid w:val="00DF0D3C"/>
    <w:rsid w:val="00DF162F"/>
    <w:rsid w:val="00DF35A1"/>
    <w:rsid w:val="00E0741A"/>
    <w:rsid w:val="00E11BC4"/>
    <w:rsid w:val="00E15605"/>
    <w:rsid w:val="00E175D1"/>
    <w:rsid w:val="00E248DD"/>
    <w:rsid w:val="00E300BD"/>
    <w:rsid w:val="00E33DFE"/>
    <w:rsid w:val="00E428E2"/>
    <w:rsid w:val="00E42E1D"/>
    <w:rsid w:val="00E538FD"/>
    <w:rsid w:val="00E55FC7"/>
    <w:rsid w:val="00E57193"/>
    <w:rsid w:val="00E65829"/>
    <w:rsid w:val="00E70119"/>
    <w:rsid w:val="00E7148C"/>
    <w:rsid w:val="00E75FA4"/>
    <w:rsid w:val="00EA2B78"/>
    <w:rsid w:val="00EA500E"/>
    <w:rsid w:val="00EB346D"/>
    <w:rsid w:val="00EB4926"/>
    <w:rsid w:val="00ED4D7C"/>
    <w:rsid w:val="00F00241"/>
    <w:rsid w:val="00F0307C"/>
    <w:rsid w:val="00F07A74"/>
    <w:rsid w:val="00F26A29"/>
    <w:rsid w:val="00F271C6"/>
    <w:rsid w:val="00F27B3B"/>
    <w:rsid w:val="00F3365B"/>
    <w:rsid w:val="00F4061A"/>
    <w:rsid w:val="00F42D5E"/>
    <w:rsid w:val="00F43026"/>
    <w:rsid w:val="00F605F7"/>
    <w:rsid w:val="00F60E8C"/>
    <w:rsid w:val="00F611CA"/>
    <w:rsid w:val="00F716BA"/>
    <w:rsid w:val="00F7523F"/>
    <w:rsid w:val="00F774C9"/>
    <w:rsid w:val="00F84614"/>
    <w:rsid w:val="00F96199"/>
    <w:rsid w:val="00FA4784"/>
    <w:rsid w:val="00FA6B2E"/>
    <w:rsid w:val="00FA7F53"/>
    <w:rsid w:val="00FB1C87"/>
    <w:rsid w:val="00FB20D0"/>
    <w:rsid w:val="00FB2E78"/>
    <w:rsid w:val="00FD1850"/>
    <w:rsid w:val="00FE0FE1"/>
    <w:rsid w:val="00FF2F01"/>
    <w:rsid w:val="00FF2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EF528"/>
  <w15:chartTrackingRefBased/>
  <w15:docId w15:val="{BD1FB71C-34C0-490E-A733-D16908ED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AE"/>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C94268"/>
    <w:pPr>
      <w:keepNext/>
      <w:keepLines/>
      <w:spacing w:before="360" w:after="80" w:line="259" w:lineRule="auto"/>
      <w:outlineLvl w:val="1"/>
    </w:pPr>
    <w:rPr>
      <w:rFonts w:eastAsia="Calibri"/>
      <w:b/>
      <w:sz w:val="36"/>
      <w:szCs w:val="36"/>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6F1"/>
    <w:rPr>
      <w:color w:val="0563C1"/>
      <w:u w:val="single"/>
    </w:rPr>
  </w:style>
  <w:style w:type="paragraph" w:styleId="NoSpacing">
    <w:name w:val="No Spacing"/>
    <w:basedOn w:val="Normal"/>
    <w:link w:val="NoSpacingChar"/>
    <w:uiPriority w:val="1"/>
    <w:qFormat/>
    <w:rsid w:val="006516F1"/>
  </w:style>
  <w:style w:type="paragraph" w:customStyle="1" w:styleId="xmsonormal">
    <w:name w:val="x_msonormal"/>
    <w:basedOn w:val="Normal"/>
    <w:uiPriority w:val="99"/>
    <w:rsid w:val="006516F1"/>
    <w:rPr>
      <w:rFonts w:ascii="Times New Roman" w:hAnsi="Times New Roman" w:cs="Times New Roman"/>
      <w:sz w:val="24"/>
      <w:szCs w:val="24"/>
      <w:lang w:eastAsia="es-ES"/>
    </w:rPr>
  </w:style>
  <w:style w:type="character" w:customStyle="1" w:styleId="NoSpacingChar">
    <w:name w:val="No Spacing Char"/>
    <w:basedOn w:val="DefaultParagraphFont"/>
    <w:link w:val="NoSpacing"/>
    <w:uiPriority w:val="1"/>
    <w:locked/>
    <w:rsid w:val="00566E10"/>
    <w:rPr>
      <w:rFonts w:ascii="Calibri" w:hAnsi="Calibri" w:cs="Calibri"/>
    </w:rPr>
  </w:style>
  <w:style w:type="paragraph" w:styleId="Header">
    <w:name w:val="header"/>
    <w:basedOn w:val="Normal"/>
    <w:link w:val="HeaderChar"/>
    <w:uiPriority w:val="99"/>
    <w:unhideWhenUsed/>
    <w:rsid w:val="0098098C"/>
    <w:pPr>
      <w:tabs>
        <w:tab w:val="center" w:pos="4419"/>
        <w:tab w:val="right" w:pos="8838"/>
      </w:tabs>
    </w:pPr>
  </w:style>
  <w:style w:type="character" w:customStyle="1" w:styleId="HeaderChar">
    <w:name w:val="Header Char"/>
    <w:basedOn w:val="DefaultParagraphFont"/>
    <w:link w:val="Header"/>
    <w:uiPriority w:val="99"/>
    <w:rsid w:val="0098098C"/>
    <w:rPr>
      <w:rFonts w:ascii="Calibri" w:hAnsi="Calibri" w:cs="Calibri"/>
    </w:rPr>
  </w:style>
  <w:style w:type="paragraph" w:styleId="Footer">
    <w:name w:val="footer"/>
    <w:basedOn w:val="Normal"/>
    <w:link w:val="FooterChar"/>
    <w:uiPriority w:val="99"/>
    <w:unhideWhenUsed/>
    <w:rsid w:val="0098098C"/>
    <w:pPr>
      <w:tabs>
        <w:tab w:val="center" w:pos="4419"/>
        <w:tab w:val="right" w:pos="8838"/>
      </w:tabs>
    </w:pPr>
  </w:style>
  <w:style w:type="character" w:customStyle="1" w:styleId="FooterChar">
    <w:name w:val="Footer Char"/>
    <w:basedOn w:val="DefaultParagraphFont"/>
    <w:link w:val="Footer"/>
    <w:uiPriority w:val="99"/>
    <w:rsid w:val="0098098C"/>
    <w:rPr>
      <w:rFonts w:ascii="Calibri" w:hAnsi="Calibri" w:cs="Calibri"/>
    </w:rPr>
  </w:style>
  <w:style w:type="table" w:styleId="TableGrid">
    <w:name w:val="Table Grid"/>
    <w:basedOn w:val="TableNormal"/>
    <w:uiPriority w:val="39"/>
    <w:rsid w:val="0098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 texto,Footnote,Dot pt,No Spacing1,List Paragraph Char Char Char,Indicator Text,List Paragraph1,Numbered Para 1"/>
    <w:basedOn w:val="Normal"/>
    <w:link w:val="ListParagraphChar"/>
    <w:uiPriority w:val="34"/>
    <w:qFormat/>
    <w:rsid w:val="005E40F7"/>
    <w:pPr>
      <w:ind w:left="720"/>
      <w:contextualSpacing/>
    </w:pPr>
  </w:style>
  <w:style w:type="paragraph" w:styleId="BalloonText">
    <w:name w:val="Balloon Text"/>
    <w:basedOn w:val="Normal"/>
    <w:link w:val="BalloonTextChar"/>
    <w:uiPriority w:val="99"/>
    <w:semiHidden/>
    <w:unhideWhenUsed/>
    <w:rsid w:val="00901A98"/>
    <w:rPr>
      <w:rFonts w:ascii="Segoe UI" w:eastAsiaTheme="minorEastAsia" w:hAnsi="Segoe UI" w:cs="Segoe UI"/>
      <w:sz w:val="18"/>
      <w:szCs w:val="18"/>
      <w:lang w:val="es-MX"/>
    </w:rPr>
  </w:style>
  <w:style w:type="character" w:customStyle="1" w:styleId="BalloonTextChar">
    <w:name w:val="Balloon Text Char"/>
    <w:basedOn w:val="DefaultParagraphFont"/>
    <w:link w:val="BalloonText"/>
    <w:uiPriority w:val="99"/>
    <w:semiHidden/>
    <w:rsid w:val="00901A98"/>
    <w:rPr>
      <w:rFonts w:ascii="Segoe UI" w:eastAsiaTheme="minorEastAsia" w:hAnsi="Segoe UI" w:cs="Segoe UI"/>
      <w:sz w:val="18"/>
      <w:szCs w:val="18"/>
      <w:lang w:val="es-MX"/>
    </w:rPr>
  </w:style>
  <w:style w:type="paragraph" w:styleId="FootnoteText">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FootnoteTextChar"/>
    <w:uiPriority w:val="99"/>
    <w:unhideWhenUsed/>
    <w:qFormat/>
    <w:rsid w:val="00F60E8C"/>
    <w:rPr>
      <w:rFonts w:asciiTheme="minorHAnsi" w:hAnsiTheme="minorHAnsi" w:cstheme="minorBidi"/>
      <w:sz w:val="20"/>
      <w:szCs w:val="20"/>
    </w:rPr>
  </w:style>
  <w:style w:type="character" w:customStyle="1" w:styleId="FootnoteTextChar">
    <w:name w:val="Footnote Text Char"/>
    <w:aliases w:val="Car3 Char,Car3 Car Char,Footnote Text Char Char Char Char Char Char,Footnote Text Char Char Char Char Char1,Footnote reference Char,FA Fu Char,FA Fu Car Char, Car3 Char, Car3 Car Char,Footnote Text Char Char Char Char1, Car31 Car Char"/>
    <w:basedOn w:val="DefaultParagraphFont"/>
    <w:link w:val="FootnoteText"/>
    <w:uiPriority w:val="99"/>
    <w:rsid w:val="00F60E8C"/>
    <w:rPr>
      <w:sz w:val="20"/>
      <w:szCs w:val="20"/>
    </w:rPr>
  </w:style>
  <w:style w:type="character" w:styleId="FootnoteReference">
    <w:name w:val="footnote reference"/>
    <w:aliases w:val="Ref. de nota al pie 2,Texto de nota al pie,Stinking Styles,Stinking Styles5,Appel note de bas de page,Footnotes refss,Footnote number,referencia nota al pie,BVI fnr,f,4_G,16 Point,Superscript 6 Point,Texto nota al pie,ftref,Ref,julio"/>
    <w:basedOn w:val="DefaultParagraphFont"/>
    <w:uiPriority w:val="99"/>
    <w:unhideWhenUsed/>
    <w:qFormat/>
    <w:rsid w:val="00F60E8C"/>
    <w:rPr>
      <w:vertAlign w:val="superscript"/>
    </w:rPr>
  </w:style>
  <w:style w:type="character" w:customStyle="1" w:styleId="Heading2Char">
    <w:name w:val="Heading 2 Char"/>
    <w:basedOn w:val="DefaultParagraphFont"/>
    <w:link w:val="Heading2"/>
    <w:uiPriority w:val="9"/>
    <w:semiHidden/>
    <w:rsid w:val="00C94268"/>
    <w:rPr>
      <w:rFonts w:ascii="Calibri" w:eastAsia="Calibri" w:hAnsi="Calibri" w:cs="Calibri"/>
      <w:b/>
      <w:sz w:val="36"/>
      <w:szCs w:val="36"/>
      <w:lang w:val="es-MX"/>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C94268"/>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C94268"/>
    <w:rPr>
      <w:rFonts w:ascii="Times New Roman" w:eastAsia="Times New Roman" w:hAnsi="Times New Roman" w:cs="Times New Roman"/>
      <w:sz w:val="24"/>
      <w:szCs w:val="24"/>
      <w:lang w:val="es-MX" w:eastAsia="es-MX"/>
    </w:rPr>
  </w:style>
  <w:style w:type="paragraph" w:customStyle="1" w:styleId="corte4fondo">
    <w:name w:val="corte4 fondo"/>
    <w:basedOn w:val="Normal"/>
    <w:link w:val="corte4fondoCar"/>
    <w:qFormat/>
    <w:rsid w:val="00C94268"/>
    <w:pPr>
      <w:spacing w:line="360" w:lineRule="auto"/>
      <w:ind w:firstLine="709"/>
      <w:jc w:val="both"/>
    </w:pPr>
    <w:rPr>
      <w:rFonts w:ascii="Arial" w:eastAsia="Times New Roman" w:hAnsi="Arial" w:cs="Times New Roman"/>
      <w:sz w:val="30"/>
      <w:szCs w:val="18"/>
      <w:lang w:val="es-MX" w:eastAsia="es-MX"/>
    </w:rPr>
  </w:style>
  <w:style w:type="character" w:customStyle="1" w:styleId="corte4fondoCar">
    <w:name w:val="corte4 fondo Car"/>
    <w:link w:val="corte4fondo"/>
    <w:qFormat/>
    <w:rsid w:val="00C94268"/>
    <w:rPr>
      <w:rFonts w:ascii="Arial" w:eastAsia="Times New Roman" w:hAnsi="Arial" w:cs="Times New Roman"/>
      <w:sz w:val="30"/>
      <w:szCs w:val="18"/>
      <w:lang w:val="es-MX" w:eastAsia="es-MX"/>
    </w:rPr>
  </w:style>
  <w:style w:type="character" w:customStyle="1" w:styleId="ListParagraphChar">
    <w:name w:val="List Paragraph Char"/>
    <w:aliases w:val="Cita texto Char,Footnote Char,Dot pt Char,No Spacing1 Char,List Paragraph Char Char Char Char,Indicator Text Char,List Paragraph1 Char,Numbered Para 1 Char"/>
    <w:link w:val="ListParagraph"/>
    <w:uiPriority w:val="34"/>
    <w:locked/>
    <w:rsid w:val="00C94268"/>
    <w:rPr>
      <w:rFonts w:ascii="Calibri" w:hAnsi="Calibri" w:cs="Calibri"/>
    </w:rPr>
  </w:style>
  <w:style w:type="table" w:customStyle="1" w:styleId="Tablaconcuadrcula1">
    <w:name w:val="Tabla con cuadrícula1"/>
    <w:basedOn w:val="TableNormal"/>
    <w:next w:val="TableGrid"/>
    <w:uiPriority w:val="59"/>
    <w:rsid w:val="008A13E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A13E3"/>
  </w:style>
  <w:style w:type="character" w:customStyle="1" w:styleId="UnresolvedMention1">
    <w:name w:val="Unresolved Mention1"/>
    <w:basedOn w:val="DefaultParagraphFont"/>
    <w:uiPriority w:val="99"/>
    <w:semiHidden/>
    <w:unhideWhenUsed/>
    <w:rsid w:val="000270CF"/>
    <w:rPr>
      <w:color w:val="605E5C"/>
      <w:shd w:val="clear" w:color="auto" w:fill="E1DFDD"/>
    </w:rPr>
  </w:style>
  <w:style w:type="character" w:styleId="FollowedHyperlink">
    <w:name w:val="FollowedHyperlink"/>
    <w:basedOn w:val="DefaultParagraphFont"/>
    <w:uiPriority w:val="99"/>
    <w:semiHidden/>
    <w:unhideWhenUsed/>
    <w:rsid w:val="002141DB"/>
    <w:rPr>
      <w:color w:val="954F72" w:themeColor="followedHyperlink"/>
      <w:u w:val="single"/>
    </w:rPr>
  </w:style>
  <w:style w:type="paragraph" w:customStyle="1" w:styleId="xxxmsonormal">
    <w:name w:val="x_xxmsonormal"/>
    <w:basedOn w:val="Normal"/>
    <w:rsid w:val="008172EA"/>
    <w:rPr>
      <w:rFonts w:ascii="Times New Roman" w:hAnsi="Times New Roman" w:cs="Times New Roman"/>
      <w:sz w:val="24"/>
      <w:szCs w:val="24"/>
      <w:lang w:val="es-MX" w:eastAsia="es-MX"/>
    </w:rPr>
  </w:style>
  <w:style w:type="paragraph" w:styleId="EndnoteText">
    <w:name w:val="endnote text"/>
    <w:basedOn w:val="Normal"/>
    <w:link w:val="EndnoteTextChar"/>
    <w:uiPriority w:val="99"/>
    <w:semiHidden/>
    <w:unhideWhenUsed/>
    <w:rsid w:val="008567AE"/>
    <w:rPr>
      <w:sz w:val="20"/>
      <w:szCs w:val="20"/>
    </w:rPr>
  </w:style>
  <w:style w:type="character" w:customStyle="1" w:styleId="EndnoteTextChar">
    <w:name w:val="Endnote Text Char"/>
    <w:basedOn w:val="DefaultParagraphFont"/>
    <w:link w:val="EndnoteText"/>
    <w:uiPriority w:val="99"/>
    <w:semiHidden/>
    <w:rsid w:val="008567AE"/>
    <w:rPr>
      <w:rFonts w:ascii="Calibri" w:hAnsi="Calibri" w:cs="Calibri"/>
      <w:sz w:val="20"/>
      <w:szCs w:val="20"/>
    </w:rPr>
  </w:style>
  <w:style w:type="character" w:styleId="EndnoteReference">
    <w:name w:val="endnote reference"/>
    <w:basedOn w:val="DefaultParagraphFont"/>
    <w:uiPriority w:val="99"/>
    <w:semiHidden/>
    <w:unhideWhenUsed/>
    <w:rsid w:val="008567AE"/>
    <w:rPr>
      <w:vertAlign w:val="superscript"/>
    </w:rPr>
  </w:style>
  <w:style w:type="character" w:customStyle="1" w:styleId="Ninguno">
    <w:name w:val="Ninguno"/>
    <w:rsid w:val="00DD2375"/>
    <w:rPr>
      <w:lang w:val="es-ES_tradnl"/>
    </w:rPr>
  </w:style>
  <w:style w:type="character" w:customStyle="1" w:styleId="Hyperlink0">
    <w:name w:val="Hyperlink.0"/>
    <w:basedOn w:val="Hyperlink"/>
    <w:rsid w:val="00DD2375"/>
    <w:rPr>
      <w:outline w:val="0"/>
      <w:color w:val="0563C1"/>
      <w:u w:val="single" w:color="0563C1"/>
    </w:rPr>
  </w:style>
  <w:style w:type="paragraph" w:customStyle="1" w:styleId="AutoridadEditable">
    <w:name w:val="Autoridad Editable"/>
    <w:rsid w:val="00DD2375"/>
    <w:pPr>
      <w:pBdr>
        <w:top w:val="nil"/>
        <w:left w:val="nil"/>
        <w:bottom w:val="nil"/>
        <w:right w:val="nil"/>
        <w:between w:val="nil"/>
        <w:bar w:val="nil"/>
      </w:pBdr>
      <w:spacing w:after="0" w:line="240" w:lineRule="auto"/>
      <w:ind w:right="4819"/>
      <w:jc w:val="both"/>
    </w:pPr>
    <w:rPr>
      <w:rFonts w:ascii="Arial" w:eastAsia="Arial" w:hAnsi="Arial" w:cs="Arial"/>
      <w:b/>
      <w:bCs/>
      <w:color w:val="000000"/>
      <w:sz w:val="24"/>
      <w:szCs w:val="24"/>
      <w:u w:color="000000"/>
      <w:bdr w:val="nil"/>
      <w:lang w:val="es-ES_tradnl" w:eastAsia="es-MX"/>
    </w:rPr>
  </w:style>
  <w:style w:type="paragraph" w:customStyle="1" w:styleId="Notaalpie">
    <w:name w:val="Nota al pie"/>
    <w:rsid w:val="00DD237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s-MX" w:eastAsia="es-MX"/>
      <w14:textOutline w14:w="0" w14:cap="flat" w14:cmpd="sng" w14:algn="ctr">
        <w14:noFill/>
        <w14:prstDash w14:val="solid"/>
        <w14:bevel/>
      </w14:textOutline>
    </w:rPr>
  </w:style>
  <w:style w:type="character" w:customStyle="1" w:styleId="Hyperlink1">
    <w:name w:val="Hyperlink.1"/>
    <w:basedOn w:val="Hyperlink0"/>
    <w:rsid w:val="00DD2375"/>
    <w:rPr>
      <w:rFonts w:ascii="Arial" w:eastAsia="Arial" w:hAnsi="Arial" w:cs="Arial"/>
      <w:outline w:val="0"/>
      <w:color w:val="0563C1"/>
      <w:sz w:val="20"/>
      <w:szCs w:val="20"/>
      <w:u w:val="single" w:color="0563C1"/>
    </w:rPr>
  </w:style>
  <w:style w:type="character" w:customStyle="1" w:styleId="Hyperlink2">
    <w:name w:val="Hyperlink.2"/>
    <w:basedOn w:val="Hyperlink0"/>
    <w:rsid w:val="00DD2375"/>
    <w:rPr>
      <w:outline w:val="0"/>
      <w:color w:val="0563C1"/>
      <w:sz w:val="20"/>
      <w:szCs w:val="20"/>
      <w:u w:val="single" w:color="0563C1"/>
    </w:rPr>
  </w:style>
  <w:style w:type="table" w:customStyle="1" w:styleId="Tablaconcuadrcula2">
    <w:name w:val="Tabla con cuadrícula2"/>
    <w:basedOn w:val="TableNormal"/>
    <w:next w:val="TableGrid"/>
    <w:uiPriority w:val="39"/>
    <w:rsid w:val="00DB7995"/>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5615">
      <w:bodyDiv w:val="1"/>
      <w:marLeft w:val="0"/>
      <w:marRight w:val="0"/>
      <w:marTop w:val="0"/>
      <w:marBottom w:val="0"/>
      <w:divBdr>
        <w:top w:val="none" w:sz="0" w:space="0" w:color="auto"/>
        <w:left w:val="none" w:sz="0" w:space="0" w:color="auto"/>
        <w:bottom w:val="none" w:sz="0" w:space="0" w:color="auto"/>
        <w:right w:val="none" w:sz="0" w:space="0" w:color="auto"/>
      </w:divBdr>
    </w:div>
    <w:div w:id="846944263">
      <w:bodyDiv w:val="1"/>
      <w:marLeft w:val="0"/>
      <w:marRight w:val="0"/>
      <w:marTop w:val="0"/>
      <w:marBottom w:val="0"/>
      <w:divBdr>
        <w:top w:val="none" w:sz="0" w:space="0" w:color="auto"/>
        <w:left w:val="none" w:sz="0" w:space="0" w:color="auto"/>
        <w:bottom w:val="none" w:sz="0" w:space="0" w:color="auto"/>
        <w:right w:val="none" w:sz="0" w:space="0" w:color="auto"/>
      </w:divBdr>
    </w:div>
    <w:div w:id="943149351">
      <w:bodyDiv w:val="1"/>
      <w:marLeft w:val="0"/>
      <w:marRight w:val="0"/>
      <w:marTop w:val="0"/>
      <w:marBottom w:val="0"/>
      <w:divBdr>
        <w:top w:val="none" w:sz="0" w:space="0" w:color="auto"/>
        <w:left w:val="none" w:sz="0" w:space="0" w:color="auto"/>
        <w:bottom w:val="none" w:sz="0" w:space="0" w:color="auto"/>
        <w:right w:val="none" w:sz="0" w:space="0" w:color="auto"/>
      </w:divBdr>
    </w:div>
    <w:div w:id="994454510">
      <w:bodyDiv w:val="1"/>
      <w:marLeft w:val="0"/>
      <w:marRight w:val="0"/>
      <w:marTop w:val="0"/>
      <w:marBottom w:val="0"/>
      <w:divBdr>
        <w:top w:val="none" w:sz="0" w:space="0" w:color="auto"/>
        <w:left w:val="none" w:sz="0" w:space="0" w:color="auto"/>
        <w:bottom w:val="none" w:sz="0" w:space="0" w:color="auto"/>
        <w:right w:val="none" w:sz="0" w:space="0" w:color="auto"/>
      </w:divBdr>
    </w:div>
    <w:div w:id="20997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rteidh.or.cr/docs/casos/articulos/Seriec_149_esp.pdf" TargetMode="External"/><Relationship Id="rId1" Type="http://schemas.openxmlformats.org/officeDocument/2006/relationships/hyperlink" Target="https://www.cndh.org.mx/pagina/informes-de-supervision-MN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0671-7E9E-43E4-BC02-E60ABE4A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2259</Words>
  <Characters>12882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Guzmán García</dc:creator>
  <cp:keywords/>
  <dc:description/>
  <cp:lastModifiedBy>maria astrid reyes carreras</cp:lastModifiedBy>
  <cp:revision>3</cp:revision>
  <cp:lastPrinted>2021-09-30T16:51:00Z</cp:lastPrinted>
  <dcterms:created xsi:type="dcterms:W3CDTF">2022-11-24T17:46:00Z</dcterms:created>
  <dcterms:modified xsi:type="dcterms:W3CDTF">2022-11-25T09:43:00Z</dcterms:modified>
</cp:coreProperties>
</file>