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293D" w14:textId="77777777" w:rsidR="008B21C5" w:rsidRPr="00C70963" w:rsidRDefault="008B21C5" w:rsidP="00506C6B">
      <w:pPr>
        <w:pStyle w:val="ListParagraph"/>
        <w:jc w:val="center"/>
        <w:rPr>
          <w:b/>
          <w:bCs/>
          <w:u w:val="single"/>
        </w:rPr>
      </w:pPr>
    </w:p>
    <w:p w14:paraId="4CEE1575" w14:textId="2E829383" w:rsidR="00577D72" w:rsidRPr="00C70963" w:rsidRDefault="00847FFC" w:rsidP="00AA7660">
      <w:pPr>
        <w:pStyle w:val="ListParagraph"/>
        <w:ind w:left="0"/>
        <w:jc w:val="center"/>
        <w:rPr>
          <w:b/>
          <w:bCs/>
        </w:rPr>
      </w:pPr>
      <w:r w:rsidRPr="00C70963">
        <w:rPr>
          <w:b/>
          <w:bCs/>
        </w:rPr>
        <w:t xml:space="preserve">Joint Stakeholder </w:t>
      </w:r>
      <w:r w:rsidR="00577D72" w:rsidRPr="00C70963">
        <w:rPr>
          <w:b/>
          <w:bCs/>
        </w:rPr>
        <w:t xml:space="preserve">Submission </w:t>
      </w:r>
      <w:r w:rsidR="003943B1" w:rsidRPr="00C70963">
        <w:rPr>
          <w:b/>
          <w:bCs/>
        </w:rPr>
        <w:t>– Input to the</w:t>
      </w:r>
      <w:r w:rsidR="00577D72" w:rsidRPr="00C70963">
        <w:rPr>
          <w:b/>
          <w:bCs/>
        </w:rPr>
        <w:t xml:space="preserve"> Report</w:t>
      </w:r>
      <w:r w:rsidR="00A659C2" w:rsidRPr="00C70963">
        <w:rPr>
          <w:b/>
          <w:bCs/>
        </w:rPr>
        <w:t xml:space="preserve"> of the Special Rapporteur on Torture</w:t>
      </w:r>
    </w:p>
    <w:p w14:paraId="58FF468B" w14:textId="33E879CC" w:rsidR="008B21C5" w:rsidRPr="00C70963" w:rsidRDefault="00AA7660" w:rsidP="00AA7660">
      <w:pPr>
        <w:jc w:val="center"/>
      </w:pPr>
      <w:r w:rsidRPr="00C70963">
        <w:t>25 November 2022</w:t>
      </w:r>
    </w:p>
    <w:p w14:paraId="2ED4985E" w14:textId="77777777" w:rsidR="00C902B4" w:rsidRPr="00C70963" w:rsidRDefault="00C902B4" w:rsidP="00506C6B">
      <w:pPr>
        <w:pStyle w:val="ListParagraph"/>
        <w:jc w:val="center"/>
        <w:rPr>
          <w:b/>
          <w:bCs/>
        </w:rPr>
      </w:pPr>
    </w:p>
    <w:p w14:paraId="6C041901" w14:textId="7D90F3F3" w:rsidR="00C902B4" w:rsidRPr="00C70963" w:rsidRDefault="00C902B4" w:rsidP="00506C6B">
      <w:pPr>
        <w:pStyle w:val="ListParagraph"/>
        <w:numPr>
          <w:ilvl w:val="0"/>
          <w:numId w:val="7"/>
        </w:numPr>
        <w:rPr>
          <w:b/>
          <w:bCs/>
        </w:rPr>
      </w:pPr>
      <w:r w:rsidRPr="00C70963">
        <w:rPr>
          <w:b/>
          <w:bCs/>
        </w:rPr>
        <w:t>Introduction</w:t>
      </w:r>
    </w:p>
    <w:p w14:paraId="2CDF0799" w14:textId="351CD5E2" w:rsidR="00586318" w:rsidRPr="00C70963" w:rsidRDefault="00E15BBC" w:rsidP="00506C6B">
      <w:pPr>
        <w:pStyle w:val="ListParagraph"/>
        <w:numPr>
          <w:ilvl w:val="1"/>
          <w:numId w:val="7"/>
        </w:numPr>
      </w:pPr>
      <w:r w:rsidRPr="00397FE5">
        <w:t xml:space="preserve">The Malawi Centre for Human Rights Education, Advice and Assistance (CHREAA), </w:t>
      </w:r>
      <w:r w:rsidR="00F14055" w:rsidRPr="00397FE5">
        <w:t>Irish Rule of Law International (IRLI)</w:t>
      </w:r>
      <w:r w:rsidR="00A375DA" w:rsidRPr="00397FE5">
        <w:t xml:space="preserve"> and </w:t>
      </w:r>
      <w:r w:rsidR="002B360F" w:rsidRPr="00397FE5">
        <w:t xml:space="preserve">Reprieve </w:t>
      </w:r>
      <w:r w:rsidRPr="00397FE5">
        <w:t>submit this</w:t>
      </w:r>
      <w:r w:rsidR="009B34A5" w:rsidRPr="00397FE5">
        <w:t xml:space="preserve"> </w:t>
      </w:r>
      <w:r w:rsidR="00A33F03" w:rsidRPr="00397FE5">
        <w:t xml:space="preserve">input </w:t>
      </w:r>
      <w:r w:rsidR="007A40F5" w:rsidRPr="00397FE5">
        <w:t>to the report of</w:t>
      </w:r>
      <w:r w:rsidR="008B7C44" w:rsidRPr="00397FE5">
        <w:t xml:space="preserve"> the Special Rapporteur on Torture.</w:t>
      </w:r>
      <w:r w:rsidR="002A37A9" w:rsidRPr="00397FE5">
        <w:t xml:space="preserve"> The content of this submission is based on information obtained by CHREAA, IRLI and</w:t>
      </w:r>
      <w:r w:rsidR="002A37A9" w:rsidRPr="00C70963">
        <w:t xml:space="preserve"> Reprieve in the course of their work.</w:t>
      </w:r>
    </w:p>
    <w:p w14:paraId="33E46B39" w14:textId="77777777" w:rsidR="005D6241" w:rsidRPr="00C70963" w:rsidRDefault="005D6241" w:rsidP="00506C6B">
      <w:pPr>
        <w:spacing w:after="0"/>
      </w:pPr>
    </w:p>
    <w:p w14:paraId="68643324" w14:textId="2CF959CA" w:rsidR="009763B4" w:rsidRPr="004B2BA4" w:rsidRDefault="00A13B8D" w:rsidP="004B2BA4">
      <w:pPr>
        <w:pStyle w:val="ListParagraph"/>
        <w:numPr>
          <w:ilvl w:val="0"/>
          <w:numId w:val="7"/>
        </w:numPr>
        <w:rPr>
          <w:b/>
          <w:bCs/>
        </w:rPr>
      </w:pPr>
      <w:r w:rsidRPr="00C70963">
        <w:rPr>
          <w:b/>
          <w:bCs/>
        </w:rPr>
        <w:t>Questionnaire</w:t>
      </w:r>
    </w:p>
    <w:p w14:paraId="5350650F" w14:textId="7CB48B5A" w:rsidR="009763B4" w:rsidRPr="00C70963" w:rsidRDefault="00D879EF" w:rsidP="00D879EF">
      <w:pPr>
        <w:pStyle w:val="ListParagraph"/>
        <w:numPr>
          <w:ilvl w:val="1"/>
          <w:numId w:val="7"/>
        </w:numPr>
        <w:jc w:val="both"/>
        <w:rPr>
          <w:b/>
          <w:bCs/>
        </w:rPr>
      </w:pPr>
      <w:r w:rsidRPr="00C70963">
        <w:rPr>
          <w:b/>
          <w:bCs/>
        </w:rPr>
        <w:t>Challenges, impediments and obstacles to effective national investigations and prosecution of acts of torture</w:t>
      </w:r>
    </w:p>
    <w:p w14:paraId="10495058" w14:textId="77777777" w:rsidR="00852FDC" w:rsidRPr="00C70963" w:rsidRDefault="00FE021F" w:rsidP="00852FDC">
      <w:pPr>
        <w:pStyle w:val="ListParagraph"/>
        <w:numPr>
          <w:ilvl w:val="2"/>
          <w:numId w:val="7"/>
        </w:numPr>
        <w:jc w:val="both"/>
        <w:rPr>
          <w:b/>
          <w:bCs/>
        </w:rPr>
      </w:pPr>
      <w:r w:rsidRPr="00C70963">
        <w:rPr>
          <w:b/>
          <w:bCs/>
        </w:rPr>
        <w:t xml:space="preserve">Permissive </w:t>
      </w:r>
      <w:r w:rsidR="00EE44C4" w:rsidRPr="00C70963">
        <w:rPr>
          <w:b/>
          <w:bCs/>
        </w:rPr>
        <w:t>Use of Forced Confessions</w:t>
      </w:r>
    </w:p>
    <w:p w14:paraId="10723CD9" w14:textId="2C33C69F" w:rsidR="001177D5" w:rsidRPr="00C70963" w:rsidRDefault="001177D5" w:rsidP="00391668">
      <w:pPr>
        <w:pStyle w:val="ListParagraph"/>
        <w:numPr>
          <w:ilvl w:val="3"/>
          <w:numId w:val="7"/>
        </w:numPr>
        <w:jc w:val="both"/>
        <w:rPr>
          <w:rFonts w:cstheme="minorHAnsi"/>
        </w:rPr>
      </w:pPr>
      <w:r w:rsidRPr="00C70963">
        <w:t xml:space="preserve">Malawi is one of few countries in the world that still retains a permissive legal framework with regards to forced confessions. </w:t>
      </w:r>
      <w:r w:rsidR="00444FA6" w:rsidRPr="00C70963">
        <w:t xml:space="preserve">While the Constitution </w:t>
      </w:r>
      <w:r w:rsidR="0011627F" w:rsidRPr="00C70963">
        <w:t xml:space="preserve">(Annex A) </w:t>
      </w:r>
      <w:r w:rsidR="00444FA6" w:rsidRPr="00C70963">
        <w:t>p</w:t>
      </w:r>
      <w:r w:rsidR="000979D4" w:rsidRPr="00C70963">
        <w:t>rotects</w:t>
      </w:r>
      <w:r w:rsidR="001B2AF9" w:rsidRPr="00C70963">
        <w:t xml:space="preserve"> the right “not to be compelled to make a confession . . . which could be used in evidence against him or her,” the Criminal Procedure and Evidence Code </w:t>
      </w:r>
      <w:r w:rsidR="00813D3B">
        <w:t xml:space="preserve">(CP&amp;EC) </w:t>
      </w:r>
      <w:r w:rsidR="00DB7C76" w:rsidRPr="00C70963">
        <w:t xml:space="preserve">(Annex B) </w:t>
      </w:r>
      <w:r w:rsidR="001B2AF9" w:rsidRPr="00C70963">
        <w:t xml:space="preserve">does not expressly prohibit the use of </w:t>
      </w:r>
      <w:r w:rsidR="00C91155" w:rsidRPr="00C70963">
        <w:t>forced confessions.</w:t>
      </w:r>
      <w:r w:rsidR="00C91155" w:rsidRPr="00C70963">
        <w:rPr>
          <w:rStyle w:val="FootnoteReference"/>
        </w:rPr>
        <w:footnoteReference w:id="2"/>
      </w:r>
      <w:r w:rsidR="00852FDC" w:rsidRPr="00C70963">
        <w:t xml:space="preserve"> </w:t>
      </w:r>
      <w:r w:rsidRPr="00C70963">
        <w:rPr>
          <w:rFonts w:cstheme="minorHAnsi"/>
        </w:rPr>
        <w:t xml:space="preserve">Section 176(1), as read with subsection (3), creates a conducive environment for law enforcement to resort to torture when conducting criminal interrogations. </w:t>
      </w:r>
    </w:p>
    <w:p w14:paraId="59CB5685" w14:textId="77777777" w:rsidR="00297220" w:rsidRPr="00C70963" w:rsidRDefault="00297220" w:rsidP="00297220">
      <w:pPr>
        <w:pStyle w:val="ListParagraph"/>
        <w:numPr>
          <w:ilvl w:val="3"/>
          <w:numId w:val="7"/>
        </w:numPr>
        <w:jc w:val="both"/>
        <w:rPr>
          <w:b/>
          <w:bCs/>
        </w:rPr>
      </w:pPr>
      <w:r w:rsidRPr="00C70963">
        <w:rPr>
          <w:b/>
          <w:bCs/>
        </w:rPr>
        <w:t>Jurisprudence on Section 176</w:t>
      </w:r>
    </w:p>
    <w:p w14:paraId="68C31357" w14:textId="20959A81" w:rsidR="00297220" w:rsidRPr="00C70963" w:rsidRDefault="00297220" w:rsidP="00297220">
      <w:pPr>
        <w:pStyle w:val="ListParagraph"/>
        <w:numPr>
          <w:ilvl w:val="4"/>
          <w:numId w:val="7"/>
        </w:numPr>
      </w:pPr>
      <w:r w:rsidRPr="00C70963">
        <w:t>Various High Court judgements have interpreted the application of section 176 differently, and the case law on this provision is inconsistent and contradictory.</w:t>
      </w:r>
      <w:r w:rsidR="0037389B" w:rsidRPr="00C70963">
        <w:rPr>
          <w:rStyle w:val="FootnoteReference"/>
        </w:rPr>
        <w:footnoteReference w:id="3"/>
      </w:r>
    </w:p>
    <w:p w14:paraId="42C0B709" w14:textId="16A5DD76" w:rsidR="00297220" w:rsidRPr="00C70963" w:rsidRDefault="00297220" w:rsidP="00297220">
      <w:pPr>
        <w:pStyle w:val="ListParagraph"/>
        <w:numPr>
          <w:ilvl w:val="4"/>
          <w:numId w:val="7"/>
        </w:numPr>
      </w:pPr>
      <w:r w:rsidRPr="00C70963">
        <w:t>Most High Court judgments, however, adhere to the dicta of the Supreme Court</w:t>
      </w:r>
      <w:r w:rsidR="001622A0" w:rsidRPr="00C70963">
        <w:t xml:space="preserve"> </w:t>
      </w:r>
      <w:r w:rsidRPr="00C70963">
        <w:t xml:space="preserve">in the Judgement of </w:t>
      </w:r>
      <w:r w:rsidRPr="00C70963">
        <w:rPr>
          <w:i/>
          <w:iCs/>
        </w:rPr>
        <w:t xml:space="preserve">Thomson </w:t>
      </w:r>
      <w:proofErr w:type="spellStart"/>
      <w:r w:rsidRPr="00C70963">
        <w:rPr>
          <w:i/>
          <w:iCs/>
        </w:rPr>
        <w:t>Fulaye</w:t>
      </w:r>
      <w:proofErr w:type="spellEnd"/>
      <w:r w:rsidRPr="00C70963">
        <w:rPr>
          <w:i/>
          <w:iCs/>
        </w:rPr>
        <w:t xml:space="preserve"> </w:t>
      </w:r>
      <w:proofErr w:type="spellStart"/>
      <w:r w:rsidRPr="00C70963">
        <w:rPr>
          <w:i/>
          <w:iCs/>
        </w:rPr>
        <w:t>Bokhobokho</w:t>
      </w:r>
      <w:proofErr w:type="spellEnd"/>
      <w:r w:rsidRPr="00C70963">
        <w:rPr>
          <w:i/>
          <w:iCs/>
        </w:rPr>
        <w:t xml:space="preserve"> and Another v The Republic</w:t>
      </w:r>
      <w:r w:rsidRPr="00C70963">
        <w:t xml:space="preserve"> (Criminal Appeal No. 10 of 2000) [2001] MWSC 5 (17 October 2001)</w:t>
      </w:r>
      <w:r w:rsidR="00DB7C76" w:rsidRPr="00C70963">
        <w:t xml:space="preserve"> (Annex C)</w:t>
      </w:r>
      <w:r w:rsidR="001622A0" w:rsidRPr="00C70963">
        <w:t xml:space="preserve">, where </w:t>
      </w:r>
      <w:r w:rsidR="007B7154" w:rsidRPr="00C70963">
        <w:t>the Court ruled that a forced confession is admissible</w:t>
      </w:r>
      <w:r w:rsidR="00BC7D32" w:rsidRPr="00C70963">
        <w:t xml:space="preserve"> and c</w:t>
      </w:r>
      <w:r w:rsidR="00403054" w:rsidRPr="00C70963">
        <w:t xml:space="preserve">an be given weight if there is corroborating evidence to find that the confession is </w:t>
      </w:r>
      <w:r w:rsidRPr="00C70963">
        <w:t xml:space="preserve">“materially true”. </w:t>
      </w:r>
    </w:p>
    <w:p w14:paraId="2FEC07A5" w14:textId="2AE204E0" w:rsidR="00297220" w:rsidRPr="00C70963" w:rsidRDefault="00297220" w:rsidP="00297220">
      <w:pPr>
        <w:pStyle w:val="ListParagraph"/>
        <w:numPr>
          <w:ilvl w:val="4"/>
          <w:numId w:val="7"/>
        </w:numPr>
      </w:pPr>
      <w:r w:rsidRPr="00C70963">
        <w:t xml:space="preserve">Courts have admitted torture-tainted evidence, nearly all of which included forced confessions, in every recent capital case in which a death sentence was handed down. </w:t>
      </w:r>
      <w:r w:rsidR="00CE0663" w:rsidRPr="00C70963">
        <w:t>Often,</w:t>
      </w:r>
      <w:r w:rsidRPr="00C70963">
        <w:t xml:space="preserve"> no investigation is carried out into whether torture or ill-treatment </w:t>
      </w:r>
      <w:proofErr w:type="gramStart"/>
      <w:r w:rsidRPr="00C70963">
        <w:t>actually occurred</w:t>
      </w:r>
      <w:proofErr w:type="gramEnd"/>
      <w:r w:rsidRPr="00C70963">
        <w:t xml:space="preserve">. Furthermore, </w:t>
      </w:r>
      <w:r w:rsidR="00C61A7A" w:rsidRPr="00C70963">
        <w:t>courts rarely require</w:t>
      </w:r>
      <w:r w:rsidRPr="00C70963">
        <w:t xml:space="preserve"> corroborating evidence to prove </w:t>
      </w:r>
      <w:r w:rsidR="00C61A7A" w:rsidRPr="00C70963">
        <w:t xml:space="preserve">that </w:t>
      </w:r>
      <w:r w:rsidRPr="00C70963">
        <w:t xml:space="preserve">the confession </w:t>
      </w:r>
      <w:r w:rsidR="00C61A7A" w:rsidRPr="00C70963">
        <w:t>is</w:t>
      </w:r>
      <w:r w:rsidRPr="00C70963">
        <w:t xml:space="preserve"> “materially true”. </w:t>
      </w:r>
    </w:p>
    <w:p w14:paraId="166A91F9" w14:textId="655EA61E" w:rsidR="00FE021F" w:rsidRPr="00C70963" w:rsidRDefault="00984F00" w:rsidP="00B35BB4">
      <w:pPr>
        <w:pStyle w:val="ListParagraph"/>
        <w:keepNext/>
        <w:numPr>
          <w:ilvl w:val="2"/>
          <w:numId w:val="7"/>
        </w:numPr>
        <w:ind w:left="2174" w:hanging="187"/>
        <w:jc w:val="both"/>
        <w:rPr>
          <w:b/>
          <w:bCs/>
        </w:rPr>
      </w:pPr>
      <w:r w:rsidRPr="00C70963">
        <w:rPr>
          <w:b/>
          <w:bCs/>
        </w:rPr>
        <w:lastRenderedPageBreak/>
        <w:t>Torture Is Not Criminali</w:t>
      </w:r>
      <w:r w:rsidR="00C70963" w:rsidRPr="00C70963">
        <w:rPr>
          <w:b/>
          <w:bCs/>
        </w:rPr>
        <w:t>s</w:t>
      </w:r>
      <w:r w:rsidRPr="00C70963">
        <w:rPr>
          <w:b/>
          <w:bCs/>
        </w:rPr>
        <w:t>ed</w:t>
      </w:r>
    </w:p>
    <w:p w14:paraId="5D471E7A" w14:textId="66B0D708" w:rsidR="00984F00" w:rsidRPr="00C70963" w:rsidRDefault="00D92B52" w:rsidP="00984F00">
      <w:pPr>
        <w:pStyle w:val="ListParagraph"/>
        <w:numPr>
          <w:ilvl w:val="3"/>
          <w:numId w:val="7"/>
        </w:numPr>
        <w:jc w:val="both"/>
      </w:pPr>
      <w:r w:rsidRPr="00C70963">
        <w:t xml:space="preserve">While the prohibition of torture is included in the Constitution, </w:t>
      </w:r>
      <w:proofErr w:type="gramStart"/>
      <w:r w:rsidRPr="00C70963">
        <w:t>torture</w:t>
      </w:r>
      <w:proofErr w:type="gramEnd"/>
      <w:r w:rsidRPr="00C70963">
        <w:t xml:space="preserve"> </w:t>
      </w:r>
      <w:r w:rsidRPr="00C70963">
        <w:rPr>
          <w:rFonts w:cstheme="minorHAnsi"/>
        </w:rPr>
        <w:t xml:space="preserve">and other forms of cruel, inhuman or degrading treatment or punishment is not </w:t>
      </w:r>
      <w:r w:rsidR="00C70963" w:rsidRPr="00C70963">
        <w:rPr>
          <w:rFonts w:cstheme="minorHAnsi"/>
        </w:rPr>
        <w:t>criminalised</w:t>
      </w:r>
      <w:r w:rsidRPr="00C70963">
        <w:rPr>
          <w:rFonts w:cstheme="minorHAnsi"/>
        </w:rPr>
        <w:t xml:space="preserve"> in the </w:t>
      </w:r>
      <w:r w:rsidR="008A358E" w:rsidRPr="00C70963">
        <w:rPr>
          <w:rFonts w:cstheme="minorHAnsi"/>
        </w:rPr>
        <w:t>Penal Code (Annex D)</w:t>
      </w:r>
      <w:r w:rsidRPr="00C70963">
        <w:rPr>
          <w:rFonts w:cstheme="minorHAnsi"/>
        </w:rPr>
        <w:t xml:space="preserve">. See section </w:t>
      </w:r>
      <w:proofErr w:type="spellStart"/>
      <w:r w:rsidR="0039775D" w:rsidRPr="00C70963">
        <w:rPr>
          <w:rFonts w:cstheme="minorHAnsi"/>
        </w:rPr>
        <w:t>b</w:t>
      </w:r>
      <w:r w:rsidR="00E944F5" w:rsidRPr="00C70963">
        <w:rPr>
          <w:rFonts w:cstheme="minorHAnsi"/>
        </w:rPr>
        <w:t>.i</w:t>
      </w:r>
      <w:proofErr w:type="spellEnd"/>
      <w:r w:rsidR="00E944F5" w:rsidRPr="00C70963">
        <w:rPr>
          <w:rFonts w:cstheme="minorHAnsi"/>
        </w:rPr>
        <w:t>, “Constitutional and Legal Frameworks”.</w:t>
      </w:r>
    </w:p>
    <w:p w14:paraId="55BDB9A8" w14:textId="77777777" w:rsidR="00E944F5" w:rsidRPr="00C70963" w:rsidRDefault="00E944F5" w:rsidP="00FE021F">
      <w:pPr>
        <w:pStyle w:val="ListParagraph"/>
        <w:numPr>
          <w:ilvl w:val="2"/>
          <w:numId w:val="7"/>
        </w:numPr>
        <w:jc w:val="both"/>
        <w:rPr>
          <w:b/>
          <w:bCs/>
        </w:rPr>
      </w:pPr>
      <w:r w:rsidRPr="00C70963">
        <w:rPr>
          <w:b/>
          <w:bCs/>
        </w:rPr>
        <w:t>Investigation Mechanisms are Underfunded</w:t>
      </w:r>
    </w:p>
    <w:p w14:paraId="58A5AFCE" w14:textId="40665AEE" w:rsidR="004D2E45" w:rsidRPr="00C70963" w:rsidRDefault="00FA2E85" w:rsidP="00FA2E85">
      <w:pPr>
        <w:pStyle w:val="ListParagraph"/>
        <w:numPr>
          <w:ilvl w:val="3"/>
          <w:numId w:val="7"/>
        </w:numPr>
        <w:jc w:val="both"/>
      </w:pPr>
      <w:r w:rsidRPr="00C70963">
        <w:t>Various independent institutions have the power to investigate human rights violations and torture by police and prison officials. However, these institutions are severely underfunded and do not have the resources to conduct prompt and effective investigations</w:t>
      </w:r>
      <w:r w:rsidR="00685A8F" w:rsidRPr="00C70963">
        <w:t xml:space="preserve">. </w:t>
      </w:r>
      <w:r w:rsidR="00F75DE3" w:rsidRPr="00C70963">
        <w:t xml:space="preserve">Furthermore, there are no constitutional or statutory </w:t>
      </w:r>
      <w:r w:rsidR="008A4EA0" w:rsidRPr="00C70963">
        <w:t>requirements to conduct prompt investigations</w:t>
      </w:r>
      <w:r w:rsidR="00C216CC" w:rsidRPr="00C70963">
        <w:t xml:space="preserve"> or to protect most victims of torture inflicted by police or prison officials</w:t>
      </w:r>
      <w:r w:rsidR="00EE7100" w:rsidRPr="00C70963">
        <w:t xml:space="preserve">. </w:t>
      </w:r>
      <w:r w:rsidR="00685A8F" w:rsidRPr="00C70963">
        <w:t xml:space="preserve">See section </w:t>
      </w:r>
      <w:r w:rsidR="0039775D" w:rsidRPr="00C70963">
        <w:t>d</w:t>
      </w:r>
      <w:r w:rsidR="00AE13CA" w:rsidRPr="00C70963">
        <w:t xml:space="preserve"> </w:t>
      </w:r>
      <w:r w:rsidR="008A4EA0" w:rsidRPr="00C70963">
        <w:t>on investigation mechanisms</w:t>
      </w:r>
      <w:r w:rsidR="00AE13CA" w:rsidRPr="00C70963">
        <w:t>.</w:t>
      </w:r>
      <w:r w:rsidR="00685A8F" w:rsidRPr="00C70963">
        <w:t xml:space="preserve"> </w:t>
      </w:r>
    </w:p>
    <w:p w14:paraId="5F2011CC" w14:textId="3552FA8D" w:rsidR="003249EA" w:rsidRPr="00C70963" w:rsidRDefault="003249EA" w:rsidP="003249EA">
      <w:pPr>
        <w:pStyle w:val="ListParagraph"/>
        <w:numPr>
          <w:ilvl w:val="1"/>
          <w:numId w:val="7"/>
        </w:numPr>
        <w:jc w:val="both"/>
        <w:rPr>
          <w:b/>
          <w:bCs/>
        </w:rPr>
      </w:pPr>
      <w:r w:rsidRPr="00C70963">
        <w:rPr>
          <w:b/>
          <w:bCs/>
        </w:rPr>
        <w:t>Regulatory frameworks</w:t>
      </w:r>
    </w:p>
    <w:p w14:paraId="771B11BA" w14:textId="5E3A3906" w:rsidR="001077C5" w:rsidRPr="00C70963" w:rsidRDefault="009E43EF" w:rsidP="000662A9">
      <w:pPr>
        <w:pStyle w:val="ListParagraph"/>
        <w:numPr>
          <w:ilvl w:val="2"/>
          <w:numId w:val="7"/>
        </w:numPr>
        <w:rPr>
          <w:rFonts w:cstheme="minorHAnsi"/>
          <w:b/>
          <w:bCs/>
        </w:rPr>
      </w:pPr>
      <w:r w:rsidRPr="00C70963">
        <w:rPr>
          <w:rFonts w:cstheme="minorHAnsi"/>
          <w:b/>
          <w:bCs/>
        </w:rPr>
        <w:t>Constitutional and Legal Frameworks</w:t>
      </w:r>
    </w:p>
    <w:p w14:paraId="0CE58D06" w14:textId="7321DE2B" w:rsidR="00450C5B" w:rsidRPr="00C70963" w:rsidRDefault="002E7FEA" w:rsidP="00450C5B">
      <w:pPr>
        <w:pStyle w:val="ListParagraph"/>
        <w:numPr>
          <w:ilvl w:val="3"/>
          <w:numId w:val="7"/>
        </w:numPr>
        <w:rPr>
          <w:rFonts w:cstheme="minorHAnsi"/>
        </w:rPr>
      </w:pPr>
      <w:r w:rsidRPr="00C70963">
        <w:rPr>
          <w:rFonts w:cstheme="minorHAnsi"/>
        </w:rPr>
        <w:t xml:space="preserve">The </w:t>
      </w:r>
      <w:r w:rsidR="00043D18" w:rsidRPr="00C70963">
        <w:rPr>
          <w:rFonts w:cstheme="minorHAnsi"/>
        </w:rPr>
        <w:t xml:space="preserve">prohibition </w:t>
      </w:r>
      <w:r w:rsidR="00F7406D" w:rsidRPr="00C70963">
        <w:rPr>
          <w:rFonts w:cstheme="minorHAnsi"/>
        </w:rPr>
        <w:t xml:space="preserve">of torture is included in the </w:t>
      </w:r>
      <w:r w:rsidRPr="00C70963">
        <w:rPr>
          <w:rFonts w:cstheme="minorHAnsi"/>
        </w:rPr>
        <w:t>Constitution of Malawi</w:t>
      </w:r>
      <w:r w:rsidR="00F7406D" w:rsidRPr="00C70963">
        <w:rPr>
          <w:rFonts w:cstheme="minorHAnsi"/>
        </w:rPr>
        <w:t>.</w:t>
      </w:r>
      <w:r w:rsidR="00F7406D" w:rsidRPr="00C70963">
        <w:rPr>
          <w:rStyle w:val="FootnoteReference"/>
          <w:rFonts w:asciiTheme="minorHAnsi" w:hAnsiTheme="minorHAnsi" w:cstheme="minorHAnsi"/>
        </w:rPr>
        <w:t xml:space="preserve"> </w:t>
      </w:r>
      <w:r w:rsidR="00F7406D" w:rsidRPr="00C70963">
        <w:rPr>
          <w:rStyle w:val="FootnoteReference"/>
          <w:rFonts w:asciiTheme="minorHAnsi" w:hAnsiTheme="minorHAnsi" w:cstheme="minorHAnsi"/>
        </w:rPr>
        <w:footnoteReference w:id="4"/>
      </w:r>
      <w:r w:rsidR="00F7406D" w:rsidRPr="00C70963">
        <w:rPr>
          <w:rFonts w:cstheme="minorHAnsi"/>
        </w:rPr>
        <w:t xml:space="preserve"> However,</w:t>
      </w:r>
      <w:r w:rsidRPr="00C70963">
        <w:rPr>
          <w:rFonts w:cstheme="minorHAnsi"/>
        </w:rPr>
        <w:t xml:space="preserve"> </w:t>
      </w:r>
      <w:r w:rsidR="00122AAA" w:rsidRPr="00C70963">
        <w:rPr>
          <w:rFonts w:cstheme="minorHAnsi"/>
        </w:rPr>
        <w:t xml:space="preserve">torture and other </w:t>
      </w:r>
      <w:r w:rsidR="00B62DAE" w:rsidRPr="00C70963">
        <w:rPr>
          <w:rFonts w:cstheme="minorHAnsi"/>
        </w:rPr>
        <w:t xml:space="preserve">forms of </w:t>
      </w:r>
      <w:r w:rsidR="00122AAA" w:rsidRPr="00C70963">
        <w:rPr>
          <w:rFonts w:cstheme="minorHAnsi"/>
        </w:rPr>
        <w:t xml:space="preserve">cruel, </w:t>
      </w:r>
      <w:proofErr w:type="gramStart"/>
      <w:r w:rsidR="00122AAA" w:rsidRPr="00C70963">
        <w:rPr>
          <w:rFonts w:cstheme="minorHAnsi"/>
        </w:rPr>
        <w:t>inhuman</w:t>
      </w:r>
      <w:proofErr w:type="gramEnd"/>
      <w:r w:rsidR="00122AAA" w:rsidRPr="00C70963">
        <w:rPr>
          <w:rFonts w:cstheme="minorHAnsi"/>
        </w:rPr>
        <w:t xml:space="preserve"> or degrading treatment or punishment is not criminali</w:t>
      </w:r>
      <w:r w:rsidR="00C70963" w:rsidRPr="00C70963">
        <w:rPr>
          <w:rFonts w:cstheme="minorHAnsi"/>
        </w:rPr>
        <w:t>s</w:t>
      </w:r>
      <w:r w:rsidR="00122AAA" w:rsidRPr="00C70963">
        <w:rPr>
          <w:rFonts w:cstheme="minorHAnsi"/>
        </w:rPr>
        <w:t xml:space="preserve">ed </w:t>
      </w:r>
      <w:r w:rsidR="00E245A1" w:rsidRPr="00C70963">
        <w:rPr>
          <w:rFonts w:cstheme="minorHAnsi"/>
        </w:rPr>
        <w:t xml:space="preserve">in the penal code. </w:t>
      </w:r>
    </w:p>
    <w:p w14:paraId="072CA4C0" w14:textId="3EAEBD4B" w:rsidR="008B6110" w:rsidRPr="00C70963" w:rsidRDefault="0007139B" w:rsidP="00450C5B">
      <w:pPr>
        <w:pStyle w:val="ListParagraph"/>
        <w:numPr>
          <w:ilvl w:val="3"/>
          <w:numId w:val="7"/>
        </w:numPr>
        <w:rPr>
          <w:rFonts w:cstheme="minorHAnsi"/>
        </w:rPr>
      </w:pPr>
      <w:r w:rsidRPr="00C70963">
        <w:rPr>
          <w:rFonts w:cstheme="minorHAnsi"/>
        </w:rPr>
        <w:t>The</w:t>
      </w:r>
      <w:r w:rsidR="008B6110" w:rsidRPr="00C70963">
        <w:rPr>
          <w:rFonts w:cstheme="minorHAnsi"/>
        </w:rPr>
        <w:t xml:space="preserve"> </w:t>
      </w:r>
      <w:r w:rsidRPr="00C70963">
        <w:rPr>
          <w:rFonts w:cstheme="minorHAnsi"/>
        </w:rPr>
        <w:t>Penal Code</w:t>
      </w:r>
      <w:r w:rsidR="008B6110" w:rsidRPr="00C70963">
        <w:rPr>
          <w:rFonts w:cstheme="minorHAnsi"/>
        </w:rPr>
        <w:t xml:space="preserve"> </w:t>
      </w:r>
      <w:r w:rsidR="00C70963" w:rsidRPr="00C70963">
        <w:rPr>
          <w:rFonts w:cstheme="minorHAnsi"/>
        </w:rPr>
        <w:t>criminalises</w:t>
      </w:r>
      <w:r w:rsidR="008B6110" w:rsidRPr="00C70963">
        <w:rPr>
          <w:rFonts w:cstheme="minorHAnsi"/>
        </w:rPr>
        <w:t xml:space="preserve"> only acts that </w:t>
      </w:r>
      <w:r w:rsidR="00450C5B" w:rsidRPr="00C70963">
        <w:rPr>
          <w:rFonts w:cstheme="minorHAnsi"/>
        </w:rPr>
        <w:t>affect</w:t>
      </w:r>
      <w:r w:rsidR="008B6110" w:rsidRPr="00C70963">
        <w:rPr>
          <w:rFonts w:cstheme="minorHAnsi"/>
        </w:rPr>
        <w:t xml:space="preserve"> the bodily integrity of another person</w:t>
      </w:r>
      <w:r w:rsidR="004D68B0">
        <w:rPr>
          <w:rFonts w:cstheme="minorHAnsi"/>
        </w:rPr>
        <w:t xml:space="preserve"> and</w:t>
      </w:r>
      <w:r w:rsidR="008B6110" w:rsidRPr="00C70963">
        <w:rPr>
          <w:rFonts w:cstheme="minorHAnsi"/>
        </w:rPr>
        <w:t xml:space="preserve"> </w:t>
      </w:r>
      <w:r w:rsidR="00450C5B" w:rsidRPr="00C70963">
        <w:rPr>
          <w:rFonts w:cstheme="minorHAnsi"/>
        </w:rPr>
        <w:t>does not criminalise psychological</w:t>
      </w:r>
      <w:r w:rsidR="008B6110" w:rsidRPr="00C70963">
        <w:rPr>
          <w:rFonts w:cstheme="minorHAnsi"/>
        </w:rPr>
        <w:t xml:space="preserve"> </w:t>
      </w:r>
      <w:r w:rsidR="00450C5B" w:rsidRPr="00C70963">
        <w:rPr>
          <w:rFonts w:cstheme="minorHAnsi"/>
        </w:rPr>
        <w:t xml:space="preserve">or mental </w:t>
      </w:r>
      <w:r w:rsidR="008B6110" w:rsidRPr="00C70963">
        <w:rPr>
          <w:rFonts w:cstheme="minorHAnsi"/>
        </w:rPr>
        <w:t xml:space="preserve">torture. </w:t>
      </w:r>
    </w:p>
    <w:p w14:paraId="56B91551" w14:textId="0E8D785E" w:rsidR="008B6110" w:rsidRPr="00C70963" w:rsidRDefault="008B6110" w:rsidP="008B6110">
      <w:pPr>
        <w:pStyle w:val="ListParagraph"/>
        <w:numPr>
          <w:ilvl w:val="3"/>
          <w:numId w:val="7"/>
        </w:numPr>
        <w:jc w:val="both"/>
        <w:rPr>
          <w:rFonts w:asciiTheme="minorHAnsi" w:hAnsiTheme="minorHAnsi" w:cstheme="minorHAnsi"/>
        </w:rPr>
      </w:pPr>
      <w:r w:rsidRPr="00C70963">
        <w:rPr>
          <w:rFonts w:asciiTheme="minorHAnsi" w:hAnsiTheme="minorHAnsi" w:cstheme="minorHAnsi"/>
        </w:rPr>
        <w:t xml:space="preserve">Furthermore, the penal offences, having been designed to criminalise conduct between private individuals, are less likely to capture the essential elements of the crime of torture, which among other things require that the infliction of pain must be for specific purposes delimited by article 1 of the </w:t>
      </w:r>
      <w:r w:rsidR="003A07D3" w:rsidRPr="00C70963">
        <w:rPr>
          <w:rFonts w:asciiTheme="minorHAnsi" w:hAnsiTheme="minorHAnsi" w:cstheme="minorHAnsi"/>
        </w:rPr>
        <w:t>UN Convention against Torture and Other Cruel, Inhuman or Degrading Treatment or Punishment (</w:t>
      </w:r>
      <w:r w:rsidRPr="00C70963">
        <w:rPr>
          <w:rFonts w:asciiTheme="minorHAnsi" w:hAnsiTheme="minorHAnsi" w:cstheme="minorHAnsi"/>
        </w:rPr>
        <w:t>CAT</w:t>
      </w:r>
      <w:r w:rsidR="003A07D3" w:rsidRPr="00C70963">
        <w:rPr>
          <w:rFonts w:asciiTheme="minorHAnsi" w:hAnsiTheme="minorHAnsi" w:cstheme="minorHAnsi"/>
        </w:rPr>
        <w:t>)</w:t>
      </w:r>
      <w:r w:rsidRPr="00C70963">
        <w:rPr>
          <w:rFonts w:asciiTheme="minorHAnsi" w:hAnsiTheme="minorHAnsi" w:cstheme="minorHAnsi"/>
        </w:rPr>
        <w:t xml:space="preserve">. </w:t>
      </w:r>
    </w:p>
    <w:p w14:paraId="11DE6D9C" w14:textId="47D2C75B" w:rsidR="008B6110" w:rsidRPr="00C70963" w:rsidRDefault="008B6110" w:rsidP="008B6110">
      <w:pPr>
        <w:pStyle w:val="ListParagraph"/>
        <w:numPr>
          <w:ilvl w:val="3"/>
          <w:numId w:val="7"/>
        </w:numPr>
        <w:jc w:val="both"/>
        <w:rPr>
          <w:rFonts w:asciiTheme="minorHAnsi" w:hAnsiTheme="minorHAnsi" w:cstheme="minorHAnsi"/>
        </w:rPr>
      </w:pPr>
      <w:r w:rsidRPr="00C70963">
        <w:rPr>
          <w:rFonts w:asciiTheme="minorHAnsi" w:hAnsiTheme="minorHAnsi" w:cstheme="minorHAnsi"/>
        </w:rPr>
        <w:t>A further point of concern with relying on the generic penal code</w:t>
      </w:r>
      <w:r w:rsidR="0001563C" w:rsidRPr="00C70963">
        <w:rPr>
          <w:rFonts w:asciiTheme="minorHAnsi" w:hAnsiTheme="minorHAnsi" w:cstheme="minorHAnsi"/>
        </w:rPr>
        <w:t xml:space="preserve"> </w:t>
      </w:r>
      <w:r w:rsidRPr="00C70963">
        <w:rPr>
          <w:rFonts w:asciiTheme="minorHAnsi" w:hAnsiTheme="minorHAnsi" w:cstheme="minorHAnsi"/>
        </w:rPr>
        <w:t xml:space="preserve">is that utilising the current penal offences may lead to the conflation of torture on one hand and cruel, </w:t>
      </w:r>
      <w:proofErr w:type="gramStart"/>
      <w:r w:rsidRPr="00C70963">
        <w:rPr>
          <w:rFonts w:asciiTheme="minorHAnsi" w:hAnsiTheme="minorHAnsi" w:cstheme="minorHAnsi"/>
        </w:rPr>
        <w:t>inhuman</w:t>
      </w:r>
      <w:proofErr w:type="gramEnd"/>
      <w:r w:rsidRPr="00C70963">
        <w:rPr>
          <w:rFonts w:asciiTheme="minorHAnsi" w:hAnsiTheme="minorHAnsi" w:cstheme="minorHAnsi"/>
        </w:rPr>
        <w:t xml:space="preserve"> or degrading treatment or punishment on the other. </w:t>
      </w:r>
      <w:r w:rsidR="00B30293" w:rsidRPr="00C70963">
        <w:rPr>
          <w:rFonts w:asciiTheme="minorHAnsi" w:hAnsiTheme="minorHAnsi" w:cstheme="minorHAnsi"/>
        </w:rPr>
        <w:t>Currently,</w:t>
      </w:r>
      <w:r w:rsidRPr="00C70963">
        <w:rPr>
          <w:rFonts w:asciiTheme="minorHAnsi" w:hAnsiTheme="minorHAnsi" w:cstheme="minorHAnsi"/>
        </w:rPr>
        <w:t xml:space="preserve"> it is unclear as to which offences under the </w:t>
      </w:r>
      <w:r w:rsidR="004D68B0">
        <w:rPr>
          <w:rFonts w:asciiTheme="minorHAnsi" w:hAnsiTheme="minorHAnsi" w:cstheme="minorHAnsi"/>
        </w:rPr>
        <w:t>Penal Code</w:t>
      </w:r>
      <w:r w:rsidRPr="00C70963">
        <w:rPr>
          <w:rFonts w:asciiTheme="minorHAnsi" w:hAnsiTheme="minorHAnsi" w:cstheme="minorHAnsi"/>
        </w:rPr>
        <w:t xml:space="preserve"> criminalise torture as opposed to cruel, </w:t>
      </w:r>
      <w:proofErr w:type="gramStart"/>
      <w:r w:rsidRPr="00C70963">
        <w:rPr>
          <w:rFonts w:asciiTheme="minorHAnsi" w:hAnsiTheme="minorHAnsi" w:cstheme="minorHAnsi"/>
        </w:rPr>
        <w:t>inhuman</w:t>
      </w:r>
      <w:proofErr w:type="gramEnd"/>
      <w:r w:rsidRPr="00C70963">
        <w:rPr>
          <w:rFonts w:asciiTheme="minorHAnsi" w:hAnsiTheme="minorHAnsi" w:cstheme="minorHAnsi"/>
        </w:rPr>
        <w:t xml:space="preserve"> or degrading treatment or punishment.</w:t>
      </w:r>
    </w:p>
    <w:p w14:paraId="3C3C438B" w14:textId="364D11A0" w:rsidR="00527708" w:rsidRPr="00C70963" w:rsidRDefault="00F61D5A" w:rsidP="001D6719">
      <w:pPr>
        <w:pStyle w:val="ListParagraph"/>
        <w:numPr>
          <w:ilvl w:val="3"/>
          <w:numId w:val="7"/>
        </w:numPr>
        <w:rPr>
          <w:rFonts w:cstheme="minorHAnsi"/>
        </w:rPr>
      </w:pPr>
      <w:r w:rsidRPr="00C70963">
        <w:t>Similarly,</w:t>
      </w:r>
      <w:r w:rsidR="001D6719" w:rsidRPr="00C70963">
        <w:t xml:space="preserve"> </w:t>
      </w:r>
      <w:r w:rsidRPr="00C70963">
        <w:t>t</w:t>
      </w:r>
      <w:r w:rsidR="00397257" w:rsidRPr="00C70963">
        <w:t xml:space="preserve">orture and other cruel, </w:t>
      </w:r>
      <w:proofErr w:type="gramStart"/>
      <w:r w:rsidR="00397257" w:rsidRPr="00C70963">
        <w:t>inhuman</w:t>
      </w:r>
      <w:proofErr w:type="gramEnd"/>
      <w:r w:rsidR="00397257" w:rsidRPr="00C70963">
        <w:t xml:space="preserve"> or degrading treatment or punishment i</w:t>
      </w:r>
      <w:r w:rsidRPr="00C70963">
        <w:t>n prisons is not criminali</w:t>
      </w:r>
      <w:r w:rsidR="00C70963" w:rsidRPr="00C70963">
        <w:t>s</w:t>
      </w:r>
      <w:r w:rsidRPr="00C70963">
        <w:t xml:space="preserve">ed. The Prisons Act </w:t>
      </w:r>
      <w:r w:rsidR="00F008D4" w:rsidRPr="00C70963">
        <w:t xml:space="preserve">(Annex </w:t>
      </w:r>
      <w:r w:rsidR="00E06D61" w:rsidRPr="00C70963">
        <w:t xml:space="preserve">E) </w:t>
      </w:r>
      <w:r w:rsidR="00AF69FD" w:rsidRPr="00C70963">
        <w:t xml:space="preserve">prohibits prison officers from </w:t>
      </w:r>
      <w:r w:rsidR="008F1856" w:rsidRPr="00C70963">
        <w:t xml:space="preserve">punishing a prisoner without </w:t>
      </w:r>
      <w:r w:rsidR="00DD0E78" w:rsidRPr="00C70963">
        <w:t xml:space="preserve">a lawful order from the Commissioner of Prisons and further prohibits officers from </w:t>
      </w:r>
      <w:r w:rsidR="00AF69FD" w:rsidRPr="00C70963">
        <w:t xml:space="preserve">using violence </w:t>
      </w:r>
      <w:r w:rsidR="008F1856" w:rsidRPr="00C70963">
        <w:t>or a weapon without just cause</w:t>
      </w:r>
      <w:r w:rsidR="00DD0E78" w:rsidRPr="00C70963">
        <w:t>.</w:t>
      </w:r>
      <w:r w:rsidR="008D1EA9" w:rsidRPr="00C70963">
        <w:rPr>
          <w:rStyle w:val="FootnoteReference"/>
        </w:rPr>
        <w:footnoteReference w:id="5"/>
      </w:r>
      <w:r w:rsidR="00DD0E78" w:rsidRPr="00C70963">
        <w:t xml:space="preserve"> </w:t>
      </w:r>
      <w:r w:rsidR="00561154" w:rsidRPr="00C70963">
        <w:t>Violations</w:t>
      </w:r>
      <w:r w:rsidR="00DD0E78" w:rsidRPr="00C70963">
        <w:t xml:space="preserve"> of the </w:t>
      </w:r>
      <w:proofErr w:type="gramStart"/>
      <w:r w:rsidR="00DD0E78" w:rsidRPr="00C70963">
        <w:t xml:space="preserve">aforementioned </w:t>
      </w:r>
      <w:r w:rsidR="00822BF0" w:rsidRPr="00C70963">
        <w:t>rules</w:t>
      </w:r>
      <w:proofErr w:type="gramEnd"/>
      <w:r w:rsidR="00DD0E78" w:rsidRPr="00C70963">
        <w:t xml:space="preserve"> constitute an offence against discipline </w:t>
      </w:r>
      <w:r w:rsidR="00561154" w:rsidRPr="00C70963">
        <w:t xml:space="preserve">that </w:t>
      </w:r>
      <w:r w:rsidR="008D423F" w:rsidRPr="00C70963">
        <w:t>may be investigated and tried</w:t>
      </w:r>
      <w:r w:rsidR="00DD0E78" w:rsidRPr="00C70963">
        <w:t xml:space="preserve"> by the Commissioner</w:t>
      </w:r>
      <w:r w:rsidR="008D423F" w:rsidRPr="00C70963">
        <w:t xml:space="preserve"> of Prisons</w:t>
      </w:r>
      <w:r w:rsidR="00DD0E78" w:rsidRPr="00C70963">
        <w:t xml:space="preserve"> or a magistrate.</w:t>
      </w:r>
      <w:r w:rsidR="00C952DF" w:rsidRPr="00C70963">
        <w:rPr>
          <w:rStyle w:val="FootnoteReference"/>
        </w:rPr>
        <w:footnoteReference w:id="6"/>
      </w:r>
      <w:r w:rsidR="00822BF0" w:rsidRPr="00C70963">
        <w:t xml:space="preserve"> Victims do not have a statutory right to lodge a complaint or </w:t>
      </w:r>
      <w:r w:rsidR="00D00BBB">
        <w:t xml:space="preserve">to </w:t>
      </w:r>
      <w:r w:rsidR="00822BF0" w:rsidRPr="00C70963">
        <w:t>be consulted</w:t>
      </w:r>
      <w:r w:rsidR="009063EE" w:rsidRPr="00C70963">
        <w:t xml:space="preserve"> during the disciplinary process.</w:t>
      </w:r>
    </w:p>
    <w:p w14:paraId="375FA031" w14:textId="4B62BAA1" w:rsidR="003249EA" w:rsidRPr="009B0C3C" w:rsidRDefault="003249EA" w:rsidP="00962F75">
      <w:pPr>
        <w:pStyle w:val="ListParagraph"/>
        <w:keepNext/>
        <w:numPr>
          <w:ilvl w:val="1"/>
          <w:numId w:val="7"/>
        </w:numPr>
        <w:jc w:val="both"/>
        <w:rPr>
          <w:b/>
          <w:bCs/>
        </w:rPr>
      </w:pPr>
      <w:r w:rsidRPr="009B0C3C">
        <w:rPr>
          <w:b/>
          <w:bCs/>
        </w:rPr>
        <w:lastRenderedPageBreak/>
        <w:t>Elements of human rights-compliant investigations and prosecutions</w:t>
      </w:r>
    </w:p>
    <w:p w14:paraId="121735D6" w14:textId="24336994" w:rsidR="00E70260" w:rsidRPr="00C70963" w:rsidRDefault="00E70260" w:rsidP="001925B0">
      <w:pPr>
        <w:pStyle w:val="ListParagraph"/>
        <w:numPr>
          <w:ilvl w:val="2"/>
          <w:numId w:val="7"/>
        </w:numPr>
      </w:pPr>
      <w:r w:rsidRPr="00C70963">
        <w:t xml:space="preserve">The </w:t>
      </w:r>
      <w:r w:rsidR="0027096B" w:rsidRPr="00C70963">
        <w:t>Malawi Human Rights Commissio</w:t>
      </w:r>
      <w:r w:rsidR="0027096B" w:rsidRPr="00B35BB4">
        <w:t xml:space="preserve">n (MHRC) </w:t>
      </w:r>
      <w:r w:rsidRPr="00B35BB4">
        <w:t>is</w:t>
      </w:r>
      <w:r w:rsidRPr="00C70963">
        <w:t xml:space="preserve"> </w:t>
      </w:r>
      <w:r w:rsidR="00323165" w:rsidRPr="00C70963">
        <w:t xml:space="preserve">an independent national institution </w:t>
      </w:r>
      <w:r w:rsidR="00F035A7" w:rsidRPr="00C70963">
        <w:t>that has the power to investigate violations of human rights.</w:t>
      </w:r>
      <w:r w:rsidR="00F035A7" w:rsidRPr="00C70963">
        <w:rPr>
          <w:rStyle w:val="FootnoteReference"/>
        </w:rPr>
        <w:footnoteReference w:id="7"/>
      </w:r>
      <w:r w:rsidR="00E34F0F" w:rsidRPr="00C70963">
        <w:t xml:space="preserve"> It has the duty to be competent in protecting and promoting human rights.</w:t>
      </w:r>
      <w:r w:rsidR="00E34F0F" w:rsidRPr="00C70963">
        <w:rPr>
          <w:rStyle w:val="FootnoteReference"/>
        </w:rPr>
        <w:footnoteReference w:id="8"/>
      </w:r>
    </w:p>
    <w:p w14:paraId="68430AF1" w14:textId="3725B78B" w:rsidR="00672370" w:rsidRPr="00C70963" w:rsidRDefault="00672370" w:rsidP="00672370">
      <w:pPr>
        <w:pStyle w:val="ListParagraph"/>
        <w:numPr>
          <w:ilvl w:val="2"/>
          <w:numId w:val="7"/>
        </w:numPr>
      </w:pPr>
      <w:r w:rsidRPr="00C70963">
        <w:t xml:space="preserve">The </w:t>
      </w:r>
      <w:r w:rsidR="0027096B" w:rsidRPr="00C70963">
        <w:t>Independent Police Complaints Commission (</w:t>
      </w:r>
      <w:r w:rsidR="0027096B" w:rsidRPr="00B35BB4">
        <w:t>IPCC</w:t>
      </w:r>
      <w:r w:rsidR="0027096B" w:rsidRPr="00C70963">
        <w:t>)</w:t>
      </w:r>
      <w:r w:rsidRPr="00C70963">
        <w:t xml:space="preserve"> has the power to investigate complaints against police officers</w:t>
      </w:r>
      <w:r w:rsidR="00FB32FD" w:rsidRPr="00C70963">
        <w:t>.</w:t>
      </w:r>
      <w:r w:rsidRPr="00C70963">
        <w:rPr>
          <w:rStyle w:val="FootnoteReference"/>
        </w:rPr>
        <w:footnoteReference w:id="9"/>
      </w:r>
      <w:r w:rsidRPr="00C70963">
        <w:t xml:space="preserve"> The IPCC was created as an investigative body that is independent from the Malawi Police Service</w:t>
      </w:r>
      <w:r w:rsidR="00B35BB4">
        <w:t xml:space="preserve"> (MPS)</w:t>
      </w:r>
      <w:r w:rsidRPr="00C70963">
        <w:t>.</w:t>
      </w:r>
      <w:r w:rsidRPr="00C70963">
        <w:rPr>
          <w:rStyle w:val="FootnoteReference"/>
        </w:rPr>
        <w:footnoteReference w:id="10"/>
      </w:r>
    </w:p>
    <w:p w14:paraId="1B74AD24" w14:textId="20E3A023" w:rsidR="00CA57F2" w:rsidRPr="00C70963" w:rsidRDefault="00CA57F2" w:rsidP="001925B0">
      <w:pPr>
        <w:pStyle w:val="ListParagraph"/>
        <w:numPr>
          <w:ilvl w:val="2"/>
          <w:numId w:val="7"/>
        </w:numPr>
      </w:pPr>
      <w:r w:rsidRPr="00C70963">
        <w:t xml:space="preserve">The Inspectorate of Prisons is </w:t>
      </w:r>
      <w:r w:rsidR="00BC3747" w:rsidRPr="00C70963">
        <w:t>charged with monitoring conditions of detention.</w:t>
      </w:r>
      <w:r w:rsidR="00BC3747" w:rsidRPr="00C70963">
        <w:rPr>
          <w:rStyle w:val="FootnoteReference"/>
        </w:rPr>
        <w:footnoteReference w:id="11"/>
      </w:r>
      <w:r w:rsidR="00BC3747" w:rsidRPr="00C70963">
        <w:t xml:space="preserve"> Although the Constitution states that the body shall exercise its powers, functions, and duties independently, members of the Inspectorate include authorities from the Malawi Prisons Service.</w:t>
      </w:r>
      <w:r w:rsidR="00BC3747" w:rsidRPr="00C70963">
        <w:rPr>
          <w:rStyle w:val="FootnoteReference"/>
        </w:rPr>
        <w:footnoteReference w:id="12"/>
      </w:r>
    </w:p>
    <w:p w14:paraId="24429975" w14:textId="442FBE3C" w:rsidR="004369E8" w:rsidRPr="00C70963" w:rsidRDefault="004369E8" w:rsidP="00972205">
      <w:pPr>
        <w:pStyle w:val="ListParagraph"/>
        <w:numPr>
          <w:ilvl w:val="2"/>
          <w:numId w:val="7"/>
        </w:numPr>
      </w:pPr>
      <w:r w:rsidRPr="00C70963">
        <w:t xml:space="preserve">There are no statutory or constitutional guarantees for </w:t>
      </w:r>
      <w:r w:rsidR="004E3247" w:rsidRPr="00C70963">
        <w:t>investigations and prosecutions that are</w:t>
      </w:r>
      <w:r w:rsidRPr="00C70963">
        <w:t xml:space="preserve"> </w:t>
      </w:r>
      <w:r w:rsidR="00FA3BB5" w:rsidRPr="00C70963">
        <w:t xml:space="preserve">prompt, adequate and effective, </w:t>
      </w:r>
      <w:proofErr w:type="gramStart"/>
      <w:r w:rsidR="00C47C69" w:rsidRPr="00C70963">
        <w:t>accessible</w:t>
      </w:r>
      <w:proofErr w:type="gramEnd"/>
      <w:r w:rsidR="00C47C69" w:rsidRPr="00C70963">
        <w:t xml:space="preserve"> and safe, open to public scrutiny and transparent, and secure rights and remedies for victims and survivors.</w:t>
      </w:r>
    </w:p>
    <w:p w14:paraId="2799588C" w14:textId="33A66C82" w:rsidR="003249EA" w:rsidRPr="009B0C3C" w:rsidRDefault="0033531C" w:rsidP="0033531C">
      <w:pPr>
        <w:pStyle w:val="ListParagraph"/>
        <w:numPr>
          <w:ilvl w:val="1"/>
          <w:numId w:val="7"/>
        </w:numPr>
        <w:jc w:val="both"/>
        <w:rPr>
          <w:b/>
          <w:bCs/>
        </w:rPr>
      </w:pPr>
      <w:r w:rsidRPr="009B0C3C">
        <w:rPr>
          <w:b/>
          <w:bCs/>
        </w:rPr>
        <w:t xml:space="preserve">Mechanisms/institutions/entities involved in complaints, </w:t>
      </w:r>
      <w:proofErr w:type="gramStart"/>
      <w:r w:rsidRPr="009B0C3C">
        <w:rPr>
          <w:b/>
          <w:bCs/>
        </w:rPr>
        <w:t>investigations</w:t>
      </w:r>
      <w:proofErr w:type="gramEnd"/>
      <w:r w:rsidRPr="009B0C3C">
        <w:rPr>
          <w:b/>
          <w:bCs/>
        </w:rPr>
        <w:t xml:space="preserve"> and prosecution</w:t>
      </w:r>
    </w:p>
    <w:p w14:paraId="4C61D1B1" w14:textId="77777777" w:rsidR="00972205" w:rsidRPr="00C70963" w:rsidRDefault="00972205" w:rsidP="00972205">
      <w:pPr>
        <w:pStyle w:val="ListParagraph"/>
        <w:numPr>
          <w:ilvl w:val="2"/>
          <w:numId w:val="7"/>
        </w:numPr>
        <w:rPr>
          <w:b/>
          <w:bCs/>
        </w:rPr>
      </w:pPr>
      <w:r w:rsidRPr="00C70963">
        <w:rPr>
          <w:b/>
          <w:bCs/>
        </w:rPr>
        <w:t>MHRC</w:t>
      </w:r>
    </w:p>
    <w:p w14:paraId="5FB657EE" w14:textId="0FC2430B" w:rsidR="00972205" w:rsidRPr="00C70963" w:rsidRDefault="00972205" w:rsidP="00972205">
      <w:pPr>
        <w:pStyle w:val="ListParagraph"/>
        <w:numPr>
          <w:ilvl w:val="3"/>
          <w:numId w:val="7"/>
        </w:numPr>
      </w:pPr>
      <w:r w:rsidRPr="00C70963">
        <w:t xml:space="preserve">The </w:t>
      </w:r>
      <w:r w:rsidR="00202CFD" w:rsidRPr="00C70963">
        <w:t>MHRC,</w:t>
      </w:r>
      <w:r w:rsidRPr="00C70963">
        <w:t xml:space="preserve"> established by section 129 of the Constitution, is an independent body that is empowered to investigate human rights violations.</w:t>
      </w:r>
      <w:r w:rsidRPr="00C70963">
        <w:rPr>
          <w:rStyle w:val="FootnoteReference"/>
        </w:rPr>
        <w:footnoteReference w:id="13"/>
      </w:r>
      <w:r w:rsidRPr="00C70963">
        <w:t xml:space="preserve"> Investigations may be commenced on its own or upon complaints received from individuals, groups, legal practitioners, legal representatives, and </w:t>
      </w:r>
      <w:proofErr w:type="gramStart"/>
      <w:r w:rsidRPr="00C70963">
        <w:t>third-parties</w:t>
      </w:r>
      <w:proofErr w:type="gramEnd"/>
      <w:r w:rsidRPr="00C70963">
        <w:t>.</w:t>
      </w:r>
      <w:r w:rsidRPr="00C70963">
        <w:rPr>
          <w:rStyle w:val="FootnoteReference"/>
        </w:rPr>
        <w:footnoteReference w:id="14"/>
      </w:r>
      <w:r w:rsidRPr="00C70963">
        <w:t xml:space="preserve"> The MHRC may make recommendations to government bodies, but it does not have judicial or legislative powers.</w:t>
      </w:r>
      <w:r w:rsidRPr="00C70963">
        <w:rPr>
          <w:rStyle w:val="FootnoteReference"/>
        </w:rPr>
        <w:footnoteReference w:id="15"/>
      </w:r>
    </w:p>
    <w:p w14:paraId="42DBDDEC" w14:textId="77777777" w:rsidR="00202CFD" w:rsidRPr="00C70963" w:rsidRDefault="00202CFD" w:rsidP="00E82C4D">
      <w:pPr>
        <w:pStyle w:val="ListParagraph"/>
        <w:keepNext/>
        <w:numPr>
          <w:ilvl w:val="2"/>
          <w:numId w:val="7"/>
        </w:numPr>
        <w:ind w:left="2174" w:hanging="187"/>
        <w:rPr>
          <w:b/>
          <w:bCs/>
        </w:rPr>
      </w:pPr>
      <w:r w:rsidRPr="00C70963">
        <w:rPr>
          <w:b/>
          <w:bCs/>
        </w:rPr>
        <w:t>IPCC</w:t>
      </w:r>
    </w:p>
    <w:p w14:paraId="68C10FD3" w14:textId="54929185" w:rsidR="00E52E04" w:rsidRPr="00C70963" w:rsidRDefault="00202CFD" w:rsidP="00202CFD">
      <w:pPr>
        <w:pStyle w:val="ListParagraph"/>
        <w:numPr>
          <w:ilvl w:val="3"/>
          <w:numId w:val="7"/>
        </w:numPr>
      </w:pPr>
      <w:r w:rsidRPr="00C70963">
        <w:t>The IPCC was created by the Police Act</w:t>
      </w:r>
      <w:r w:rsidR="007B6579" w:rsidRPr="00C70963">
        <w:t xml:space="preserve"> </w:t>
      </w:r>
      <w:r w:rsidR="009950A0" w:rsidRPr="00C70963">
        <w:t xml:space="preserve">(Annex G) </w:t>
      </w:r>
      <w:r w:rsidR="007B6579" w:rsidRPr="00C70963">
        <w:t xml:space="preserve">as an investigative body independent from the </w:t>
      </w:r>
      <w:r w:rsidR="00B35BB4">
        <w:t>MPS</w:t>
      </w:r>
      <w:r w:rsidRPr="00C70963">
        <w:t>.</w:t>
      </w:r>
      <w:r w:rsidRPr="00C70963">
        <w:rPr>
          <w:rStyle w:val="FootnoteReference"/>
        </w:rPr>
        <w:footnoteReference w:id="16"/>
      </w:r>
      <w:r w:rsidRPr="00C70963">
        <w:t xml:space="preserve"> </w:t>
      </w:r>
      <w:r w:rsidR="007B6579" w:rsidRPr="00C70963">
        <w:t>The IPCC’s mandate is to: (</w:t>
      </w:r>
      <w:proofErr w:type="spellStart"/>
      <w:r w:rsidR="007B6579" w:rsidRPr="00C70963">
        <w:t>i</w:t>
      </w:r>
      <w:proofErr w:type="spellEnd"/>
      <w:r w:rsidR="007B6579" w:rsidRPr="00C70963">
        <w:t xml:space="preserve">) receive complaints by the public against the </w:t>
      </w:r>
      <w:r w:rsidR="00B35BB4">
        <w:t>MPS</w:t>
      </w:r>
      <w:r w:rsidR="007B6579" w:rsidRPr="00C70963">
        <w:t>, (ii) to investigate deaths or injury caused by police, and (iii) to investigate all deaths and injuries that occur in police custody.</w:t>
      </w:r>
      <w:r w:rsidR="007B6579" w:rsidRPr="00C70963">
        <w:rPr>
          <w:rStyle w:val="FootnoteReference"/>
        </w:rPr>
        <w:footnoteReference w:id="17"/>
      </w:r>
      <w:r w:rsidR="007B6579" w:rsidRPr="00C70963">
        <w:t xml:space="preserve"> </w:t>
      </w:r>
    </w:p>
    <w:p w14:paraId="07DD80CD" w14:textId="3DA9CD28" w:rsidR="00202CFD" w:rsidRPr="00C70963" w:rsidRDefault="00E52E04" w:rsidP="00202CFD">
      <w:pPr>
        <w:pStyle w:val="ListParagraph"/>
        <w:numPr>
          <w:ilvl w:val="3"/>
          <w:numId w:val="7"/>
        </w:numPr>
      </w:pPr>
      <w:r w:rsidRPr="00C70963">
        <w:t xml:space="preserve">The IPCC is limited by resource constraints. The Commissioner stated in September 2021 that the </w:t>
      </w:r>
      <w:r w:rsidR="004D68B0">
        <w:t>C</w:t>
      </w:r>
      <w:r w:rsidRPr="00C70963">
        <w:t xml:space="preserve">ommission had received 99 complaints but were only handling 14 complaints, due to resource constraints. He stated that while the work of the </w:t>
      </w:r>
      <w:r w:rsidR="004D68B0">
        <w:lastRenderedPageBreak/>
        <w:t>C</w:t>
      </w:r>
      <w:r w:rsidRPr="00C70963">
        <w:t xml:space="preserve">ommission demands 30 </w:t>
      </w:r>
      <w:proofErr w:type="gramStart"/>
      <w:r w:rsidRPr="00C70963">
        <w:t>people,</w:t>
      </w:r>
      <w:proofErr w:type="gramEnd"/>
      <w:r w:rsidRPr="00C70963">
        <w:t xml:space="preserve"> he can only recruit 15 full-time staff due to budget constraints.</w:t>
      </w:r>
      <w:r w:rsidRPr="00C70963">
        <w:rPr>
          <w:rStyle w:val="FootnoteReference"/>
        </w:rPr>
        <w:footnoteReference w:id="18"/>
      </w:r>
    </w:p>
    <w:p w14:paraId="57A2F8AF" w14:textId="208F114B" w:rsidR="00202CFD" w:rsidRPr="00C70963" w:rsidRDefault="001D4004" w:rsidP="00202CFD">
      <w:pPr>
        <w:pStyle w:val="ListParagraph"/>
        <w:numPr>
          <w:ilvl w:val="3"/>
          <w:numId w:val="7"/>
        </w:numPr>
      </w:pPr>
      <w:r w:rsidRPr="00C70963">
        <w:t>Due</w:t>
      </w:r>
      <w:r w:rsidR="00202CFD" w:rsidRPr="00C70963">
        <w:t xml:space="preserve"> to budgetary and human resource constraints, the office has a backlog of complaints and reported that it is actively investigating only cases of death by police.</w:t>
      </w:r>
      <w:r w:rsidR="00202CFD" w:rsidRPr="00C70963">
        <w:rPr>
          <w:rStyle w:val="FootnoteReference"/>
        </w:rPr>
        <w:footnoteReference w:id="19"/>
      </w:r>
    </w:p>
    <w:p w14:paraId="71581D20" w14:textId="77777777" w:rsidR="00972205" w:rsidRPr="00C70963" w:rsidRDefault="00972205" w:rsidP="00972205">
      <w:pPr>
        <w:pStyle w:val="ListParagraph"/>
        <w:numPr>
          <w:ilvl w:val="2"/>
          <w:numId w:val="7"/>
        </w:numPr>
        <w:rPr>
          <w:b/>
          <w:bCs/>
        </w:rPr>
      </w:pPr>
      <w:r w:rsidRPr="00C70963">
        <w:rPr>
          <w:b/>
          <w:bCs/>
        </w:rPr>
        <w:t>Inspectorate of Prisons</w:t>
      </w:r>
    </w:p>
    <w:p w14:paraId="671695DD" w14:textId="51BC5676" w:rsidR="009C4273" w:rsidRPr="00C70963" w:rsidRDefault="00972205" w:rsidP="003F3AD1">
      <w:pPr>
        <w:pStyle w:val="ListParagraph"/>
        <w:numPr>
          <w:ilvl w:val="3"/>
          <w:numId w:val="7"/>
        </w:numPr>
      </w:pPr>
      <w:r w:rsidRPr="00C70963">
        <w:t>Section 169 of the Constitution of Malawi establishes the Inspectorate of Prisons, which is charged with monitoring conditions of detention.</w:t>
      </w:r>
      <w:r w:rsidRPr="00C70963">
        <w:rPr>
          <w:rStyle w:val="FootnoteReference"/>
        </w:rPr>
        <w:footnoteReference w:id="20"/>
      </w:r>
      <w:r w:rsidRPr="00C70963">
        <w:t xml:space="preserve"> </w:t>
      </w:r>
      <w:r w:rsidR="005A4412" w:rsidRPr="00C70963">
        <w:t xml:space="preserve">There is no constitutional or statutory requirement to inspect prisons at regular intervals. </w:t>
      </w:r>
      <w:r w:rsidR="009C4273" w:rsidRPr="00C70963">
        <w:t>The Inspectorate of Prisons reported that prison inspections occurred in 2021, 2020, 2018, 2014, and 2009.</w:t>
      </w:r>
      <w:r w:rsidR="009C4273" w:rsidRPr="00C70963">
        <w:rPr>
          <w:rStyle w:val="FootnoteReference"/>
        </w:rPr>
        <w:footnoteReference w:id="21"/>
      </w:r>
    </w:p>
    <w:p w14:paraId="414DCAAD" w14:textId="04B0431D" w:rsidR="005829D0" w:rsidRPr="00C70963" w:rsidRDefault="005829D0" w:rsidP="003F3AD1">
      <w:pPr>
        <w:pStyle w:val="ListParagraph"/>
        <w:numPr>
          <w:ilvl w:val="3"/>
          <w:numId w:val="7"/>
        </w:numPr>
      </w:pPr>
      <w:r w:rsidRPr="00C70963">
        <w:t xml:space="preserve">We are concerned with the lack of mechanisms </w:t>
      </w:r>
      <w:r w:rsidR="0061457E" w:rsidRPr="00C70963">
        <w:t xml:space="preserve">available to people in prisons and other places of detention to seek redress for torture and other cruel and inhuman treatment. </w:t>
      </w:r>
      <w:r w:rsidR="00723BA7" w:rsidRPr="00C70963">
        <w:t>Malawian prisons have been severely overcrowded</w:t>
      </w:r>
      <w:r w:rsidR="00655E3A" w:rsidRPr="00C70963">
        <w:t xml:space="preserve"> for years, and people are kept in facilities with poor ventilation and without adequate food and water. </w:t>
      </w:r>
      <w:r w:rsidR="00B74C40" w:rsidRPr="00C70963">
        <w:t>Conditions in Malawian prisons constitute cruel</w:t>
      </w:r>
      <w:r w:rsidR="00DE3D41" w:rsidRPr="00C70963">
        <w:t xml:space="preserve">, </w:t>
      </w:r>
      <w:proofErr w:type="gramStart"/>
      <w:r w:rsidR="00DE3D41" w:rsidRPr="00C70963">
        <w:t>inhuman</w:t>
      </w:r>
      <w:proofErr w:type="gramEnd"/>
      <w:r w:rsidR="00DE3D41" w:rsidRPr="00C70963">
        <w:t xml:space="preserve"> </w:t>
      </w:r>
      <w:r w:rsidR="00B74C40" w:rsidRPr="00C70963">
        <w:t xml:space="preserve">and degrading treatment, and people in prisons do not </w:t>
      </w:r>
      <w:r w:rsidR="00DD33B2" w:rsidRPr="00C70963">
        <w:t xml:space="preserve">have meaningful access to </w:t>
      </w:r>
      <w:r w:rsidR="002F4F7D" w:rsidRPr="00C70963">
        <w:t>investigative</w:t>
      </w:r>
      <w:r w:rsidR="007F1F4D" w:rsidRPr="00C70963">
        <w:t xml:space="preserve"> </w:t>
      </w:r>
      <w:r w:rsidR="00EB73EF" w:rsidRPr="00C70963">
        <w:t>bodies</w:t>
      </w:r>
      <w:r w:rsidR="00DD33B2" w:rsidRPr="00C70963">
        <w:t>.</w:t>
      </w:r>
    </w:p>
    <w:p w14:paraId="2E7CA2D8" w14:textId="485C6526" w:rsidR="005B4E61" w:rsidRPr="00C70963" w:rsidRDefault="00725CFE" w:rsidP="003F3AD1">
      <w:pPr>
        <w:pStyle w:val="ListParagraph"/>
        <w:numPr>
          <w:ilvl w:val="3"/>
          <w:numId w:val="7"/>
        </w:numPr>
      </w:pPr>
      <w:r w:rsidRPr="00C70963">
        <w:t xml:space="preserve">In 2007, the Constitutional Court of Malawi found, in the case of </w:t>
      </w:r>
      <w:r w:rsidRPr="00C70963">
        <w:rPr>
          <w:i/>
          <w:iCs/>
        </w:rPr>
        <w:t xml:space="preserve">Gable </w:t>
      </w:r>
      <w:proofErr w:type="spellStart"/>
      <w:r w:rsidRPr="00C70963">
        <w:rPr>
          <w:i/>
          <w:iCs/>
        </w:rPr>
        <w:t>Masangano</w:t>
      </w:r>
      <w:proofErr w:type="spellEnd"/>
      <w:r w:rsidRPr="00C70963">
        <w:rPr>
          <w:i/>
          <w:iCs/>
        </w:rPr>
        <w:t xml:space="preserve"> v Attorney General</w:t>
      </w:r>
      <w:r w:rsidRPr="00C70963">
        <w:t xml:space="preserve"> (Constitutional Case No. 15 of 2007), that prison overcrowding and poor ventilation in prison facilities violated the right to be free from torture and cruel, </w:t>
      </w:r>
      <w:proofErr w:type="gramStart"/>
      <w:r w:rsidRPr="00C70963">
        <w:t>inhuman</w:t>
      </w:r>
      <w:proofErr w:type="gramEnd"/>
      <w:r w:rsidRPr="00C70963">
        <w:t xml:space="preserve"> or degrading treatment. </w:t>
      </w:r>
      <w:r w:rsidR="00AB425E" w:rsidRPr="00C70963">
        <w:t>Between 2020-2021, the Malawi Prison Inspectorate visited all of the prisons of Malawi, which at that stage were at 278% capacity, and also found the situation to be tantamount to torture and cruel, inhuman and degrading treatment.</w:t>
      </w:r>
      <w:r w:rsidR="00AB425E" w:rsidRPr="00C70963">
        <w:rPr>
          <w:rStyle w:val="FootnoteReference"/>
        </w:rPr>
        <w:footnoteReference w:id="22"/>
      </w:r>
      <w:r w:rsidR="00AB425E" w:rsidRPr="00C70963">
        <w:t xml:space="preserve"> </w:t>
      </w:r>
      <w:r w:rsidR="00CC25EE" w:rsidRPr="00C70963">
        <w:t>The prisons of Malawi remain severely overcrowded with an overall population of about 16,700 prisoners in the system against a prison capacity of 7,322.</w:t>
      </w:r>
      <w:r w:rsidR="00CC25EE" w:rsidRPr="00C70963">
        <w:rPr>
          <w:rStyle w:val="FootnoteReference"/>
        </w:rPr>
        <w:footnoteReference w:id="23"/>
      </w:r>
      <w:r w:rsidR="00855418" w:rsidRPr="00C70963">
        <w:t xml:space="preserve"> We have witnessed detainees having to sleep in a kneeling position or side by side on the ground, due to the lack of space. </w:t>
      </w:r>
      <w:r w:rsidR="004D68B0">
        <w:t>People in prisons</w:t>
      </w:r>
      <w:r w:rsidR="00855418" w:rsidRPr="00C70963">
        <w:t xml:space="preserve"> suffer from long-term knee problems and other ailments that are related to being placed in a confined space for prolonged periods.</w:t>
      </w:r>
      <w:r w:rsidR="006A4E98" w:rsidRPr="00C70963">
        <w:t xml:space="preserve"> </w:t>
      </w:r>
    </w:p>
    <w:p w14:paraId="1CCE5D8C" w14:textId="5D4000EE" w:rsidR="002F4F7D" w:rsidRPr="00C70963" w:rsidRDefault="002F4F7D" w:rsidP="002F4F7D">
      <w:pPr>
        <w:pStyle w:val="ListParagraph"/>
        <w:numPr>
          <w:ilvl w:val="3"/>
          <w:numId w:val="7"/>
        </w:numPr>
      </w:pPr>
      <w:r w:rsidRPr="00C70963">
        <w:t xml:space="preserve">Even when investigations are conducted, investigatory bodies are unable to secure sufficient redress for human rights violations. In October 2022, the MHRC </w:t>
      </w:r>
      <w:r w:rsidRPr="00C70963">
        <w:lastRenderedPageBreak/>
        <w:t>investigated a hunger crisis in Malawian prisons, where there were reports of people in prisons going without food for at least four to five days, in violation of the right to adequate food.</w:t>
      </w:r>
      <w:r w:rsidRPr="00C70963">
        <w:rPr>
          <w:rStyle w:val="FootnoteReference"/>
        </w:rPr>
        <w:footnoteReference w:id="24"/>
      </w:r>
      <w:r w:rsidRPr="00C70963">
        <w:t xml:space="preserve"> It further reported that</w:t>
      </w:r>
      <w:r w:rsidR="003F04B9" w:rsidRPr="00C70963">
        <w:t>,</w:t>
      </w:r>
      <w:r w:rsidRPr="00C70963">
        <w:t xml:space="preserve"> despite sharing its findings with prison authorities and the government, little efforts have been made to address the situation in the long term.</w:t>
      </w:r>
      <w:r w:rsidRPr="00C70963">
        <w:rPr>
          <w:rStyle w:val="FootnoteReference"/>
        </w:rPr>
        <w:footnoteReference w:id="25"/>
      </w:r>
    </w:p>
    <w:p w14:paraId="75061271" w14:textId="6959DCEC" w:rsidR="00267709" w:rsidRPr="00C70963" w:rsidRDefault="00267709" w:rsidP="00267709">
      <w:pPr>
        <w:pStyle w:val="ListParagraph"/>
        <w:numPr>
          <w:ilvl w:val="2"/>
          <w:numId w:val="7"/>
        </w:numPr>
        <w:rPr>
          <w:b/>
          <w:bCs/>
        </w:rPr>
      </w:pPr>
      <w:r w:rsidRPr="00C70963">
        <w:rPr>
          <w:b/>
          <w:bCs/>
        </w:rPr>
        <w:t>Legal Aid Bureau</w:t>
      </w:r>
    </w:p>
    <w:p w14:paraId="47207B8B" w14:textId="13732230" w:rsidR="002144B6" w:rsidRPr="00C70963" w:rsidRDefault="00267709" w:rsidP="002144B6">
      <w:pPr>
        <w:pStyle w:val="ListParagraph"/>
        <w:numPr>
          <w:ilvl w:val="3"/>
          <w:numId w:val="7"/>
        </w:numPr>
      </w:pPr>
      <w:r w:rsidRPr="00C70963">
        <w:t xml:space="preserve">Access to legal aid </w:t>
      </w:r>
      <w:r w:rsidR="00B2727A" w:rsidRPr="00C70963">
        <w:t>is</w:t>
      </w:r>
      <w:r w:rsidRPr="00C70963">
        <w:t xml:space="preserve"> crucial in</w:t>
      </w:r>
      <w:r w:rsidR="002144B6" w:rsidRPr="00C70963">
        <w:t xml:space="preserve"> monitoring instances and torture and </w:t>
      </w:r>
      <w:r w:rsidR="000377A3">
        <w:t>excluding torture-tainted evidence</w:t>
      </w:r>
      <w:r w:rsidR="002144B6" w:rsidRPr="00C70963">
        <w:t>. However, the lack of legal aid lawyers and the rates of poverty of accused persons means that 90% of people who are caught in the criminal justice system are unrepresented.</w:t>
      </w:r>
      <w:r w:rsidR="002144B6" w:rsidRPr="00C70963">
        <w:rPr>
          <w:rStyle w:val="FootnoteReference"/>
        </w:rPr>
        <w:footnoteReference w:id="26"/>
      </w:r>
    </w:p>
    <w:p w14:paraId="42C37788" w14:textId="2FE8C77C" w:rsidR="002144B6" w:rsidRPr="00C70963" w:rsidRDefault="00B35BB4" w:rsidP="002144B6">
      <w:pPr>
        <w:pStyle w:val="ListParagraph"/>
        <w:numPr>
          <w:ilvl w:val="3"/>
          <w:numId w:val="7"/>
        </w:numPr>
      </w:pPr>
      <w:r>
        <w:t>The Legal Aid Bureau</w:t>
      </w:r>
      <w:r w:rsidR="002144B6" w:rsidRPr="00C70963">
        <w:t xml:space="preserve"> provide</w:t>
      </w:r>
      <w:r>
        <w:t>s</w:t>
      </w:r>
      <w:r w:rsidR="002144B6" w:rsidRPr="00C70963">
        <w:t xml:space="preserve"> legal aid to persons in criminal matters if the person has insufficient means and if it is in the interests of justice.</w:t>
      </w:r>
      <w:r w:rsidR="002144B6" w:rsidRPr="00C70963">
        <w:rPr>
          <w:rStyle w:val="FootnoteReference"/>
        </w:rPr>
        <w:footnoteReference w:id="27"/>
      </w:r>
    </w:p>
    <w:p w14:paraId="5FCD70A0" w14:textId="031896C5" w:rsidR="002144B6" w:rsidRPr="00C70963" w:rsidRDefault="002144B6" w:rsidP="002144B6">
      <w:pPr>
        <w:pStyle w:val="ListParagraph"/>
        <w:numPr>
          <w:ilvl w:val="3"/>
          <w:numId w:val="7"/>
        </w:numPr>
      </w:pPr>
      <w:r w:rsidRPr="00C70963">
        <w:t>The Legal Aid Bureau is woefully underfunded. In the 2022-2023 budget, the office submitted a budget plan for K6.3 billion but was only allocated K699 million. In response, the Director said that the allocation was “as good as closing the office”.</w:t>
      </w:r>
      <w:r w:rsidRPr="00C70963">
        <w:rPr>
          <w:rStyle w:val="FootnoteReference"/>
        </w:rPr>
        <w:footnoteReference w:id="28"/>
      </w:r>
      <w:r w:rsidRPr="00C70963">
        <w:t xml:space="preserve"> He reported that the office has 26,561 cases to handle among 41 lawyers</w:t>
      </w:r>
      <w:r w:rsidR="0073787A">
        <w:t xml:space="preserve"> (about 647 cases per lawyer)</w:t>
      </w:r>
      <w:r w:rsidRPr="00C70963">
        <w:t>.</w:t>
      </w:r>
      <w:r w:rsidRPr="00C70963">
        <w:rPr>
          <w:rStyle w:val="FootnoteReference"/>
        </w:rPr>
        <w:footnoteReference w:id="29"/>
      </w:r>
    </w:p>
    <w:p w14:paraId="51CEB46C" w14:textId="615CAF1A" w:rsidR="00E0795E" w:rsidRPr="00C70963" w:rsidRDefault="00E0795E" w:rsidP="009E5699">
      <w:pPr>
        <w:pStyle w:val="ListParagraph"/>
        <w:numPr>
          <w:ilvl w:val="2"/>
          <w:numId w:val="7"/>
        </w:numPr>
        <w:jc w:val="both"/>
        <w:rPr>
          <w:b/>
          <w:bCs/>
        </w:rPr>
      </w:pPr>
      <w:r w:rsidRPr="00C70963">
        <w:rPr>
          <w:b/>
          <w:bCs/>
        </w:rPr>
        <w:t>Allegations of Extrajudicial Killings by Police Officers</w:t>
      </w:r>
    </w:p>
    <w:p w14:paraId="6726D7CE" w14:textId="26AF5588" w:rsidR="00E0795E" w:rsidRPr="00C70963" w:rsidRDefault="00E0795E" w:rsidP="009E5699">
      <w:pPr>
        <w:pStyle w:val="ListParagraph"/>
        <w:numPr>
          <w:ilvl w:val="3"/>
          <w:numId w:val="7"/>
        </w:numPr>
      </w:pPr>
      <w:r w:rsidRPr="00C70963">
        <w:t xml:space="preserve">Although the </w:t>
      </w:r>
      <w:r w:rsidR="001041C2" w:rsidRPr="00C70963">
        <w:t>Police</w:t>
      </w:r>
      <w:r w:rsidRPr="00C70963">
        <w:t xml:space="preserve"> Act requires that the </w:t>
      </w:r>
      <w:r w:rsidR="001041C2" w:rsidRPr="00C70963">
        <w:t>police report all</w:t>
      </w:r>
      <w:r w:rsidRPr="00C70963">
        <w:t xml:space="preserve"> deaths in custody</w:t>
      </w:r>
      <w:r w:rsidR="001041C2" w:rsidRPr="00C70963">
        <w:t xml:space="preserve"> for investigation</w:t>
      </w:r>
      <w:r w:rsidRPr="00C70963">
        <w:t>,</w:t>
      </w:r>
      <w:r w:rsidR="001041C2" w:rsidRPr="00C70963">
        <w:rPr>
          <w:rStyle w:val="FootnoteReference"/>
        </w:rPr>
        <w:footnoteReference w:id="30"/>
      </w:r>
      <w:r w:rsidRPr="00C70963">
        <w:t xml:space="preserve"> not a single inquest was conducted into the circumstances of the deaths of 34 people who have died under suspicious circumstances in custody or involving police officers from 2009 to 2018, who were identified by CHREAA.</w:t>
      </w:r>
      <w:r w:rsidRPr="00C70963">
        <w:rPr>
          <w:rStyle w:val="FootnoteReference"/>
        </w:rPr>
        <w:footnoteReference w:id="31"/>
      </w:r>
      <w:r w:rsidRPr="00C70963">
        <w:t xml:space="preserve"> </w:t>
      </w:r>
    </w:p>
    <w:p w14:paraId="5831DBD8" w14:textId="24B15AC2" w:rsidR="00E0795E" w:rsidRPr="00C70963" w:rsidRDefault="00E0795E" w:rsidP="009E5699">
      <w:pPr>
        <w:pStyle w:val="ListParagraph"/>
        <w:numPr>
          <w:ilvl w:val="3"/>
          <w:numId w:val="7"/>
        </w:numPr>
      </w:pPr>
      <w:r w:rsidRPr="00C70963">
        <w:t>In 2018, CHREAA also conducted a study of 43 victims who were allegedly killed by police in “Operation Elimination”, an effort to execute previously convicted people in violation of international human rights law. An interviewed officer revealed that police would call people recently released from detention in handcuffs to a specific location where the police would shoot and kill them. The bodies were taken to nearby mortuaries with the explanation that the deceased was killed during an armed robbery.</w:t>
      </w:r>
      <w:r w:rsidRPr="00C70963">
        <w:rPr>
          <w:rStyle w:val="FootnoteReference"/>
        </w:rPr>
        <w:footnoteReference w:id="32"/>
      </w:r>
      <w:r w:rsidR="00253F32" w:rsidRPr="00C70963">
        <w:t xml:space="preserve"> </w:t>
      </w:r>
      <w:r w:rsidR="00BD720F" w:rsidRPr="00C70963">
        <w:t>Official investigations</w:t>
      </w:r>
      <w:r w:rsidR="00253F32" w:rsidRPr="00C70963">
        <w:t xml:space="preserve"> into these </w:t>
      </w:r>
      <w:r w:rsidR="000410C3" w:rsidRPr="00C70963">
        <w:t>killings</w:t>
      </w:r>
      <w:r w:rsidR="00253F32" w:rsidRPr="00C70963">
        <w:t xml:space="preserve"> have not </w:t>
      </w:r>
      <w:r w:rsidR="00BD720F" w:rsidRPr="00C70963">
        <w:t>commenced</w:t>
      </w:r>
      <w:r w:rsidR="00253F32" w:rsidRPr="00C70963">
        <w:t>.</w:t>
      </w:r>
    </w:p>
    <w:p w14:paraId="77A3A840" w14:textId="3BB65760" w:rsidR="00DB3413" w:rsidRPr="00C70963" w:rsidRDefault="00F05BA7" w:rsidP="00962F75">
      <w:pPr>
        <w:pStyle w:val="ListParagraph"/>
        <w:keepNext/>
        <w:numPr>
          <w:ilvl w:val="0"/>
          <w:numId w:val="11"/>
        </w:numPr>
        <w:ind w:left="2174" w:hanging="187"/>
        <w:jc w:val="both"/>
        <w:rPr>
          <w:b/>
          <w:bCs/>
        </w:rPr>
      </w:pPr>
      <w:proofErr w:type="spellStart"/>
      <w:r w:rsidRPr="00C70963">
        <w:rPr>
          <w:b/>
          <w:bCs/>
        </w:rPr>
        <w:lastRenderedPageBreak/>
        <w:t>Msundwe</w:t>
      </w:r>
      <w:proofErr w:type="spellEnd"/>
      <w:r w:rsidRPr="00C70963">
        <w:rPr>
          <w:b/>
          <w:bCs/>
        </w:rPr>
        <w:t xml:space="preserve"> Case</w:t>
      </w:r>
    </w:p>
    <w:p w14:paraId="11ECCDEB" w14:textId="48BCE212" w:rsidR="00C93DDA" w:rsidRPr="00C70963" w:rsidRDefault="006C146E" w:rsidP="00C93DDA">
      <w:pPr>
        <w:pStyle w:val="ListParagraph"/>
        <w:numPr>
          <w:ilvl w:val="3"/>
          <w:numId w:val="7"/>
        </w:numPr>
      </w:pPr>
      <w:r w:rsidRPr="00C70963">
        <w:t>On 15 October 2019,</w:t>
      </w:r>
      <w:r w:rsidR="00C93DDA" w:rsidRPr="00C70963">
        <w:t xml:space="preserve"> a group of Malawian police officers sexually assaulted women and girls in the areas of </w:t>
      </w:r>
      <w:proofErr w:type="spellStart"/>
      <w:r w:rsidR="00C93DDA" w:rsidRPr="00C70963">
        <w:t>M’bwatalika</w:t>
      </w:r>
      <w:proofErr w:type="spellEnd"/>
      <w:r w:rsidR="00C93DDA" w:rsidRPr="00C70963">
        <w:t xml:space="preserve">, </w:t>
      </w:r>
      <w:proofErr w:type="spellStart"/>
      <w:r w:rsidR="00C93DDA" w:rsidRPr="00C70963">
        <w:t>Kadziyo</w:t>
      </w:r>
      <w:proofErr w:type="spellEnd"/>
      <w:r w:rsidR="00C93DDA" w:rsidRPr="00C70963">
        <w:t xml:space="preserve"> and </w:t>
      </w:r>
      <w:proofErr w:type="spellStart"/>
      <w:r w:rsidR="00C93DDA" w:rsidRPr="00C70963">
        <w:t>Mpingu</w:t>
      </w:r>
      <w:proofErr w:type="spellEnd"/>
      <w:r w:rsidR="00C93DDA" w:rsidRPr="00C70963">
        <w:t>, around the capital city of Lilongwe</w:t>
      </w:r>
      <w:r w:rsidR="0047154F" w:rsidRPr="00C70963">
        <w:t xml:space="preserve">, during protests </w:t>
      </w:r>
      <w:r w:rsidR="00574D35" w:rsidRPr="00C70963">
        <w:t>after a controversial presidential election</w:t>
      </w:r>
      <w:r w:rsidR="00C93DDA" w:rsidRPr="00C70963">
        <w:t>. The MHRC investigated the incident and provided a comprehensive report, which found that 13 women and 4 girls were raped and sexually assaulted.</w:t>
      </w:r>
      <w:r w:rsidR="00C93DDA" w:rsidRPr="00C70963">
        <w:rPr>
          <w:rStyle w:val="FootnoteReference"/>
        </w:rPr>
        <w:footnoteReference w:id="33"/>
      </w:r>
    </w:p>
    <w:p w14:paraId="44A46A71" w14:textId="0C5D4F15" w:rsidR="00C93DDA" w:rsidRPr="00C70963" w:rsidRDefault="00C93DDA" w:rsidP="00C93DDA">
      <w:pPr>
        <w:pStyle w:val="ListParagraph"/>
        <w:numPr>
          <w:ilvl w:val="3"/>
          <w:numId w:val="7"/>
        </w:numPr>
      </w:pPr>
      <w:r w:rsidRPr="00C70963">
        <w:t xml:space="preserve">The Malawi Women Lawyers Association successfully took a judicial review application to the High Court of Malawi in 2020 to address the failures of, and human rights abuses carried out by, the </w:t>
      </w:r>
      <w:r w:rsidR="00B35BB4">
        <w:t xml:space="preserve">MPS </w:t>
      </w:r>
      <w:r w:rsidRPr="00C70963">
        <w:t xml:space="preserve">in the </w:t>
      </w:r>
      <w:proofErr w:type="spellStart"/>
      <w:r w:rsidRPr="00C70963">
        <w:t>Msundwe</w:t>
      </w:r>
      <w:proofErr w:type="spellEnd"/>
      <w:r w:rsidRPr="00C70963">
        <w:t xml:space="preserve"> incident and to seek compensation for the survivors. The ruling, delivered on 13 August 2020, ordered, inter alia, that the police fully investigate the matter and submit an occurrence book to the </w:t>
      </w:r>
      <w:r w:rsidR="00B35BB4">
        <w:t>c</w:t>
      </w:r>
      <w:r w:rsidRPr="00C70963">
        <w:t>ourt within 14 days, which would give detailed account of the officers accused of raping and assaulting the women and girls.</w:t>
      </w:r>
      <w:r w:rsidRPr="00C70963">
        <w:rPr>
          <w:rStyle w:val="FootnoteReference"/>
        </w:rPr>
        <w:footnoteReference w:id="34"/>
      </w:r>
      <w:r w:rsidRPr="00C70963">
        <w:t xml:space="preserve"> The police have not done this, thereby breaching the court order, and no criminal prosecutions have been brought against any of the officers involved.</w:t>
      </w:r>
    </w:p>
    <w:p w14:paraId="7294421F" w14:textId="29EB32D5" w:rsidR="00C93DDA" w:rsidRPr="00C70963" w:rsidRDefault="00C93DDA" w:rsidP="00C93DDA">
      <w:pPr>
        <w:pStyle w:val="ListParagraph"/>
        <w:numPr>
          <w:ilvl w:val="3"/>
          <w:numId w:val="7"/>
        </w:numPr>
      </w:pPr>
      <w:r w:rsidRPr="00C70963">
        <w:t>In August 2021, MPS leaked a report alleging that the MHRC report was false because the rape victims were coerced by politicians to make false claims.</w:t>
      </w:r>
      <w:r w:rsidRPr="00C70963">
        <w:rPr>
          <w:rStyle w:val="FootnoteReference"/>
        </w:rPr>
        <w:footnoteReference w:id="35"/>
      </w:r>
      <w:r w:rsidRPr="00C70963">
        <w:t xml:space="preserve"> The MHRC defended their investigation and report but agreed to a fresh investigation.</w:t>
      </w:r>
      <w:r w:rsidRPr="00C70963">
        <w:rPr>
          <w:rStyle w:val="FootnoteReference"/>
        </w:rPr>
        <w:footnoteReference w:id="36"/>
      </w:r>
      <w:r w:rsidRPr="00C70963">
        <w:t xml:space="preserve"> The IPCC is now assigned to </w:t>
      </w:r>
      <w:proofErr w:type="gramStart"/>
      <w:r w:rsidRPr="00C70963">
        <w:t>conduct an investigation into</w:t>
      </w:r>
      <w:proofErr w:type="gramEnd"/>
      <w:r w:rsidRPr="00C70963">
        <w:t xml:space="preserve"> the </w:t>
      </w:r>
      <w:proofErr w:type="spellStart"/>
      <w:r w:rsidRPr="00C70963">
        <w:t>Msundwe</w:t>
      </w:r>
      <w:proofErr w:type="spellEnd"/>
      <w:r w:rsidRPr="00C70963">
        <w:t xml:space="preserve"> incident. However, the IPCC is limited in funding and human resources.</w:t>
      </w:r>
      <w:r w:rsidRPr="00C70963">
        <w:rPr>
          <w:rStyle w:val="FootnoteReference"/>
        </w:rPr>
        <w:footnoteReference w:id="37"/>
      </w:r>
      <w:r w:rsidRPr="00C70963">
        <w:t xml:space="preserve"> In September 2021, the IPCC hoped that it would have a report by October 2021,</w:t>
      </w:r>
      <w:r w:rsidRPr="00C70963">
        <w:rPr>
          <w:rStyle w:val="FootnoteReference"/>
        </w:rPr>
        <w:footnoteReference w:id="38"/>
      </w:r>
      <w:r w:rsidRPr="00C70963">
        <w:t xml:space="preserve"> yet a report has not been released to the public.</w:t>
      </w:r>
    </w:p>
    <w:p w14:paraId="5B8ED293" w14:textId="129D7D83" w:rsidR="0033531C" w:rsidRPr="00220296" w:rsidRDefault="0033531C" w:rsidP="0033531C">
      <w:pPr>
        <w:pStyle w:val="ListParagraph"/>
        <w:numPr>
          <w:ilvl w:val="1"/>
          <w:numId w:val="7"/>
        </w:numPr>
        <w:jc w:val="both"/>
      </w:pPr>
      <w:r w:rsidRPr="00220296">
        <w:rPr>
          <w:b/>
          <w:bCs/>
        </w:rPr>
        <w:t>Victim participation and protection</w:t>
      </w:r>
    </w:p>
    <w:p w14:paraId="5EBA6BE0" w14:textId="5585E322" w:rsidR="00E03F55" w:rsidRDefault="00E03F55" w:rsidP="00131B3F">
      <w:pPr>
        <w:pStyle w:val="ListParagraph"/>
        <w:numPr>
          <w:ilvl w:val="2"/>
          <w:numId w:val="7"/>
        </w:numPr>
        <w:rPr>
          <w:rFonts w:cstheme="minorHAnsi"/>
        </w:rPr>
      </w:pPr>
      <w:r w:rsidRPr="00C70963">
        <w:rPr>
          <w:rFonts w:cstheme="minorHAnsi"/>
        </w:rPr>
        <w:t xml:space="preserve">The MHRC and IPCC </w:t>
      </w:r>
      <w:proofErr w:type="gramStart"/>
      <w:r w:rsidR="00263C1C" w:rsidRPr="00C70963">
        <w:rPr>
          <w:rFonts w:cstheme="minorHAnsi"/>
        </w:rPr>
        <w:t>have the ability</w:t>
      </w:r>
      <w:r w:rsidR="00F60C62" w:rsidRPr="00C70963">
        <w:rPr>
          <w:rFonts w:cstheme="minorHAnsi"/>
        </w:rPr>
        <w:t xml:space="preserve"> to</w:t>
      </w:r>
      <w:proofErr w:type="gramEnd"/>
      <w:r w:rsidR="00F60C62" w:rsidRPr="00C70963">
        <w:rPr>
          <w:rFonts w:cstheme="minorHAnsi"/>
        </w:rPr>
        <w:t xml:space="preserve"> </w:t>
      </w:r>
      <w:r w:rsidR="00263C1C" w:rsidRPr="00C70963">
        <w:rPr>
          <w:rFonts w:cstheme="minorHAnsi"/>
        </w:rPr>
        <w:t>hear and obtain the cooperation of victims as part of their investigative powers.</w:t>
      </w:r>
      <w:r w:rsidR="00263C1C" w:rsidRPr="00C70963">
        <w:rPr>
          <w:rStyle w:val="FootnoteReference"/>
          <w:rFonts w:cstheme="minorHAnsi"/>
        </w:rPr>
        <w:footnoteReference w:id="39"/>
      </w:r>
      <w:r w:rsidR="00F60C62" w:rsidRPr="00C70963">
        <w:rPr>
          <w:rFonts w:cstheme="minorHAnsi"/>
        </w:rPr>
        <w:t xml:space="preserve"> </w:t>
      </w:r>
      <w:r w:rsidR="00343A47" w:rsidRPr="00C70963">
        <w:rPr>
          <w:rFonts w:cstheme="minorHAnsi"/>
        </w:rPr>
        <w:t xml:space="preserve">However, there is </w:t>
      </w:r>
      <w:r w:rsidR="00811681">
        <w:rPr>
          <w:rFonts w:cstheme="minorHAnsi"/>
        </w:rPr>
        <w:t>minimal</w:t>
      </w:r>
      <w:r w:rsidR="00343A47" w:rsidRPr="00C70963">
        <w:rPr>
          <w:rFonts w:cstheme="minorHAnsi"/>
        </w:rPr>
        <w:t xml:space="preserve"> legal protection afforded to</w:t>
      </w:r>
      <w:r w:rsidR="00811681">
        <w:rPr>
          <w:rFonts w:cstheme="minorHAnsi"/>
        </w:rPr>
        <w:t xml:space="preserve"> most</w:t>
      </w:r>
      <w:r w:rsidR="00343A47" w:rsidRPr="00C70963">
        <w:rPr>
          <w:rFonts w:cstheme="minorHAnsi"/>
        </w:rPr>
        <w:t xml:space="preserve"> victims of </w:t>
      </w:r>
      <w:r w:rsidR="00BA5BA4" w:rsidRPr="00C70963">
        <w:rPr>
          <w:rFonts w:cstheme="minorHAnsi"/>
        </w:rPr>
        <w:t xml:space="preserve">torture by police or prison officials. </w:t>
      </w:r>
    </w:p>
    <w:p w14:paraId="0C677555" w14:textId="372C362F" w:rsidR="0050282C" w:rsidRPr="0050282C" w:rsidRDefault="00476D52" w:rsidP="00131B3F">
      <w:pPr>
        <w:pStyle w:val="ListParagraph"/>
        <w:numPr>
          <w:ilvl w:val="2"/>
          <w:numId w:val="7"/>
        </w:numPr>
        <w:rPr>
          <w:rFonts w:cstheme="minorHAnsi"/>
          <w:b/>
          <w:bCs/>
        </w:rPr>
      </w:pPr>
      <w:r>
        <w:rPr>
          <w:rFonts w:cstheme="minorHAnsi"/>
          <w:b/>
          <w:bCs/>
        </w:rPr>
        <w:t>Participation</w:t>
      </w:r>
      <w:r w:rsidR="00A46EEF">
        <w:rPr>
          <w:rFonts w:cstheme="minorHAnsi"/>
          <w:b/>
          <w:bCs/>
        </w:rPr>
        <w:t xml:space="preserve"> in Court Proceedings</w:t>
      </w:r>
    </w:p>
    <w:p w14:paraId="0F43CEE7" w14:textId="687A4A13" w:rsidR="0050282C" w:rsidRDefault="00813D3B" w:rsidP="0050282C">
      <w:pPr>
        <w:pStyle w:val="ListParagraph"/>
        <w:numPr>
          <w:ilvl w:val="3"/>
          <w:numId w:val="7"/>
        </w:numPr>
        <w:rPr>
          <w:rFonts w:cstheme="minorHAnsi"/>
        </w:rPr>
      </w:pPr>
      <w:r>
        <w:rPr>
          <w:rFonts w:cstheme="minorHAnsi"/>
        </w:rPr>
        <w:t>The CP&amp;EC provides protection to victims of sexual offences when giving evidence in court proceedings.</w:t>
      </w:r>
      <w:r w:rsidR="00EF2355">
        <w:rPr>
          <w:rStyle w:val="FootnoteReference"/>
          <w:rFonts w:cstheme="minorHAnsi"/>
        </w:rPr>
        <w:footnoteReference w:id="40"/>
      </w:r>
      <w:r>
        <w:rPr>
          <w:rFonts w:cstheme="minorHAnsi"/>
        </w:rPr>
        <w:t xml:space="preserve"> </w:t>
      </w:r>
      <w:r w:rsidR="00EF2355">
        <w:rPr>
          <w:rFonts w:cstheme="minorHAnsi"/>
        </w:rPr>
        <w:t xml:space="preserve">Protections may include clearing the courtroom during the witness’s testimony, partitioning the courtroom, allowing the witness to </w:t>
      </w:r>
      <w:r w:rsidR="00476D52">
        <w:rPr>
          <w:rFonts w:cstheme="minorHAnsi"/>
        </w:rPr>
        <w:t xml:space="preserve">be </w:t>
      </w:r>
      <w:r w:rsidR="00EF2355">
        <w:rPr>
          <w:rFonts w:cstheme="minorHAnsi"/>
        </w:rPr>
        <w:t xml:space="preserve">escorted </w:t>
      </w:r>
      <w:r w:rsidR="00EF2355">
        <w:rPr>
          <w:rFonts w:cstheme="minorHAnsi"/>
        </w:rPr>
        <w:lastRenderedPageBreak/>
        <w:t>by a relative or friend for emotional support, and directing that the evidence be given remotely and transmitted through CCTV.</w:t>
      </w:r>
      <w:r w:rsidR="00EF2355">
        <w:rPr>
          <w:rStyle w:val="FootnoteReference"/>
          <w:rFonts w:cstheme="minorHAnsi"/>
        </w:rPr>
        <w:footnoteReference w:id="41"/>
      </w:r>
      <w:r w:rsidR="005504BC">
        <w:rPr>
          <w:rFonts w:cstheme="minorHAnsi"/>
        </w:rPr>
        <w:t xml:space="preserve"> </w:t>
      </w:r>
    </w:p>
    <w:p w14:paraId="50BE658C" w14:textId="779E006D" w:rsidR="00A46EEF" w:rsidRPr="00C70963" w:rsidRDefault="00A46EEF" w:rsidP="0050282C">
      <w:pPr>
        <w:pStyle w:val="ListParagraph"/>
        <w:numPr>
          <w:ilvl w:val="3"/>
          <w:numId w:val="7"/>
        </w:numPr>
        <w:rPr>
          <w:rFonts w:cstheme="minorHAnsi"/>
        </w:rPr>
      </w:pPr>
      <w:r>
        <w:rPr>
          <w:rFonts w:cstheme="minorHAnsi"/>
        </w:rPr>
        <w:t xml:space="preserve">The CP&amp;EC also </w:t>
      </w:r>
      <w:r w:rsidR="00D8533D">
        <w:rPr>
          <w:rFonts w:cstheme="minorHAnsi"/>
        </w:rPr>
        <w:t>allows subordinate courts and the High Court to receive evidence from victims during post-conviction sentencing to enable the court to assess the gravity of the offence.</w:t>
      </w:r>
      <w:r w:rsidR="00D8533D">
        <w:rPr>
          <w:rStyle w:val="FootnoteReference"/>
          <w:rFonts w:cstheme="minorHAnsi"/>
        </w:rPr>
        <w:footnoteReference w:id="42"/>
      </w:r>
      <w:r w:rsidR="006D7EAE">
        <w:rPr>
          <w:rFonts w:cstheme="minorHAnsi"/>
        </w:rPr>
        <w:t xml:space="preserve"> </w:t>
      </w:r>
      <w:r>
        <w:rPr>
          <w:rFonts w:cstheme="minorHAnsi"/>
        </w:rPr>
        <w:t xml:space="preserve"> </w:t>
      </w:r>
    </w:p>
    <w:p w14:paraId="226E0B0B" w14:textId="77777777" w:rsidR="00880250" w:rsidRPr="00C70963" w:rsidRDefault="00880250" w:rsidP="00880250">
      <w:pPr>
        <w:pStyle w:val="ListParagraph"/>
        <w:numPr>
          <w:ilvl w:val="2"/>
          <w:numId w:val="7"/>
        </w:numPr>
        <w:rPr>
          <w:rFonts w:cstheme="minorHAnsi"/>
          <w:b/>
          <w:bCs/>
        </w:rPr>
      </w:pPr>
      <w:r w:rsidRPr="00C70963">
        <w:rPr>
          <w:rFonts w:cstheme="minorHAnsi"/>
          <w:b/>
          <w:bCs/>
        </w:rPr>
        <w:t>Education and Training for Medical Personnel</w:t>
      </w:r>
    </w:p>
    <w:p w14:paraId="72AA6117" w14:textId="36789E8F" w:rsidR="00880250" w:rsidRPr="00C70963" w:rsidRDefault="00880250" w:rsidP="00880250">
      <w:pPr>
        <w:pStyle w:val="ListParagraph"/>
        <w:numPr>
          <w:ilvl w:val="3"/>
          <w:numId w:val="7"/>
        </w:numPr>
        <w:rPr>
          <w:rFonts w:cstheme="minorHAnsi"/>
        </w:rPr>
      </w:pPr>
      <w:r w:rsidRPr="00C70963">
        <w:rPr>
          <w:rFonts w:cstheme="minorHAnsi"/>
        </w:rPr>
        <w:t>In Malawi, victims of torture and cruel or inhuman or degrading treatment tend to be accused persons, detained persons</w:t>
      </w:r>
      <w:r w:rsidR="00476D52">
        <w:rPr>
          <w:rFonts w:cstheme="minorHAnsi"/>
        </w:rPr>
        <w:t>,</w:t>
      </w:r>
      <w:r w:rsidRPr="00C70963">
        <w:rPr>
          <w:rFonts w:cstheme="minorHAnsi"/>
        </w:rPr>
        <w:t xml:space="preserve"> or sentenced prisoners. Under the Constitution, this category of people has been </w:t>
      </w:r>
      <w:r w:rsidR="00B16E7E" w:rsidRPr="00C70963">
        <w:rPr>
          <w:rFonts w:cstheme="minorHAnsi"/>
        </w:rPr>
        <w:t>identified</w:t>
      </w:r>
      <w:r w:rsidRPr="00C70963">
        <w:rPr>
          <w:rFonts w:cstheme="minorHAnsi"/>
        </w:rPr>
        <w:t xml:space="preserve"> as requiring special protection. Thus, under section 42(1)(b) of the Constitution of Malawi, detained persons, including sentenced prisoners, have a right to a fair trial which includes an unqualified right to access to medical treatment at the state’s expense. </w:t>
      </w:r>
    </w:p>
    <w:p w14:paraId="0D77FCF0" w14:textId="260024BD" w:rsidR="00FD3DE7" w:rsidRPr="00C70963" w:rsidRDefault="00EE35E5" w:rsidP="00880250">
      <w:pPr>
        <w:pStyle w:val="ListParagraph"/>
        <w:numPr>
          <w:ilvl w:val="3"/>
          <w:numId w:val="7"/>
        </w:numPr>
        <w:rPr>
          <w:rFonts w:cstheme="minorHAnsi"/>
        </w:rPr>
      </w:pPr>
      <w:r w:rsidRPr="00C70963">
        <w:rPr>
          <w:rFonts w:cstheme="minorHAnsi"/>
        </w:rPr>
        <w:t>Victims</w:t>
      </w:r>
      <w:r w:rsidR="00880250" w:rsidRPr="00C70963">
        <w:rPr>
          <w:rFonts w:cstheme="minorHAnsi"/>
        </w:rPr>
        <w:t xml:space="preserve"> of torture face </w:t>
      </w:r>
      <w:r w:rsidRPr="00C70963">
        <w:rPr>
          <w:rFonts w:cstheme="minorHAnsi"/>
        </w:rPr>
        <w:t xml:space="preserve">challenges </w:t>
      </w:r>
      <w:r w:rsidR="00880250" w:rsidRPr="00C70963">
        <w:rPr>
          <w:rFonts w:cstheme="minorHAnsi"/>
        </w:rPr>
        <w:t>in accessing medical treatment</w:t>
      </w:r>
      <w:r w:rsidRPr="00C70963">
        <w:rPr>
          <w:rFonts w:cstheme="minorHAnsi"/>
        </w:rPr>
        <w:t>. Until</w:t>
      </w:r>
      <w:r w:rsidR="00880250" w:rsidRPr="00C70963">
        <w:rPr>
          <w:rFonts w:cstheme="minorHAnsi"/>
        </w:rPr>
        <w:t xml:space="preserve"> </w:t>
      </w:r>
      <w:r w:rsidR="005C1D67" w:rsidRPr="00C70963">
        <w:rPr>
          <w:rFonts w:cstheme="minorHAnsi"/>
        </w:rPr>
        <w:t>the Minister of Health issued a directive in 2022</w:t>
      </w:r>
      <w:r w:rsidR="00880250" w:rsidRPr="00C70963">
        <w:rPr>
          <w:rFonts w:cstheme="minorHAnsi"/>
        </w:rPr>
        <w:t xml:space="preserve">, medical personnel </w:t>
      </w:r>
      <w:r w:rsidR="000C03A4" w:rsidRPr="00C70963">
        <w:rPr>
          <w:rFonts w:cstheme="minorHAnsi"/>
        </w:rPr>
        <w:t>had</w:t>
      </w:r>
      <w:r w:rsidR="00880250" w:rsidRPr="00C70963">
        <w:rPr>
          <w:rFonts w:cstheme="minorHAnsi"/>
        </w:rPr>
        <w:t xml:space="preserve"> been</w:t>
      </w:r>
      <w:r w:rsidR="00FD3DE7" w:rsidRPr="00C70963">
        <w:rPr>
          <w:rFonts w:cstheme="minorHAnsi"/>
        </w:rPr>
        <w:t xml:space="preserve"> refusing to provide medical assistance to patients who allege</w:t>
      </w:r>
      <w:r w:rsidR="000C03A4" w:rsidRPr="00C70963">
        <w:rPr>
          <w:rFonts w:cstheme="minorHAnsi"/>
        </w:rPr>
        <w:t>d</w:t>
      </w:r>
      <w:r w:rsidR="00FD3DE7" w:rsidRPr="00C70963">
        <w:rPr>
          <w:rFonts w:cstheme="minorHAnsi"/>
        </w:rPr>
        <w:t xml:space="preserve"> physical injuries </w:t>
      </w:r>
      <w:r w:rsidR="00D4143D" w:rsidRPr="00C70963">
        <w:rPr>
          <w:rFonts w:cstheme="minorHAnsi"/>
        </w:rPr>
        <w:t>inflicted by police without a police report.</w:t>
      </w:r>
      <w:r w:rsidR="000C03A4" w:rsidRPr="00C70963">
        <w:rPr>
          <w:rStyle w:val="FootnoteReference"/>
          <w:rFonts w:cstheme="minorHAnsi"/>
        </w:rPr>
        <w:footnoteReference w:id="43"/>
      </w:r>
      <w:r w:rsidR="00D4143D" w:rsidRPr="00C70963">
        <w:rPr>
          <w:rFonts w:cstheme="minorHAnsi"/>
        </w:rPr>
        <w:t xml:space="preserve"> We </w:t>
      </w:r>
      <w:r w:rsidR="00B006C8" w:rsidRPr="00C70963">
        <w:rPr>
          <w:rFonts w:cstheme="minorHAnsi"/>
        </w:rPr>
        <w:t>remain</w:t>
      </w:r>
      <w:r w:rsidR="00D4143D" w:rsidRPr="00C70963">
        <w:rPr>
          <w:rFonts w:cstheme="minorHAnsi"/>
        </w:rPr>
        <w:t xml:space="preserve"> concerned with </w:t>
      </w:r>
      <w:r w:rsidR="00AA469C" w:rsidRPr="00C70963">
        <w:rPr>
          <w:rFonts w:cstheme="minorHAnsi"/>
        </w:rPr>
        <w:t>t</w:t>
      </w:r>
      <w:r w:rsidR="00D4143D" w:rsidRPr="00C70963">
        <w:rPr>
          <w:rFonts w:cstheme="minorHAnsi"/>
        </w:rPr>
        <w:t xml:space="preserve">he lack of education among health workers regarding the constitutional </w:t>
      </w:r>
      <w:r w:rsidR="00636667" w:rsidRPr="00C70963">
        <w:rPr>
          <w:rFonts w:cstheme="minorHAnsi"/>
        </w:rPr>
        <w:t>protection of accused</w:t>
      </w:r>
      <w:r w:rsidR="004B29CD" w:rsidRPr="00C70963">
        <w:rPr>
          <w:rFonts w:cstheme="minorHAnsi"/>
        </w:rPr>
        <w:t>, detained, and sentenced persons.</w:t>
      </w:r>
      <w:r w:rsidR="003771A2" w:rsidRPr="00C70963">
        <w:rPr>
          <w:rFonts w:cstheme="minorHAnsi"/>
        </w:rPr>
        <w:t xml:space="preserve"> </w:t>
      </w:r>
    </w:p>
    <w:p w14:paraId="0FE2A948" w14:textId="5ED136A1" w:rsidR="00AE74BE" w:rsidRPr="00C70963" w:rsidRDefault="00AE74BE" w:rsidP="00AE74BE">
      <w:pPr>
        <w:pStyle w:val="ListParagraph"/>
        <w:numPr>
          <w:ilvl w:val="2"/>
          <w:numId w:val="7"/>
        </w:numPr>
        <w:rPr>
          <w:rFonts w:cstheme="minorHAnsi"/>
          <w:b/>
          <w:bCs/>
        </w:rPr>
      </w:pPr>
      <w:r w:rsidRPr="00C70963">
        <w:rPr>
          <w:rFonts w:cstheme="minorHAnsi"/>
          <w:b/>
          <w:bCs/>
        </w:rPr>
        <w:t>Criminal Proceedings</w:t>
      </w:r>
    </w:p>
    <w:p w14:paraId="0584E9E7" w14:textId="4A2D9F41" w:rsidR="00AE74BE" w:rsidRPr="00C70963" w:rsidRDefault="00AE74BE" w:rsidP="00AE74BE">
      <w:pPr>
        <w:pStyle w:val="ListParagraph"/>
        <w:numPr>
          <w:ilvl w:val="3"/>
          <w:numId w:val="7"/>
        </w:numPr>
        <w:rPr>
          <w:rFonts w:cstheme="minorHAnsi"/>
        </w:rPr>
      </w:pPr>
      <w:r w:rsidRPr="00C70963">
        <w:rPr>
          <w:rFonts w:cstheme="minorHAnsi"/>
        </w:rPr>
        <w:t xml:space="preserve">In the absence of express criminalisation of torture, compensation in criminal proceedings for torture victims or their families is rare if not non-existent in Malawi. </w:t>
      </w:r>
    </w:p>
    <w:p w14:paraId="250E6CA8" w14:textId="47AC6527" w:rsidR="003D7801" w:rsidRPr="00C70963" w:rsidRDefault="00476D52" w:rsidP="003D7801">
      <w:pPr>
        <w:pStyle w:val="ListParagraph"/>
        <w:numPr>
          <w:ilvl w:val="3"/>
          <w:numId w:val="7"/>
        </w:numPr>
      </w:pPr>
      <w:r>
        <w:t>The</w:t>
      </w:r>
      <w:r w:rsidR="003D7801" w:rsidRPr="00C70963">
        <w:t xml:space="preserve"> family of Mr. </w:t>
      </w:r>
      <w:proofErr w:type="spellStart"/>
      <w:r w:rsidR="003D7801" w:rsidRPr="00C70963">
        <w:t>Buleya</w:t>
      </w:r>
      <w:proofErr w:type="spellEnd"/>
      <w:r w:rsidR="003D7801" w:rsidRPr="00C70963">
        <w:t xml:space="preserve"> </w:t>
      </w:r>
      <w:proofErr w:type="spellStart"/>
      <w:r w:rsidR="003D7801" w:rsidRPr="00C70963">
        <w:t>Lule</w:t>
      </w:r>
      <w:proofErr w:type="spellEnd"/>
      <w:r w:rsidR="003D7801" w:rsidRPr="00C70963">
        <w:t xml:space="preserve">, who died </w:t>
      </w:r>
      <w:proofErr w:type="gramStart"/>
      <w:r w:rsidR="003D7801" w:rsidRPr="00C70963">
        <w:t>as a result of</w:t>
      </w:r>
      <w:proofErr w:type="gramEnd"/>
      <w:r w:rsidR="003D7801" w:rsidRPr="00C70963">
        <w:t xml:space="preserve"> police torture in 2020, have waited years for justice. On 14 September 2022, the High Court of Malawi ruled that 10 of the 13 police officers have a case to answer on the charge of murder.</w:t>
      </w:r>
      <w:r w:rsidR="003D7801" w:rsidRPr="00C70963">
        <w:rPr>
          <w:rStyle w:val="FootnoteReference"/>
        </w:rPr>
        <w:footnoteReference w:id="44"/>
      </w:r>
      <w:r w:rsidR="003D7801" w:rsidRPr="00C70963">
        <w:t xml:space="preserve"> Three police officers were acquitted of murder and causing grievous harm. </w:t>
      </w:r>
    </w:p>
    <w:p w14:paraId="570E05FA" w14:textId="1B29AFC8" w:rsidR="00AE74BE" w:rsidRPr="00C70963" w:rsidRDefault="00AE74BE" w:rsidP="00AE74BE">
      <w:pPr>
        <w:pStyle w:val="ListParagraph"/>
        <w:numPr>
          <w:ilvl w:val="2"/>
          <w:numId w:val="7"/>
        </w:numPr>
        <w:rPr>
          <w:rFonts w:cstheme="minorHAnsi"/>
          <w:b/>
          <w:bCs/>
        </w:rPr>
      </w:pPr>
      <w:r w:rsidRPr="00C70963">
        <w:rPr>
          <w:rFonts w:cstheme="minorHAnsi"/>
          <w:b/>
          <w:bCs/>
        </w:rPr>
        <w:t>Civil Proceedings</w:t>
      </w:r>
    </w:p>
    <w:p w14:paraId="71321DBF" w14:textId="21D3E528" w:rsidR="00AE74BE" w:rsidRPr="00322CD4" w:rsidRDefault="00AE74BE" w:rsidP="00EF7A27">
      <w:pPr>
        <w:pStyle w:val="ListParagraph"/>
        <w:numPr>
          <w:ilvl w:val="3"/>
          <w:numId w:val="7"/>
        </w:numPr>
        <w:rPr>
          <w:rFonts w:cstheme="minorHAnsi"/>
        </w:rPr>
      </w:pPr>
      <w:r w:rsidRPr="00322CD4">
        <w:rPr>
          <w:rFonts w:cstheme="minorHAnsi"/>
        </w:rPr>
        <w:t>In civil proceedings however, compensation has been ordered in cases involving police brutality against suspects.</w:t>
      </w:r>
      <w:r w:rsidR="0017355B" w:rsidRPr="00322CD4">
        <w:rPr>
          <w:rStyle w:val="FootnoteReference"/>
          <w:rFonts w:cstheme="minorHAnsi"/>
        </w:rPr>
        <w:footnoteReference w:id="45"/>
      </w:r>
      <w:r w:rsidR="0017355B" w:rsidRPr="00322CD4">
        <w:rPr>
          <w:rFonts w:cstheme="minorHAnsi"/>
        </w:rPr>
        <w:t xml:space="preserve"> </w:t>
      </w:r>
      <w:r w:rsidRPr="00322CD4">
        <w:rPr>
          <w:rFonts w:cstheme="minorHAnsi"/>
        </w:rPr>
        <w:t xml:space="preserve"> </w:t>
      </w:r>
    </w:p>
    <w:p w14:paraId="26F79920" w14:textId="77777777" w:rsidR="00AE74BE" w:rsidRPr="00C70963" w:rsidRDefault="00AE74BE" w:rsidP="00AE74BE">
      <w:pPr>
        <w:pStyle w:val="ListParagraph"/>
        <w:numPr>
          <w:ilvl w:val="3"/>
          <w:numId w:val="7"/>
        </w:numPr>
      </w:pPr>
      <w:r w:rsidRPr="00C70963">
        <w:t xml:space="preserve">Despite agreeing to compensate </w:t>
      </w:r>
      <w:proofErr w:type="spellStart"/>
      <w:r w:rsidRPr="00C70963">
        <w:t>Lule’s</w:t>
      </w:r>
      <w:proofErr w:type="spellEnd"/>
      <w:r w:rsidRPr="00C70963">
        <w:t xml:space="preserve"> widow K331 million in damages in June 2021,</w:t>
      </w:r>
      <w:r w:rsidRPr="00C70963">
        <w:rPr>
          <w:rStyle w:val="FootnoteReference"/>
        </w:rPr>
        <w:footnoteReference w:id="46"/>
      </w:r>
      <w:r w:rsidRPr="00C70963">
        <w:t xml:space="preserve"> the Government failed to compensate Charity </w:t>
      </w:r>
      <w:proofErr w:type="spellStart"/>
      <w:r w:rsidRPr="00C70963">
        <w:t>Lule</w:t>
      </w:r>
      <w:proofErr w:type="spellEnd"/>
      <w:r w:rsidRPr="00C70963">
        <w:t xml:space="preserve"> until November 2021 and ultimately reduced final compensation to K44 million.</w:t>
      </w:r>
      <w:r w:rsidRPr="00C70963">
        <w:rPr>
          <w:rStyle w:val="FootnoteReference"/>
        </w:rPr>
        <w:footnoteReference w:id="47"/>
      </w:r>
    </w:p>
    <w:p w14:paraId="17A17897" w14:textId="5F798330" w:rsidR="00AE74BE" w:rsidRPr="00C70963" w:rsidRDefault="00AE74BE" w:rsidP="00AC4E12">
      <w:pPr>
        <w:pStyle w:val="ListParagraph"/>
        <w:numPr>
          <w:ilvl w:val="3"/>
          <w:numId w:val="7"/>
        </w:numPr>
        <w:rPr>
          <w:rFonts w:cstheme="minorHAnsi"/>
        </w:rPr>
      </w:pPr>
      <w:r w:rsidRPr="00C70963">
        <w:rPr>
          <w:rFonts w:cstheme="minorHAnsi"/>
        </w:rPr>
        <w:lastRenderedPageBreak/>
        <w:t xml:space="preserve">While there is an avenue for compensation in civil proceedings, it is a very costly avenue that </w:t>
      </w:r>
      <w:proofErr w:type="gramStart"/>
      <w:r w:rsidRPr="00C70963">
        <w:rPr>
          <w:rFonts w:cstheme="minorHAnsi"/>
        </w:rPr>
        <w:t>the majority of</w:t>
      </w:r>
      <w:proofErr w:type="gramEnd"/>
      <w:r w:rsidRPr="00C70963">
        <w:rPr>
          <w:rFonts w:cstheme="minorHAnsi"/>
        </w:rPr>
        <w:t xml:space="preserve"> torture victims cannot afford. </w:t>
      </w:r>
      <w:proofErr w:type="gramStart"/>
      <w:r w:rsidRPr="00C70963">
        <w:rPr>
          <w:rFonts w:cstheme="minorHAnsi"/>
        </w:rPr>
        <w:t>In light of</w:t>
      </w:r>
      <w:proofErr w:type="gramEnd"/>
      <w:r w:rsidRPr="00C70963">
        <w:rPr>
          <w:rFonts w:cstheme="minorHAnsi"/>
        </w:rPr>
        <w:t xml:space="preserve"> the difficulty that lies in pursuing a civil remedy against state agents for torture by indigent torture victims, most of them suffer injustice without any remedy by way of compensation.</w:t>
      </w:r>
    </w:p>
    <w:p w14:paraId="1E490702" w14:textId="77777777" w:rsidR="009763B4" w:rsidRPr="00C70963" w:rsidRDefault="009763B4" w:rsidP="00506C6B">
      <w:pPr>
        <w:spacing w:after="0"/>
        <w:jc w:val="both"/>
        <w:rPr>
          <w:color w:val="00B050"/>
        </w:rPr>
      </w:pPr>
    </w:p>
    <w:p w14:paraId="195A94E1" w14:textId="77777777" w:rsidR="009F3BE0" w:rsidRPr="00C70963" w:rsidRDefault="009F3BE0" w:rsidP="00506C6B">
      <w:pPr>
        <w:spacing w:after="0" w:line="240" w:lineRule="auto"/>
      </w:pPr>
    </w:p>
    <w:sectPr w:rsidR="009F3BE0" w:rsidRPr="00C70963" w:rsidSect="007C2EA5">
      <w:headerReference w:type="default" r:id="rId8"/>
      <w:footerReference w:type="default" r:id="rId9"/>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5DD0" w14:textId="77777777" w:rsidR="006A5C60" w:rsidRDefault="006A5C60" w:rsidP="00C30D13">
      <w:pPr>
        <w:spacing w:after="0" w:line="240" w:lineRule="auto"/>
      </w:pPr>
      <w:r>
        <w:separator/>
      </w:r>
    </w:p>
  </w:endnote>
  <w:endnote w:type="continuationSeparator" w:id="0">
    <w:p w14:paraId="4ED0E330" w14:textId="77777777" w:rsidR="006A5C60" w:rsidRDefault="006A5C60" w:rsidP="00C30D13">
      <w:pPr>
        <w:spacing w:after="0" w:line="240" w:lineRule="auto"/>
      </w:pPr>
      <w:r>
        <w:continuationSeparator/>
      </w:r>
    </w:p>
  </w:endnote>
  <w:endnote w:type="continuationNotice" w:id="1">
    <w:p w14:paraId="6529E677" w14:textId="77777777" w:rsidR="006A5C60" w:rsidRDefault="006A5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69673"/>
      <w:docPartObj>
        <w:docPartGallery w:val="Page Numbers (Bottom of Page)"/>
        <w:docPartUnique/>
      </w:docPartObj>
    </w:sdtPr>
    <w:sdtEndPr>
      <w:rPr>
        <w:noProof/>
        <w:sz w:val="20"/>
        <w:szCs w:val="20"/>
      </w:rPr>
    </w:sdtEndPr>
    <w:sdtContent>
      <w:p w14:paraId="7D9023EC" w14:textId="77777777" w:rsidR="006D7479" w:rsidRDefault="006D7479">
        <w:pPr>
          <w:pStyle w:val="Footer"/>
          <w:jc w:val="center"/>
        </w:pPr>
      </w:p>
      <w:p w14:paraId="7A345C90" w14:textId="401B9782" w:rsidR="00B54509" w:rsidRPr="00473018" w:rsidRDefault="00B54509">
        <w:pPr>
          <w:pStyle w:val="Footer"/>
          <w:jc w:val="center"/>
          <w:rPr>
            <w:sz w:val="20"/>
            <w:szCs w:val="20"/>
          </w:rPr>
        </w:pPr>
        <w:r w:rsidRPr="00473018">
          <w:rPr>
            <w:sz w:val="20"/>
            <w:szCs w:val="20"/>
          </w:rPr>
          <w:fldChar w:fldCharType="begin"/>
        </w:r>
        <w:r w:rsidRPr="00473018">
          <w:rPr>
            <w:sz w:val="20"/>
            <w:szCs w:val="20"/>
          </w:rPr>
          <w:instrText xml:space="preserve"> PAGE   \* MERGEFORMAT </w:instrText>
        </w:r>
        <w:r w:rsidRPr="00473018">
          <w:rPr>
            <w:sz w:val="20"/>
            <w:szCs w:val="20"/>
          </w:rPr>
          <w:fldChar w:fldCharType="separate"/>
        </w:r>
        <w:r w:rsidRPr="00473018">
          <w:rPr>
            <w:noProof/>
            <w:sz w:val="20"/>
            <w:szCs w:val="20"/>
          </w:rPr>
          <w:t>2</w:t>
        </w:r>
        <w:r w:rsidRPr="00473018">
          <w:rPr>
            <w:noProof/>
            <w:sz w:val="20"/>
            <w:szCs w:val="20"/>
          </w:rPr>
          <w:fldChar w:fldCharType="end"/>
        </w:r>
      </w:p>
    </w:sdtContent>
  </w:sdt>
  <w:p w14:paraId="0DCB58DF" w14:textId="5BDCFDF8" w:rsidR="3A1C45A9" w:rsidRDefault="3A1C45A9" w:rsidP="3A1C4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FA50" w14:textId="77777777" w:rsidR="006A5C60" w:rsidRDefault="006A5C60" w:rsidP="00C30D13">
      <w:pPr>
        <w:spacing w:after="0" w:line="240" w:lineRule="auto"/>
      </w:pPr>
      <w:r>
        <w:separator/>
      </w:r>
    </w:p>
  </w:footnote>
  <w:footnote w:type="continuationSeparator" w:id="0">
    <w:p w14:paraId="12D20ED1" w14:textId="77777777" w:rsidR="006A5C60" w:rsidRDefault="006A5C60" w:rsidP="00C30D13">
      <w:pPr>
        <w:spacing w:after="0" w:line="240" w:lineRule="auto"/>
      </w:pPr>
      <w:r>
        <w:continuationSeparator/>
      </w:r>
    </w:p>
  </w:footnote>
  <w:footnote w:type="continuationNotice" w:id="1">
    <w:p w14:paraId="4F493988" w14:textId="77777777" w:rsidR="006A5C60" w:rsidRDefault="006A5C60">
      <w:pPr>
        <w:spacing w:after="0" w:line="240" w:lineRule="auto"/>
      </w:pPr>
    </w:p>
  </w:footnote>
  <w:footnote w:id="2">
    <w:p w14:paraId="061FD9BE" w14:textId="693D2008" w:rsidR="00C91155" w:rsidRPr="00C91155" w:rsidRDefault="00C91155">
      <w:pPr>
        <w:pStyle w:val="FootnoteText"/>
        <w:rPr>
          <w:lang w:eastAsia="ko-KR"/>
        </w:rPr>
      </w:pPr>
      <w:r>
        <w:rPr>
          <w:rStyle w:val="FootnoteReference"/>
        </w:rPr>
        <w:footnoteRef/>
      </w:r>
      <w:r>
        <w:t xml:space="preserve"> </w:t>
      </w:r>
      <w:r w:rsidR="008254E2">
        <w:t xml:space="preserve">Annex A, </w:t>
      </w:r>
      <w:r>
        <w:rPr>
          <w:rFonts w:hint="eastAsia"/>
          <w:lang w:eastAsia="ko-KR"/>
        </w:rPr>
        <w:t>C</w:t>
      </w:r>
      <w:r>
        <w:rPr>
          <w:lang w:eastAsia="ko-KR"/>
        </w:rPr>
        <w:t xml:space="preserve">onstitution of Malawi, § 42(2)(c); </w:t>
      </w:r>
      <w:r w:rsidR="008254E2">
        <w:rPr>
          <w:lang w:eastAsia="ko-KR"/>
        </w:rPr>
        <w:t xml:space="preserve">Annex B, </w:t>
      </w:r>
      <w:r w:rsidR="00AA504A">
        <w:rPr>
          <w:lang w:eastAsia="ko-KR"/>
        </w:rPr>
        <w:t xml:space="preserve">Criminal Procedure and Evidence Code, </w:t>
      </w:r>
      <w:r w:rsidR="00571B05">
        <w:rPr>
          <w:lang w:eastAsia="ko-KR"/>
        </w:rPr>
        <w:t xml:space="preserve">Act 36 of 1967, </w:t>
      </w:r>
      <w:r w:rsidR="00AA504A">
        <w:rPr>
          <w:lang w:eastAsia="ko-KR"/>
        </w:rPr>
        <w:t>§ 176.</w:t>
      </w:r>
    </w:p>
  </w:footnote>
  <w:footnote w:id="3">
    <w:p w14:paraId="3D3FF866" w14:textId="0352DE92" w:rsidR="00FB4534" w:rsidRPr="0056352D" w:rsidRDefault="0037389B" w:rsidP="00FB4534">
      <w:pPr>
        <w:pStyle w:val="FootnoteText"/>
        <w:rPr>
          <w:rFonts w:cstheme="minorHAnsi"/>
        </w:rPr>
      </w:pPr>
      <w:r>
        <w:rPr>
          <w:rStyle w:val="FootnoteReference"/>
        </w:rPr>
        <w:footnoteRef/>
      </w:r>
      <w:r>
        <w:t xml:space="preserve"> </w:t>
      </w:r>
      <w:r>
        <w:rPr>
          <w:lang w:eastAsia="ko-KR"/>
        </w:rPr>
        <w:t>For example</w:t>
      </w:r>
      <w:r w:rsidR="00EF3A0F">
        <w:rPr>
          <w:lang w:eastAsia="ko-KR"/>
        </w:rPr>
        <w:t>,</w:t>
      </w:r>
      <w:r w:rsidRPr="0037389B">
        <w:rPr>
          <w:lang w:eastAsia="ko-KR"/>
        </w:rPr>
        <w:t xml:space="preserve"> in </w:t>
      </w:r>
      <w:r w:rsidRPr="00FB4534">
        <w:rPr>
          <w:i/>
          <w:iCs/>
          <w:lang w:eastAsia="ko-KR"/>
        </w:rPr>
        <w:t xml:space="preserve">Republic v </w:t>
      </w:r>
      <w:proofErr w:type="spellStart"/>
      <w:r w:rsidRPr="00FB4534">
        <w:rPr>
          <w:i/>
          <w:iCs/>
          <w:lang w:eastAsia="ko-KR"/>
        </w:rPr>
        <w:t>Chinthiti</w:t>
      </w:r>
      <w:proofErr w:type="spellEnd"/>
      <w:r w:rsidRPr="00FB4534">
        <w:rPr>
          <w:i/>
          <w:iCs/>
          <w:lang w:eastAsia="ko-KR"/>
        </w:rPr>
        <w:t xml:space="preserve"> </w:t>
      </w:r>
      <w:r w:rsidRPr="0037389B">
        <w:rPr>
          <w:lang w:eastAsia="ko-KR"/>
        </w:rPr>
        <w:t>(Criminal Case. No 17 of 1997)</w:t>
      </w:r>
      <w:r w:rsidR="00EF3A0F">
        <w:rPr>
          <w:lang w:eastAsia="ko-KR"/>
        </w:rPr>
        <w:t xml:space="preserve"> (unreported), one</w:t>
      </w:r>
      <w:r w:rsidR="00142CFC">
        <w:rPr>
          <w:lang w:eastAsia="ko-KR"/>
        </w:rPr>
        <w:t xml:space="preserve"> High Court </w:t>
      </w:r>
      <w:r w:rsidR="00EF3A0F">
        <w:rPr>
          <w:lang w:eastAsia="ko-KR"/>
        </w:rPr>
        <w:t>judge suggested</w:t>
      </w:r>
      <w:r w:rsidR="00142CFC">
        <w:rPr>
          <w:lang w:eastAsia="ko-KR"/>
        </w:rPr>
        <w:t xml:space="preserve"> that section 176 is unconstitutional</w:t>
      </w:r>
      <w:r w:rsidRPr="0037389B">
        <w:rPr>
          <w:lang w:eastAsia="ko-KR"/>
        </w:rPr>
        <w:t>.</w:t>
      </w:r>
      <w:r w:rsidR="00FB4534" w:rsidRPr="00FB4534">
        <w:rPr>
          <w:rFonts w:cstheme="minorHAnsi"/>
          <w:i/>
          <w:iCs/>
        </w:rPr>
        <w:t xml:space="preserve"> </w:t>
      </w:r>
      <w:r w:rsidR="00FB4534">
        <w:rPr>
          <w:rFonts w:cstheme="minorHAnsi"/>
        </w:rPr>
        <w:t xml:space="preserve">In </w:t>
      </w:r>
      <w:proofErr w:type="spellStart"/>
      <w:r w:rsidR="00FB4534" w:rsidRPr="0056352D">
        <w:rPr>
          <w:rFonts w:cstheme="minorHAnsi"/>
          <w:i/>
          <w:iCs/>
        </w:rPr>
        <w:t>Palitu</w:t>
      </w:r>
      <w:proofErr w:type="spellEnd"/>
      <w:r w:rsidR="00FB4534" w:rsidRPr="0056352D">
        <w:rPr>
          <w:rFonts w:cstheme="minorHAnsi"/>
          <w:i/>
          <w:iCs/>
        </w:rPr>
        <w:t xml:space="preserve"> and Others v Republic</w:t>
      </w:r>
      <w:r w:rsidR="00FB4534" w:rsidRPr="0056352D">
        <w:rPr>
          <w:rFonts w:cstheme="minorHAnsi"/>
        </w:rPr>
        <w:t xml:space="preserve"> (Criminal Appeal No. 30 of 2001) [2001] MWHC 43 (19 September 2001</w:t>
      </w:r>
      <w:r w:rsidR="00FB4534">
        <w:rPr>
          <w:rFonts w:cstheme="minorHAnsi"/>
        </w:rPr>
        <w:t xml:space="preserve">), </w:t>
      </w:r>
      <w:r w:rsidR="00C176A7">
        <w:rPr>
          <w:rFonts w:cstheme="minorHAnsi"/>
        </w:rPr>
        <w:t xml:space="preserve">the High Court ruled that a forced confession </w:t>
      </w:r>
      <w:r w:rsidR="00EF3A0F">
        <w:rPr>
          <w:rFonts w:cstheme="minorHAnsi"/>
        </w:rPr>
        <w:t>can</w:t>
      </w:r>
      <w:r w:rsidR="00C176A7">
        <w:rPr>
          <w:rFonts w:cstheme="minorHAnsi"/>
        </w:rPr>
        <w:t xml:space="preserve"> be admitted as evidence but that no weight should be given to </w:t>
      </w:r>
      <w:r w:rsidR="00EF3A0F">
        <w:rPr>
          <w:rFonts w:cstheme="minorHAnsi"/>
        </w:rPr>
        <w:t>it</w:t>
      </w:r>
      <w:r w:rsidR="00C176A7">
        <w:rPr>
          <w:rFonts w:cstheme="minorHAnsi"/>
        </w:rPr>
        <w:t>.</w:t>
      </w:r>
    </w:p>
    <w:p w14:paraId="26550B5A" w14:textId="5A29302D" w:rsidR="0037389B" w:rsidRPr="0037389B" w:rsidRDefault="0037389B">
      <w:pPr>
        <w:pStyle w:val="FootnoteText"/>
        <w:rPr>
          <w:lang w:eastAsia="ko-KR"/>
        </w:rPr>
      </w:pPr>
    </w:p>
  </w:footnote>
  <w:footnote w:id="4">
    <w:p w14:paraId="1A6F917E" w14:textId="0EB59956" w:rsidR="00F7406D" w:rsidRPr="0056352D" w:rsidRDefault="00F7406D" w:rsidP="00F7406D">
      <w:pPr>
        <w:pStyle w:val="FootnoteText"/>
        <w:rPr>
          <w:rFonts w:cstheme="minorHAnsi"/>
          <w:lang w:val="en-US"/>
        </w:rPr>
      </w:pPr>
      <w:r w:rsidRPr="0056352D">
        <w:rPr>
          <w:rStyle w:val="FootnoteReference"/>
          <w:rFonts w:cstheme="minorHAnsi"/>
        </w:rPr>
        <w:footnoteRef/>
      </w:r>
      <w:r w:rsidRPr="0056352D">
        <w:rPr>
          <w:rFonts w:cstheme="minorHAnsi"/>
        </w:rPr>
        <w:t xml:space="preserve"> </w:t>
      </w:r>
      <w:r w:rsidR="008254E2">
        <w:t xml:space="preserve">Annex A, </w:t>
      </w:r>
      <w:r w:rsidRPr="0056352D">
        <w:rPr>
          <w:rFonts w:cstheme="minorHAnsi"/>
          <w:lang w:val="en-US"/>
        </w:rPr>
        <w:t xml:space="preserve">Constitution of Malawi, </w:t>
      </w:r>
      <w:r w:rsidR="008254E2">
        <w:rPr>
          <w:rFonts w:cstheme="minorHAnsi"/>
          <w:lang w:val="en-US"/>
        </w:rPr>
        <w:t>§§</w:t>
      </w:r>
      <w:r w:rsidR="00E245A1">
        <w:rPr>
          <w:rFonts w:cstheme="minorHAnsi"/>
          <w:lang w:val="en-US"/>
        </w:rPr>
        <w:t xml:space="preserve"> 19(3)</w:t>
      </w:r>
      <w:r w:rsidR="00B340F7">
        <w:rPr>
          <w:rFonts w:cstheme="minorHAnsi"/>
          <w:lang w:val="en-US"/>
        </w:rPr>
        <w:t>, 45(2)(b)</w:t>
      </w:r>
      <w:r w:rsidRPr="0056352D">
        <w:rPr>
          <w:rFonts w:cstheme="minorHAnsi"/>
          <w:lang w:val="en-US"/>
        </w:rPr>
        <w:t>.</w:t>
      </w:r>
    </w:p>
  </w:footnote>
  <w:footnote w:id="5">
    <w:p w14:paraId="5D0F1D56" w14:textId="5BF710B9" w:rsidR="008D1EA9" w:rsidRDefault="008D1EA9">
      <w:pPr>
        <w:pStyle w:val="FootnoteText"/>
        <w:rPr>
          <w:lang w:eastAsia="ko-KR"/>
        </w:rPr>
      </w:pPr>
      <w:r>
        <w:rPr>
          <w:rStyle w:val="FootnoteReference"/>
        </w:rPr>
        <w:footnoteRef/>
      </w:r>
      <w:r w:rsidR="008254E2">
        <w:t xml:space="preserve"> Annex E,</w:t>
      </w:r>
      <w:r>
        <w:t xml:space="preserve"> </w:t>
      </w:r>
      <w:r w:rsidR="00D92CD9">
        <w:rPr>
          <w:rFonts w:hint="eastAsia"/>
          <w:lang w:eastAsia="ko-KR"/>
        </w:rPr>
        <w:t>P</w:t>
      </w:r>
      <w:r w:rsidR="00D92CD9">
        <w:rPr>
          <w:lang w:eastAsia="ko-KR"/>
        </w:rPr>
        <w:t xml:space="preserve">rison Act, Ch. 9:02, </w:t>
      </w:r>
      <w:r w:rsidR="008254E2">
        <w:rPr>
          <w:lang w:eastAsia="ko-KR"/>
        </w:rPr>
        <w:t>§§</w:t>
      </w:r>
      <w:r w:rsidR="00D92CD9">
        <w:rPr>
          <w:lang w:eastAsia="ko-KR"/>
        </w:rPr>
        <w:t xml:space="preserve"> 18-19, </w:t>
      </w:r>
      <w:r w:rsidR="00894D97">
        <w:rPr>
          <w:lang w:eastAsia="ko-KR"/>
        </w:rPr>
        <w:t xml:space="preserve">43(xii), (xiv), </w:t>
      </w:r>
      <w:r w:rsidR="00377703">
        <w:rPr>
          <w:lang w:eastAsia="ko-KR"/>
        </w:rPr>
        <w:t>(xxxiii).</w:t>
      </w:r>
    </w:p>
  </w:footnote>
  <w:footnote w:id="6">
    <w:p w14:paraId="4CB607B6" w14:textId="504B8113" w:rsidR="00C952DF" w:rsidRDefault="00C952DF">
      <w:pPr>
        <w:pStyle w:val="FootnoteText"/>
        <w:rPr>
          <w:lang w:eastAsia="ko-KR"/>
        </w:rPr>
      </w:pPr>
      <w:r>
        <w:rPr>
          <w:rStyle w:val="FootnoteReference"/>
        </w:rPr>
        <w:footnoteRef/>
      </w:r>
      <w:r>
        <w:t xml:space="preserve"> </w:t>
      </w:r>
      <w:r w:rsidR="001E0B94">
        <w:t>Ibid.</w:t>
      </w:r>
      <w:r w:rsidR="00D512E8">
        <w:t xml:space="preserve">, </w:t>
      </w:r>
      <w:r w:rsidR="00CC5B3D">
        <w:t>§§</w:t>
      </w:r>
      <w:r w:rsidR="00854279">
        <w:t xml:space="preserve"> </w:t>
      </w:r>
      <w:r w:rsidR="00D84EB1">
        <w:t>46-47, 51.</w:t>
      </w:r>
    </w:p>
  </w:footnote>
  <w:footnote w:id="7">
    <w:p w14:paraId="68592978" w14:textId="555D74C0" w:rsidR="00F035A7" w:rsidRDefault="00F035A7">
      <w:pPr>
        <w:pStyle w:val="FootnoteText"/>
        <w:rPr>
          <w:lang w:eastAsia="ko-KR"/>
        </w:rPr>
      </w:pPr>
      <w:r>
        <w:rPr>
          <w:rStyle w:val="FootnoteReference"/>
        </w:rPr>
        <w:footnoteRef/>
      </w:r>
      <w:r>
        <w:t xml:space="preserve"> </w:t>
      </w:r>
      <w:r w:rsidR="008254E2">
        <w:t xml:space="preserve">Annex F, </w:t>
      </w:r>
      <w:r>
        <w:rPr>
          <w:lang w:eastAsia="ko-KR"/>
        </w:rPr>
        <w:t xml:space="preserve">Human Rights Commission Act, Ch. 3:08, </w:t>
      </w:r>
      <w:r w:rsidR="00333476">
        <w:rPr>
          <w:lang w:eastAsia="ko-KR"/>
        </w:rPr>
        <w:t>§§</w:t>
      </w:r>
      <w:r>
        <w:rPr>
          <w:lang w:eastAsia="ko-KR"/>
        </w:rPr>
        <w:t xml:space="preserve"> 11, 12</w:t>
      </w:r>
      <w:r w:rsidR="005D2F25">
        <w:rPr>
          <w:lang w:eastAsia="ko-KR"/>
        </w:rPr>
        <w:t>.</w:t>
      </w:r>
    </w:p>
  </w:footnote>
  <w:footnote w:id="8">
    <w:p w14:paraId="39D60DF7" w14:textId="0F00101C" w:rsidR="00E34F0F" w:rsidRDefault="00E34F0F">
      <w:pPr>
        <w:pStyle w:val="FootnoteText"/>
        <w:rPr>
          <w:lang w:eastAsia="ko-KR"/>
        </w:rPr>
      </w:pPr>
      <w:r>
        <w:rPr>
          <w:rStyle w:val="FootnoteReference"/>
        </w:rPr>
        <w:footnoteRef/>
      </w:r>
      <w:r>
        <w:t xml:space="preserve"> </w:t>
      </w:r>
      <w:r w:rsidR="00F53A72">
        <w:t>Ibid.</w:t>
      </w:r>
      <w:r>
        <w:rPr>
          <w:lang w:eastAsia="ko-KR"/>
        </w:rPr>
        <w:t xml:space="preserve">, </w:t>
      </w:r>
      <w:r w:rsidR="00333476">
        <w:rPr>
          <w:lang w:eastAsia="ko-KR"/>
        </w:rPr>
        <w:t>§</w:t>
      </w:r>
      <w:r>
        <w:rPr>
          <w:lang w:eastAsia="ko-KR"/>
        </w:rPr>
        <w:t xml:space="preserve"> 11. </w:t>
      </w:r>
    </w:p>
  </w:footnote>
  <w:footnote w:id="9">
    <w:p w14:paraId="6F079F9B" w14:textId="5B86C0DB" w:rsidR="00672370" w:rsidRPr="009813CC" w:rsidRDefault="00672370" w:rsidP="00672370">
      <w:pPr>
        <w:pStyle w:val="FootnoteText"/>
        <w:rPr>
          <w:lang w:eastAsia="ko-KR"/>
        </w:rPr>
      </w:pPr>
      <w:r>
        <w:rPr>
          <w:rStyle w:val="FootnoteReference"/>
        </w:rPr>
        <w:footnoteRef/>
      </w:r>
      <w:r>
        <w:t xml:space="preserve"> </w:t>
      </w:r>
      <w:r w:rsidR="008254E2">
        <w:t xml:space="preserve">Annex G, </w:t>
      </w:r>
      <w:r>
        <w:rPr>
          <w:lang w:eastAsia="ko-KR"/>
        </w:rPr>
        <w:t xml:space="preserve">Police Act, Ch. 13:01, </w:t>
      </w:r>
      <w:r w:rsidR="00CC5B3D">
        <w:rPr>
          <w:lang w:eastAsia="ko-KR"/>
        </w:rPr>
        <w:t>§</w:t>
      </w:r>
      <w:r>
        <w:rPr>
          <w:lang w:eastAsia="ko-KR"/>
        </w:rPr>
        <w:t xml:space="preserve"> 129</w:t>
      </w:r>
      <w:r w:rsidR="00C91ADD">
        <w:rPr>
          <w:lang w:eastAsia="ko-KR"/>
        </w:rPr>
        <w:t xml:space="preserve"> (Annex G)</w:t>
      </w:r>
      <w:r>
        <w:rPr>
          <w:lang w:eastAsia="ko-KR"/>
        </w:rPr>
        <w:t>.</w:t>
      </w:r>
    </w:p>
  </w:footnote>
  <w:footnote w:id="10">
    <w:p w14:paraId="1282F845" w14:textId="40C713C7" w:rsidR="00672370" w:rsidRDefault="00672370" w:rsidP="00672370">
      <w:pPr>
        <w:pStyle w:val="FootnoteText"/>
        <w:rPr>
          <w:lang w:eastAsia="ko-KR"/>
        </w:rPr>
      </w:pPr>
      <w:r>
        <w:rPr>
          <w:rStyle w:val="FootnoteReference"/>
        </w:rPr>
        <w:footnoteRef/>
      </w:r>
      <w:r>
        <w:t xml:space="preserve"> </w:t>
      </w:r>
      <w:r w:rsidR="00F53A72">
        <w:t>Ibid.</w:t>
      </w:r>
      <w:r>
        <w:rPr>
          <w:lang w:eastAsia="ko-KR"/>
        </w:rPr>
        <w:t xml:space="preserve">, </w:t>
      </w:r>
      <w:r w:rsidR="00CC5B3D">
        <w:rPr>
          <w:lang w:eastAsia="ko-KR"/>
        </w:rPr>
        <w:t>§</w:t>
      </w:r>
      <w:r>
        <w:rPr>
          <w:lang w:eastAsia="ko-KR"/>
        </w:rPr>
        <w:t xml:space="preserve"> 131.</w:t>
      </w:r>
    </w:p>
  </w:footnote>
  <w:footnote w:id="11">
    <w:p w14:paraId="1F8F5E38" w14:textId="540049ED" w:rsidR="00BC3747" w:rsidRDefault="00BC3747">
      <w:pPr>
        <w:pStyle w:val="FootnoteText"/>
        <w:rPr>
          <w:lang w:eastAsia="ko-KR"/>
        </w:rPr>
      </w:pPr>
      <w:r>
        <w:rPr>
          <w:rStyle w:val="FootnoteReference"/>
        </w:rPr>
        <w:footnoteRef/>
      </w:r>
      <w:r>
        <w:t xml:space="preserve"> </w:t>
      </w:r>
      <w:r w:rsidR="008254E2">
        <w:t xml:space="preserve">Annex A, </w:t>
      </w:r>
      <w:r>
        <w:rPr>
          <w:lang w:eastAsia="ko-KR"/>
        </w:rPr>
        <w:t xml:space="preserve">Constitution of Malawi, </w:t>
      </w:r>
      <w:r w:rsidR="00CC5B3D">
        <w:rPr>
          <w:lang w:eastAsia="ko-KR"/>
        </w:rPr>
        <w:t>§</w:t>
      </w:r>
      <w:r>
        <w:rPr>
          <w:lang w:eastAsia="ko-KR"/>
        </w:rPr>
        <w:t xml:space="preserve"> 169.</w:t>
      </w:r>
    </w:p>
  </w:footnote>
  <w:footnote w:id="12">
    <w:p w14:paraId="3D0F77E5" w14:textId="621EE995" w:rsidR="00BC3747" w:rsidRPr="00E1400C" w:rsidRDefault="00BC3747" w:rsidP="00BC3747">
      <w:pPr>
        <w:pStyle w:val="FootnoteText"/>
        <w:rPr>
          <w:lang w:eastAsia="ko-KR"/>
        </w:rPr>
      </w:pPr>
      <w:r>
        <w:rPr>
          <w:rStyle w:val="FootnoteReference"/>
        </w:rPr>
        <w:footnoteRef/>
      </w:r>
      <w:r>
        <w:t xml:space="preserve"> </w:t>
      </w:r>
      <w:r w:rsidR="00F53A72">
        <w:t>Ibid.</w:t>
      </w:r>
      <w:r>
        <w:rPr>
          <w:lang w:eastAsia="ko-KR"/>
        </w:rPr>
        <w:t xml:space="preserve">, </w:t>
      </w:r>
      <w:r w:rsidR="00CC5B3D">
        <w:rPr>
          <w:lang w:eastAsia="ko-KR"/>
        </w:rPr>
        <w:t>§</w:t>
      </w:r>
      <w:r>
        <w:rPr>
          <w:lang w:eastAsia="ko-KR"/>
        </w:rPr>
        <w:t>170(1).</w:t>
      </w:r>
    </w:p>
  </w:footnote>
  <w:footnote w:id="13">
    <w:p w14:paraId="1194AFC8" w14:textId="65007C55" w:rsidR="00972205" w:rsidRPr="00EF0952" w:rsidRDefault="00972205" w:rsidP="00972205">
      <w:pPr>
        <w:pStyle w:val="FootnoteText"/>
        <w:rPr>
          <w:lang w:eastAsia="ko-KR"/>
        </w:rPr>
      </w:pPr>
      <w:r>
        <w:rPr>
          <w:rStyle w:val="FootnoteReference"/>
        </w:rPr>
        <w:footnoteRef/>
      </w:r>
      <w:r>
        <w:t xml:space="preserve"> </w:t>
      </w:r>
      <w:r w:rsidR="00F53A72">
        <w:t>Ibid.</w:t>
      </w:r>
      <w:r>
        <w:rPr>
          <w:lang w:eastAsia="ko-KR"/>
        </w:rPr>
        <w:t xml:space="preserve">, </w:t>
      </w:r>
      <w:r w:rsidR="00CC5B3D">
        <w:rPr>
          <w:lang w:eastAsia="ko-KR"/>
        </w:rPr>
        <w:t xml:space="preserve">§§ </w:t>
      </w:r>
      <w:r>
        <w:rPr>
          <w:lang w:eastAsia="ko-KR"/>
        </w:rPr>
        <w:t>129-31.</w:t>
      </w:r>
    </w:p>
  </w:footnote>
  <w:footnote w:id="14">
    <w:p w14:paraId="10284BF3" w14:textId="5843D570" w:rsidR="00972205" w:rsidRPr="00706D70" w:rsidRDefault="00972205" w:rsidP="00972205">
      <w:pPr>
        <w:pStyle w:val="FootnoteText"/>
        <w:rPr>
          <w:lang w:eastAsia="ko-KR"/>
        </w:rPr>
      </w:pPr>
      <w:r>
        <w:rPr>
          <w:rStyle w:val="FootnoteReference"/>
        </w:rPr>
        <w:footnoteRef/>
      </w:r>
      <w:r>
        <w:t xml:space="preserve"> </w:t>
      </w:r>
      <w:r w:rsidR="00616A27">
        <w:t xml:space="preserve">Annex F, </w:t>
      </w:r>
      <w:r>
        <w:rPr>
          <w:lang w:eastAsia="ko-KR"/>
        </w:rPr>
        <w:t xml:space="preserve">Human Rights Commission Act, Ch. 3:08, </w:t>
      </w:r>
      <w:r w:rsidR="00333476">
        <w:rPr>
          <w:lang w:eastAsia="ko-KR"/>
        </w:rPr>
        <w:t>§§</w:t>
      </w:r>
      <w:r>
        <w:rPr>
          <w:lang w:eastAsia="ko-KR"/>
        </w:rPr>
        <w:t xml:space="preserve"> 12, 16(2) (2017).</w:t>
      </w:r>
    </w:p>
  </w:footnote>
  <w:footnote w:id="15">
    <w:p w14:paraId="74F66268" w14:textId="7D4B2983" w:rsidR="00972205" w:rsidRPr="009F07CB" w:rsidRDefault="00972205" w:rsidP="00972205">
      <w:pPr>
        <w:pStyle w:val="FootnoteText"/>
        <w:rPr>
          <w:lang w:eastAsia="ko-KR"/>
        </w:rPr>
      </w:pPr>
      <w:r>
        <w:rPr>
          <w:rStyle w:val="FootnoteReference"/>
        </w:rPr>
        <w:footnoteRef/>
      </w:r>
      <w:r>
        <w:t xml:space="preserve"> </w:t>
      </w:r>
      <w:r w:rsidR="008254E2">
        <w:t xml:space="preserve">Annex A, </w:t>
      </w:r>
      <w:r>
        <w:rPr>
          <w:lang w:eastAsia="ko-KR"/>
        </w:rPr>
        <w:t xml:space="preserve">Constitution of Malawi, </w:t>
      </w:r>
      <w:r w:rsidR="00CC5B3D">
        <w:rPr>
          <w:lang w:eastAsia="ko-KR"/>
        </w:rPr>
        <w:t xml:space="preserve">§ </w:t>
      </w:r>
      <w:r>
        <w:rPr>
          <w:lang w:eastAsia="ko-KR"/>
        </w:rPr>
        <w:t>130.</w:t>
      </w:r>
    </w:p>
  </w:footnote>
  <w:footnote w:id="16">
    <w:p w14:paraId="222B44F7" w14:textId="45C047E4" w:rsidR="00202CFD" w:rsidRDefault="00202CFD" w:rsidP="00202CFD">
      <w:pPr>
        <w:pStyle w:val="FootnoteText"/>
        <w:rPr>
          <w:lang w:eastAsia="ko-KR"/>
        </w:rPr>
      </w:pPr>
      <w:r>
        <w:rPr>
          <w:rStyle w:val="FootnoteReference"/>
        </w:rPr>
        <w:footnoteRef/>
      </w:r>
      <w:r>
        <w:t xml:space="preserve"> </w:t>
      </w:r>
      <w:r w:rsidR="00616A27">
        <w:t xml:space="preserve">Annex G, </w:t>
      </w:r>
      <w:r>
        <w:rPr>
          <w:lang w:eastAsia="ko-KR"/>
        </w:rPr>
        <w:t xml:space="preserve">Police Act, Ch. 13:01, </w:t>
      </w:r>
      <w:r w:rsidR="002A5094">
        <w:rPr>
          <w:lang w:eastAsia="ko-KR"/>
        </w:rPr>
        <w:t>§§</w:t>
      </w:r>
      <w:r>
        <w:rPr>
          <w:lang w:eastAsia="ko-KR"/>
        </w:rPr>
        <w:t xml:space="preserve"> 128-148.</w:t>
      </w:r>
    </w:p>
  </w:footnote>
  <w:footnote w:id="17">
    <w:p w14:paraId="4E35E561" w14:textId="6F402082" w:rsidR="007B6579" w:rsidRPr="0056352D" w:rsidRDefault="007B6579" w:rsidP="007B6579">
      <w:pPr>
        <w:pStyle w:val="FootnoteText"/>
        <w:rPr>
          <w:rFonts w:cstheme="minorHAnsi"/>
          <w:lang w:eastAsia="ko-KR"/>
        </w:rPr>
      </w:pPr>
      <w:r w:rsidRPr="0056352D">
        <w:rPr>
          <w:rStyle w:val="FootnoteReference"/>
          <w:rFonts w:cstheme="minorHAnsi"/>
        </w:rPr>
        <w:footnoteRef/>
      </w:r>
      <w:r w:rsidRPr="0056352D">
        <w:rPr>
          <w:rFonts w:cstheme="minorHAnsi"/>
        </w:rPr>
        <w:t xml:space="preserve"> </w:t>
      </w:r>
      <w:r w:rsidR="00F53A72">
        <w:t>Ibid.</w:t>
      </w:r>
      <w:r w:rsidRPr="0056352D">
        <w:rPr>
          <w:rFonts w:cstheme="minorHAnsi"/>
          <w:lang w:eastAsia="ko-KR"/>
        </w:rPr>
        <w:t xml:space="preserve">, </w:t>
      </w:r>
      <w:r w:rsidR="002A5094">
        <w:rPr>
          <w:rFonts w:cstheme="minorHAnsi"/>
          <w:lang w:eastAsia="ko-KR"/>
        </w:rPr>
        <w:t>§</w:t>
      </w:r>
      <w:r w:rsidRPr="0056352D">
        <w:rPr>
          <w:rFonts w:cstheme="minorHAnsi"/>
          <w:lang w:eastAsia="ko-KR"/>
        </w:rPr>
        <w:t xml:space="preserve"> 129.</w:t>
      </w:r>
    </w:p>
  </w:footnote>
  <w:footnote w:id="18">
    <w:p w14:paraId="1A1CAB65" w14:textId="77777777" w:rsidR="00E52E04" w:rsidRPr="0056352D" w:rsidRDefault="00E52E04" w:rsidP="00E52E04">
      <w:pPr>
        <w:pStyle w:val="FootnoteText"/>
        <w:rPr>
          <w:rFonts w:cstheme="minorHAnsi"/>
          <w:lang w:eastAsia="ko-KR"/>
        </w:rPr>
      </w:pPr>
      <w:r w:rsidRPr="0056352D">
        <w:rPr>
          <w:rStyle w:val="FootnoteReference"/>
          <w:rFonts w:cstheme="minorHAnsi"/>
        </w:rPr>
        <w:footnoteRef/>
      </w:r>
      <w:r>
        <w:rPr>
          <w:rFonts w:cstheme="minorHAnsi"/>
        </w:rPr>
        <w:t xml:space="preserve"> </w:t>
      </w:r>
      <w:r w:rsidRPr="0056352D">
        <w:rPr>
          <w:rFonts w:cstheme="minorHAnsi"/>
        </w:rPr>
        <w:t xml:space="preserve">The Daily Times, </w:t>
      </w:r>
      <w:r>
        <w:rPr>
          <w:rFonts w:cstheme="minorHAnsi"/>
        </w:rPr>
        <w:t>“</w:t>
      </w:r>
      <w:proofErr w:type="spellStart"/>
      <w:r w:rsidRPr="0056352D">
        <w:rPr>
          <w:rFonts w:cstheme="minorHAnsi"/>
        </w:rPr>
        <w:t>Msundwe</w:t>
      </w:r>
      <w:proofErr w:type="spellEnd"/>
      <w:r w:rsidRPr="0056352D">
        <w:rPr>
          <w:rFonts w:cstheme="minorHAnsi"/>
        </w:rPr>
        <w:t xml:space="preserve"> Investigation October 1</w:t>
      </w:r>
      <w:r>
        <w:rPr>
          <w:rFonts w:cstheme="minorHAnsi"/>
        </w:rPr>
        <w:t>”,</w:t>
      </w:r>
      <w:r w:rsidRPr="0056352D">
        <w:rPr>
          <w:rFonts w:cstheme="minorHAnsi"/>
        </w:rPr>
        <w:t xml:space="preserve"> 17 September 2021</w:t>
      </w:r>
      <w:r>
        <w:rPr>
          <w:rFonts w:cstheme="minorHAnsi"/>
        </w:rPr>
        <w:t xml:space="preserve">. Available at </w:t>
      </w:r>
      <w:r w:rsidRPr="0056352D">
        <w:rPr>
          <w:rFonts w:cstheme="minorHAnsi"/>
        </w:rPr>
        <w:t>https://www.africannewsagency.com/times-group-malawi/msundwe-investigation-october-1-704b63af-0a90-5358-b24a-73c28f7f0dd6/</w:t>
      </w:r>
      <w:r>
        <w:rPr>
          <w:rFonts w:cstheme="minorHAnsi"/>
        </w:rPr>
        <w:t>.</w:t>
      </w:r>
    </w:p>
  </w:footnote>
  <w:footnote w:id="19">
    <w:p w14:paraId="71018714" w14:textId="77777777" w:rsidR="00202CFD" w:rsidRPr="0056352D" w:rsidRDefault="00202CFD" w:rsidP="00202CFD">
      <w:pPr>
        <w:pStyle w:val="FootnoteText"/>
        <w:rPr>
          <w:rFonts w:cstheme="minorHAnsi"/>
          <w:lang w:eastAsia="ko-KR"/>
        </w:rPr>
      </w:pPr>
      <w:r w:rsidRPr="0056352D">
        <w:rPr>
          <w:rStyle w:val="FootnoteReference"/>
          <w:rFonts w:cstheme="minorHAnsi"/>
        </w:rPr>
        <w:footnoteRef/>
      </w:r>
      <w:r w:rsidRPr="0056352D">
        <w:rPr>
          <w:rFonts w:cstheme="minorHAnsi"/>
        </w:rPr>
        <w:t xml:space="preserve"> </w:t>
      </w:r>
      <w:r>
        <w:rPr>
          <w:rFonts w:cstheme="minorHAnsi"/>
        </w:rPr>
        <w:t>“</w:t>
      </w:r>
      <w:r w:rsidRPr="0056352D">
        <w:rPr>
          <w:rFonts w:cstheme="minorHAnsi"/>
          <w:lang w:eastAsia="ko-KR"/>
        </w:rPr>
        <w:t>Policing the Malawi Police</w:t>
      </w:r>
      <w:r>
        <w:rPr>
          <w:rFonts w:cstheme="minorHAnsi"/>
          <w:lang w:eastAsia="ko-KR"/>
        </w:rPr>
        <w:t>”</w:t>
      </w:r>
      <w:r w:rsidRPr="0056352D">
        <w:rPr>
          <w:rFonts w:cstheme="minorHAnsi"/>
          <w:lang w:eastAsia="ko-KR"/>
        </w:rPr>
        <w:t>, MW Nation</w:t>
      </w:r>
      <w:r>
        <w:rPr>
          <w:rFonts w:cstheme="minorHAnsi"/>
          <w:lang w:eastAsia="ko-KR"/>
        </w:rPr>
        <w:t xml:space="preserve">, </w:t>
      </w:r>
      <w:r w:rsidRPr="0056352D">
        <w:rPr>
          <w:rFonts w:cstheme="minorHAnsi"/>
          <w:lang w:eastAsia="ko-KR"/>
        </w:rPr>
        <w:t>28 September 2021</w:t>
      </w:r>
      <w:r>
        <w:rPr>
          <w:rFonts w:cstheme="minorHAnsi"/>
          <w:lang w:eastAsia="ko-KR"/>
        </w:rPr>
        <w:t>. Available at</w:t>
      </w:r>
      <w:r w:rsidRPr="0056352D">
        <w:rPr>
          <w:rFonts w:cstheme="minorHAnsi"/>
          <w:lang w:eastAsia="ko-KR"/>
        </w:rPr>
        <w:t xml:space="preserve"> https://mwnation.com/policing-the-malawi-police/.</w:t>
      </w:r>
    </w:p>
  </w:footnote>
  <w:footnote w:id="20">
    <w:p w14:paraId="2B2A3006" w14:textId="0819A465" w:rsidR="00972205" w:rsidRPr="00994BCB" w:rsidRDefault="00972205" w:rsidP="00972205">
      <w:pPr>
        <w:pStyle w:val="FootnoteText"/>
        <w:rPr>
          <w:lang w:eastAsia="ko-KR"/>
        </w:rPr>
      </w:pPr>
      <w:r>
        <w:rPr>
          <w:rStyle w:val="FootnoteReference"/>
        </w:rPr>
        <w:footnoteRef/>
      </w:r>
      <w:r>
        <w:t xml:space="preserve"> </w:t>
      </w:r>
      <w:r w:rsidR="002A5094">
        <w:t xml:space="preserve">Annex A, </w:t>
      </w:r>
      <w:r>
        <w:rPr>
          <w:lang w:eastAsia="ko-KR"/>
        </w:rPr>
        <w:t xml:space="preserve">Constitution of Malawi, </w:t>
      </w:r>
      <w:r w:rsidR="002A5094">
        <w:rPr>
          <w:lang w:eastAsia="ko-KR"/>
        </w:rPr>
        <w:t>§§</w:t>
      </w:r>
      <w:r>
        <w:rPr>
          <w:lang w:eastAsia="ko-KR"/>
        </w:rPr>
        <w:t xml:space="preserve"> 169-70.</w:t>
      </w:r>
    </w:p>
  </w:footnote>
  <w:footnote w:id="21">
    <w:p w14:paraId="68802350" w14:textId="36CDD515" w:rsidR="009C4273" w:rsidRPr="00E22E30" w:rsidRDefault="009C4273" w:rsidP="009C4273">
      <w:pPr>
        <w:pStyle w:val="FootnoteText"/>
        <w:rPr>
          <w:lang w:eastAsia="ko-KR"/>
        </w:rPr>
      </w:pPr>
      <w:r>
        <w:rPr>
          <w:rStyle w:val="FootnoteReference"/>
        </w:rPr>
        <w:footnoteRef/>
      </w:r>
      <w:r>
        <w:t xml:space="preserve"> </w:t>
      </w:r>
      <w:r w:rsidR="008E3F7A">
        <w:t xml:space="preserve">Annex H, </w:t>
      </w:r>
      <w:r w:rsidRPr="0056352D">
        <w:rPr>
          <w:rFonts w:cstheme="minorHAnsi"/>
          <w:lang w:eastAsia="ko-KR"/>
        </w:rPr>
        <w:t>Malawi</w:t>
      </w:r>
      <w:r>
        <w:rPr>
          <w:rFonts w:cstheme="minorHAnsi"/>
          <w:lang w:eastAsia="ko-KR"/>
        </w:rPr>
        <w:t>,</w:t>
      </w:r>
      <w:r w:rsidRPr="0056352D">
        <w:rPr>
          <w:rFonts w:cstheme="minorHAnsi"/>
          <w:lang w:eastAsia="ko-KR"/>
        </w:rPr>
        <w:t xml:space="preserve"> Inspectorate of Prisons, </w:t>
      </w:r>
      <w:r w:rsidRPr="0056352D">
        <w:rPr>
          <w:rFonts w:cstheme="minorHAnsi"/>
          <w:i/>
          <w:iCs/>
          <w:lang w:eastAsia="ko-KR"/>
        </w:rPr>
        <w:t xml:space="preserve">The Report of the Inspection of Prisons and Police Cells Conducted by the Malawi Inspectorate of Prisons in </w:t>
      </w:r>
      <w:r>
        <w:rPr>
          <w:rFonts w:cstheme="minorHAnsi"/>
          <w:i/>
          <w:iCs/>
          <w:lang w:eastAsia="ko-KR"/>
        </w:rPr>
        <w:t xml:space="preserve">February, May, August </w:t>
      </w:r>
      <w:proofErr w:type="gramStart"/>
      <w:r>
        <w:rPr>
          <w:rFonts w:cstheme="minorHAnsi"/>
          <w:i/>
          <w:iCs/>
          <w:lang w:eastAsia="ko-KR"/>
        </w:rPr>
        <w:t>2020</w:t>
      </w:r>
      <w:proofErr w:type="gramEnd"/>
      <w:r>
        <w:rPr>
          <w:rFonts w:cstheme="minorHAnsi"/>
          <w:i/>
          <w:iCs/>
          <w:lang w:eastAsia="ko-KR"/>
        </w:rPr>
        <w:t xml:space="preserve"> and February 2021 </w:t>
      </w:r>
      <w:r w:rsidRPr="0056352D">
        <w:rPr>
          <w:rFonts w:cstheme="minorHAnsi"/>
          <w:lang w:eastAsia="ko-KR"/>
        </w:rPr>
        <w:t>(</w:t>
      </w:r>
      <w:r>
        <w:rPr>
          <w:rFonts w:cstheme="minorHAnsi"/>
          <w:lang w:eastAsia="ko-KR"/>
        </w:rPr>
        <w:t>February</w:t>
      </w:r>
      <w:r w:rsidRPr="0056352D">
        <w:rPr>
          <w:rFonts w:cstheme="minorHAnsi"/>
          <w:lang w:eastAsia="ko-KR"/>
        </w:rPr>
        <w:t xml:space="preserve"> </w:t>
      </w:r>
      <w:r>
        <w:rPr>
          <w:rFonts w:cstheme="minorHAnsi"/>
          <w:lang w:eastAsia="ko-KR"/>
        </w:rPr>
        <w:t>2021</w:t>
      </w:r>
      <w:r w:rsidRPr="0056352D">
        <w:rPr>
          <w:rFonts w:cstheme="minorHAnsi"/>
          <w:lang w:eastAsia="ko-KR"/>
        </w:rPr>
        <w:t>)</w:t>
      </w:r>
      <w:r>
        <w:rPr>
          <w:rFonts w:cstheme="minorHAnsi"/>
          <w:lang w:eastAsia="ko-KR"/>
        </w:rPr>
        <w:t>, p.</w:t>
      </w:r>
      <w:r w:rsidRPr="0056352D">
        <w:rPr>
          <w:rFonts w:cstheme="minorHAnsi"/>
          <w:lang w:eastAsia="ko-KR"/>
        </w:rPr>
        <w:t xml:space="preserve"> </w:t>
      </w:r>
      <w:r>
        <w:rPr>
          <w:rFonts w:cstheme="minorHAnsi"/>
          <w:lang w:eastAsia="ko-KR"/>
        </w:rPr>
        <w:t xml:space="preserve">9; </w:t>
      </w:r>
      <w:r w:rsidR="00D634DC">
        <w:rPr>
          <w:rFonts w:cstheme="minorHAnsi"/>
          <w:lang w:eastAsia="ko-KR"/>
        </w:rPr>
        <w:t xml:space="preserve">Annex I, </w:t>
      </w:r>
      <w:r w:rsidRPr="0056352D">
        <w:rPr>
          <w:rFonts w:cstheme="minorHAnsi"/>
          <w:lang w:eastAsia="ko-KR"/>
        </w:rPr>
        <w:t>Malawi</w:t>
      </w:r>
      <w:r>
        <w:rPr>
          <w:rFonts w:cstheme="minorHAnsi"/>
          <w:lang w:eastAsia="ko-KR"/>
        </w:rPr>
        <w:t>,</w:t>
      </w:r>
      <w:r w:rsidRPr="0056352D">
        <w:rPr>
          <w:rFonts w:cstheme="minorHAnsi"/>
          <w:lang w:eastAsia="ko-KR"/>
        </w:rPr>
        <w:t xml:space="preserve"> Inspectorate of Prisons, </w:t>
      </w:r>
      <w:r w:rsidRPr="0056352D">
        <w:rPr>
          <w:rFonts w:cstheme="minorHAnsi"/>
          <w:i/>
          <w:iCs/>
          <w:lang w:eastAsia="ko-KR"/>
        </w:rPr>
        <w:t>The Report of the Inspection of Prisons and Police Service Cells Conducted by the Malawi Inspectorate of Prisons in March 2018</w:t>
      </w:r>
      <w:r>
        <w:rPr>
          <w:rFonts w:cstheme="minorHAnsi"/>
          <w:lang w:eastAsia="ko-KR"/>
        </w:rPr>
        <w:t>, p.</w:t>
      </w:r>
      <w:r w:rsidRPr="0056352D">
        <w:rPr>
          <w:rFonts w:cstheme="minorHAnsi"/>
          <w:lang w:eastAsia="ko-KR"/>
        </w:rPr>
        <w:t xml:space="preserve"> </w:t>
      </w:r>
      <w:r>
        <w:rPr>
          <w:rFonts w:cstheme="minorHAnsi"/>
          <w:lang w:eastAsia="ko-KR"/>
        </w:rPr>
        <w:t>2</w:t>
      </w:r>
      <w:r w:rsidRPr="0056352D">
        <w:rPr>
          <w:rFonts w:cstheme="minorHAnsi"/>
          <w:lang w:eastAsia="ko-KR"/>
        </w:rPr>
        <w:t>.</w:t>
      </w:r>
    </w:p>
  </w:footnote>
  <w:footnote w:id="22">
    <w:p w14:paraId="4FAED4C3" w14:textId="77777777" w:rsidR="00AB425E" w:rsidRPr="0068699F" w:rsidRDefault="00AB425E" w:rsidP="00AB425E">
      <w:pPr>
        <w:pStyle w:val="FootnoteText"/>
        <w:rPr>
          <w:lang w:eastAsia="ko-KR"/>
        </w:rPr>
      </w:pPr>
      <w:r>
        <w:rPr>
          <w:rStyle w:val="FootnoteReference"/>
        </w:rPr>
        <w:footnoteRef/>
      </w:r>
      <w:r>
        <w:t xml:space="preserve"> Annex H, </w:t>
      </w:r>
      <w:r w:rsidRPr="0056352D">
        <w:rPr>
          <w:rFonts w:cstheme="minorHAnsi"/>
          <w:lang w:eastAsia="ko-KR"/>
        </w:rPr>
        <w:t>Malawi</w:t>
      </w:r>
      <w:r>
        <w:rPr>
          <w:rFonts w:cstheme="minorHAnsi"/>
          <w:lang w:eastAsia="ko-KR"/>
        </w:rPr>
        <w:t>,</w:t>
      </w:r>
      <w:r w:rsidRPr="0056352D">
        <w:rPr>
          <w:rFonts w:cstheme="minorHAnsi"/>
          <w:lang w:eastAsia="ko-KR"/>
        </w:rPr>
        <w:t xml:space="preserve"> Inspectorate of Prisons, </w:t>
      </w:r>
      <w:r w:rsidRPr="0056352D">
        <w:rPr>
          <w:rFonts w:cstheme="minorHAnsi"/>
          <w:i/>
          <w:iCs/>
          <w:lang w:eastAsia="ko-KR"/>
        </w:rPr>
        <w:t xml:space="preserve">The Report of the Inspection of Prisons and Police Cells Conducted by the Malawi Inspectorate of Prisons in </w:t>
      </w:r>
      <w:r>
        <w:rPr>
          <w:rFonts w:cstheme="minorHAnsi"/>
          <w:i/>
          <w:iCs/>
          <w:lang w:eastAsia="ko-KR"/>
        </w:rPr>
        <w:t xml:space="preserve">February, May, August </w:t>
      </w:r>
      <w:proofErr w:type="gramStart"/>
      <w:r>
        <w:rPr>
          <w:rFonts w:cstheme="minorHAnsi"/>
          <w:i/>
          <w:iCs/>
          <w:lang w:eastAsia="ko-KR"/>
        </w:rPr>
        <w:t>2020</w:t>
      </w:r>
      <w:proofErr w:type="gramEnd"/>
      <w:r>
        <w:rPr>
          <w:rFonts w:cstheme="minorHAnsi"/>
          <w:i/>
          <w:iCs/>
          <w:lang w:eastAsia="ko-KR"/>
        </w:rPr>
        <w:t xml:space="preserve"> and February 2021 </w:t>
      </w:r>
      <w:r w:rsidRPr="0056352D">
        <w:rPr>
          <w:rFonts w:cstheme="minorHAnsi"/>
          <w:lang w:eastAsia="ko-KR"/>
        </w:rPr>
        <w:t>(</w:t>
      </w:r>
      <w:r>
        <w:rPr>
          <w:rFonts w:cstheme="minorHAnsi"/>
          <w:lang w:eastAsia="ko-KR"/>
        </w:rPr>
        <w:t>February</w:t>
      </w:r>
      <w:r w:rsidRPr="0056352D">
        <w:rPr>
          <w:rFonts w:cstheme="minorHAnsi"/>
          <w:lang w:eastAsia="ko-KR"/>
        </w:rPr>
        <w:t xml:space="preserve"> </w:t>
      </w:r>
      <w:r>
        <w:rPr>
          <w:rFonts w:cstheme="minorHAnsi"/>
          <w:lang w:eastAsia="ko-KR"/>
        </w:rPr>
        <w:t>2021</w:t>
      </w:r>
      <w:r w:rsidRPr="0056352D">
        <w:rPr>
          <w:rFonts w:cstheme="minorHAnsi"/>
          <w:lang w:eastAsia="ko-KR"/>
        </w:rPr>
        <w:t>)</w:t>
      </w:r>
      <w:r>
        <w:rPr>
          <w:rFonts w:cstheme="minorHAnsi"/>
          <w:lang w:eastAsia="ko-KR"/>
        </w:rPr>
        <w:t>, p.</w:t>
      </w:r>
      <w:r w:rsidRPr="0056352D">
        <w:rPr>
          <w:rFonts w:cstheme="minorHAnsi"/>
          <w:lang w:eastAsia="ko-KR"/>
        </w:rPr>
        <w:t xml:space="preserve"> </w:t>
      </w:r>
      <w:r>
        <w:rPr>
          <w:rFonts w:cstheme="minorHAnsi"/>
          <w:lang w:eastAsia="ko-KR"/>
        </w:rPr>
        <w:t>6</w:t>
      </w:r>
      <w:r w:rsidRPr="0056352D">
        <w:rPr>
          <w:rFonts w:cstheme="minorHAnsi"/>
          <w:lang w:eastAsia="ko-KR"/>
        </w:rPr>
        <w:t>.</w:t>
      </w:r>
    </w:p>
  </w:footnote>
  <w:footnote w:id="23">
    <w:p w14:paraId="49AD26B7" w14:textId="6AE484AF" w:rsidR="00CC25EE" w:rsidRPr="007613D3" w:rsidRDefault="00CC25EE" w:rsidP="00CC25EE">
      <w:pPr>
        <w:pStyle w:val="FootnoteText"/>
        <w:rPr>
          <w:lang w:eastAsia="ko-KR"/>
        </w:rPr>
      </w:pPr>
      <w:r>
        <w:rPr>
          <w:rStyle w:val="FootnoteReference"/>
        </w:rPr>
        <w:footnoteRef/>
      </w:r>
      <w:r>
        <w:t xml:space="preserve"> </w:t>
      </w:r>
      <w:r w:rsidR="00F50D5F">
        <w:t xml:space="preserve">Annex J, </w:t>
      </w:r>
      <w:proofErr w:type="spellStart"/>
      <w:r>
        <w:rPr>
          <w:lang w:eastAsia="ko-KR"/>
        </w:rPr>
        <w:t>Wezzie</w:t>
      </w:r>
      <w:proofErr w:type="spellEnd"/>
      <w:r>
        <w:rPr>
          <w:lang w:eastAsia="ko-KR"/>
        </w:rPr>
        <w:t xml:space="preserve"> </w:t>
      </w:r>
      <w:proofErr w:type="spellStart"/>
      <w:r>
        <w:rPr>
          <w:lang w:eastAsia="ko-KR"/>
        </w:rPr>
        <w:t>Gausi</w:t>
      </w:r>
      <w:proofErr w:type="spellEnd"/>
      <w:r>
        <w:rPr>
          <w:lang w:eastAsia="ko-KR"/>
        </w:rPr>
        <w:t>, “Prisoners’ Nightmare”, Daily Times, 15 November 2022.</w:t>
      </w:r>
    </w:p>
  </w:footnote>
  <w:footnote w:id="24">
    <w:p w14:paraId="33E7795C" w14:textId="1A0C5249" w:rsidR="002F4F7D" w:rsidRDefault="002F4F7D" w:rsidP="002F4F7D">
      <w:pPr>
        <w:pStyle w:val="FootnoteText"/>
        <w:rPr>
          <w:lang w:eastAsia="ko-KR"/>
        </w:rPr>
      </w:pPr>
      <w:r>
        <w:rPr>
          <w:rStyle w:val="FootnoteReference"/>
        </w:rPr>
        <w:footnoteRef/>
      </w:r>
      <w:r>
        <w:t xml:space="preserve"> </w:t>
      </w:r>
      <w:r w:rsidR="007F7A7E">
        <w:t xml:space="preserve">Annex K, </w:t>
      </w:r>
      <w:r>
        <w:t>MHRC, “Position of Malawi Human Rights Commission on the Current Social, Political and Economic Situation in Malawi”, 14 November 2022, at 7</w:t>
      </w:r>
      <w:r>
        <w:rPr>
          <w:rFonts w:hint="eastAsia"/>
          <w:lang w:eastAsia="ko-KR"/>
        </w:rPr>
        <w:t>;</w:t>
      </w:r>
      <w:r>
        <w:rPr>
          <w:lang w:eastAsia="ko-KR"/>
        </w:rPr>
        <w:t xml:space="preserve"> figures on file with Reprieve.</w:t>
      </w:r>
    </w:p>
  </w:footnote>
  <w:footnote w:id="25">
    <w:p w14:paraId="52278C6C" w14:textId="03AAD02A" w:rsidR="002F4F7D" w:rsidRPr="006E53A7" w:rsidRDefault="002F4F7D" w:rsidP="002F4F7D">
      <w:pPr>
        <w:pStyle w:val="FootnoteText"/>
        <w:rPr>
          <w:lang w:eastAsia="ko-KR"/>
        </w:rPr>
      </w:pPr>
      <w:r>
        <w:rPr>
          <w:rStyle w:val="FootnoteReference"/>
        </w:rPr>
        <w:footnoteRef/>
      </w:r>
      <w:r>
        <w:t xml:space="preserve"> </w:t>
      </w:r>
      <w:r w:rsidR="00403579">
        <w:t xml:space="preserve">Annex K, </w:t>
      </w:r>
      <w:r>
        <w:t xml:space="preserve">MHRC, “Position of Malawi Human Rights Commission on the Current Social, Political and Economic Situation in Malawi”, 14 November 2022, </w:t>
      </w:r>
      <w:r w:rsidR="00B86A10">
        <w:t>p.</w:t>
      </w:r>
      <w:r>
        <w:t xml:space="preserve"> 7.</w:t>
      </w:r>
    </w:p>
  </w:footnote>
  <w:footnote w:id="26">
    <w:p w14:paraId="0F511438" w14:textId="2AE96D90" w:rsidR="002144B6" w:rsidRPr="0056352D" w:rsidRDefault="002144B6" w:rsidP="002144B6">
      <w:pPr>
        <w:pStyle w:val="FootnoteText"/>
        <w:rPr>
          <w:rFonts w:cstheme="minorHAnsi"/>
          <w:lang w:eastAsia="ko-KR"/>
        </w:rPr>
      </w:pPr>
      <w:r w:rsidRPr="0056352D">
        <w:rPr>
          <w:rStyle w:val="FootnoteReference"/>
          <w:rFonts w:cstheme="minorHAnsi"/>
        </w:rPr>
        <w:footnoteRef/>
      </w:r>
      <w:r w:rsidRPr="0056352D">
        <w:rPr>
          <w:rFonts w:cstheme="minorHAnsi"/>
        </w:rPr>
        <w:t xml:space="preserve"> </w:t>
      </w:r>
      <w:r w:rsidR="00EC2421" w:rsidRPr="00EC2421">
        <w:rPr>
          <w:rFonts w:cstheme="minorHAnsi"/>
        </w:rPr>
        <w:t>Charlotte Mackenzie, “Malawi Bail Project: accessing justice”, Counsel Magazine, 1 October 2021. Available at https://www.counselmagazine.co.uk/articles/malawi-bail-project-accessing-justice.</w:t>
      </w:r>
    </w:p>
  </w:footnote>
  <w:footnote w:id="27">
    <w:p w14:paraId="67668A42" w14:textId="6EEC59EA" w:rsidR="002144B6" w:rsidRPr="0056352D" w:rsidRDefault="002144B6" w:rsidP="002144B6">
      <w:pPr>
        <w:pStyle w:val="FootnoteText"/>
        <w:rPr>
          <w:rFonts w:cstheme="minorHAnsi"/>
        </w:rPr>
      </w:pPr>
      <w:r w:rsidRPr="0056352D">
        <w:rPr>
          <w:rStyle w:val="FootnoteReference"/>
          <w:rFonts w:cstheme="minorHAnsi"/>
        </w:rPr>
        <w:footnoteRef/>
      </w:r>
      <w:r w:rsidRPr="0056352D">
        <w:rPr>
          <w:rFonts w:cstheme="minorHAnsi"/>
        </w:rPr>
        <w:t xml:space="preserve"> Legal Aid Act, </w:t>
      </w:r>
      <w:r w:rsidR="00B86A10">
        <w:rPr>
          <w:rFonts w:cstheme="minorHAnsi"/>
        </w:rPr>
        <w:t>§</w:t>
      </w:r>
      <w:r w:rsidRPr="0056352D">
        <w:rPr>
          <w:rFonts w:cstheme="minorHAnsi"/>
        </w:rPr>
        <w:t xml:space="preserve"> 18(1).</w:t>
      </w:r>
    </w:p>
  </w:footnote>
  <w:footnote w:id="28">
    <w:p w14:paraId="63D2E189" w14:textId="77777777" w:rsidR="002144B6" w:rsidRPr="0056352D" w:rsidRDefault="002144B6" w:rsidP="002144B6">
      <w:pPr>
        <w:pStyle w:val="FootnoteText"/>
        <w:rPr>
          <w:rFonts w:cstheme="minorHAnsi"/>
          <w:lang w:eastAsia="ko-KR"/>
        </w:rPr>
      </w:pPr>
      <w:r w:rsidRPr="0056352D">
        <w:rPr>
          <w:rStyle w:val="FootnoteReference"/>
          <w:rFonts w:cstheme="minorHAnsi"/>
        </w:rPr>
        <w:footnoteRef/>
      </w:r>
      <w:r w:rsidRPr="0056352D">
        <w:rPr>
          <w:rFonts w:cstheme="minorHAnsi"/>
        </w:rPr>
        <w:t xml:space="preserve"> </w:t>
      </w:r>
      <w:r>
        <w:rPr>
          <w:rFonts w:cstheme="minorHAnsi"/>
        </w:rPr>
        <w:t>The Times Group, “</w:t>
      </w:r>
      <w:r w:rsidRPr="0056352D">
        <w:rPr>
          <w:rFonts w:cstheme="minorHAnsi"/>
        </w:rPr>
        <w:t>How best to spend K8.1 billion</w:t>
      </w:r>
      <w:r>
        <w:rPr>
          <w:rFonts w:cstheme="minorHAnsi"/>
        </w:rPr>
        <w:t>”</w:t>
      </w:r>
      <w:r w:rsidRPr="0056352D">
        <w:rPr>
          <w:rFonts w:cstheme="minorHAnsi"/>
        </w:rPr>
        <w:t>, 12 March 2022</w:t>
      </w:r>
      <w:r>
        <w:rPr>
          <w:rFonts w:cstheme="minorHAnsi"/>
        </w:rPr>
        <w:t>. Available at</w:t>
      </w:r>
      <w:r w:rsidRPr="0056352D">
        <w:rPr>
          <w:rFonts w:cstheme="minorHAnsi"/>
        </w:rPr>
        <w:t xml:space="preserve"> https://times.mw/how-best-to-spend-k8-1-billion/.</w:t>
      </w:r>
    </w:p>
  </w:footnote>
  <w:footnote w:id="29">
    <w:p w14:paraId="2C2343A0" w14:textId="77777777" w:rsidR="002144B6" w:rsidRPr="00FD6CE5" w:rsidRDefault="002144B6" w:rsidP="002144B6">
      <w:pPr>
        <w:pStyle w:val="FootnoteText"/>
        <w:rPr>
          <w:i/>
          <w:iCs/>
          <w:lang w:eastAsia="ko-KR"/>
        </w:rPr>
      </w:pPr>
      <w:r>
        <w:rPr>
          <w:rStyle w:val="FootnoteReference"/>
        </w:rPr>
        <w:footnoteRef/>
      </w:r>
      <w:r>
        <w:t xml:space="preserve"> </w:t>
      </w:r>
      <w:r w:rsidRPr="00D33F38">
        <w:rPr>
          <w:rFonts w:hint="eastAsia"/>
          <w:lang w:eastAsia="ko-KR"/>
        </w:rPr>
        <w:t>I</w:t>
      </w:r>
      <w:r w:rsidRPr="00D33F38">
        <w:rPr>
          <w:lang w:eastAsia="ko-KR"/>
        </w:rPr>
        <w:t>bid.</w:t>
      </w:r>
    </w:p>
  </w:footnote>
  <w:footnote w:id="30">
    <w:p w14:paraId="2F71120E" w14:textId="73DB9D60" w:rsidR="001041C2" w:rsidRPr="001041C2" w:rsidRDefault="001041C2">
      <w:pPr>
        <w:pStyle w:val="FootnoteText"/>
        <w:rPr>
          <w:lang w:eastAsia="ko-KR"/>
        </w:rPr>
      </w:pPr>
      <w:r>
        <w:rPr>
          <w:rStyle w:val="FootnoteReference"/>
        </w:rPr>
        <w:footnoteRef/>
      </w:r>
      <w:r>
        <w:t xml:space="preserve"> </w:t>
      </w:r>
      <w:r>
        <w:rPr>
          <w:i/>
          <w:iCs/>
          <w:lang w:eastAsia="ko-KR"/>
        </w:rPr>
        <w:t xml:space="preserve">See </w:t>
      </w:r>
      <w:r>
        <w:rPr>
          <w:lang w:eastAsia="ko-KR"/>
        </w:rPr>
        <w:t>Annex</w:t>
      </w:r>
      <w:r w:rsidR="00675654">
        <w:rPr>
          <w:lang w:eastAsia="ko-KR"/>
        </w:rPr>
        <w:t xml:space="preserve"> G, </w:t>
      </w:r>
      <w:r w:rsidR="00C26332">
        <w:rPr>
          <w:lang w:eastAsia="ko-KR"/>
        </w:rPr>
        <w:t>Police</w:t>
      </w:r>
      <w:r w:rsidR="00675654">
        <w:rPr>
          <w:lang w:eastAsia="ko-KR"/>
        </w:rPr>
        <w:t xml:space="preserve"> Act, §</w:t>
      </w:r>
      <w:r w:rsidR="00ED1D3C">
        <w:rPr>
          <w:lang w:eastAsia="ko-KR"/>
        </w:rPr>
        <w:t xml:space="preserve"> 145.</w:t>
      </w:r>
    </w:p>
  </w:footnote>
  <w:footnote w:id="31">
    <w:p w14:paraId="0BCBCE6E" w14:textId="77777777" w:rsidR="00E0795E" w:rsidRPr="0056352D" w:rsidRDefault="00E0795E" w:rsidP="00E0795E">
      <w:pPr>
        <w:pStyle w:val="FootnoteText"/>
        <w:rPr>
          <w:rFonts w:cstheme="minorHAnsi"/>
          <w:lang w:eastAsia="ko-KR"/>
        </w:rPr>
      </w:pPr>
      <w:r w:rsidRPr="0056352D">
        <w:rPr>
          <w:rStyle w:val="FootnoteReference"/>
          <w:rFonts w:cstheme="minorHAnsi"/>
        </w:rPr>
        <w:footnoteRef/>
      </w:r>
      <w:r w:rsidRPr="0056352D">
        <w:rPr>
          <w:rFonts w:cstheme="minorHAnsi"/>
        </w:rPr>
        <w:t xml:space="preserve"> </w:t>
      </w:r>
      <w:r w:rsidRPr="0056352D">
        <w:rPr>
          <w:rFonts w:cstheme="minorHAnsi"/>
          <w:lang w:eastAsia="ko-KR"/>
        </w:rPr>
        <w:t xml:space="preserve">Centre for Human Rights Education (CHREAA), </w:t>
      </w:r>
      <w:r w:rsidRPr="0056352D">
        <w:rPr>
          <w:rFonts w:cstheme="minorHAnsi"/>
          <w:i/>
          <w:iCs/>
          <w:lang w:eastAsia="ko-KR"/>
        </w:rPr>
        <w:t>A Preliminary Report into Police Extrajudicial Killings in Malawi</w:t>
      </w:r>
      <w:r w:rsidRPr="0056352D">
        <w:rPr>
          <w:rFonts w:cstheme="minorHAnsi"/>
          <w:lang w:eastAsia="ko-KR"/>
        </w:rPr>
        <w:t xml:space="preserve"> (2019)</w:t>
      </w:r>
      <w:r>
        <w:rPr>
          <w:rFonts w:cstheme="minorHAnsi"/>
          <w:lang w:eastAsia="ko-KR"/>
        </w:rPr>
        <w:t xml:space="preserve">, p. </w:t>
      </w:r>
      <w:r w:rsidRPr="0056352D">
        <w:rPr>
          <w:rFonts w:cstheme="minorHAnsi"/>
          <w:lang w:eastAsia="ko-KR"/>
        </w:rPr>
        <w:t>17</w:t>
      </w:r>
      <w:r>
        <w:rPr>
          <w:rFonts w:cstheme="minorHAnsi"/>
          <w:lang w:eastAsia="ko-KR"/>
        </w:rPr>
        <w:t>.</w:t>
      </w:r>
    </w:p>
  </w:footnote>
  <w:footnote w:id="32">
    <w:p w14:paraId="360BA884" w14:textId="77777777" w:rsidR="00E0795E" w:rsidRPr="0056352D" w:rsidRDefault="00E0795E" w:rsidP="00E0795E">
      <w:pPr>
        <w:pStyle w:val="FootnoteText"/>
        <w:rPr>
          <w:rFonts w:cstheme="minorHAnsi"/>
          <w:lang w:eastAsia="ko-KR"/>
        </w:rPr>
      </w:pPr>
      <w:r w:rsidRPr="0056352D">
        <w:rPr>
          <w:rStyle w:val="FootnoteReference"/>
          <w:rFonts w:cstheme="minorHAnsi"/>
        </w:rPr>
        <w:footnoteRef/>
      </w:r>
      <w:r w:rsidRPr="0056352D">
        <w:rPr>
          <w:rFonts w:cstheme="minorHAnsi"/>
        </w:rPr>
        <w:t xml:space="preserve"> </w:t>
      </w:r>
      <w:r>
        <w:rPr>
          <w:rFonts w:cstheme="minorHAnsi"/>
          <w:lang w:eastAsia="ko-KR"/>
        </w:rPr>
        <w:t xml:space="preserve">Ibid., p. </w:t>
      </w:r>
      <w:r w:rsidRPr="0056352D">
        <w:rPr>
          <w:rFonts w:cstheme="minorHAnsi"/>
          <w:lang w:eastAsia="ko-KR"/>
        </w:rPr>
        <w:t>21</w:t>
      </w:r>
      <w:r>
        <w:rPr>
          <w:rFonts w:cstheme="minorHAnsi"/>
          <w:lang w:eastAsia="ko-KR"/>
        </w:rPr>
        <w:t>.</w:t>
      </w:r>
    </w:p>
  </w:footnote>
  <w:footnote w:id="33">
    <w:p w14:paraId="3CB98DA2" w14:textId="77777777" w:rsidR="00C93DDA" w:rsidRPr="0056352D" w:rsidRDefault="00C93DDA" w:rsidP="00C93DDA">
      <w:pPr>
        <w:pStyle w:val="FootnoteText"/>
        <w:rPr>
          <w:rFonts w:cstheme="minorHAnsi"/>
          <w:i/>
          <w:iCs/>
        </w:rPr>
      </w:pPr>
      <w:r w:rsidRPr="0056352D">
        <w:rPr>
          <w:rStyle w:val="FootnoteReference"/>
          <w:rFonts w:cstheme="minorHAnsi"/>
        </w:rPr>
        <w:footnoteRef/>
      </w:r>
      <w:r w:rsidRPr="0056352D">
        <w:rPr>
          <w:rFonts w:cstheme="minorHAnsi"/>
        </w:rPr>
        <w:t xml:space="preserve"> Malawi</w:t>
      </w:r>
      <w:r>
        <w:rPr>
          <w:rFonts w:cstheme="minorHAnsi"/>
        </w:rPr>
        <w:t>,</w:t>
      </w:r>
      <w:r w:rsidRPr="0056352D">
        <w:rPr>
          <w:rFonts w:cstheme="minorHAnsi"/>
        </w:rPr>
        <w:t xml:space="preserve"> Human Rights Commission, </w:t>
      </w:r>
      <w:r w:rsidRPr="0056352D">
        <w:rPr>
          <w:rFonts w:cstheme="minorHAnsi"/>
          <w:i/>
          <w:iCs/>
        </w:rPr>
        <w:t>Investigation Report into the alleged rape, defilement and indecent</w:t>
      </w:r>
    </w:p>
    <w:p w14:paraId="357B48C2" w14:textId="77777777" w:rsidR="00C93DDA" w:rsidRPr="0056352D" w:rsidRDefault="00C93DDA" w:rsidP="00C93DDA">
      <w:pPr>
        <w:pStyle w:val="FootnoteText"/>
        <w:rPr>
          <w:rFonts w:cstheme="minorHAnsi"/>
          <w:i/>
          <w:iCs/>
        </w:rPr>
      </w:pPr>
      <w:r w:rsidRPr="0056352D">
        <w:rPr>
          <w:rFonts w:cstheme="minorHAnsi"/>
          <w:i/>
          <w:iCs/>
        </w:rPr>
        <w:t>assault by police officers on some women and girls in Lilongwe West (</w:t>
      </w:r>
      <w:proofErr w:type="spellStart"/>
      <w:r w:rsidRPr="0056352D">
        <w:rPr>
          <w:rFonts w:cstheme="minorHAnsi"/>
          <w:i/>
          <w:iCs/>
        </w:rPr>
        <w:t>M’bwatalika</w:t>
      </w:r>
      <w:proofErr w:type="spellEnd"/>
      <w:r w:rsidRPr="0056352D">
        <w:rPr>
          <w:rFonts w:cstheme="minorHAnsi"/>
          <w:i/>
          <w:iCs/>
        </w:rPr>
        <w:t xml:space="preserve">, </w:t>
      </w:r>
      <w:proofErr w:type="spellStart"/>
      <w:r w:rsidRPr="0056352D">
        <w:rPr>
          <w:rFonts w:cstheme="minorHAnsi"/>
          <w:i/>
          <w:iCs/>
        </w:rPr>
        <w:t>Kadziyo</w:t>
      </w:r>
      <w:proofErr w:type="spellEnd"/>
      <w:r w:rsidRPr="0056352D">
        <w:rPr>
          <w:rFonts w:cstheme="minorHAnsi"/>
          <w:i/>
          <w:iCs/>
        </w:rPr>
        <w:t xml:space="preserve"> and </w:t>
      </w:r>
      <w:proofErr w:type="spellStart"/>
      <w:r w:rsidRPr="0056352D">
        <w:rPr>
          <w:rFonts w:cstheme="minorHAnsi"/>
          <w:i/>
          <w:iCs/>
        </w:rPr>
        <w:t>Mpingu</w:t>
      </w:r>
      <w:proofErr w:type="spellEnd"/>
    </w:p>
    <w:p w14:paraId="55A30A33" w14:textId="77777777" w:rsidR="00C93DDA" w:rsidRPr="0056352D" w:rsidRDefault="00C93DDA" w:rsidP="00C93DDA">
      <w:pPr>
        <w:pStyle w:val="FootnoteText"/>
        <w:rPr>
          <w:rFonts w:cstheme="minorHAnsi"/>
          <w:lang w:eastAsia="ko-KR"/>
        </w:rPr>
      </w:pPr>
      <w:r w:rsidRPr="0056352D">
        <w:rPr>
          <w:rFonts w:cstheme="minorHAnsi"/>
          <w:i/>
          <w:iCs/>
        </w:rPr>
        <w:t>areas)</w:t>
      </w:r>
      <w:r w:rsidRPr="0056352D">
        <w:rPr>
          <w:rFonts w:cstheme="minorHAnsi"/>
        </w:rPr>
        <w:t xml:space="preserve"> (2020).</w:t>
      </w:r>
    </w:p>
  </w:footnote>
  <w:footnote w:id="34">
    <w:p w14:paraId="6ACB2A8E" w14:textId="6A5553A3" w:rsidR="00C93DDA" w:rsidRPr="0035350B" w:rsidRDefault="00C93DDA" w:rsidP="00C93DDA">
      <w:pPr>
        <w:pStyle w:val="FootnoteText"/>
        <w:rPr>
          <w:lang w:eastAsia="ko-KR"/>
        </w:rPr>
      </w:pPr>
      <w:r>
        <w:rPr>
          <w:rStyle w:val="FootnoteReference"/>
        </w:rPr>
        <w:footnoteRef/>
      </w:r>
      <w:r>
        <w:t xml:space="preserve"> </w:t>
      </w:r>
      <w:r w:rsidR="007A20C0">
        <w:t xml:space="preserve">Annex L, </w:t>
      </w:r>
      <w:r w:rsidRPr="009864F7">
        <w:rPr>
          <w:i/>
          <w:iCs/>
        </w:rPr>
        <w:t>The State v The Inspector General of Police &amp; Others</w:t>
      </w:r>
      <w:r>
        <w:t xml:space="preserve"> </w:t>
      </w:r>
      <w:r w:rsidRPr="00E8321E">
        <w:t>(Judicial Review 7 of 2020) [2020] MWHC 24 (13 August 2020)</w:t>
      </w:r>
      <w:r w:rsidR="00BC2835">
        <w:t xml:space="preserve">, at </w:t>
      </w:r>
      <w:r w:rsidR="002B0BAA">
        <w:t>¶¶ 53-56</w:t>
      </w:r>
      <w:r>
        <w:t>.</w:t>
      </w:r>
    </w:p>
  </w:footnote>
  <w:footnote w:id="35">
    <w:p w14:paraId="0F2C763C" w14:textId="77777777" w:rsidR="00C93DDA" w:rsidRPr="0056352D" w:rsidRDefault="00C93DDA" w:rsidP="00C93DDA">
      <w:pPr>
        <w:pStyle w:val="FootnoteText"/>
        <w:rPr>
          <w:rFonts w:cstheme="minorHAnsi"/>
          <w:lang w:eastAsia="ko-KR"/>
        </w:rPr>
      </w:pPr>
      <w:r w:rsidRPr="0056352D">
        <w:rPr>
          <w:rStyle w:val="FootnoteReference"/>
          <w:rFonts w:cstheme="minorHAnsi"/>
        </w:rPr>
        <w:footnoteRef/>
      </w:r>
      <w:r w:rsidRPr="0056352D">
        <w:rPr>
          <w:rFonts w:cstheme="minorHAnsi"/>
        </w:rPr>
        <w:t xml:space="preserve"> Paul </w:t>
      </w:r>
      <w:proofErr w:type="spellStart"/>
      <w:r w:rsidRPr="0056352D">
        <w:rPr>
          <w:rFonts w:cstheme="minorHAnsi"/>
        </w:rPr>
        <w:t>Chamdimba</w:t>
      </w:r>
      <w:proofErr w:type="spellEnd"/>
      <w:r w:rsidRPr="0056352D">
        <w:rPr>
          <w:rFonts w:cstheme="minorHAnsi"/>
        </w:rPr>
        <w:t xml:space="preserve"> Nkhoma, </w:t>
      </w:r>
      <w:r>
        <w:rPr>
          <w:rFonts w:cstheme="minorHAnsi"/>
        </w:rPr>
        <w:t>“</w:t>
      </w:r>
      <w:proofErr w:type="spellStart"/>
      <w:r w:rsidRPr="0056352D">
        <w:rPr>
          <w:rFonts w:cstheme="minorHAnsi"/>
        </w:rPr>
        <w:t>Msundwe</w:t>
      </w:r>
      <w:proofErr w:type="spellEnd"/>
      <w:r w:rsidRPr="0056352D">
        <w:rPr>
          <w:rFonts w:cstheme="minorHAnsi"/>
        </w:rPr>
        <w:t xml:space="preserve"> rape case saga was fabricated—Report</w:t>
      </w:r>
      <w:r>
        <w:rPr>
          <w:rFonts w:cstheme="minorHAnsi"/>
        </w:rPr>
        <w:t>”,</w:t>
      </w:r>
      <w:r w:rsidRPr="0056352D">
        <w:rPr>
          <w:rFonts w:cstheme="minorHAnsi"/>
        </w:rPr>
        <w:t xml:space="preserve"> </w:t>
      </w:r>
      <w:r>
        <w:rPr>
          <w:rFonts w:cstheme="minorHAnsi"/>
        </w:rPr>
        <w:t xml:space="preserve">Nyasa Times, </w:t>
      </w:r>
      <w:r w:rsidRPr="0056352D">
        <w:rPr>
          <w:rFonts w:cstheme="minorHAnsi"/>
        </w:rPr>
        <w:t>14 August 2021</w:t>
      </w:r>
      <w:r>
        <w:rPr>
          <w:rFonts w:cstheme="minorHAnsi"/>
        </w:rPr>
        <w:t xml:space="preserve">. Available at </w:t>
      </w:r>
      <w:r w:rsidRPr="0056352D">
        <w:rPr>
          <w:rFonts w:cstheme="minorHAnsi"/>
        </w:rPr>
        <w:t>https://www.nyasatimes.com/msundwe-rape-case-saga-was-fabricated-report/.</w:t>
      </w:r>
    </w:p>
  </w:footnote>
  <w:footnote w:id="36">
    <w:p w14:paraId="37C09DF6" w14:textId="77777777" w:rsidR="00C93DDA" w:rsidRPr="0056352D" w:rsidRDefault="00C93DDA" w:rsidP="00C93DDA">
      <w:pPr>
        <w:pStyle w:val="FootnoteText"/>
        <w:rPr>
          <w:rFonts w:cstheme="minorHAnsi"/>
          <w:lang w:eastAsia="ko-KR"/>
        </w:rPr>
      </w:pPr>
      <w:r w:rsidRPr="0056352D">
        <w:rPr>
          <w:rStyle w:val="FootnoteReference"/>
          <w:rFonts w:cstheme="minorHAnsi"/>
        </w:rPr>
        <w:footnoteRef/>
      </w:r>
      <w:r w:rsidRPr="0056352D">
        <w:rPr>
          <w:rFonts w:cstheme="minorHAnsi"/>
        </w:rPr>
        <w:t xml:space="preserve"> Malawi</w:t>
      </w:r>
      <w:r>
        <w:rPr>
          <w:rFonts w:cstheme="minorHAnsi"/>
        </w:rPr>
        <w:t>,</w:t>
      </w:r>
      <w:r w:rsidRPr="0056352D">
        <w:rPr>
          <w:rFonts w:cstheme="minorHAnsi"/>
        </w:rPr>
        <w:t xml:space="preserve"> Human Rights Commission, </w:t>
      </w:r>
      <w:r>
        <w:rPr>
          <w:rFonts w:cstheme="minorHAnsi"/>
        </w:rPr>
        <w:t>“</w:t>
      </w:r>
      <w:r w:rsidRPr="0056352D">
        <w:rPr>
          <w:rFonts w:cstheme="minorHAnsi"/>
        </w:rPr>
        <w:t>Statement on Recent Developments on the Msundwe Rape and Defilement Case</w:t>
      </w:r>
      <w:r>
        <w:rPr>
          <w:rFonts w:cstheme="minorHAnsi"/>
        </w:rPr>
        <w:t>”,</w:t>
      </w:r>
      <w:r w:rsidRPr="0056352D">
        <w:rPr>
          <w:rFonts w:cstheme="minorHAnsi"/>
        </w:rPr>
        <w:t xml:space="preserve"> 19 August 2021</w:t>
      </w:r>
      <w:r>
        <w:rPr>
          <w:rFonts w:cstheme="minorHAnsi"/>
        </w:rPr>
        <w:t xml:space="preserve">. Available at </w:t>
      </w:r>
      <w:r w:rsidRPr="0056352D">
        <w:rPr>
          <w:rFonts w:cstheme="minorHAnsi"/>
        </w:rPr>
        <w:t>https://twitter.com/HumanRightsMW/status/1428374270573518855/photo/1.</w:t>
      </w:r>
    </w:p>
  </w:footnote>
  <w:footnote w:id="37">
    <w:p w14:paraId="7378A8C0" w14:textId="77777777" w:rsidR="00C93DDA" w:rsidRPr="0056352D" w:rsidRDefault="00C93DDA" w:rsidP="00C93DDA">
      <w:pPr>
        <w:pStyle w:val="FootnoteText"/>
        <w:rPr>
          <w:rFonts w:cstheme="minorHAnsi"/>
          <w:lang w:eastAsia="ko-KR"/>
        </w:rPr>
      </w:pPr>
      <w:r w:rsidRPr="0056352D">
        <w:rPr>
          <w:rStyle w:val="FootnoteReference"/>
          <w:rFonts w:cstheme="minorHAnsi"/>
        </w:rPr>
        <w:footnoteRef/>
      </w:r>
      <w:r w:rsidRPr="0056352D">
        <w:rPr>
          <w:rFonts w:cstheme="minorHAnsi"/>
        </w:rPr>
        <w:t xml:space="preserve"> </w:t>
      </w:r>
      <w:proofErr w:type="spellStart"/>
      <w:r w:rsidRPr="0056352D">
        <w:rPr>
          <w:rFonts w:cstheme="minorHAnsi"/>
        </w:rPr>
        <w:t>Suzgo</w:t>
      </w:r>
      <w:proofErr w:type="spellEnd"/>
      <w:r w:rsidRPr="0056352D">
        <w:rPr>
          <w:rFonts w:cstheme="minorHAnsi"/>
        </w:rPr>
        <w:t xml:space="preserve"> </w:t>
      </w:r>
      <w:proofErr w:type="spellStart"/>
      <w:r w:rsidRPr="0056352D">
        <w:rPr>
          <w:rFonts w:cstheme="minorHAnsi"/>
        </w:rPr>
        <w:t>Chitete</w:t>
      </w:r>
      <w:proofErr w:type="spellEnd"/>
      <w:r w:rsidRPr="0056352D">
        <w:rPr>
          <w:rFonts w:cstheme="minorHAnsi"/>
        </w:rPr>
        <w:t xml:space="preserve">, </w:t>
      </w:r>
      <w:r>
        <w:rPr>
          <w:rFonts w:cstheme="minorHAnsi"/>
        </w:rPr>
        <w:t>“</w:t>
      </w:r>
      <w:r w:rsidRPr="0056352D">
        <w:rPr>
          <w:rFonts w:cstheme="minorHAnsi"/>
        </w:rPr>
        <w:t>Complaints commission to probe Msundwe rape cases</w:t>
      </w:r>
      <w:r>
        <w:rPr>
          <w:rFonts w:cstheme="minorHAnsi"/>
        </w:rPr>
        <w:t>”, MW Nation,</w:t>
      </w:r>
      <w:r w:rsidRPr="0056352D">
        <w:rPr>
          <w:rFonts w:cstheme="minorHAnsi"/>
        </w:rPr>
        <w:t xml:space="preserve"> 23 September 2021</w:t>
      </w:r>
      <w:r>
        <w:rPr>
          <w:rFonts w:cstheme="minorHAnsi"/>
        </w:rPr>
        <w:t>. Available at</w:t>
      </w:r>
      <w:r w:rsidRPr="0056352D">
        <w:rPr>
          <w:rFonts w:cstheme="minorHAnsi"/>
        </w:rPr>
        <w:t xml:space="preserve"> https://mwnation.com/complaints-commission-to-probe-msundwe-rape-cases/.</w:t>
      </w:r>
    </w:p>
  </w:footnote>
  <w:footnote w:id="38">
    <w:p w14:paraId="76EECB67" w14:textId="77777777" w:rsidR="00C93DDA" w:rsidRPr="0056352D" w:rsidRDefault="00C93DDA" w:rsidP="00C93DDA">
      <w:pPr>
        <w:pStyle w:val="FootnoteText"/>
        <w:rPr>
          <w:rFonts w:cstheme="minorHAnsi"/>
          <w:lang w:eastAsia="ko-KR"/>
        </w:rPr>
      </w:pPr>
      <w:r w:rsidRPr="0056352D">
        <w:rPr>
          <w:rStyle w:val="FootnoteReference"/>
          <w:rFonts w:cstheme="minorHAnsi"/>
        </w:rPr>
        <w:footnoteRef/>
      </w:r>
      <w:r w:rsidRPr="0056352D">
        <w:rPr>
          <w:rFonts w:cstheme="minorHAnsi"/>
        </w:rPr>
        <w:t xml:space="preserve"> </w:t>
      </w:r>
      <w:r>
        <w:rPr>
          <w:rFonts w:cstheme="minorHAnsi"/>
        </w:rPr>
        <w:t>“</w:t>
      </w:r>
      <w:r w:rsidRPr="0056352D">
        <w:rPr>
          <w:rFonts w:cstheme="minorHAnsi"/>
          <w:lang w:eastAsia="ko-KR"/>
        </w:rPr>
        <w:t>Policing the Malawi Police</w:t>
      </w:r>
      <w:r>
        <w:rPr>
          <w:rFonts w:cstheme="minorHAnsi"/>
          <w:lang w:eastAsia="ko-KR"/>
        </w:rPr>
        <w:t>”</w:t>
      </w:r>
      <w:r w:rsidRPr="0056352D">
        <w:rPr>
          <w:rFonts w:cstheme="minorHAnsi"/>
          <w:lang w:eastAsia="ko-KR"/>
        </w:rPr>
        <w:t>, MW Nation</w:t>
      </w:r>
      <w:r>
        <w:rPr>
          <w:rFonts w:cstheme="minorHAnsi"/>
          <w:lang w:eastAsia="ko-KR"/>
        </w:rPr>
        <w:t xml:space="preserve">, </w:t>
      </w:r>
      <w:r w:rsidRPr="0056352D">
        <w:rPr>
          <w:rFonts w:cstheme="minorHAnsi"/>
          <w:lang w:eastAsia="ko-KR"/>
        </w:rPr>
        <w:t>28 September 2021</w:t>
      </w:r>
      <w:r>
        <w:rPr>
          <w:rFonts w:cstheme="minorHAnsi"/>
          <w:lang w:eastAsia="ko-KR"/>
        </w:rPr>
        <w:t xml:space="preserve">. Available at </w:t>
      </w:r>
      <w:r w:rsidRPr="0056352D">
        <w:rPr>
          <w:rFonts w:cstheme="minorHAnsi"/>
          <w:lang w:eastAsia="ko-KR"/>
        </w:rPr>
        <w:t>https://mwnation.com/policing-the-malawi-police/.</w:t>
      </w:r>
    </w:p>
  </w:footnote>
  <w:footnote w:id="39">
    <w:p w14:paraId="1FADB11E" w14:textId="63B504F8" w:rsidR="00263C1C" w:rsidRPr="00263C1C" w:rsidRDefault="00263C1C">
      <w:pPr>
        <w:pStyle w:val="FootnoteText"/>
        <w:rPr>
          <w:lang w:eastAsia="ko-KR"/>
        </w:rPr>
      </w:pPr>
      <w:r>
        <w:rPr>
          <w:rStyle w:val="FootnoteReference"/>
        </w:rPr>
        <w:footnoteRef/>
      </w:r>
      <w:r>
        <w:t xml:space="preserve"> </w:t>
      </w:r>
      <w:r>
        <w:rPr>
          <w:rFonts w:hint="eastAsia"/>
          <w:i/>
          <w:iCs/>
          <w:lang w:eastAsia="ko-KR"/>
        </w:rPr>
        <w:t>S</w:t>
      </w:r>
      <w:r>
        <w:rPr>
          <w:i/>
          <w:iCs/>
          <w:lang w:eastAsia="ko-KR"/>
        </w:rPr>
        <w:t xml:space="preserve">ee </w:t>
      </w:r>
      <w:r w:rsidR="00EC7788">
        <w:rPr>
          <w:lang w:eastAsia="ko-KR"/>
        </w:rPr>
        <w:t xml:space="preserve">Annex G, </w:t>
      </w:r>
      <w:r>
        <w:rPr>
          <w:lang w:eastAsia="ko-KR"/>
        </w:rPr>
        <w:t xml:space="preserve">Police Act, </w:t>
      </w:r>
      <w:r w:rsidR="00EC7788">
        <w:rPr>
          <w:lang w:eastAsia="ko-KR"/>
        </w:rPr>
        <w:t>§</w:t>
      </w:r>
      <w:r>
        <w:rPr>
          <w:lang w:eastAsia="ko-KR"/>
        </w:rPr>
        <w:t xml:space="preserve"> 130(1)(f)</w:t>
      </w:r>
      <w:r w:rsidR="00240E52">
        <w:rPr>
          <w:lang w:eastAsia="ko-KR"/>
        </w:rPr>
        <w:t xml:space="preserve">; </w:t>
      </w:r>
      <w:r w:rsidR="00EC7788">
        <w:rPr>
          <w:lang w:eastAsia="ko-KR"/>
        </w:rPr>
        <w:t xml:space="preserve">Annex F, </w:t>
      </w:r>
      <w:r w:rsidR="006E0A3A">
        <w:rPr>
          <w:lang w:eastAsia="ko-KR"/>
        </w:rPr>
        <w:t xml:space="preserve">Human Rights Commission Act, </w:t>
      </w:r>
      <w:r w:rsidR="00EC7788">
        <w:rPr>
          <w:lang w:eastAsia="ko-KR"/>
        </w:rPr>
        <w:t>§</w:t>
      </w:r>
      <w:r w:rsidR="006E0A3A">
        <w:rPr>
          <w:lang w:eastAsia="ko-KR"/>
        </w:rPr>
        <w:t xml:space="preserve"> 15(</w:t>
      </w:r>
      <w:r w:rsidR="00AB089A">
        <w:rPr>
          <w:lang w:eastAsia="ko-KR"/>
        </w:rPr>
        <w:t xml:space="preserve">b-c). </w:t>
      </w:r>
    </w:p>
  </w:footnote>
  <w:footnote w:id="40">
    <w:p w14:paraId="48B59C39" w14:textId="2FBFD24F" w:rsidR="00EF2355" w:rsidRPr="00EF2355" w:rsidRDefault="00EF2355">
      <w:pPr>
        <w:pStyle w:val="FootnoteText"/>
        <w:rPr>
          <w:rFonts w:hint="eastAsia"/>
          <w:lang w:eastAsia="ko-KR"/>
        </w:rPr>
      </w:pPr>
      <w:r>
        <w:rPr>
          <w:rStyle w:val="FootnoteReference"/>
        </w:rPr>
        <w:footnoteRef/>
      </w:r>
      <w:r>
        <w:t xml:space="preserve"> </w:t>
      </w:r>
      <w:r>
        <w:rPr>
          <w:lang w:eastAsia="ko-KR"/>
        </w:rPr>
        <w:t>Annex B, Criminal Procedure and Evidence Code, § 71A.</w:t>
      </w:r>
    </w:p>
  </w:footnote>
  <w:footnote w:id="41">
    <w:p w14:paraId="6580A195" w14:textId="581E206D" w:rsidR="00EF2355" w:rsidRPr="00EF2355" w:rsidRDefault="00EF2355">
      <w:pPr>
        <w:pStyle w:val="FootnoteText"/>
        <w:rPr>
          <w:rFonts w:hint="eastAsia"/>
          <w:lang w:eastAsia="ko-KR"/>
        </w:rPr>
      </w:pPr>
      <w:r>
        <w:rPr>
          <w:rStyle w:val="FootnoteReference"/>
        </w:rPr>
        <w:footnoteRef/>
      </w:r>
      <w:r>
        <w:t xml:space="preserve"> </w:t>
      </w:r>
      <w:r>
        <w:rPr>
          <w:lang w:eastAsia="ko-KR"/>
        </w:rPr>
        <w:t>Ibid., § 71</w:t>
      </w:r>
      <w:proofErr w:type="gramStart"/>
      <w:r>
        <w:rPr>
          <w:lang w:eastAsia="ko-KR"/>
        </w:rPr>
        <w:t>A(</w:t>
      </w:r>
      <w:proofErr w:type="gramEnd"/>
      <w:r>
        <w:rPr>
          <w:lang w:eastAsia="ko-KR"/>
        </w:rPr>
        <w:t>1).</w:t>
      </w:r>
    </w:p>
  </w:footnote>
  <w:footnote w:id="42">
    <w:p w14:paraId="03833FC6" w14:textId="10DCA638" w:rsidR="00D8533D" w:rsidRPr="00D8533D" w:rsidRDefault="00D8533D">
      <w:pPr>
        <w:pStyle w:val="FootnoteText"/>
        <w:rPr>
          <w:rFonts w:hint="eastAsia"/>
          <w:lang w:eastAsia="ko-KR"/>
        </w:rPr>
      </w:pPr>
      <w:r>
        <w:rPr>
          <w:rStyle w:val="FootnoteReference"/>
        </w:rPr>
        <w:footnoteRef/>
      </w:r>
      <w:r>
        <w:t xml:space="preserve"> </w:t>
      </w:r>
      <w:r>
        <w:rPr>
          <w:lang w:eastAsia="ko-KR"/>
        </w:rPr>
        <w:t xml:space="preserve">Ibid., §§ 260, </w:t>
      </w:r>
      <w:r w:rsidR="00245965">
        <w:rPr>
          <w:lang w:eastAsia="ko-KR"/>
        </w:rPr>
        <w:t>321J.</w:t>
      </w:r>
    </w:p>
  </w:footnote>
  <w:footnote w:id="43">
    <w:p w14:paraId="4F9396C0" w14:textId="2455E703" w:rsidR="000C03A4" w:rsidRPr="000C03A4" w:rsidRDefault="000C03A4">
      <w:pPr>
        <w:pStyle w:val="FootnoteText"/>
        <w:rPr>
          <w:lang w:eastAsia="ko-KR"/>
        </w:rPr>
      </w:pPr>
      <w:r>
        <w:rPr>
          <w:rStyle w:val="FootnoteReference"/>
        </w:rPr>
        <w:footnoteRef/>
      </w:r>
      <w:r>
        <w:t xml:space="preserve"> </w:t>
      </w:r>
      <w:r w:rsidRPr="000C03A4">
        <w:t>Ministry of Health, “Requirements for a Police Report Before Accessing Healthcare/Medical Assistance MoH/CD/55”, 28 June 2022.</w:t>
      </w:r>
    </w:p>
  </w:footnote>
  <w:footnote w:id="44">
    <w:p w14:paraId="356B37EF" w14:textId="77777777" w:rsidR="003D7801" w:rsidRPr="0056352D" w:rsidRDefault="003D7801" w:rsidP="003D7801">
      <w:pPr>
        <w:pStyle w:val="FootnoteText"/>
        <w:rPr>
          <w:rFonts w:cstheme="minorHAnsi"/>
        </w:rPr>
      </w:pPr>
      <w:r w:rsidRPr="0056352D">
        <w:rPr>
          <w:rStyle w:val="FootnoteReference"/>
          <w:rFonts w:cstheme="minorHAnsi"/>
        </w:rPr>
        <w:footnoteRef/>
      </w:r>
      <w:r w:rsidRPr="0056352D">
        <w:rPr>
          <w:rFonts w:cstheme="minorHAnsi"/>
        </w:rPr>
        <w:t xml:space="preserve"> </w:t>
      </w:r>
      <w:r>
        <w:rPr>
          <w:rFonts w:cstheme="minorHAnsi"/>
        </w:rPr>
        <w:t>“</w:t>
      </w:r>
      <w:proofErr w:type="spellStart"/>
      <w:r w:rsidRPr="0056352D">
        <w:rPr>
          <w:rFonts w:cstheme="minorHAnsi"/>
        </w:rPr>
        <w:t>Buleya</w:t>
      </w:r>
      <w:proofErr w:type="spellEnd"/>
      <w:r w:rsidRPr="0056352D">
        <w:rPr>
          <w:rFonts w:cstheme="minorHAnsi"/>
        </w:rPr>
        <w:t xml:space="preserve"> </w:t>
      </w:r>
      <w:proofErr w:type="spellStart"/>
      <w:r w:rsidRPr="0056352D">
        <w:rPr>
          <w:rFonts w:cstheme="minorHAnsi"/>
        </w:rPr>
        <w:t>Lule</w:t>
      </w:r>
      <w:proofErr w:type="spellEnd"/>
      <w:r w:rsidRPr="0056352D">
        <w:rPr>
          <w:rFonts w:cstheme="minorHAnsi"/>
        </w:rPr>
        <w:t xml:space="preserve"> murder: </w:t>
      </w:r>
      <w:proofErr w:type="spellStart"/>
      <w:r w:rsidRPr="0056352D">
        <w:rPr>
          <w:rFonts w:cstheme="minorHAnsi"/>
        </w:rPr>
        <w:t>Chisale’s</w:t>
      </w:r>
      <w:proofErr w:type="spellEnd"/>
      <w:r w:rsidRPr="0056352D">
        <w:rPr>
          <w:rFonts w:cstheme="minorHAnsi"/>
        </w:rPr>
        <w:t xml:space="preserve"> wife, nine others found with case to answer</w:t>
      </w:r>
      <w:r>
        <w:rPr>
          <w:rFonts w:cstheme="minorHAnsi"/>
        </w:rPr>
        <w:t xml:space="preserve">”, Malawi 24, 14 </w:t>
      </w:r>
      <w:r w:rsidRPr="0056352D">
        <w:rPr>
          <w:rFonts w:cstheme="minorHAnsi"/>
        </w:rPr>
        <w:t xml:space="preserve">September </w:t>
      </w:r>
      <w:r>
        <w:rPr>
          <w:rFonts w:cstheme="minorHAnsi"/>
        </w:rPr>
        <w:t>2022. Available at</w:t>
      </w:r>
      <w:r w:rsidRPr="0056352D">
        <w:rPr>
          <w:rFonts w:cstheme="minorHAnsi"/>
        </w:rPr>
        <w:t xml:space="preserve"> https://malawi24.com/2022/09/14/buleya-lule-murder-chisales-wife-nine-others-and-found-with-case-to-answer/</w:t>
      </w:r>
      <w:r>
        <w:rPr>
          <w:rFonts w:cstheme="minorHAnsi"/>
        </w:rPr>
        <w:t>.</w:t>
      </w:r>
    </w:p>
  </w:footnote>
  <w:footnote w:id="45">
    <w:p w14:paraId="43943655" w14:textId="7418B842" w:rsidR="0017355B" w:rsidRPr="007116F0" w:rsidRDefault="0017355B" w:rsidP="0017355B">
      <w:pPr>
        <w:pStyle w:val="FootnoteText"/>
        <w:rPr>
          <w:lang w:eastAsia="ko-KR"/>
        </w:rPr>
      </w:pPr>
      <w:r>
        <w:rPr>
          <w:rStyle w:val="FootnoteReference"/>
        </w:rPr>
        <w:footnoteRef/>
      </w:r>
      <w:r>
        <w:t xml:space="preserve"> </w:t>
      </w:r>
      <w:r w:rsidR="00EF7A27">
        <w:rPr>
          <w:i/>
          <w:iCs/>
        </w:rPr>
        <w:t>E.g.,</w:t>
      </w:r>
      <w:r w:rsidR="00EF7A27">
        <w:t xml:space="preserve"> </w:t>
      </w:r>
      <w:proofErr w:type="spellStart"/>
      <w:r w:rsidRPr="008F1D1D">
        <w:rPr>
          <w:rFonts w:cstheme="minorHAnsi"/>
          <w:i/>
          <w:iCs/>
        </w:rPr>
        <w:t>Magombo</w:t>
      </w:r>
      <w:proofErr w:type="spellEnd"/>
      <w:r w:rsidRPr="008F1D1D">
        <w:rPr>
          <w:rFonts w:cstheme="minorHAnsi"/>
          <w:i/>
          <w:iCs/>
        </w:rPr>
        <w:t xml:space="preserve"> v the Attorney General (Malawi Police Service)</w:t>
      </w:r>
      <w:r w:rsidRPr="008F1D1D">
        <w:rPr>
          <w:rFonts w:cstheme="minorHAnsi"/>
        </w:rPr>
        <w:t xml:space="preserve"> (Assessment of Damages) (Personal Injury Cause 282 of 2018) [2021] MWHC 51 (05 August 2021)</w:t>
      </w:r>
      <w:r>
        <w:rPr>
          <w:rFonts w:cstheme="minorHAnsi"/>
        </w:rPr>
        <w:t>.</w:t>
      </w:r>
    </w:p>
  </w:footnote>
  <w:footnote w:id="46">
    <w:p w14:paraId="417A9F07" w14:textId="77777777" w:rsidR="00AE74BE" w:rsidRPr="0056352D" w:rsidRDefault="00AE74BE" w:rsidP="00AE74BE">
      <w:pPr>
        <w:pStyle w:val="FootnoteText"/>
        <w:rPr>
          <w:rFonts w:cstheme="minorHAnsi"/>
        </w:rPr>
      </w:pPr>
      <w:r w:rsidRPr="0056352D">
        <w:rPr>
          <w:rStyle w:val="FootnoteReference"/>
          <w:rFonts w:cstheme="minorHAnsi"/>
        </w:rPr>
        <w:footnoteRef/>
      </w:r>
      <w:r w:rsidRPr="0056352D">
        <w:rPr>
          <w:rFonts w:cstheme="minorHAnsi"/>
        </w:rPr>
        <w:t xml:space="preserve"> </w:t>
      </w:r>
      <w:r>
        <w:rPr>
          <w:rFonts w:cstheme="minorHAnsi"/>
        </w:rPr>
        <w:t>“</w:t>
      </w:r>
      <w:r w:rsidRPr="0056352D">
        <w:rPr>
          <w:rFonts w:cstheme="minorHAnsi"/>
        </w:rPr>
        <w:t xml:space="preserve">Pius Nyondo, </w:t>
      </w:r>
      <w:proofErr w:type="spellStart"/>
      <w:r w:rsidRPr="0056352D">
        <w:rPr>
          <w:rFonts w:cstheme="minorHAnsi"/>
        </w:rPr>
        <w:t>Lule’s</w:t>
      </w:r>
      <w:proofErr w:type="spellEnd"/>
      <w:r w:rsidRPr="0056352D">
        <w:rPr>
          <w:rFonts w:cstheme="minorHAnsi"/>
        </w:rPr>
        <w:t xml:space="preserve"> widow to get K331m from govt over husband’s death in police custody</w:t>
      </w:r>
      <w:r>
        <w:rPr>
          <w:rFonts w:cstheme="minorHAnsi"/>
        </w:rPr>
        <w:t xml:space="preserve">”, Nyasa Times, 14 </w:t>
      </w:r>
      <w:r w:rsidRPr="0056352D">
        <w:rPr>
          <w:rFonts w:cstheme="minorHAnsi"/>
        </w:rPr>
        <w:t xml:space="preserve">June </w:t>
      </w:r>
      <w:r>
        <w:rPr>
          <w:rFonts w:cstheme="minorHAnsi"/>
        </w:rPr>
        <w:t>2021. Available at</w:t>
      </w:r>
      <w:r w:rsidRPr="0056352D">
        <w:rPr>
          <w:rFonts w:cstheme="minorHAnsi"/>
        </w:rPr>
        <w:t xml:space="preserve"> https://www.nyasatimes.com/lules-widow-to-get-k331m-from-govt-over-husbands-death-in-police-custody/</w:t>
      </w:r>
      <w:r>
        <w:rPr>
          <w:rFonts w:cstheme="minorHAnsi"/>
        </w:rPr>
        <w:t>.</w:t>
      </w:r>
    </w:p>
  </w:footnote>
  <w:footnote w:id="47">
    <w:p w14:paraId="1833AC4F" w14:textId="77777777" w:rsidR="00AE74BE" w:rsidRPr="0056352D" w:rsidRDefault="00AE74BE" w:rsidP="00AE74BE">
      <w:pPr>
        <w:pStyle w:val="FootnoteText"/>
        <w:rPr>
          <w:rFonts w:cstheme="minorHAnsi"/>
        </w:rPr>
      </w:pPr>
      <w:r w:rsidRPr="0056352D">
        <w:rPr>
          <w:rStyle w:val="FootnoteReference"/>
          <w:rFonts w:cstheme="minorHAnsi"/>
        </w:rPr>
        <w:footnoteRef/>
      </w:r>
      <w:r w:rsidRPr="0056352D">
        <w:rPr>
          <w:rFonts w:cstheme="minorHAnsi"/>
        </w:rPr>
        <w:t xml:space="preserve"> Gary </w:t>
      </w:r>
      <w:proofErr w:type="spellStart"/>
      <w:r w:rsidRPr="0056352D">
        <w:rPr>
          <w:rFonts w:cstheme="minorHAnsi"/>
        </w:rPr>
        <w:t>Samati</w:t>
      </w:r>
      <w:proofErr w:type="spellEnd"/>
      <w:r w:rsidRPr="0056352D">
        <w:rPr>
          <w:rFonts w:cstheme="minorHAnsi"/>
        </w:rPr>
        <w:t xml:space="preserve">, </w:t>
      </w:r>
      <w:r>
        <w:rPr>
          <w:rFonts w:cstheme="minorHAnsi"/>
        </w:rPr>
        <w:t>“</w:t>
      </w:r>
      <w:proofErr w:type="spellStart"/>
      <w:r>
        <w:rPr>
          <w:rFonts w:cstheme="minorHAnsi"/>
        </w:rPr>
        <w:t>L</w:t>
      </w:r>
      <w:r w:rsidRPr="0056352D">
        <w:rPr>
          <w:rFonts w:cstheme="minorHAnsi"/>
        </w:rPr>
        <w:t>ule’s</w:t>
      </w:r>
      <w:proofErr w:type="spellEnd"/>
      <w:r w:rsidRPr="0056352D">
        <w:rPr>
          <w:rFonts w:cstheme="minorHAnsi"/>
        </w:rPr>
        <w:t xml:space="preserve"> widow finally compensated</w:t>
      </w:r>
      <w:r>
        <w:rPr>
          <w:rFonts w:cstheme="minorHAnsi"/>
        </w:rPr>
        <w:t xml:space="preserve">”, The Times Group, 14 </w:t>
      </w:r>
      <w:r w:rsidRPr="0056352D">
        <w:rPr>
          <w:rFonts w:cstheme="minorHAnsi"/>
        </w:rPr>
        <w:t xml:space="preserve">November </w:t>
      </w:r>
      <w:r>
        <w:rPr>
          <w:rFonts w:cstheme="minorHAnsi"/>
        </w:rPr>
        <w:t xml:space="preserve">2021. Available at </w:t>
      </w:r>
      <w:r w:rsidRPr="0056352D">
        <w:rPr>
          <w:rFonts w:cstheme="minorHAnsi"/>
        </w:rPr>
        <w:t>https://times.mw/lules-widow-finally-compensated/</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6A0" w:firstRow="1" w:lastRow="0" w:firstColumn="1" w:lastColumn="0" w:noHBand="1" w:noVBand="1"/>
    </w:tblPr>
    <w:tblGrid>
      <w:gridCol w:w="3512"/>
      <w:gridCol w:w="3513"/>
      <w:gridCol w:w="3513"/>
    </w:tblGrid>
    <w:tr w:rsidR="00795F79" w14:paraId="57D317F7" w14:textId="0C1E4589" w:rsidTr="00795F79">
      <w:tc>
        <w:tcPr>
          <w:tcW w:w="1666" w:type="pct"/>
          <w:vAlign w:val="center"/>
        </w:tcPr>
        <w:p w14:paraId="27F9DDBE" w14:textId="51087414" w:rsidR="00795F79" w:rsidRDefault="00795F79" w:rsidP="00CF0688">
          <w:pPr>
            <w:pStyle w:val="Header"/>
            <w:ind w:left="-115"/>
            <w:jc w:val="center"/>
          </w:pPr>
          <w:r>
            <w:rPr>
              <w:noProof/>
            </w:rPr>
            <w:drawing>
              <wp:inline distT="0" distB="0" distL="0" distR="0" wp14:anchorId="4C5A04D2" wp14:editId="28378203">
                <wp:extent cx="1102037" cy="10096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4216" cy="1020808"/>
                        </a:xfrm>
                        <a:prstGeom prst="rect">
                          <a:avLst/>
                        </a:prstGeom>
                      </pic:spPr>
                    </pic:pic>
                  </a:graphicData>
                </a:graphic>
              </wp:inline>
            </w:drawing>
          </w:r>
        </w:p>
      </w:tc>
      <w:tc>
        <w:tcPr>
          <w:tcW w:w="1667" w:type="pct"/>
          <w:vAlign w:val="center"/>
        </w:tcPr>
        <w:p w14:paraId="34AB2A72" w14:textId="6904988E" w:rsidR="00795F79" w:rsidRDefault="00795F79" w:rsidP="00CF0688">
          <w:pPr>
            <w:pStyle w:val="Header"/>
            <w:ind w:right="-115"/>
            <w:jc w:val="center"/>
          </w:pPr>
          <w:r>
            <w:rPr>
              <w:noProof/>
            </w:rPr>
            <w:drawing>
              <wp:inline distT="0" distB="0" distL="0" distR="0" wp14:anchorId="705D6BDB" wp14:editId="46427EED">
                <wp:extent cx="1683744" cy="633826"/>
                <wp:effectExtent l="0" t="0" r="127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3744" cy="633826"/>
                        </a:xfrm>
                        <a:prstGeom prst="rect">
                          <a:avLst/>
                        </a:prstGeom>
                      </pic:spPr>
                    </pic:pic>
                  </a:graphicData>
                </a:graphic>
              </wp:inline>
            </w:drawing>
          </w:r>
        </w:p>
      </w:tc>
      <w:tc>
        <w:tcPr>
          <w:tcW w:w="1667" w:type="pct"/>
          <w:vAlign w:val="center"/>
        </w:tcPr>
        <w:p w14:paraId="21EBDABC" w14:textId="7B691FF5" w:rsidR="00795F79" w:rsidRDefault="00795F79" w:rsidP="00CF0688">
          <w:pPr>
            <w:pStyle w:val="Header"/>
            <w:ind w:right="-115"/>
            <w:jc w:val="center"/>
          </w:pPr>
          <w:r>
            <w:rPr>
              <w:noProof/>
            </w:rPr>
            <w:drawing>
              <wp:inline distT="0" distB="0" distL="0" distR="0" wp14:anchorId="688E3D11" wp14:editId="5A604D9C">
                <wp:extent cx="1158875" cy="619125"/>
                <wp:effectExtent l="0" t="0" r="3175" b="952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58875" cy="619125"/>
                        </a:xfrm>
                        <a:prstGeom prst="rect">
                          <a:avLst/>
                        </a:prstGeom>
                      </pic:spPr>
                    </pic:pic>
                  </a:graphicData>
                </a:graphic>
              </wp:inline>
            </w:drawing>
          </w:r>
        </w:p>
      </w:tc>
    </w:tr>
  </w:tbl>
  <w:p w14:paraId="74E3CBA6" w14:textId="6EE2FB16" w:rsidR="3A1C45A9" w:rsidRDefault="3A1C45A9" w:rsidP="3A1C4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8240"/>
    <w:multiLevelType w:val="hybridMultilevel"/>
    <w:tmpl w:val="642A09EC"/>
    <w:lvl w:ilvl="0" w:tplc="E444B640">
      <w:start w:val="1"/>
      <w:numFmt w:val="decimal"/>
      <w:lvlText w:val="%1."/>
      <w:lvlJc w:val="left"/>
      <w:pPr>
        <w:ind w:left="720" w:hanging="360"/>
      </w:pPr>
    </w:lvl>
    <w:lvl w:ilvl="1" w:tplc="3E2EDE04">
      <w:start w:val="1"/>
      <w:numFmt w:val="lowerLetter"/>
      <w:lvlText w:val="%2."/>
      <w:lvlJc w:val="left"/>
      <w:pPr>
        <w:ind w:left="1440" w:hanging="360"/>
      </w:pPr>
    </w:lvl>
    <w:lvl w:ilvl="2" w:tplc="D430EB02">
      <w:start w:val="1"/>
      <w:numFmt w:val="lowerRoman"/>
      <w:lvlText w:val="%3."/>
      <w:lvlJc w:val="right"/>
      <w:pPr>
        <w:ind w:left="2160" w:hanging="180"/>
      </w:pPr>
    </w:lvl>
    <w:lvl w:ilvl="3" w:tplc="5600B9E6">
      <w:start w:val="1"/>
      <w:numFmt w:val="decimal"/>
      <w:lvlText w:val="%4."/>
      <w:lvlJc w:val="left"/>
      <w:pPr>
        <w:ind w:left="2880" w:hanging="360"/>
      </w:pPr>
    </w:lvl>
    <w:lvl w:ilvl="4" w:tplc="4B8CCCDE">
      <w:start w:val="1"/>
      <w:numFmt w:val="lowerLetter"/>
      <w:lvlText w:val="%5."/>
      <w:lvlJc w:val="left"/>
      <w:pPr>
        <w:ind w:left="3600" w:hanging="360"/>
      </w:pPr>
    </w:lvl>
    <w:lvl w:ilvl="5" w:tplc="DE749B56">
      <w:start w:val="1"/>
      <w:numFmt w:val="lowerRoman"/>
      <w:lvlText w:val="%6."/>
      <w:lvlJc w:val="right"/>
      <w:pPr>
        <w:ind w:left="4320" w:hanging="180"/>
      </w:pPr>
    </w:lvl>
    <w:lvl w:ilvl="6" w:tplc="9EB4DCD6">
      <w:start w:val="1"/>
      <w:numFmt w:val="decimal"/>
      <w:lvlText w:val="%7."/>
      <w:lvlJc w:val="left"/>
      <w:pPr>
        <w:ind w:left="5040" w:hanging="360"/>
      </w:pPr>
    </w:lvl>
    <w:lvl w:ilvl="7" w:tplc="A9686E8E">
      <w:start w:val="1"/>
      <w:numFmt w:val="lowerLetter"/>
      <w:lvlText w:val="%8."/>
      <w:lvlJc w:val="left"/>
      <w:pPr>
        <w:ind w:left="5760" w:hanging="360"/>
      </w:pPr>
    </w:lvl>
    <w:lvl w:ilvl="8" w:tplc="CF9A063A">
      <w:start w:val="1"/>
      <w:numFmt w:val="lowerRoman"/>
      <w:lvlText w:val="%9."/>
      <w:lvlJc w:val="right"/>
      <w:pPr>
        <w:ind w:left="6480" w:hanging="180"/>
      </w:pPr>
    </w:lvl>
  </w:abstractNum>
  <w:abstractNum w:abstractNumId="1" w15:restartNumberingAfterBreak="0">
    <w:nsid w:val="0B992CD9"/>
    <w:multiLevelType w:val="hybridMultilevel"/>
    <w:tmpl w:val="835A9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94C46"/>
    <w:multiLevelType w:val="hybridMultilevel"/>
    <w:tmpl w:val="751AE0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95ADB1C">
      <w:start w:val="1"/>
      <w:numFmt w:val="decimal"/>
      <w:lvlText w:val="%4."/>
      <w:lvlJc w:val="left"/>
      <w:pPr>
        <w:ind w:left="2880" w:hanging="360"/>
      </w:pPr>
      <w:rPr>
        <w:b w:val="0"/>
        <w:bCs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E537A"/>
    <w:multiLevelType w:val="multilevel"/>
    <w:tmpl w:val="9FECAB60"/>
    <w:styleLink w:val="Outlines"/>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 w15:restartNumberingAfterBreak="0">
    <w:nsid w:val="32620913"/>
    <w:multiLevelType w:val="hybridMultilevel"/>
    <w:tmpl w:val="87425EEC"/>
    <w:lvl w:ilvl="0" w:tplc="08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74C0B"/>
    <w:multiLevelType w:val="hybridMultilevel"/>
    <w:tmpl w:val="A9B2A286"/>
    <w:lvl w:ilvl="0" w:tplc="75445454">
      <w:start w:val="1"/>
      <w:numFmt w:val="decimal"/>
      <w:lvlText w:val="%1."/>
      <w:lvlJc w:val="left"/>
      <w:pPr>
        <w:ind w:left="720" w:hanging="360"/>
      </w:pPr>
    </w:lvl>
    <w:lvl w:ilvl="1" w:tplc="A47239BE">
      <w:start w:val="1"/>
      <w:numFmt w:val="lowerLetter"/>
      <w:lvlText w:val="%2."/>
      <w:lvlJc w:val="left"/>
      <w:pPr>
        <w:ind w:left="1440" w:hanging="360"/>
      </w:pPr>
    </w:lvl>
    <w:lvl w:ilvl="2" w:tplc="8CA899BE">
      <w:start w:val="1"/>
      <w:numFmt w:val="lowerRoman"/>
      <w:lvlText w:val="%3."/>
      <w:lvlJc w:val="right"/>
      <w:pPr>
        <w:ind w:left="2160" w:hanging="180"/>
      </w:pPr>
    </w:lvl>
    <w:lvl w:ilvl="3" w:tplc="7C926FCE">
      <w:start w:val="1"/>
      <w:numFmt w:val="decimal"/>
      <w:lvlText w:val="%4."/>
      <w:lvlJc w:val="left"/>
      <w:pPr>
        <w:ind w:left="2880" w:hanging="360"/>
      </w:pPr>
    </w:lvl>
    <w:lvl w:ilvl="4" w:tplc="B096034A">
      <w:start w:val="1"/>
      <w:numFmt w:val="lowerLetter"/>
      <w:lvlText w:val="%5."/>
      <w:lvlJc w:val="left"/>
      <w:pPr>
        <w:ind w:left="3600" w:hanging="360"/>
      </w:pPr>
    </w:lvl>
    <w:lvl w:ilvl="5" w:tplc="895AECA8">
      <w:start w:val="1"/>
      <w:numFmt w:val="lowerRoman"/>
      <w:lvlText w:val="%6."/>
      <w:lvlJc w:val="right"/>
      <w:pPr>
        <w:ind w:left="4320" w:hanging="180"/>
      </w:pPr>
    </w:lvl>
    <w:lvl w:ilvl="6" w:tplc="8C54E32A">
      <w:start w:val="1"/>
      <w:numFmt w:val="decimal"/>
      <w:lvlText w:val="%7."/>
      <w:lvlJc w:val="left"/>
      <w:pPr>
        <w:ind w:left="5040" w:hanging="360"/>
      </w:pPr>
    </w:lvl>
    <w:lvl w:ilvl="7" w:tplc="6FFEFE12">
      <w:start w:val="1"/>
      <w:numFmt w:val="lowerLetter"/>
      <w:lvlText w:val="%8."/>
      <w:lvlJc w:val="left"/>
      <w:pPr>
        <w:ind w:left="5760" w:hanging="360"/>
      </w:pPr>
    </w:lvl>
    <w:lvl w:ilvl="8" w:tplc="B940803E">
      <w:start w:val="1"/>
      <w:numFmt w:val="lowerRoman"/>
      <w:lvlText w:val="%9."/>
      <w:lvlJc w:val="right"/>
      <w:pPr>
        <w:ind w:left="6480" w:hanging="180"/>
      </w:pPr>
    </w:lvl>
  </w:abstractNum>
  <w:abstractNum w:abstractNumId="6" w15:restartNumberingAfterBreak="0">
    <w:nsid w:val="60137E44"/>
    <w:multiLevelType w:val="hybridMultilevel"/>
    <w:tmpl w:val="95928A22"/>
    <w:lvl w:ilvl="0" w:tplc="ECB80A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820CF3"/>
    <w:multiLevelType w:val="hybridMultilevel"/>
    <w:tmpl w:val="0C347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67365"/>
    <w:multiLevelType w:val="hybridMultilevel"/>
    <w:tmpl w:val="6532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87958144">
    <w:abstractNumId w:val="5"/>
  </w:num>
  <w:num w:numId="2" w16cid:durableId="8993082">
    <w:abstractNumId w:val="0"/>
  </w:num>
  <w:num w:numId="3" w16cid:durableId="360397564">
    <w:abstractNumId w:val="8"/>
  </w:num>
  <w:num w:numId="4" w16cid:durableId="2143190289">
    <w:abstractNumId w:val="8"/>
  </w:num>
  <w:num w:numId="5" w16cid:durableId="1717241496">
    <w:abstractNumId w:val="1"/>
  </w:num>
  <w:num w:numId="6" w16cid:durableId="17317330">
    <w:abstractNumId w:val="7"/>
  </w:num>
  <w:num w:numId="7" w16cid:durableId="808211136">
    <w:abstractNumId w:val="2"/>
  </w:num>
  <w:num w:numId="8" w16cid:durableId="1302803218">
    <w:abstractNumId w:val="6"/>
  </w:num>
  <w:num w:numId="9" w16cid:durableId="1751583604">
    <w:abstractNumId w:val="3"/>
  </w:num>
  <w:num w:numId="10" w16cid:durableId="409498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470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B4"/>
    <w:rsid w:val="00002273"/>
    <w:rsid w:val="00005DC4"/>
    <w:rsid w:val="00007D23"/>
    <w:rsid w:val="00007F2A"/>
    <w:rsid w:val="0001184D"/>
    <w:rsid w:val="00014C7E"/>
    <w:rsid w:val="0001563C"/>
    <w:rsid w:val="00016647"/>
    <w:rsid w:val="000170C4"/>
    <w:rsid w:val="0001786D"/>
    <w:rsid w:val="000234C1"/>
    <w:rsid w:val="0002386E"/>
    <w:rsid w:val="00023A28"/>
    <w:rsid w:val="000249DE"/>
    <w:rsid w:val="00025C29"/>
    <w:rsid w:val="0002718A"/>
    <w:rsid w:val="00031506"/>
    <w:rsid w:val="00036942"/>
    <w:rsid w:val="000377A3"/>
    <w:rsid w:val="000410C3"/>
    <w:rsid w:val="00042E12"/>
    <w:rsid w:val="000430BE"/>
    <w:rsid w:val="00043D18"/>
    <w:rsid w:val="0004484C"/>
    <w:rsid w:val="00050095"/>
    <w:rsid w:val="000507B0"/>
    <w:rsid w:val="000517D9"/>
    <w:rsid w:val="00055DBF"/>
    <w:rsid w:val="00056AD5"/>
    <w:rsid w:val="000575FB"/>
    <w:rsid w:val="000577EF"/>
    <w:rsid w:val="000613EF"/>
    <w:rsid w:val="00062E7E"/>
    <w:rsid w:val="00063F5C"/>
    <w:rsid w:val="00064313"/>
    <w:rsid w:val="00064D54"/>
    <w:rsid w:val="00065E3C"/>
    <w:rsid w:val="000662A9"/>
    <w:rsid w:val="00067EED"/>
    <w:rsid w:val="00067F02"/>
    <w:rsid w:val="00067FEF"/>
    <w:rsid w:val="000700C0"/>
    <w:rsid w:val="00070C7B"/>
    <w:rsid w:val="0007139B"/>
    <w:rsid w:val="00071FA1"/>
    <w:rsid w:val="00072637"/>
    <w:rsid w:val="00073DD5"/>
    <w:rsid w:val="0007625B"/>
    <w:rsid w:val="00080551"/>
    <w:rsid w:val="000808E9"/>
    <w:rsid w:val="00082F10"/>
    <w:rsid w:val="000842B8"/>
    <w:rsid w:val="00087A99"/>
    <w:rsid w:val="000979D4"/>
    <w:rsid w:val="00097B0F"/>
    <w:rsid w:val="00097D32"/>
    <w:rsid w:val="000A1881"/>
    <w:rsid w:val="000A3878"/>
    <w:rsid w:val="000A6354"/>
    <w:rsid w:val="000A6569"/>
    <w:rsid w:val="000A6E9B"/>
    <w:rsid w:val="000A7A36"/>
    <w:rsid w:val="000B41C7"/>
    <w:rsid w:val="000B6276"/>
    <w:rsid w:val="000C03A4"/>
    <w:rsid w:val="000C20B2"/>
    <w:rsid w:val="000C2555"/>
    <w:rsid w:val="000C371C"/>
    <w:rsid w:val="000C7552"/>
    <w:rsid w:val="000D0D6A"/>
    <w:rsid w:val="000D229C"/>
    <w:rsid w:val="000D3F50"/>
    <w:rsid w:val="000D5C2F"/>
    <w:rsid w:val="000D6E07"/>
    <w:rsid w:val="000D7A06"/>
    <w:rsid w:val="000E1454"/>
    <w:rsid w:val="000E15B9"/>
    <w:rsid w:val="000E4FEE"/>
    <w:rsid w:val="000E5EC4"/>
    <w:rsid w:val="000F061F"/>
    <w:rsid w:val="000F17EA"/>
    <w:rsid w:val="000F2084"/>
    <w:rsid w:val="000F2AE3"/>
    <w:rsid w:val="000F370E"/>
    <w:rsid w:val="000F3FF6"/>
    <w:rsid w:val="000F703A"/>
    <w:rsid w:val="000F7324"/>
    <w:rsid w:val="00100E31"/>
    <w:rsid w:val="001041C2"/>
    <w:rsid w:val="00104E4D"/>
    <w:rsid w:val="00105F3F"/>
    <w:rsid w:val="00107549"/>
    <w:rsid w:val="001077C5"/>
    <w:rsid w:val="00111BE3"/>
    <w:rsid w:val="00112A51"/>
    <w:rsid w:val="00113701"/>
    <w:rsid w:val="0011627F"/>
    <w:rsid w:val="001177D5"/>
    <w:rsid w:val="00120263"/>
    <w:rsid w:val="0012036A"/>
    <w:rsid w:val="00121CD7"/>
    <w:rsid w:val="00122AAA"/>
    <w:rsid w:val="00123B3E"/>
    <w:rsid w:val="0012684A"/>
    <w:rsid w:val="00126BD0"/>
    <w:rsid w:val="001273C6"/>
    <w:rsid w:val="00131019"/>
    <w:rsid w:val="00131B3F"/>
    <w:rsid w:val="0013247E"/>
    <w:rsid w:val="001331A7"/>
    <w:rsid w:val="00134E9B"/>
    <w:rsid w:val="00140767"/>
    <w:rsid w:val="00141FE2"/>
    <w:rsid w:val="00142657"/>
    <w:rsid w:val="00142CFC"/>
    <w:rsid w:val="001437C1"/>
    <w:rsid w:val="0014662C"/>
    <w:rsid w:val="00146E8E"/>
    <w:rsid w:val="00151449"/>
    <w:rsid w:val="001519E1"/>
    <w:rsid w:val="00152480"/>
    <w:rsid w:val="00155540"/>
    <w:rsid w:val="00156FA6"/>
    <w:rsid w:val="00157F5D"/>
    <w:rsid w:val="001611E3"/>
    <w:rsid w:val="001622A0"/>
    <w:rsid w:val="00167318"/>
    <w:rsid w:val="00167C54"/>
    <w:rsid w:val="0017142D"/>
    <w:rsid w:val="00171C11"/>
    <w:rsid w:val="0017270C"/>
    <w:rsid w:val="0017355B"/>
    <w:rsid w:val="00173971"/>
    <w:rsid w:val="00175985"/>
    <w:rsid w:val="001777AE"/>
    <w:rsid w:val="00180955"/>
    <w:rsid w:val="00180CCE"/>
    <w:rsid w:val="001816A7"/>
    <w:rsid w:val="001853C4"/>
    <w:rsid w:val="00185631"/>
    <w:rsid w:val="00186AD2"/>
    <w:rsid w:val="00187677"/>
    <w:rsid w:val="00187CC5"/>
    <w:rsid w:val="00190476"/>
    <w:rsid w:val="001925B0"/>
    <w:rsid w:val="001927B2"/>
    <w:rsid w:val="00192E18"/>
    <w:rsid w:val="001941FF"/>
    <w:rsid w:val="001A0202"/>
    <w:rsid w:val="001A1046"/>
    <w:rsid w:val="001A1112"/>
    <w:rsid w:val="001A1A33"/>
    <w:rsid w:val="001A2490"/>
    <w:rsid w:val="001A37AC"/>
    <w:rsid w:val="001A4779"/>
    <w:rsid w:val="001A4BD1"/>
    <w:rsid w:val="001A712E"/>
    <w:rsid w:val="001B2AF9"/>
    <w:rsid w:val="001B453B"/>
    <w:rsid w:val="001B61F0"/>
    <w:rsid w:val="001C12D1"/>
    <w:rsid w:val="001C38B1"/>
    <w:rsid w:val="001C44DC"/>
    <w:rsid w:val="001C46B5"/>
    <w:rsid w:val="001C6F19"/>
    <w:rsid w:val="001C76DB"/>
    <w:rsid w:val="001C791A"/>
    <w:rsid w:val="001D2E05"/>
    <w:rsid w:val="001D3D99"/>
    <w:rsid w:val="001D3F64"/>
    <w:rsid w:val="001D4004"/>
    <w:rsid w:val="001D4767"/>
    <w:rsid w:val="001D595D"/>
    <w:rsid w:val="001D6645"/>
    <w:rsid w:val="001D6719"/>
    <w:rsid w:val="001E0B94"/>
    <w:rsid w:val="001E1176"/>
    <w:rsid w:val="001E1302"/>
    <w:rsid w:val="001E1CCF"/>
    <w:rsid w:val="001E34FD"/>
    <w:rsid w:val="001E355D"/>
    <w:rsid w:val="001E47AD"/>
    <w:rsid w:val="001E5249"/>
    <w:rsid w:val="001E68AA"/>
    <w:rsid w:val="001E708D"/>
    <w:rsid w:val="001F1EDD"/>
    <w:rsid w:val="001F3F02"/>
    <w:rsid w:val="001F44BD"/>
    <w:rsid w:val="001F64EA"/>
    <w:rsid w:val="001F6B01"/>
    <w:rsid w:val="001F7970"/>
    <w:rsid w:val="001F7B06"/>
    <w:rsid w:val="001F7EC7"/>
    <w:rsid w:val="00200B64"/>
    <w:rsid w:val="002016E9"/>
    <w:rsid w:val="0020237F"/>
    <w:rsid w:val="00202CFD"/>
    <w:rsid w:val="0021096C"/>
    <w:rsid w:val="00210ABD"/>
    <w:rsid w:val="00210BEA"/>
    <w:rsid w:val="00212EDA"/>
    <w:rsid w:val="0021316B"/>
    <w:rsid w:val="002144B6"/>
    <w:rsid w:val="00215D4F"/>
    <w:rsid w:val="00220296"/>
    <w:rsid w:val="002209B9"/>
    <w:rsid w:val="00225398"/>
    <w:rsid w:val="00225AEF"/>
    <w:rsid w:val="00225D8A"/>
    <w:rsid w:val="00226051"/>
    <w:rsid w:val="00226389"/>
    <w:rsid w:val="002308DE"/>
    <w:rsid w:val="00230FB7"/>
    <w:rsid w:val="00231FB0"/>
    <w:rsid w:val="002337E9"/>
    <w:rsid w:val="00234C88"/>
    <w:rsid w:val="00234CA2"/>
    <w:rsid w:val="00236893"/>
    <w:rsid w:val="00240E52"/>
    <w:rsid w:val="00241ED2"/>
    <w:rsid w:val="00245965"/>
    <w:rsid w:val="002524B3"/>
    <w:rsid w:val="00253650"/>
    <w:rsid w:val="00253F32"/>
    <w:rsid w:val="002545DD"/>
    <w:rsid w:val="0025465E"/>
    <w:rsid w:val="00255B11"/>
    <w:rsid w:val="00257FB5"/>
    <w:rsid w:val="00260E2C"/>
    <w:rsid w:val="00262784"/>
    <w:rsid w:val="0026278C"/>
    <w:rsid w:val="00262824"/>
    <w:rsid w:val="00263C1C"/>
    <w:rsid w:val="00266A9B"/>
    <w:rsid w:val="00267709"/>
    <w:rsid w:val="00267918"/>
    <w:rsid w:val="0027096B"/>
    <w:rsid w:val="002742DE"/>
    <w:rsid w:val="00274E19"/>
    <w:rsid w:val="002766B6"/>
    <w:rsid w:val="00276E38"/>
    <w:rsid w:val="00277D5E"/>
    <w:rsid w:val="00280A5C"/>
    <w:rsid w:val="00284B76"/>
    <w:rsid w:val="00286208"/>
    <w:rsid w:val="0028636C"/>
    <w:rsid w:val="00287202"/>
    <w:rsid w:val="0029032B"/>
    <w:rsid w:val="0029073B"/>
    <w:rsid w:val="00291AFC"/>
    <w:rsid w:val="002937B3"/>
    <w:rsid w:val="00297220"/>
    <w:rsid w:val="002A37A9"/>
    <w:rsid w:val="002A4653"/>
    <w:rsid w:val="002A49EB"/>
    <w:rsid w:val="002A5094"/>
    <w:rsid w:val="002A5C96"/>
    <w:rsid w:val="002A6242"/>
    <w:rsid w:val="002A6822"/>
    <w:rsid w:val="002B0227"/>
    <w:rsid w:val="002B0BAA"/>
    <w:rsid w:val="002B21F6"/>
    <w:rsid w:val="002B2A6D"/>
    <w:rsid w:val="002B31C6"/>
    <w:rsid w:val="002B360F"/>
    <w:rsid w:val="002B50AB"/>
    <w:rsid w:val="002B50CC"/>
    <w:rsid w:val="002B5BF5"/>
    <w:rsid w:val="002B7706"/>
    <w:rsid w:val="002C3E33"/>
    <w:rsid w:val="002C5870"/>
    <w:rsid w:val="002C7012"/>
    <w:rsid w:val="002D0D53"/>
    <w:rsid w:val="002D3D85"/>
    <w:rsid w:val="002D56DE"/>
    <w:rsid w:val="002D6FB9"/>
    <w:rsid w:val="002D736B"/>
    <w:rsid w:val="002D7849"/>
    <w:rsid w:val="002E092A"/>
    <w:rsid w:val="002E1F11"/>
    <w:rsid w:val="002E54A9"/>
    <w:rsid w:val="002E568E"/>
    <w:rsid w:val="002E7771"/>
    <w:rsid w:val="002E7FEA"/>
    <w:rsid w:val="002F3022"/>
    <w:rsid w:val="002F30BC"/>
    <w:rsid w:val="002F4F7D"/>
    <w:rsid w:val="002F6975"/>
    <w:rsid w:val="002F7100"/>
    <w:rsid w:val="00301E81"/>
    <w:rsid w:val="003025F7"/>
    <w:rsid w:val="00303C6B"/>
    <w:rsid w:val="003065C7"/>
    <w:rsid w:val="00310C33"/>
    <w:rsid w:val="00310F03"/>
    <w:rsid w:val="00311A34"/>
    <w:rsid w:val="00312511"/>
    <w:rsid w:val="00317DDC"/>
    <w:rsid w:val="00320E6A"/>
    <w:rsid w:val="00322CD4"/>
    <w:rsid w:val="00322CDB"/>
    <w:rsid w:val="00323165"/>
    <w:rsid w:val="003249EA"/>
    <w:rsid w:val="00324CD6"/>
    <w:rsid w:val="00325D64"/>
    <w:rsid w:val="00327107"/>
    <w:rsid w:val="00327875"/>
    <w:rsid w:val="00327DD3"/>
    <w:rsid w:val="003303C7"/>
    <w:rsid w:val="003310B6"/>
    <w:rsid w:val="003316B5"/>
    <w:rsid w:val="00332B67"/>
    <w:rsid w:val="00333476"/>
    <w:rsid w:val="0033531C"/>
    <w:rsid w:val="0033748C"/>
    <w:rsid w:val="00337EAE"/>
    <w:rsid w:val="003406C7"/>
    <w:rsid w:val="00341AC6"/>
    <w:rsid w:val="003424B4"/>
    <w:rsid w:val="00342C03"/>
    <w:rsid w:val="003435CB"/>
    <w:rsid w:val="003436F8"/>
    <w:rsid w:val="00343A47"/>
    <w:rsid w:val="0034423E"/>
    <w:rsid w:val="00344994"/>
    <w:rsid w:val="00344A53"/>
    <w:rsid w:val="00345D4F"/>
    <w:rsid w:val="00346B99"/>
    <w:rsid w:val="00351A5F"/>
    <w:rsid w:val="0035350B"/>
    <w:rsid w:val="00354D89"/>
    <w:rsid w:val="00357275"/>
    <w:rsid w:val="0035764B"/>
    <w:rsid w:val="00362921"/>
    <w:rsid w:val="00362DD6"/>
    <w:rsid w:val="00363275"/>
    <w:rsid w:val="00364CE0"/>
    <w:rsid w:val="00365BB1"/>
    <w:rsid w:val="00365CAD"/>
    <w:rsid w:val="00365FBD"/>
    <w:rsid w:val="00366661"/>
    <w:rsid w:val="0037389B"/>
    <w:rsid w:val="00374720"/>
    <w:rsid w:val="00374F0C"/>
    <w:rsid w:val="00375519"/>
    <w:rsid w:val="00375DD1"/>
    <w:rsid w:val="00376D08"/>
    <w:rsid w:val="00377078"/>
    <w:rsid w:val="003771A2"/>
    <w:rsid w:val="00377703"/>
    <w:rsid w:val="00377DE4"/>
    <w:rsid w:val="00381567"/>
    <w:rsid w:val="00381FC0"/>
    <w:rsid w:val="00384066"/>
    <w:rsid w:val="00384C8B"/>
    <w:rsid w:val="0039028B"/>
    <w:rsid w:val="00390936"/>
    <w:rsid w:val="00390B9E"/>
    <w:rsid w:val="00391668"/>
    <w:rsid w:val="003923D1"/>
    <w:rsid w:val="003928A9"/>
    <w:rsid w:val="00393183"/>
    <w:rsid w:val="003943B1"/>
    <w:rsid w:val="003946DA"/>
    <w:rsid w:val="00394823"/>
    <w:rsid w:val="003948C3"/>
    <w:rsid w:val="003952AA"/>
    <w:rsid w:val="00396515"/>
    <w:rsid w:val="00397257"/>
    <w:rsid w:val="0039775D"/>
    <w:rsid w:val="00397FE5"/>
    <w:rsid w:val="003A07D3"/>
    <w:rsid w:val="003A084B"/>
    <w:rsid w:val="003A087E"/>
    <w:rsid w:val="003A3731"/>
    <w:rsid w:val="003A4D58"/>
    <w:rsid w:val="003A5D6E"/>
    <w:rsid w:val="003A6FE0"/>
    <w:rsid w:val="003A7E89"/>
    <w:rsid w:val="003B18FF"/>
    <w:rsid w:val="003B24BC"/>
    <w:rsid w:val="003B4F5E"/>
    <w:rsid w:val="003B63D3"/>
    <w:rsid w:val="003B6638"/>
    <w:rsid w:val="003B70ED"/>
    <w:rsid w:val="003C6106"/>
    <w:rsid w:val="003D05D8"/>
    <w:rsid w:val="003D2C87"/>
    <w:rsid w:val="003D599D"/>
    <w:rsid w:val="003D6249"/>
    <w:rsid w:val="003D62A9"/>
    <w:rsid w:val="003D7801"/>
    <w:rsid w:val="003D7CEA"/>
    <w:rsid w:val="003E0824"/>
    <w:rsid w:val="003E73B6"/>
    <w:rsid w:val="003F04B9"/>
    <w:rsid w:val="003F16D3"/>
    <w:rsid w:val="003F1A14"/>
    <w:rsid w:val="003F1F3A"/>
    <w:rsid w:val="003F2119"/>
    <w:rsid w:val="003F2655"/>
    <w:rsid w:val="003F2EA3"/>
    <w:rsid w:val="003F3AD1"/>
    <w:rsid w:val="003F4A2A"/>
    <w:rsid w:val="003F5177"/>
    <w:rsid w:val="004008A8"/>
    <w:rsid w:val="0040259C"/>
    <w:rsid w:val="00402776"/>
    <w:rsid w:val="00403054"/>
    <w:rsid w:val="00403579"/>
    <w:rsid w:val="00405EFE"/>
    <w:rsid w:val="004064D5"/>
    <w:rsid w:val="00410F9B"/>
    <w:rsid w:val="00412E65"/>
    <w:rsid w:val="0041348D"/>
    <w:rsid w:val="0041567D"/>
    <w:rsid w:val="004156EF"/>
    <w:rsid w:val="00415960"/>
    <w:rsid w:val="00415DC4"/>
    <w:rsid w:val="004163C6"/>
    <w:rsid w:val="004177FF"/>
    <w:rsid w:val="00420A3C"/>
    <w:rsid w:val="00421701"/>
    <w:rsid w:val="00422086"/>
    <w:rsid w:val="004239F1"/>
    <w:rsid w:val="00423B3C"/>
    <w:rsid w:val="00423CE4"/>
    <w:rsid w:val="0042562A"/>
    <w:rsid w:val="0042585C"/>
    <w:rsid w:val="00426534"/>
    <w:rsid w:val="0042708D"/>
    <w:rsid w:val="00427D62"/>
    <w:rsid w:val="00427DBC"/>
    <w:rsid w:val="00431F25"/>
    <w:rsid w:val="00432E51"/>
    <w:rsid w:val="00433BC9"/>
    <w:rsid w:val="004369E8"/>
    <w:rsid w:val="00437253"/>
    <w:rsid w:val="00437CD3"/>
    <w:rsid w:val="00442763"/>
    <w:rsid w:val="00444D40"/>
    <w:rsid w:val="00444FA6"/>
    <w:rsid w:val="004464CC"/>
    <w:rsid w:val="004475A0"/>
    <w:rsid w:val="004476B9"/>
    <w:rsid w:val="00450C5B"/>
    <w:rsid w:val="00456046"/>
    <w:rsid w:val="00456BE7"/>
    <w:rsid w:val="00466817"/>
    <w:rsid w:val="004700FB"/>
    <w:rsid w:val="004714A5"/>
    <w:rsid w:val="0047154F"/>
    <w:rsid w:val="00472189"/>
    <w:rsid w:val="00473018"/>
    <w:rsid w:val="004731D3"/>
    <w:rsid w:val="00473582"/>
    <w:rsid w:val="004740E1"/>
    <w:rsid w:val="00474424"/>
    <w:rsid w:val="0047492E"/>
    <w:rsid w:val="004763AC"/>
    <w:rsid w:val="00476D52"/>
    <w:rsid w:val="00477A5F"/>
    <w:rsid w:val="004813E0"/>
    <w:rsid w:val="004814E1"/>
    <w:rsid w:val="00482E4B"/>
    <w:rsid w:val="00483D90"/>
    <w:rsid w:val="004844A2"/>
    <w:rsid w:val="0048466C"/>
    <w:rsid w:val="00486591"/>
    <w:rsid w:val="00486BEF"/>
    <w:rsid w:val="00493BD3"/>
    <w:rsid w:val="00493DF1"/>
    <w:rsid w:val="00494A04"/>
    <w:rsid w:val="004A0949"/>
    <w:rsid w:val="004A1539"/>
    <w:rsid w:val="004A40FF"/>
    <w:rsid w:val="004A54C7"/>
    <w:rsid w:val="004A5533"/>
    <w:rsid w:val="004A5834"/>
    <w:rsid w:val="004B083C"/>
    <w:rsid w:val="004B0983"/>
    <w:rsid w:val="004B29CD"/>
    <w:rsid w:val="004B2BA4"/>
    <w:rsid w:val="004B42BC"/>
    <w:rsid w:val="004B4C4F"/>
    <w:rsid w:val="004B65F7"/>
    <w:rsid w:val="004B6F0C"/>
    <w:rsid w:val="004B71FB"/>
    <w:rsid w:val="004C05EF"/>
    <w:rsid w:val="004C24FE"/>
    <w:rsid w:val="004C3262"/>
    <w:rsid w:val="004C7551"/>
    <w:rsid w:val="004C7B15"/>
    <w:rsid w:val="004D01B2"/>
    <w:rsid w:val="004D1B93"/>
    <w:rsid w:val="004D2E45"/>
    <w:rsid w:val="004D4AF6"/>
    <w:rsid w:val="004D5D52"/>
    <w:rsid w:val="004D6588"/>
    <w:rsid w:val="004D68B0"/>
    <w:rsid w:val="004E0460"/>
    <w:rsid w:val="004E0CDE"/>
    <w:rsid w:val="004E17D9"/>
    <w:rsid w:val="004E2565"/>
    <w:rsid w:val="004E3247"/>
    <w:rsid w:val="004E4712"/>
    <w:rsid w:val="004F2167"/>
    <w:rsid w:val="004F2579"/>
    <w:rsid w:val="004F2B6A"/>
    <w:rsid w:val="004F42C3"/>
    <w:rsid w:val="004F56D3"/>
    <w:rsid w:val="004F5DFF"/>
    <w:rsid w:val="004F5E87"/>
    <w:rsid w:val="004F719D"/>
    <w:rsid w:val="004F7A7F"/>
    <w:rsid w:val="0050193C"/>
    <w:rsid w:val="00501B84"/>
    <w:rsid w:val="0050282C"/>
    <w:rsid w:val="00503058"/>
    <w:rsid w:val="005043A4"/>
    <w:rsid w:val="00506C6B"/>
    <w:rsid w:val="0051037E"/>
    <w:rsid w:val="005116E3"/>
    <w:rsid w:val="0051179F"/>
    <w:rsid w:val="00511BEE"/>
    <w:rsid w:val="0051374D"/>
    <w:rsid w:val="005140C6"/>
    <w:rsid w:val="00514CAC"/>
    <w:rsid w:val="00515853"/>
    <w:rsid w:val="0052051C"/>
    <w:rsid w:val="005236FF"/>
    <w:rsid w:val="00525729"/>
    <w:rsid w:val="0052647B"/>
    <w:rsid w:val="005269B8"/>
    <w:rsid w:val="00527708"/>
    <w:rsid w:val="00531956"/>
    <w:rsid w:val="00531E07"/>
    <w:rsid w:val="005323FA"/>
    <w:rsid w:val="00533D93"/>
    <w:rsid w:val="00533DE4"/>
    <w:rsid w:val="00537DA7"/>
    <w:rsid w:val="0054346B"/>
    <w:rsid w:val="00545750"/>
    <w:rsid w:val="0054590C"/>
    <w:rsid w:val="00546CAB"/>
    <w:rsid w:val="00546E78"/>
    <w:rsid w:val="005472B9"/>
    <w:rsid w:val="00547856"/>
    <w:rsid w:val="005504BC"/>
    <w:rsid w:val="00551E68"/>
    <w:rsid w:val="00552FFF"/>
    <w:rsid w:val="005534D3"/>
    <w:rsid w:val="0055445C"/>
    <w:rsid w:val="00556B02"/>
    <w:rsid w:val="00561154"/>
    <w:rsid w:val="00561D01"/>
    <w:rsid w:val="0056352D"/>
    <w:rsid w:val="00563DDF"/>
    <w:rsid w:val="0056481D"/>
    <w:rsid w:val="00567220"/>
    <w:rsid w:val="005718EB"/>
    <w:rsid w:val="00571B05"/>
    <w:rsid w:val="00574D35"/>
    <w:rsid w:val="005764F8"/>
    <w:rsid w:val="00577D72"/>
    <w:rsid w:val="00580A1B"/>
    <w:rsid w:val="00581F7F"/>
    <w:rsid w:val="005822E1"/>
    <w:rsid w:val="005823E8"/>
    <w:rsid w:val="005829D0"/>
    <w:rsid w:val="005848CE"/>
    <w:rsid w:val="00584989"/>
    <w:rsid w:val="00584C52"/>
    <w:rsid w:val="00586318"/>
    <w:rsid w:val="00593D09"/>
    <w:rsid w:val="0059407C"/>
    <w:rsid w:val="0059566B"/>
    <w:rsid w:val="00596F90"/>
    <w:rsid w:val="005A10F4"/>
    <w:rsid w:val="005A1136"/>
    <w:rsid w:val="005A1B38"/>
    <w:rsid w:val="005A1EF7"/>
    <w:rsid w:val="005A231A"/>
    <w:rsid w:val="005A4412"/>
    <w:rsid w:val="005A5FD0"/>
    <w:rsid w:val="005B0FCF"/>
    <w:rsid w:val="005B29A2"/>
    <w:rsid w:val="005B4B7B"/>
    <w:rsid w:val="005B4E61"/>
    <w:rsid w:val="005C04D8"/>
    <w:rsid w:val="005C1D67"/>
    <w:rsid w:val="005C2285"/>
    <w:rsid w:val="005C2F5D"/>
    <w:rsid w:val="005C5D97"/>
    <w:rsid w:val="005C6E24"/>
    <w:rsid w:val="005D0E40"/>
    <w:rsid w:val="005D2F25"/>
    <w:rsid w:val="005D6241"/>
    <w:rsid w:val="005D7F52"/>
    <w:rsid w:val="005D7FBD"/>
    <w:rsid w:val="005E0C24"/>
    <w:rsid w:val="005E33BE"/>
    <w:rsid w:val="005E5332"/>
    <w:rsid w:val="005E5D88"/>
    <w:rsid w:val="005E6D55"/>
    <w:rsid w:val="005E77F8"/>
    <w:rsid w:val="005F135A"/>
    <w:rsid w:val="005F178B"/>
    <w:rsid w:val="005F3F9C"/>
    <w:rsid w:val="00603DA8"/>
    <w:rsid w:val="00605EF3"/>
    <w:rsid w:val="006072E0"/>
    <w:rsid w:val="00607570"/>
    <w:rsid w:val="00610473"/>
    <w:rsid w:val="006141F8"/>
    <w:rsid w:val="0061457E"/>
    <w:rsid w:val="00614EA7"/>
    <w:rsid w:val="00615FCE"/>
    <w:rsid w:val="00616A27"/>
    <w:rsid w:val="00617CFE"/>
    <w:rsid w:val="00620411"/>
    <w:rsid w:val="00621E9F"/>
    <w:rsid w:val="00624CC8"/>
    <w:rsid w:val="006263AE"/>
    <w:rsid w:val="006276D3"/>
    <w:rsid w:val="00627795"/>
    <w:rsid w:val="00632F80"/>
    <w:rsid w:val="00634320"/>
    <w:rsid w:val="0063453B"/>
    <w:rsid w:val="00635032"/>
    <w:rsid w:val="00636667"/>
    <w:rsid w:val="00636959"/>
    <w:rsid w:val="00645722"/>
    <w:rsid w:val="0065209E"/>
    <w:rsid w:val="00653F07"/>
    <w:rsid w:val="0065408E"/>
    <w:rsid w:val="00654382"/>
    <w:rsid w:val="00655E3A"/>
    <w:rsid w:val="006569E4"/>
    <w:rsid w:val="00656F14"/>
    <w:rsid w:val="00662A17"/>
    <w:rsid w:val="006632BC"/>
    <w:rsid w:val="00664598"/>
    <w:rsid w:val="00665572"/>
    <w:rsid w:val="0066717C"/>
    <w:rsid w:val="00667C20"/>
    <w:rsid w:val="0067019A"/>
    <w:rsid w:val="00672370"/>
    <w:rsid w:val="00675027"/>
    <w:rsid w:val="006750EA"/>
    <w:rsid w:val="00675654"/>
    <w:rsid w:val="00675F6F"/>
    <w:rsid w:val="006776E3"/>
    <w:rsid w:val="00677940"/>
    <w:rsid w:val="00677B8C"/>
    <w:rsid w:val="00684FCC"/>
    <w:rsid w:val="00685A8F"/>
    <w:rsid w:val="0068699F"/>
    <w:rsid w:val="00687894"/>
    <w:rsid w:val="006908E2"/>
    <w:rsid w:val="006909EF"/>
    <w:rsid w:val="00690AEB"/>
    <w:rsid w:val="006913DF"/>
    <w:rsid w:val="00694D82"/>
    <w:rsid w:val="0069651B"/>
    <w:rsid w:val="0069666C"/>
    <w:rsid w:val="00697615"/>
    <w:rsid w:val="006A0E52"/>
    <w:rsid w:val="006A2017"/>
    <w:rsid w:val="006A3410"/>
    <w:rsid w:val="006A4E98"/>
    <w:rsid w:val="006A5C60"/>
    <w:rsid w:val="006A63C5"/>
    <w:rsid w:val="006A6720"/>
    <w:rsid w:val="006A7793"/>
    <w:rsid w:val="006B235C"/>
    <w:rsid w:val="006B4885"/>
    <w:rsid w:val="006B5F1D"/>
    <w:rsid w:val="006B7869"/>
    <w:rsid w:val="006B78D5"/>
    <w:rsid w:val="006C146E"/>
    <w:rsid w:val="006C1E85"/>
    <w:rsid w:val="006C3C57"/>
    <w:rsid w:val="006C4376"/>
    <w:rsid w:val="006C478A"/>
    <w:rsid w:val="006C57C4"/>
    <w:rsid w:val="006C5F51"/>
    <w:rsid w:val="006D05C5"/>
    <w:rsid w:val="006D228F"/>
    <w:rsid w:val="006D4163"/>
    <w:rsid w:val="006D57F0"/>
    <w:rsid w:val="006D5883"/>
    <w:rsid w:val="006D6B13"/>
    <w:rsid w:val="006D7171"/>
    <w:rsid w:val="006D7479"/>
    <w:rsid w:val="006D7EAE"/>
    <w:rsid w:val="006E0A3A"/>
    <w:rsid w:val="006E1AA9"/>
    <w:rsid w:val="006E2080"/>
    <w:rsid w:val="006E53A7"/>
    <w:rsid w:val="006E5A1B"/>
    <w:rsid w:val="006F2209"/>
    <w:rsid w:val="0070059B"/>
    <w:rsid w:val="00701097"/>
    <w:rsid w:val="00704340"/>
    <w:rsid w:val="00705EF0"/>
    <w:rsid w:val="00706D70"/>
    <w:rsid w:val="00706DF6"/>
    <w:rsid w:val="0071091C"/>
    <w:rsid w:val="007116F0"/>
    <w:rsid w:val="007135BE"/>
    <w:rsid w:val="007160D4"/>
    <w:rsid w:val="0071755D"/>
    <w:rsid w:val="00721520"/>
    <w:rsid w:val="00721DC7"/>
    <w:rsid w:val="00722084"/>
    <w:rsid w:val="00723BA7"/>
    <w:rsid w:val="00724D1F"/>
    <w:rsid w:val="00725782"/>
    <w:rsid w:val="00725AEB"/>
    <w:rsid w:val="00725CFE"/>
    <w:rsid w:val="00730952"/>
    <w:rsid w:val="00731DFF"/>
    <w:rsid w:val="00733344"/>
    <w:rsid w:val="0073373A"/>
    <w:rsid w:val="00733D77"/>
    <w:rsid w:val="0073597B"/>
    <w:rsid w:val="00735D92"/>
    <w:rsid w:val="007377F1"/>
    <w:rsid w:val="0073787A"/>
    <w:rsid w:val="00742A56"/>
    <w:rsid w:val="00743852"/>
    <w:rsid w:val="007451C0"/>
    <w:rsid w:val="00746093"/>
    <w:rsid w:val="0074770D"/>
    <w:rsid w:val="00750DB4"/>
    <w:rsid w:val="00751A9D"/>
    <w:rsid w:val="00752428"/>
    <w:rsid w:val="00753255"/>
    <w:rsid w:val="007537B3"/>
    <w:rsid w:val="00753964"/>
    <w:rsid w:val="00754154"/>
    <w:rsid w:val="00754348"/>
    <w:rsid w:val="00754A2C"/>
    <w:rsid w:val="00755BF7"/>
    <w:rsid w:val="00755D47"/>
    <w:rsid w:val="00756C54"/>
    <w:rsid w:val="0075724E"/>
    <w:rsid w:val="0075760F"/>
    <w:rsid w:val="00757D70"/>
    <w:rsid w:val="00760D6F"/>
    <w:rsid w:val="007613D3"/>
    <w:rsid w:val="00761C0E"/>
    <w:rsid w:val="007631F7"/>
    <w:rsid w:val="00772EAA"/>
    <w:rsid w:val="00773801"/>
    <w:rsid w:val="00773EDB"/>
    <w:rsid w:val="00775B2C"/>
    <w:rsid w:val="00780C1D"/>
    <w:rsid w:val="007833F3"/>
    <w:rsid w:val="0079049B"/>
    <w:rsid w:val="007919D2"/>
    <w:rsid w:val="0079248E"/>
    <w:rsid w:val="00792A80"/>
    <w:rsid w:val="00792C81"/>
    <w:rsid w:val="00795F79"/>
    <w:rsid w:val="0079735A"/>
    <w:rsid w:val="007A0C6A"/>
    <w:rsid w:val="007A20C0"/>
    <w:rsid w:val="007A2D48"/>
    <w:rsid w:val="007A2EC7"/>
    <w:rsid w:val="007A330B"/>
    <w:rsid w:val="007A40F5"/>
    <w:rsid w:val="007A4FC0"/>
    <w:rsid w:val="007A625B"/>
    <w:rsid w:val="007A63DE"/>
    <w:rsid w:val="007B18D8"/>
    <w:rsid w:val="007B1E2C"/>
    <w:rsid w:val="007B27DA"/>
    <w:rsid w:val="007B3894"/>
    <w:rsid w:val="007B6579"/>
    <w:rsid w:val="007B7154"/>
    <w:rsid w:val="007C21F8"/>
    <w:rsid w:val="007C2EA5"/>
    <w:rsid w:val="007C580D"/>
    <w:rsid w:val="007D06D3"/>
    <w:rsid w:val="007D0DFF"/>
    <w:rsid w:val="007D1F3F"/>
    <w:rsid w:val="007D2967"/>
    <w:rsid w:val="007D3AB5"/>
    <w:rsid w:val="007D3E13"/>
    <w:rsid w:val="007D4E3D"/>
    <w:rsid w:val="007E3557"/>
    <w:rsid w:val="007E604B"/>
    <w:rsid w:val="007E7CB9"/>
    <w:rsid w:val="007E7D8C"/>
    <w:rsid w:val="007F06B5"/>
    <w:rsid w:val="007F15D6"/>
    <w:rsid w:val="007F1F4D"/>
    <w:rsid w:val="007F44EF"/>
    <w:rsid w:val="007F4FC5"/>
    <w:rsid w:val="007F628B"/>
    <w:rsid w:val="007F6E01"/>
    <w:rsid w:val="007F7A7E"/>
    <w:rsid w:val="007F7F0F"/>
    <w:rsid w:val="008006AE"/>
    <w:rsid w:val="00800C0D"/>
    <w:rsid w:val="008039A0"/>
    <w:rsid w:val="00805974"/>
    <w:rsid w:val="00811681"/>
    <w:rsid w:val="00811F6F"/>
    <w:rsid w:val="00813D3B"/>
    <w:rsid w:val="00817C61"/>
    <w:rsid w:val="00821078"/>
    <w:rsid w:val="00822BF0"/>
    <w:rsid w:val="00823F65"/>
    <w:rsid w:val="008243CB"/>
    <w:rsid w:val="00825398"/>
    <w:rsid w:val="008254E2"/>
    <w:rsid w:val="0082582D"/>
    <w:rsid w:val="008270D2"/>
    <w:rsid w:val="008272E3"/>
    <w:rsid w:val="008278CB"/>
    <w:rsid w:val="008313FC"/>
    <w:rsid w:val="008324BC"/>
    <w:rsid w:val="008325D2"/>
    <w:rsid w:val="00832C7C"/>
    <w:rsid w:val="00834BCF"/>
    <w:rsid w:val="0083680D"/>
    <w:rsid w:val="008373B0"/>
    <w:rsid w:val="00837E69"/>
    <w:rsid w:val="008416A7"/>
    <w:rsid w:val="0084213C"/>
    <w:rsid w:val="00844B57"/>
    <w:rsid w:val="008458F3"/>
    <w:rsid w:val="00847FFC"/>
    <w:rsid w:val="00850A05"/>
    <w:rsid w:val="00852FDC"/>
    <w:rsid w:val="00854279"/>
    <w:rsid w:val="00854422"/>
    <w:rsid w:val="008548B0"/>
    <w:rsid w:val="00854992"/>
    <w:rsid w:val="00855418"/>
    <w:rsid w:val="00855D4D"/>
    <w:rsid w:val="00856F5D"/>
    <w:rsid w:val="0085738D"/>
    <w:rsid w:val="008600AB"/>
    <w:rsid w:val="00860769"/>
    <w:rsid w:val="00861042"/>
    <w:rsid w:val="008620FA"/>
    <w:rsid w:val="00864F77"/>
    <w:rsid w:val="00865B8A"/>
    <w:rsid w:val="008672AB"/>
    <w:rsid w:val="0087114E"/>
    <w:rsid w:val="00871670"/>
    <w:rsid w:val="00874A64"/>
    <w:rsid w:val="00875D5D"/>
    <w:rsid w:val="008762E4"/>
    <w:rsid w:val="00880250"/>
    <w:rsid w:val="008802B7"/>
    <w:rsid w:val="00882E87"/>
    <w:rsid w:val="00883A76"/>
    <w:rsid w:val="00885651"/>
    <w:rsid w:val="0089161B"/>
    <w:rsid w:val="00891D33"/>
    <w:rsid w:val="00894D97"/>
    <w:rsid w:val="008950DF"/>
    <w:rsid w:val="00895518"/>
    <w:rsid w:val="00897A22"/>
    <w:rsid w:val="008A0886"/>
    <w:rsid w:val="008A16D7"/>
    <w:rsid w:val="008A2334"/>
    <w:rsid w:val="008A2443"/>
    <w:rsid w:val="008A358E"/>
    <w:rsid w:val="008A3A78"/>
    <w:rsid w:val="008A4EA0"/>
    <w:rsid w:val="008B13DE"/>
    <w:rsid w:val="008B1FA1"/>
    <w:rsid w:val="008B21C5"/>
    <w:rsid w:val="008B54E1"/>
    <w:rsid w:val="008B5744"/>
    <w:rsid w:val="008B6110"/>
    <w:rsid w:val="008B7C44"/>
    <w:rsid w:val="008C0310"/>
    <w:rsid w:val="008C1F62"/>
    <w:rsid w:val="008C1FA8"/>
    <w:rsid w:val="008C31EF"/>
    <w:rsid w:val="008C65C3"/>
    <w:rsid w:val="008C70A4"/>
    <w:rsid w:val="008D1EA9"/>
    <w:rsid w:val="008D362D"/>
    <w:rsid w:val="008D423F"/>
    <w:rsid w:val="008D4FCC"/>
    <w:rsid w:val="008D590D"/>
    <w:rsid w:val="008D60D9"/>
    <w:rsid w:val="008E0DF4"/>
    <w:rsid w:val="008E0EB7"/>
    <w:rsid w:val="008E2885"/>
    <w:rsid w:val="008E3F7A"/>
    <w:rsid w:val="008E48CB"/>
    <w:rsid w:val="008E6E7F"/>
    <w:rsid w:val="008F1856"/>
    <w:rsid w:val="008F1B0A"/>
    <w:rsid w:val="008F1D1D"/>
    <w:rsid w:val="008F26A7"/>
    <w:rsid w:val="008F3AFD"/>
    <w:rsid w:val="00900D71"/>
    <w:rsid w:val="00901412"/>
    <w:rsid w:val="00901414"/>
    <w:rsid w:val="00904969"/>
    <w:rsid w:val="009051E5"/>
    <w:rsid w:val="00905E1B"/>
    <w:rsid w:val="009063EE"/>
    <w:rsid w:val="00906491"/>
    <w:rsid w:val="009069A9"/>
    <w:rsid w:val="00907481"/>
    <w:rsid w:val="00920283"/>
    <w:rsid w:val="00921BB0"/>
    <w:rsid w:val="00924017"/>
    <w:rsid w:val="00926F54"/>
    <w:rsid w:val="00927258"/>
    <w:rsid w:val="00930E89"/>
    <w:rsid w:val="0093334E"/>
    <w:rsid w:val="00934F48"/>
    <w:rsid w:val="00935460"/>
    <w:rsid w:val="0094182D"/>
    <w:rsid w:val="00942976"/>
    <w:rsid w:val="009430A1"/>
    <w:rsid w:val="00943570"/>
    <w:rsid w:val="009439CC"/>
    <w:rsid w:val="009447CA"/>
    <w:rsid w:val="00944D51"/>
    <w:rsid w:val="00945127"/>
    <w:rsid w:val="0094538F"/>
    <w:rsid w:val="00945507"/>
    <w:rsid w:val="00945C95"/>
    <w:rsid w:val="009468E3"/>
    <w:rsid w:val="009473B9"/>
    <w:rsid w:val="00950524"/>
    <w:rsid w:val="00952480"/>
    <w:rsid w:val="009530EF"/>
    <w:rsid w:val="00953C71"/>
    <w:rsid w:val="00954403"/>
    <w:rsid w:val="00954487"/>
    <w:rsid w:val="00955488"/>
    <w:rsid w:val="00956EE8"/>
    <w:rsid w:val="00957A5D"/>
    <w:rsid w:val="00960C1F"/>
    <w:rsid w:val="00962F75"/>
    <w:rsid w:val="0096365B"/>
    <w:rsid w:val="00963F04"/>
    <w:rsid w:val="00967680"/>
    <w:rsid w:val="00970162"/>
    <w:rsid w:val="00970244"/>
    <w:rsid w:val="0097170C"/>
    <w:rsid w:val="00971740"/>
    <w:rsid w:val="00972205"/>
    <w:rsid w:val="00972A67"/>
    <w:rsid w:val="009739AF"/>
    <w:rsid w:val="0097532F"/>
    <w:rsid w:val="009763B4"/>
    <w:rsid w:val="00977D31"/>
    <w:rsid w:val="009813CC"/>
    <w:rsid w:val="00983C09"/>
    <w:rsid w:val="009842D0"/>
    <w:rsid w:val="00984F00"/>
    <w:rsid w:val="00985C97"/>
    <w:rsid w:val="009864F7"/>
    <w:rsid w:val="00986A6C"/>
    <w:rsid w:val="0099041E"/>
    <w:rsid w:val="00992278"/>
    <w:rsid w:val="0099267E"/>
    <w:rsid w:val="00994BCB"/>
    <w:rsid w:val="009950A0"/>
    <w:rsid w:val="009950D5"/>
    <w:rsid w:val="009952E8"/>
    <w:rsid w:val="0099653F"/>
    <w:rsid w:val="00997419"/>
    <w:rsid w:val="009A0AB6"/>
    <w:rsid w:val="009A3C94"/>
    <w:rsid w:val="009A44B7"/>
    <w:rsid w:val="009A720C"/>
    <w:rsid w:val="009B0C3C"/>
    <w:rsid w:val="009B136A"/>
    <w:rsid w:val="009B34A5"/>
    <w:rsid w:val="009B3987"/>
    <w:rsid w:val="009B3F58"/>
    <w:rsid w:val="009B4607"/>
    <w:rsid w:val="009B68AC"/>
    <w:rsid w:val="009B725C"/>
    <w:rsid w:val="009B7408"/>
    <w:rsid w:val="009B7BA3"/>
    <w:rsid w:val="009C0327"/>
    <w:rsid w:val="009C4273"/>
    <w:rsid w:val="009C4898"/>
    <w:rsid w:val="009C5E80"/>
    <w:rsid w:val="009C6208"/>
    <w:rsid w:val="009D1AAA"/>
    <w:rsid w:val="009D3130"/>
    <w:rsid w:val="009D3CD4"/>
    <w:rsid w:val="009D43EA"/>
    <w:rsid w:val="009D6AE6"/>
    <w:rsid w:val="009D7515"/>
    <w:rsid w:val="009D7B63"/>
    <w:rsid w:val="009E0124"/>
    <w:rsid w:val="009E13FC"/>
    <w:rsid w:val="009E2CD9"/>
    <w:rsid w:val="009E3817"/>
    <w:rsid w:val="009E43EF"/>
    <w:rsid w:val="009E5699"/>
    <w:rsid w:val="009F07CB"/>
    <w:rsid w:val="009F07D0"/>
    <w:rsid w:val="009F0885"/>
    <w:rsid w:val="009F1A06"/>
    <w:rsid w:val="009F3BE0"/>
    <w:rsid w:val="00A02BB8"/>
    <w:rsid w:val="00A0682F"/>
    <w:rsid w:val="00A07AFB"/>
    <w:rsid w:val="00A13B8D"/>
    <w:rsid w:val="00A15683"/>
    <w:rsid w:val="00A2502C"/>
    <w:rsid w:val="00A25725"/>
    <w:rsid w:val="00A30572"/>
    <w:rsid w:val="00A3115E"/>
    <w:rsid w:val="00A329EF"/>
    <w:rsid w:val="00A33F03"/>
    <w:rsid w:val="00A345E3"/>
    <w:rsid w:val="00A375DA"/>
    <w:rsid w:val="00A43359"/>
    <w:rsid w:val="00A4414F"/>
    <w:rsid w:val="00A461D2"/>
    <w:rsid w:val="00A46EEF"/>
    <w:rsid w:val="00A47479"/>
    <w:rsid w:val="00A47F8E"/>
    <w:rsid w:val="00A50647"/>
    <w:rsid w:val="00A5103A"/>
    <w:rsid w:val="00A524D9"/>
    <w:rsid w:val="00A5699E"/>
    <w:rsid w:val="00A60070"/>
    <w:rsid w:val="00A60389"/>
    <w:rsid w:val="00A607DF"/>
    <w:rsid w:val="00A60B50"/>
    <w:rsid w:val="00A61CC0"/>
    <w:rsid w:val="00A61F68"/>
    <w:rsid w:val="00A625F2"/>
    <w:rsid w:val="00A649B0"/>
    <w:rsid w:val="00A64A88"/>
    <w:rsid w:val="00A6555F"/>
    <w:rsid w:val="00A65924"/>
    <w:rsid w:val="00A659C2"/>
    <w:rsid w:val="00A66DD2"/>
    <w:rsid w:val="00A7220B"/>
    <w:rsid w:val="00A72B19"/>
    <w:rsid w:val="00A74709"/>
    <w:rsid w:val="00A763B4"/>
    <w:rsid w:val="00A86E3D"/>
    <w:rsid w:val="00A90E8B"/>
    <w:rsid w:val="00A979C5"/>
    <w:rsid w:val="00AA0997"/>
    <w:rsid w:val="00AA1EB9"/>
    <w:rsid w:val="00AA2BC1"/>
    <w:rsid w:val="00AA450B"/>
    <w:rsid w:val="00AA469C"/>
    <w:rsid w:val="00AA48F9"/>
    <w:rsid w:val="00AA4E0F"/>
    <w:rsid w:val="00AA504A"/>
    <w:rsid w:val="00AA7660"/>
    <w:rsid w:val="00AA7B32"/>
    <w:rsid w:val="00AB089A"/>
    <w:rsid w:val="00AB14EF"/>
    <w:rsid w:val="00AB314C"/>
    <w:rsid w:val="00AB425E"/>
    <w:rsid w:val="00AB52A1"/>
    <w:rsid w:val="00AB6622"/>
    <w:rsid w:val="00AB6F3C"/>
    <w:rsid w:val="00AB7515"/>
    <w:rsid w:val="00AC3998"/>
    <w:rsid w:val="00AC4E12"/>
    <w:rsid w:val="00AC6831"/>
    <w:rsid w:val="00AC7014"/>
    <w:rsid w:val="00AC716E"/>
    <w:rsid w:val="00AC7BF0"/>
    <w:rsid w:val="00AD12C4"/>
    <w:rsid w:val="00AD364C"/>
    <w:rsid w:val="00AD3901"/>
    <w:rsid w:val="00AD5F1E"/>
    <w:rsid w:val="00AD75C5"/>
    <w:rsid w:val="00AD7C19"/>
    <w:rsid w:val="00AE0A13"/>
    <w:rsid w:val="00AE13CA"/>
    <w:rsid w:val="00AE204B"/>
    <w:rsid w:val="00AE5649"/>
    <w:rsid w:val="00AE683F"/>
    <w:rsid w:val="00AE74BE"/>
    <w:rsid w:val="00AF1FA0"/>
    <w:rsid w:val="00AF2BD4"/>
    <w:rsid w:val="00AF3BBA"/>
    <w:rsid w:val="00AF4FD3"/>
    <w:rsid w:val="00AF67FB"/>
    <w:rsid w:val="00AF69FD"/>
    <w:rsid w:val="00B006C8"/>
    <w:rsid w:val="00B01289"/>
    <w:rsid w:val="00B01BA2"/>
    <w:rsid w:val="00B03C20"/>
    <w:rsid w:val="00B03CB3"/>
    <w:rsid w:val="00B065A8"/>
    <w:rsid w:val="00B07E08"/>
    <w:rsid w:val="00B07F6D"/>
    <w:rsid w:val="00B13A77"/>
    <w:rsid w:val="00B146FE"/>
    <w:rsid w:val="00B1671F"/>
    <w:rsid w:val="00B16C9B"/>
    <w:rsid w:val="00B16E7E"/>
    <w:rsid w:val="00B17889"/>
    <w:rsid w:val="00B20704"/>
    <w:rsid w:val="00B21F29"/>
    <w:rsid w:val="00B2391D"/>
    <w:rsid w:val="00B23BD4"/>
    <w:rsid w:val="00B2727A"/>
    <w:rsid w:val="00B30293"/>
    <w:rsid w:val="00B340F7"/>
    <w:rsid w:val="00B35394"/>
    <w:rsid w:val="00B35BB4"/>
    <w:rsid w:val="00B3684E"/>
    <w:rsid w:val="00B3736B"/>
    <w:rsid w:val="00B41B84"/>
    <w:rsid w:val="00B43874"/>
    <w:rsid w:val="00B44074"/>
    <w:rsid w:val="00B45542"/>
    <w:rsid w:val="00B460B5"/>
    <w:rsid w:val="00B4621F"/>
    <w:rsid w:val="00B4799B"/>
    <w:rsid w:val="00B53804"/>
    <w:rsid w:val="00B54509"/>
    <w:rsid w:val="00B5513C"/>
    <w:rsid w:val="00B568FA"/>
    <w:rsid w:val="00B56A36"/>
    <w:rsid w:val="00B56FEA"/>
    <w:rsid w:val="00B5764B"/>
    <w:rsid w:val="00B609FC"/>
    <w:rsid w:val="00B61354"/>
    <w:rsid w:val="00B62DAE"/>
    <w:rsid w:val="00B62DDC"/>
    <w:rsid w:val="00B62E7B"/>
    <w:rsid w:val="00B67D24"/>
    <w:rsid w:val="00B70223"/>
    <w:rsid w:val="00B72CD8"/>
    <w:rsid w:val="00B74B69"/>
    <w:rsid w:val="00B74C40"/>
    <w:rsid w:val="00B76F21"/>
    <w:rsid w:val="00B865DD"/>
    <w:rsid w:val="00B86A10"/>
    <w:rsid w:val="00B92FBA"/>
    <w:rsid w:val="00B940ED"/>
    <w:rsid w:val="00B9499F"/>
    <w:rsid w:val="00B96C23"/>
    <w:rsid w:val="00B96F70"/>
    <w:rsid w:val="00BA1117"/>
    <w:rsid w:val="00BA38E4"/>
    <w:rsid w:val="00BA3F3E"/>
    <w:rsid w:val="00BA417D"/>
    <w:rsid w:val="00BA42B6"/>
    <w:rsid w:val="00BA4958"/>
    <w:rsid w:val="00BA535D"/>
    <w:rsid w:val="00BA5A61"/>
    <w:rsid w:val="00BA5BA4"/>
    <w:rsid w:val="00BA7F7B"/>
    <w:rsid w:val="00BB16D2"/>
    <w:rsid w:val="00BB21E8"/>
    <w:rsid w:val="00BB44BB"/>
    <w:rsid w:val="00BB57BE"/>
    <w:rsid w:val="00BB634E"/>
    <w:rsid w:val="00BC1B31"/>
    <w:rsid w:val="00BC2835"/>
    <w:rsid w:val="00BC3747"/>
    <w:rsid w:val="00BC52CB"/>
    <w:rsid w:val="00BC538E"/>
    <w:rsid w:val="00BC6816"/>
    <w:rsid w:val="00BC6E5F"/>
    <w:rsid w:val="00BC7D32"/>
    <w:rsid w:val="00BD11F4"/>
    <w:rsid w:val="00BD1D77"/>
    <w:rsid w:val="00BD2942"/>
    <w:rsid w:val="00BD32FF"/>
    <w:rsid w:val="00BD3656"/>
    <w:rsid w:val="00BD4802"/>
    <w:rsid w:val="00BD4A10"/>
    <w:rsid w:val="00BD4C95"/>
    <w:rsid w:val="00BD4FDE"/>
    <w:rsid w:val="00BD6464"/>
    <w:rsid w:val="00BD720F"/>
    <w:rsid w:val="00BE4253"/>
    <w:rsid w:val="00BF0614"/>
    <w:rsid w:val="00BF0BA8"/>
    <w:rsid w:val="00BF2CC3"/>
    <w:rsid w:val="00BF2F62"/>
    <w:rsid w:val="00BF4664"/>
    <w:rsid w:val="00BF5776"/>
    <w:rsid w:val="00BF5986"/>
    <w:rsid w:val="00C00AE1"/>
    <w:rsid w:val="00C065FE"/>
    <w:rsid w:val="00C067E7"/>
    <w:rsid w:val="00C07845"/>
    <w:rsid w:val="00C079BC"/>
    <w:rsid w:val="00C117A8"/>
    <w:rsid w:val="00C1225B"/>
    <w:rsid w:val="00C142B3"/>
    <w:rsid w:val="00C14A9A"/>
    <w:rsid w:val="00C14A9C"/>
    <w:rsid w:val="00C167F4"/>
    <w:rsid w:val="00C176A7"/>
    <w:rsid w:val="00C20082"/>
    <w:rsid w:val="00C20A4A"/>
    <w:rsid w:val="00C216CC"/>
    <w:rsid w:val="00C24A3E"/>
    <w:rsid w:val="00C24F3F"/>
    <w:rsid w:val="00C25B37"/>
    <w:rsid w:val="00C26332"/>
    <w:rsid w:val="00C2636E"/>
    <w:rsid w:val="00C26CB1"/>
    <w:rsid w:val="00C278D7"/>
    <w:rsid w:val="00C304E2"/>
    <w:rsid w:val="00C30D13"/>
    <w:rsid w:val="00C3216A"/>
    <w:rsid w:val="00C3354B"/>
    <w:rsid w:val="00C34B8D"/>
    <w:rsid w:val="00C356A8"/>
    <w:rsid w:val="00C36686"/>
    <w:rsid w:val="00C37207"/>
    <w:rsid w:val="00C41695"/>
    <w:rsid w:val="00C42BEE"/>
    <w:rsid w:val="00C43DA4"/>
    <w:rsid w:val="00C46B6D"/>
    <w:rsid w:val="00C474B9"/>
    <w:rsid w:val="00C47C69"/>
    <w:rsid w:val="00C47CDB"/>
    <w:rsid w:val="00C52252"/>
    <w:rsid w:val="00C52B48"/>
    <w:rsid w:val="00C54462"/>
    <w:rsid w:val="00C54C6D"/>
    <w:rsid w:val="00C55AA9"/>
    <w:rsid w:val="00C55AC1"/>
    <w:rsid w:val="00C6038C"/>
    <w:rsid w:val="00C61A7A"/>
    <w:rsid w:val="00C62CBE"/>
    <w:rsid w:val="00C64213"/>
    <w:rsid w:val="00C643C6"/>
    <w:rsid w:val="00C650BA"/>
    <w:rsid w:val="00C654D6"/>
    <w:rsid w:val="00C66025"/>
    <w:rsid w:val="00C675B9"/>
    <w:rsid w:val="00C70963"/>
    <w:rsid w:val="00C70CC3"/>
    <w:rsid w:val="00C71271"/>
    <w:rsid w:val="00C712DC"/>
    <w:rsid w:val="00C718D8"/>
    <w:rsid w:val="00C719C4"/>
    <w:rsid w:val="00C7228F"/>
    <w:rsid w:val="00C72DCE"/>
    <w:rsid w:val="00C82305"/>
    <w:rsid w:val="00C84F7F"/>
    <w:rsid w:val="00C87F6D"/>
    <w:rsid w:val="00C902B4"/>
    <w:rsid w:val="00C91155"/>
    <w:rsid w:val="00C913EE"/>
    <w:rsid w:val="00C91ADD"/>
    <w:rsid w:val="00C93DDA"/>
    <w:rsid w:val="00C946CF"/>
    <w:rsid w:val="00C952DF"/>
    <w:rsid w:val="00CA00FC"/>
    <w:rsid w:val="00CA29F4"/>
    <w:rsid w:val="00CA3202"/>
    <w:rsid w:val="00CA4526"/>
    <w:rsid w:val="00CA48CE"/>
    <w:rsid w:val="00CA57F2"/>
    <w:rsid w:val="00CA783C"/>
    <w:rsid w:val="00CA7CFD"/>
    <w:rsid w:val="00CB3C86"/>
    <w:rsid w:val="00CB507C"/>
    <w:rsid w:val="00CB5EE0"/>
    <w:rsid w:val="00CB70A2"/>
    <w:rsid w:val="00CB73A3"/>
    <w:rsid w:val="00CC00B0"/>
    <w:rsid w:val="00CC25EE"/>
    <w:rsid w:val="00CC457D"/>
    <w:rsid w:val="00CC515D"/>
    <w:rsid w:val="00CC5B3D"/>
    <w:rsid w:val="00CC62CA"/>
    <w:rsid w:val="00CD0140"/>
    <w:rsid w:val="00CD09D4"/>
    <w:rsid w:val="00CD1ED9"/>
    <w:rsid w:val="00CD21DB"/>
    <w:rsid w:val="00CD4534"/>
    <w:rsid w:val="00CD52E7"/>
    <w:rsid w:val="00CE0663"/>
    <w:rsid w:val="00CE0B33"/>
    <w:rsid w:val="00CE0D8F"/>
    <w:rsid w:val="00CE1644"/>
    <w:rsid w:val="00CE2CA1"/>
    <w:rsid w:val="00CE538B"/>
    <w:rsid w:val="00CE78EC"/>
    <w:rsid w:val="00CF0688"/>
    <w:rsid w:val="00CF0878"/>
    <w:rsid w:val="00CF265A"/>
    <w:rsid w:val="00CF340A"/>
    <w:rsid w:val="00CF5131"/>
    <w:rsid w:val="00D00BBB"/>
    <w:rsid w:val="00D0178A"/>
    <w:rsid w:val="00D02923"/>
    <w:rsid w:val="00D02936"/>
    <w:rsid w:val="00D04D88"/>
    <w:rsid w:val="00D10575"/>
    <w:rsid w:val="00D13B99"/>
    <w:rsid w:val="00D1545E"/>
    <w:rsid w:val="00D16A22"/>
    <w:rsid w:val="00D2181A"/>
    <w:rsid w:val="00D234FB"/>
    <w:rsid w:val="00D25935"/>
    <w:rsid w:val="00D26227"/>
    <w:rsid w:val="00D3090C"/>
    <w:rsid w:val="00D33F38"/>
    <w:rsid w:val="00D36BE1"/>
    <w:rsid w:val="00D4143D"/>
    <w:rsid w:val="00D4158F"/>
    <w:rsid w:val="00D41903"/>
    <w:rsid w:val="00D4275C"/>
    <w:rsid w:val="00D42C33"/>
    <w:rsid w:val="00D512E8"/>
    <w:rsid w:val="00D5209B"/>
    <w:rsid w:val="00D523C3"/>
    <w:rsid w:val="00D56448"/>
    <w:rsid w:val="00D575AE"/>
    <w:rsid w:val="00D624E2"/>
    <w:rsid w:val="00D63174"/>
    <w:rsid w:val="00D634DC"/>
    <w:rsid w:val="00D63704"/>
    <w:rsid w:val="00D647EF"/>
    <w:rsid w:val="00D64E94"/>
    <w:rsid w:val="00D65790"/>
    <w:rsid w:val="00D67681"/>
    <w:rsid w:val="00D67C23"/>
    <w:rsid w:val="00D71A4F"/>
    <w:rsid w:val="00D73477"/>
    <w:rsid w:val="00D75F75"/>
    <w:rsid w:val="00D76110"/>
    <w:rsid w:val="00D7789C"/>
    <w:rsid w:val="00D8059A"/>
    <w:rsid w:val="00D82459"/>
    <w:rsid w:val="00D84EB1"/>
    <w:rsid w:val="00D8533D"/>
    <w:rsid w:val="00D86709"/>
    <w:rsid w:val="00D879EF"/>
    <w:rsid w:val="00D91947"/>
    <w:rsid w:val="00D9275A"/>
    <w:rsid w:val="00D92A7F"/>
    <w:rsid w:val="00D92B52"/>
    <w:rsid w:val="00D92CD9"/>
    <w:rsid w:val="00D92FCB"/>
    <w:rsid w:val="00D94559"/>
    <w:rsid w:val="00D95A07"/>
    <w:rsid w:val="00D9697F"/>
    <w:rsid w:val="00DA070C"/>
    <w:rsid w:val="00DA18E7"/>
    <w:rsid w:val="00DA42A4"/>
    <w:rsid w:val="00DA5BA5"/>
    <w:rsid w:val="00DB06CE"/>
    <w:rsid w:val="00DB16B3"/>
    <w:rsid w:val="00DB1F27"/>
    <w:rsid w:val="00DB242C"/>
    <w:rsid w:val="00DB2C60"/>
    <w:rsid w:val="00DB3413"/>
    <w:rsid w:val="00DB473E"/>
    <w:rsid w:val="00DB5EC9"/>
    <w:rsid w:val="00DB67ED"/>
    <w:rsid w:val="00DB6CE0"/>
    <w:rsid w:val="00DB7C76"/>
    <w:rsid w:val="00DC027E"/>
    <w:rsid w:val="00DC055C"/>
    <w:rsid w:val="00DC3549"/>
    <w:rsid w:val="00DC5017"/>
    <w:rsid w:val="00DD0122"/>
    <w:rsid w:val="00DD0E78"/>
    <w:rsid w:val="00DD0F61"/>
    <w:rsid w:val="00DD33B2"/>
    <w:rsid w:val="00DD37D9"/>
    <w:rsid w:val="00DD6A9C"/>
    <w:rsid w:val="00DD71CE"/>
    <w:rsid w:val="00DD7D32"/>
    <w:rsid w:val="00DE116C"/>
    <w:rsid w:val="00DE3CAC"/>
    <w:rsid w:val="00DE3D41"/>
    <w:rsid w:val="00DE3F98"/>
    <w:rsid w:val="00DE6ADB"/>
    <w:rsid w:val="00DF0832"/>
    <w:rsid w:val="00DF245B"/>
    <w:rsid w:val="00DF2AD7"/>
    <w:rsid w:val="00DF3C51"/>
    <w:rsid w:val="00E01A6A"/>
    <w:rsid w:val="00E03703"/>
    <w:rsid w:val="00E038A3"/>
    <w:rsid w:val="00E03F55"/>
    <w:rsid w:val="00E03FFD"/>
    <w:rsid w:val="00E05732"/>
    <w:rsid w:val="00E06D61"/>
    <w:rsid w:val="00E0795E"/>
    <w:rsid w:val="00E10025"/>
    <w:rsid w:val="00E12764"/>
    <w:rsid w:val="00E13944"/>
    <w:rsid w:val="00E1400C"/>
    <w:rsid w:val="00E1429C"/>
    <w:rsid w:val="00E15896"/>
    <w:rsid w:val="00E15BBC"/>
    <w:rsid w:val="00E178C1"/>
    <w:rsid w:val="00E17F5E"/>
    <w:rsid w:val="00E20AA3"/>
    <w:rsid w:val="00E21CD9"/>
    <w:rsid w:val="00E222CA"/>
    <w:rsid w:val="00E22AF2"/>
    <w:rsid w:val="00E22E30"/>
    <w:rsid w:val="00E245A1"/>
    <w:rsid w:val="00E27177"/>
    <w:rsid w:val="00E33FC4"/>
    <w:rsid w:val="00E34270"/>
    <w:rsid w:val="00E34F0F"/>
    <w:rsid w:val="00E3523E"/>
    <w:rsid w:val="00E367AE"/>
    <w:rsid w:val="00E40270"/>
    <w:rsid w:val="00E41269"/>
    <w:rsid w:val="00E42020"/>
    <w:rsid w:val="00E42064"/>
    <w:rsid w:val="00E44393"/>
    <w:rsid w:val="00E46764"/>
    <w:rsid w:val="00E518F2"/>
    <w:rsid w:val="00E52E04"/>
    <w:rsid w:val="00E559DF"/>
    <w:rsid w:val="00E566D5"/>
    <w:rsid w:val="00E57E1B"/>
    <w:rsid w:val="00E600C0"/>
    <w:rsid w:val="00E70260"/>
    <w:rsid w:val="00E708E9"/>
    <w:rsid w:val="00E73F79"/>
    <w:rsid w:val="00E77B56"/>
    <w:rsid w:val="00E81121"/>
    <w:rsid w:val="00E81433"/>
    <w:rsid w:val="00E81472"/>
    <w:rsid w:val="00E82242"/>
    <w:rsid w:val="00E82C4D"/>
    <w:rsid w:val="00E8321E"/>
    <w:rsid w:val="00E83A84"/>
    <w:rsid w:val="00E83C9B"/>
    <w:rsid w:val="00E84AB4"/>
    <w:rsid w:val="00E84DAF"/>
    <w:rsid w:val="00E860D2"/>
    <w:rsid w:val="00E8643F"/>
    <w:rsid w:val="00E9016D"/>
    <w:rsid w:val="00E92321"/>
    <w:rsid w:val="00E931B4"/>
    <w:rsid w:val="00E93DC7"/>
    <w:rsid w:val="00E944F5"/>
    <w:rsid w:val="00E95671"/>
    <w:rsid w:val="00E977BC"/>
    <w:rsid w:val="00E97EEE"/>
    <w:rsid w:val="00E97F55"/>
    <w:rsid w:val="00EA0AF5"/>
    <w:rsid w:val="00EA29B7"/>
    <w:rsid w:val="00EB0F27"/>
    <w:rsid w:val="00EB1B61"/>
    <w:rsid w:val="00EB2730"/>
    <w:rsid w:val="00EB6311"/>
    <w:rsid w:val="00EB73EF"/>
    <w:rsid w:val="00EC2387"/>
    <w:rsid w:val="00EC2421"/>
    <w:rsid w:val="00EC7788"/>
    <w:rsid w:val="00ED0BC2"/>
    <w:rsid w:val="00ED12D6"/>
    <w:rsid w:val="00ED1D3C"/>
    <w:rsid w:val="00ED2F0C"/>
    <w:rsid w:val="00ED4421"/>
    <w:rsid w:val="00ED454B"/>
    <w:rsid w:val="00ED569B"/>
    <w:rsid w:val="00ED6ADA"/>
    <w:rsid w:val="00ED7A4D"/>
    <w:rsid w:val="00ED7B05"/>
    <w:rsid w:val="00EE3145"/>
    <w:rsid w:val="00EE35E5"/>
    <w:rsid w:val="00EE3E40"/>
    <w:rsid w:val="00EE44C4"/>
    <w:rsid w:val="00EE5CF6"/>
    <w:rsid w:val="00EE7100"/>
    <w:rsid w:val="00EF0952"/>
    <w:rsid w:val="00EF1271"/>
    <w:rsid w:val="00EF1BDD"/>
    <w:rsid w:val="00EF2355"/>
    <w:rsid w:val="00EF2DE0"/>
    <w:rsid w:val="00EF3A0F"/>
    <w:rsid w:val="00EF5466"/>
    <w:rsid w:val="00EF5B50"/>
    <w:rsid w:val="00EF7A27"/>
    <w:rsid w:val="00F00841"/>
    <w:rsid w:val="00F008D4"/>
    <w:rsid w:val="00F00BE7"/>
    <w:rsid w:val="00F02C40"/>
    <w:rsid w:val="00F035A7"/>
    <w:rsid w:val="00F05BA7"/>
    <w:rsid w:val="00F070D4"/>
    <w:rsid w:val="00F0744C"/>
    <w:rsid w:val="00F11FA7"/>
    <w:rsid w:val="00F1285E"/>
    <w:rsid w:val="00F13458"/>
    <w:rsid w:val="00F14055"/>
    <w:rsid w:val="00F15F05"/>
    <w:rsid w:val="00F178AC"/>
    <w:rsid w:val="00F21146"/>
    <w:rsid w:val="00F2296F"/>
    <w:rsid w:val="00F236A5"/>
    <w:rsid w:val="00F27D14"/>
    <w:rsid w:val="00F30629"/>
    <w:rsid w:val="00F32229"/>
    <w:rsid w:val="00F327A8"/>
    <w:rsid w:val="00F32DDF"/>
    <w:rsid w:val="00F3351F"/>
    <w:rsid w:val="00F33A30"/>
    <w:rsid w:val="00F34EFD"/>
    <w:rsid w:val="00F37D4E"/>
    <w:rsid w:val="00F413DA"/>
    <w:rsid w:val="00F41BC2"/>
    <w:rsid w:val="00F430DE"/>
    <w:rsid w:val="00F45184"/>
    <w:rsid w:val="00F45B75"/>
    <w:rsid w:val="00F46091"/>
    <w:rsid w:val="00F50A2C"/>
    <w:rsid w:val="00F50D5F"/>
    <w:rsid w:val="00F51047"/>
    <w:rsid w:val="00F53422"/>
    <w:rsid w:val="00F53A72"/>
    <w:rsid w:val="00F5474E"/>
    <w:rsid w:val="00F565FC"/>
    <w:rsid w:val="00F600AB"/>
    <w:rsid w:val="00F60A12"/>
    <w:rsid w:val="00F60C62"/>
    <w:rsid w:val="00F61D5A"/>
    <w:rsid w:val="00F66DAE"/>
    <w:rsid w:val="00F70B33"/>
    <w:rsid w:val="00F70C6F"/>
    <w:rsid w:val="00F713F8"/>
    <w:rsid w:val="00F71B19"/>
    <w:rsid w:val="00F7406D"/>
    <w:rsid w:val="00F74D20"/>
    <w:rsid w:val="00F75DE3"/>
    <w:rsid w:val="00F76728"/>
    <w:rsid w:val="00F80A74"/>
    <w:rsid w:val="00F84071"/>
    <w:rsid w:val="00F86074"/>
    <w:rsid w:val="00F90682"/>
    <w:rsid w:val="00F91593"/>
    <w:rsid w:val="00F924D7"/>
    <w:rsid w:val="00F9593B"/>
    <w:rsid w:val="00F97FB8"/>
    <w:rsid w:val="00FA050F"/>
    <w:rsid w:val="00FA2E00"/>
    <w:rsid w:val="00FA2E85"/>
    <w:rsid w:val="00FA3293"/>
    <w:rsid w:val="00FA3BB5"/>
    <w:rsid w:val="00FA45F5"/>
    <w:rsid w:val="00FA5815"/>
    <w:rsid w:val="00FA5F54"/>
    <w:rsid w:val="00FB2C38"/>
    <w:rsid w:val="00FB32FD"/>
    <w:rsid w:val="00FB3AAB"/>
    <w:rsid w:val="00FB4534"/>
    <w:rsid w:val="00FB486E"/>
    <w:rsid w:val="00FB7DE5"/>
    <w:rsid w:val="00FC0C87"/>
    <w:rsid w:val="00FC1F75"/>
    <w:rsid w:val="00FC2DA3"/>
    <w:rsid w:val="00FC4CE4"/>
    <w:rsid w:val="00FD2431"/>
    <w:rsid w:val="00FD33A3"/>
    <w:rsid w:val="00FD3DE7"/>
    <w:rsid w:val="00FD5136"/>
    <w:rsid w:val="00FD5498"/>
    <w:rsid w:val="00FD6CE5"/>
    <w:rsid w:val="00FE021F"/>
    <w:rsid w:val="00FE0E02"/>
    <w:rsid w:val="00FE2370"/>
    <w:rsid w:val="00FE4A4E"/>
    <w:rsid w:val="00FE6064"/>
    <w:rsid w:val="00FF360C"/>
    <w:rsid w:val="00FF5078"/>
    <w:rsid w:val="0169535A"/>
    <w:rsid w:val="016D918C"/>
    <w:rsid w:val="02E31578"/>
    <w:rsid w:val="032BDF21"/>
    <w:rsid w:val="050ECEAD"/>
    <w:rsid w:val="0558C37C"/>
    <w:rsid w:val="058AD1F8"/>
    <w:rsid w:val="059A5C92"/>
    <w:rsid w:val="062F0003"/>
    <w:rsid w:val="064A0F85"/>
    <w:rsid w:val="084FEBD2"/>
    <w:rsid w:val="092BB3E5"/>
    <w:rsid w:val="0A1B37F9"/>
    <w:rsid w:val="0A660868"/>
    <w:rsid w:val="0CEEC7F6"/>
    <w:rsid w:val="0DAF5BD4"/>
    <w:rsid w:val="0E1823DE"/>
    <w:rsid w:val="0F161CA4"/>
    <w:rsid w:val="103501CB"/>
    <w:rsid w:val="106871F4"/>
    <w:rsid w:val="1155F511"/>
    <w:rsid w:val="124F7B20"/>
    <w:rsid w:val="12D2FA9B"/>
    <w:rsid w:val="13D65C8B"/>
    <w:rsid w:val="1449CDD4"/>
    <w:rsid w:val="1479C38D"/>
    <w:rsid w:val="151ADCB5"/>
    <w:rsid w:val="152EC33F"/>
    <w:rsid w:val="15B86DE2"/>
    <w:rsid w:val="16D48F42"/>
    <w:rsid w:val="18193456"/>
    <w:rsid w:val="18AE758E"/>
    <w:rsid w:val="1A1112FD"/>
    <w:rsid w:val="1A1D0DFC"/>
    <w:rsid w:val="1A1FE6AA"/>
    <w:rsid w:val="1A737A84"/>
    <w:rsid w:val="1AF9F2BB"/>
    <w:rsid w:val="1B4F017B"/>
    <w:rsid w:val="1EA617A4"/>
    <w:rsid w:val="1EC1BEFB"/>
    <w:rsid w:val="1F21E11D"/>
    <w:rsid w:val="20DDFC1D"/>
    <w:rsid w:val="2139770F"/>
    <w:rsid w:val="21F15DF2"/>
    <w:rsid w:val="2220B069"/>
    <w:rsid w:val="225981DF"/>
    <w:rsid w:val="22A88991"/>
    <w:rsid w:val="232B09AC"/>
    <w:rsid w:val="244DD653"/>
    <w:rsid w:val="248EF20B"/>
    <w:rsid w:val="255F059A"/>
    <w:rsid w:val="25ADA402"/>
    <w:rsid w:val="26A8E441"/>
    <w:rsid w:val="28FFEE2A"/>
    <w:rsid w:val="291F4F38"/>
    <w:rsid w:val="295BC224"/>
    <w:rsid w:val="2979BA76"/>
    <w:rsid w:val="2CCBF356"/>
    <w:rsid w:val="2FB1DB4B"/>
    <w:rsid w:val="309B493B"/>
    <w:rsid w:val="317112E1"/>
    <w:rsid w:val="317E8DC0"/>
    <w:rsid w:val="31910F04"/>
    <w:rsid w:val="31E4199C"/>
    <w:rsid w:val="31EBDEE9"/>
    <w:rsid w:val="327CEFBE"/>
    <w:rsid w:val="3364FD99"/>
    <w:rsid w:val="34E1E695"/>
    <w:rsid w:val="3544E978"/>
    <w:rsid w:val="3555C4D2"/>
    <w:rsid w:val="35581A9B"/>
    <w:rsid w:val="369D5BAB"/>
    <w:rsid w:val="36A5DFAE"/>
    <w:rsid w:val="376785B3"/>
    <w:rsid w:val="3962EC44"/>
    <w:rsid w:val="3A1C45A9"/>
    <w:rsid w:val="3A8D7B64"/>
    <w:rsid w:val="3BEA9124"/>
    <w:rsid w:val="3C3AF6D6"/>
    <w:rsid w:val="3DD6C737"/>
    <w:rsid w:val="3EF84662"/>
    <w:rsid w:val="3F1FF1A7"/>
    <w:rsid w:val="3FA35129"/>
    <w:rsid w:val="426B5E3A"/>
    <w:rsid w:val="452EE526"/>
    <w:rsid w:val="463FD02F"/>
    <w:rsid w:val="47166EB7"/>
    <w:rsid w:val="47DBA090"/>
    <w:rsid w:val="497770F1"/>
    <w:rsid w:val="4A76A1AC"/>
    <w:rsid w:val="4AC3FE21"/>
    <w:rsid w:val="4AD82494"/>
    <w:rsid w:val="4C0A2832"/>
    <w:rsid w:val="4C218C6D"/>
    <w:rsid w:val="4CB5C4B6"/>
    <w:rsid w:val="4DC25FDB"/>
    <w:rsid w:val="4DFD5B8F"/>
    <w:rsid w:val="4F1CED14"/>
    <w:rsid w:val="52878B38"/>
    <w:rsid w:val="5324D369"/>
    <w:rsid w:val="54D928C5"/>
    <w:rsid w:val="55251C0A"/>
    <w:rsid w:val="5563D0CA"/>
    <w:rsid w:val="55710D06"/>
    <w:rsid w:val="5586F437"/>
    <w:rsid w:val="563CCB9C"/>
    <w:rsid w:val="56A7A394"/>
    <w:rsid w:val="56CFF0FB"/>
    <w:rsid w:val="573BFC57"/>
    <w:rsid w:val="59216DCD"/>
    <w:rsid w:val="59276049"/>
    <w:rsid w:val="59EA482C"/>
    <w:rsid w:val="5D8558FE"/>
    <w:rsid w:val="5DE0915F"/>
    <w:rsid w:val="5E120E52"/>
    <w:rsid w:val="5F773E7F"/>
    <w:rsid w:val="609C5417"/>
    <w:rsid w:val="60D6CEC5"/>
    <w:rsid w:val="60E652A1"/>
    <w:rsid w:val="61A93F67"/>
    <w:rsid w:val="61CCD1F7"/>
    <w:rsid w:val="623EE0E4"/>
    <w:rsid w:val="647A9597"/>
    <w:rsid w:val="64C0AABA"/>
    <w:rsid w:val="650472B9"/>
    <w:rsid w:val="65DB9F3B"/>
    <w:rsid w:val="67A6D47B"/>
    <w:rsid w:val="67C355DC"/>
    <w:rsid w:val="684BBABB"/>
    <w:rsid w:val="68C95A5D"/>
    <w:rsid w:val="69E78B1C"/>
    <w:rsid w:val="6A7A9475"/>
    <w:rsid w:val="6ADE753D"/>
    <w:rsid w:val="6B37EAD7"/>
    <w:rsid w:val="6CE66454"/>
    <w:rsid w:val="71D5944C"/>
    <w:rsid w:val="740190C3"/>
    <w:rsid w:val="7442EF01"/>
    <w:rsid w:val="76248CE9"/>
    <w:rsid w:val="77A3CFE8"/>
    <w:rsid w:val="793FA049"/>
    <w:rsid w:val="7950BB8E"/>
    <w:rsid w:val="79F0975C"/>
    <w:rsid w:val="7A833C0E"/>
    <w:rsid w:val="7A97D593"/>
    <w:rsid w:val="7AB8E7E8"/>
    <w:rsid w:val="7ADB70AA"/>
    <w:rsid w:val="7D6B03F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5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2B4"/>
    <w:pPr>
      <w:spacing w:after="0" w:line="240" w:lineRule="auto"/>
      <w:ind w:left="720"/>
    </w:pPr>
    <w:rPr>
      <w:rFonts w:ascii="Calibri" w:eastAsia="Calibri" w:hAnsi="Calibri" w:cs="Times New Roman"/>
    </w:rPr>
  </w:style>
  <w:style w:type="paragraph" w:styleId="FootnoteText">
    <w:name w:val="footnote text"/>
    <w:basedOn w:val="Normal"/>
    <w:link w:val="FootnoteTextChar"/>
    <w:uiPriority w:val="99"/>
    <w:unhideWhenUsed/>
    <w:rsid w:val="00C30D13"/>
    <w:pPr>
      <w:spacing w:after="0" w:line="240" w:lineRule="auto"/>
    </w:pPr>
    <w:rPr>
      <w:sz w:val="20"/>
      <w:szCs w:val="20"/>
    </w:rPr>
  </w:style>
  <w:style w:type="character" w:customStyle="1" w:styleId="FootnoteTextChar">
    <w:name w:val="Footnote Text Char"/>
    <w:basedOn w:val="DefaultParagraphFont"/>
    <w:link w:val="FootnoteText"/>
    <w:uiPriority w:val="99"/>
    <w:rsid w:val="00C30D13"/>
    <w:rPr>
      <w:sz w:val="20"/>
      <w:szCs w:val="20"/>
    </w:rPr>
  </w:style>
  <w:style w:type="character" w:styleId="FootnoteReference">
    <w:name w:val="footnote reference"/>
    <w:basedOn w:val="DefaultParagraphFont"/>
    <w:uiPriority w:val="99"/>
    <w:semiHidden/>
    <w:unhideWhenUsed/>
    <w:rsid w:val="00C30D13"/>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B065A8"/>
    <w:rPr>
      <w:sz w:val="16"/>
      <w:szCs w:val="16"/>
    </w:rPr>
  </w:style>
  <w:style w:type="paragraph" w:styleId="CommentText">
    <w:name w:val="annotation text"/>
    <w:basedOn w:val="Normal"/>
    <w:link w:val="CommentTextChar"/>
    <w:uiPriority w:val="99"/>
    <w:unhideWhenUsed/>
    <w:rsid w:val="00B065A8"/>
    <w:pPr>
      <w:spacing w:line="240" w:lineRule="auto"/>
    </w:pPr>
    <w:rPr>
      <w:sz w:val="20"/>
      <w:szCs w:val="20"/>
    </w:rPr>
  </w:style>
  <w:style w:type="character" w:customStyle="1" w:styleId="CommentTextChar">
    <w:name w:val="Comment Text Char"/>
    <w:basedOn w:val="DefaultParagraphFont"/>
    <w:link w:val="CommentText"/>
    <w:uiPriority w:val="99"/>
    <w:rsid w:val="00B065A8"/>
    <w:rPr>
      <w:sz w:val="20"/>
      <w:szCs w:val="20"/>
    </w:rPr>
  </w:style>
  <w:style w:type="paragraph" w:styleId="CommentSubject">
    <w:name w:val="annotation subject"/>
    <w:basedOn w:val="CommentText"/>
    <w:next w:val="CommentText"/>
    <w:link w:val="CommentSubjectChar"/>
    <w:uiPriority w:val="99"/>
    <w:semiHidden/>
    <w:unhideWhenUsed/>
    <w:rsid w:val="00B065A8"/>
    <w:rPr>
      <w:b/>
      <w:bCs/>
    </w:rPr>
  </w:style>
  <w:style w:type="character" w:customStyle="1" w:styleId="CommentSubjectChar">
    <w:name w:val="Comment Subject Char"/>
    <w:basedOn w:val="CommentTextChar"/>
    <w:link w:val="CommentSubject"/>
    <w:uiPriority w:val="99"/>
    <w:semiHidden/>
    <w:rsid w:val="00B065A8"/>
    <w:rPr>
      <w:b/>
      <w:bCs/>
      <w:sz w:val="20"/>
      <w:szCs w:val="20"/>
    </w:rPr>
  </w:style>
  <w:style w:type="character" w:styleId="Hyperlink">
    <w:name w:val="Hyperlink"/>
    <w:basedOn w:val="DefaultParagraphFont"/>
    <w:uiPriority w:val="99"/>
    <w:unhideWhenUsed/>
    <w:rsid w:val="001F3F02"/>
    <w:rPr>
      <w:color w:val="0563C1" w:themeColor="hyperlink"/>
      <w:u w:val="single"/>
    </w:rPr>
  </w:style>
  <w:style w:type="character" w:customStyle="1" w:styleId="fontstyle01">
    <w:name w:val="fontstyle01"/>
    <w:basedOn w:val="DefaultParagraphFont"/>
    <w:rsid w:val="0013247E"/>
    <w:rPr>
      <w:rFonts w:ascii="Calibri" w:hAnsi="Calibri" w:cs="Calibri" w:hint="default"/>
      <w:b w:val="0"/>
      <w:bCs w:val="0"/>
      <w:i w:val="0"/>
      <w:iCs w:val="0"/>
      <w:color w:val="000000"/>
      <w:sz w:val="22"/>
      <w:szCs w:val="22"/>
    </w:rPr>
  </w:style>
  <w:style w:type="numbering" w:customStyle="1" w:styleId="Outlines">
    <w:name w:val="Outlines"/>
    <w:uiPriority w:val="99"/>
    <w:rsid w:val="0075724E"/>
    <w:pPr>
      <w:numPr>
        <w:numId w:val="9"/>
      </w:numPr>
    </w:pPr>
  </w:style>
  <w:style w:type="character" w:styleId="UnresolvedMention">
    <w:name w:val="Unresolved Mention"/>
    <w:basedOn w:val="DefaultParagraphFont"/>
    <w:uiPriority w:val="99"/>
    <w:semiHidden/>
    <w:unhideWhenUsed/>
    <w:rsid w:val="00882E87"/>
    <w:rPr>
      <w:color w:val="605E5C"/>
      <w:shd w:val="clear" w:color="auto" w:fill="E1DFDD"/>
    </w:rPr>
  </w:style>
  <w:style w:type="character" w:styleId="Mention">
    <w:name w:val="Mention"/>
    <w:basedOn w:val="DefaultParagraphFont"/>
    <w:uiPriority w:val="99"/>
    <w:unhideWhenUsed/>
    <w:rsid w:val="000D0D6A"/>
    <w:rPr>
      <w:color w:val="2B579A"/>
      <w:shd w:val="clear" w:color="auto" w:fill="E1DFDD"/>
    </w:rPr>
  </w:style>
  <w:style w:type="character" w:styleId="FollowedHyperlink">
    <w:name w:val="FollowedHyperlink"/>
    <w:basedOn w:val="DefaultParagraphFont"/>
    <w:uiPriority w:val="99"/>
    <w:semiHidden/>
    <w:unhideWhenUsed/>
    <w:rsid w:val="00593D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755">
      <w:bodyDiv w:val="1"/>
      <w:marLeft w:val="0"/>
      <w:marRight w:val="0"/>
      <w:marTop w:val="0"/>
      <w:marBottom w:val="0"/>
      <w:divBdr>
        <w:top w:val="none" w:sz="0" w:space="0" w:color="auto"/>
        <w:left w:val="none" w:sz="0" w:space="0" w:color="auto"/>
        <w:bottom w:val="none" w:sz="0" w:space="0" w:color="auto"/>
        <w:right w:val="none" w:sz="0" w:space="0" w:color="auto"/>
      </w:divBdr>
    </w:div>
    <w:div w:id="190261177">
      <w:bodyDiv w:val="1"/>
      <w:marLeft w:val="0"/>
      <w:marRight w:val="0"/>
      <w:marTop w:val="0"/>
      <w:marBottom w:val="0"/>
      <w:divBdr>
        <w:top w:val="none" w:sz="0" w:space="0" w:color="auto"/>
        <w:left w:val="none" w:sz="0" w:space="0" w:color="auto"/>
        <w:bottom w:val="none" w:sz="0" w:space="0" w:color="auto"/>
        <w:right w:val="none" w:sz="0" w:space="0" w:color="auto"/>
      </w:divBdr>
    </w:div>
    <w:div w:id="199981328">
      <w:bodyDiv w:val="1"/>
      <w:marLeft w:val="0"/>
      <w:marRight w:val="0"/>
      <w:marTop w:val="0"/>
      <w:marBottom w:val="0"/>
      <w:divBdr>
        <w:top w:val="none" w:sz="0" w:space="0" w:color="auto"/>
        <w:left w:val="none" w:sz="0" w:space="0" w:color="auto"/>
        <w:bottom w:val="none" w:sz="0" w:space="0" w:color="auto"/>
        <w:right w:val="none" w:sz="0" w:space="0" w:color="auto"/>
      </w:divBdr>
    </w:div>
    <w:div w:id="306129958">
      <w:bodyDiv w:val="1"/>
      <w:marLeft w:val="0"/>
      <w:marRight w:val="0"/>
      <w:marTop w:val="0"/>
      <w:marBottom w:val="0"/>
      <w:divBdr>
        <w:top w:val="none" w:sz="0" w:space="0" w:color="auto"/>
        <w:left w:val="none" w:sz="0" w:space="0" w:color="auto"/>
        <w:bottom w:val="none" w:sz="0" w:space="0" w:color="auto"/>
        <w:right w:val="none" w:sz="0" w:space="0" w:color="auto"/>
      </w:divBdr>
    </w:div>
    <w:div w:id="354842678">
      <w:bodyDiv w:val="1"/>
      <w:marLeft w:val="0"/>
      <w:marRight w:val="0"/>
      <w:marTop w:val="0"/>
      <w:marBottom w:val="0"/>
      <w:divBdr>
        <w:top w:val="none" w:sz="0" w:space="0" w:color="auto"/>
        <w:left w:val="none" w:sz="0" w:space="0" w:color="auto"/>
        <w:bottom w:val="none" w:sz="0" w:space="0" w:color="auto"/>
        <w:right w:val="none" w:sz="0" w:space="0" w:color="auto"/>
      </w:divBdr>
    </w:div>
    <w:div w:id="583493422">
      <w:bodyDiv w:val="1"/>
      <w:marLeft w:val="0"/>
      <w:marRight w:val="0"/>
      <w:marTop w:val="0"/>
      <w:marBottom w:val="0"/>
      <w:divBdr>
        <w:top w:val="none" w:sz="0" w:space="0" w:color="auto"/>
        <w:left w:val="none" w:sz="0" w:space="0" w:color="auto"/>
        <w:bottom w:val="none" w:sz="0" w:space="0" w:color="auto"/>
        <w:right w:val="none" w:sz="0" w:space="0" w:color="auto"/>
      </w:divBdr>
    </w:div>
    <w:div w:id="771246256">
      <w:bodyDiv w:val="1"/>
      <w:marLeft w:val="0"/>
      <w:marRight w:val="0"/>
      <w:marTop w:val="0"/>
      <w:marBottom w:val="0"/>
      <w:divBdr>
        <w:top w:val="none" w:sz="0" w:space="0" w:color="auto"/>
        <w:left w:val="none" w:sz="0" w:space="0" w:color="auto"/>
        <w:bottom w:val="none" w:sz="0" w:space="0" w:color="auto"/>
        <w:right w:val="none" w:sz="0" w:space="0" w:color="auto"/>
      </w:divBdr>
    </w:div>
    <w:div w:id="813184980">
      <w:bodyDiv w:val="1"/>
      <w:marLeft w:val="0"/>
      <w:marRight w:val="0"/>
      <w:marTop w:val="0"/>
      <w:marBottom w:val="0"/>
      <w:divBdr>
        <w:top w:val="none" w:sz="0" w:space="0" w:color="auto"/>
        <w:left w:val="none" w:sz="0" w:space="0" w:color="auto"/>
        <w:bottom w:val="none" w:sz="0" w:space="0" w:color="auto"/>
        <w:right w:val="none" w:sz="0" w:space="0" w:color="auto"/>
      </w:divBdr>
    </w:div>
    <w:div w:id="821584866">
      <w:bodyDiv w:val="1"/>
      <w:marLeft w:val="0"/>
      <w:marRight w:val="0"/>
      <w:marTop w:val="0"/>
      <w:marBottom w:val="0"/>
      <w:divBdr>
        <w:top w:val="none" w:sz="0" w:space="0" w:color="auto"/>
        <w:left w:val="none" w:sz="0" w:space="0" w:color="auto"/>
        <w:bottom w:val="none" w:sz="0" w:space="0" w:color="auto"/>
        <w:right w:val="none" w:sz="0" w:space="0" w:color="auto"/>
      </w:divBdr>
    </w:div>
    <w:div w:id="877620411">
      <w:bodyDiv w:val="1"/>
      <w:marLeft w:val="0"/>
      <w:marRight w:val="0"/>
      <w:marTop w:val="0"/>
      <w:marBottom w:val="0"/>
      <w:divBdr>
        <w:top w:val="none" w:sz="0" w:space="0" w:color="auto"/>
        <w:left w:val="none" w:sz="0" w:space="0" w:color="auto"/>
        <w:bottom w:val="none" w:sz="0" w:space="0" w:color="auto"/>
        <w:right w:val="none" w:sz="0" w:space="0" w:color="auto"/>
      </w:divBdr>
    </w:div>
    <w:div w:id="1108232156">
      <w:bodyDiv w:val="1"/>
      <w:marLeft w:val="0"/>
      <w:marRight w:val="0"/>
      <w:marTop w:val="0"/>
      <w:marBottom w:val="0"/>
      <w:divBdr>
        <w:top w:val="none" w:sz="0" w:space="0" w:color="auto"/>
        <w:left w:val="none" w:sz="0" w:space="0" w:color="auto"/>
        <w:bottom w:val="none" w:sz="0" w:space="0" w:color="auto"/>
        <w:right w:val="none" w:sz="0" w:space="0" w:color="auto"/>
      </w:divBdr>
      <w:divsChild>
        <w:div w:id="1520465101">
          <w:marLeft w:val="0"/>
          <w:marRight w:val="0"/>
          <w:marTop w:val="0"/>
          <w:marBottom w:val="0"/>
          <w:divBdr>
            <w:top w:val="none" w:sz="0" w:space="0" w:color="auto"/>
            <w:left w:val="none" w:sz="0" w:space="0" w:color="auto"/>
            <w:bottom w:val="none" w:sz="0" w:space="0" w:color="auto"/>
            <w:right w:val="none" w:sz="0" w:space="0" w:color="auto"/>
          </w:divBdr>
        </w:div>
        <w:div w:id="345982987">
          <w:marLeft w:val="0"/>
          <w:marRight w:val="0"/>
          <w:marTop w:val="0"/>
          <w:marBottom w:val="0"/>
          <w:divBdr>
            <w:top w:val="none" w:sz="0" w:space="0" w:color="auto"/>
            <w:left w:val="none" w:sz="0" w:space="0" w:color="auto"/>
            <w:bottom w:val="none" w:sz="0" w:space="0" w:color="auto"/>
            <w:right w:val="none" w:sz="0" w:space="0" w:color="auto"/>
          </w:divBdr>
        </w:div>
        <w:div w:id="1581476504">
          <w:marLeft w:val="0"/>
          <w:marRight w:val="0"/>
          <w:marTop w:val="0"/>
          <w:marBottom w:val="0"/>
          <w:divBdr>
            <w:top w:val="none" w:sz="0" w:space="0" w:color="auto"/>
            <w:left w:val="none" w:sz="0" w:space="0" w:color="auto"/>
            <w:bottom w:val="none" w:sz="0" w:space="0" w:color="auto"/>
            <w:right w:val="none" w:sz="0" w:space="0" w:color="auto"/>
          </w:divBdr>
        </w:div>
        <w:div w:id="54160266">
          <w:marLeft w:val="0"/>
          <w:marRight w:val="0"/>
          <w:marTop w:val="0"/>
          <w:marBottom w:val="0"/>
          <w:divBdr>
            <w:top w:val="none" w:sz="0" w:space="0" w:color="auto"/>
            <w:left w:val="none" w:sz="0" w:space="0" w:color="auto"/>
            <w:bottom w:val="none" w:sz="0" w:space="0" w:color="auto"/>
            <w:right w:val="none" w:sz="0" w:space="0" w:color="auto"/>
          </w:divBdr>
        </w:div>
        <w:div w:id="1057823128">
          <w:marLeft w:val="0"/>
          <w:marRight w:val="0"/>
          <w:marTop w:val="0"/>
          <w:marBottom w:val="0"/>
          <w:divBdr>
            <w:top w:val="none" w:sz="0" w:space="0" w:color="auto"/>
            <w:left w:val="none" w:sz="0" w:space="0" w:color="auto"/>
            <w:bottom w:val="none" w:sz="0" w:space="0" w:color="auto"/>
            <w:right w:val="none" w:sz="0" w:space="0" w:color="auto"/>
          </w:divBdr>
        </w:div>
        <w:div w:id="1688824495">
          <w:marLeft w:val="0"/>
          <w:marRight w:val="0"/>
          <w:marTop w:val="0"/>
          <w:marBottom w:val="0"/>
          <w:divBdr>
            <w:top w:val="none" w:sz="0" w:space="0" w:color="auto"/>
            <w:left w:val="none" w:sz="0" w:space="0" w:color="auto"/>
            <w:bottom w:val="none" w:sz="0" w:space="0" w:color="auto"/>
            <w:right w:val="none" w:sz="0" w:space="0" w:color="auto"/>
          </w:divBdr>
        </w:div>
        <w:div w:id="1658654749">
          <w:marLeft w:val="0"/>
          <w:marRight w:val="0"/>
          <w:marTop w:val="0"/>
          <w:marBottom w:val="0"/>
          <w:divBdr>
            <w:top w:val="none" w:sz="0" w:space="0" w:color="auto"/>
            <w:left w:val="none" w:sz="0" w:space="0" w:color="auto"/>
            <w:bottom w:val="none" w:sz="0" w:space="0" w:color="auto"/>
            <w:right w:val="none" w:sz="0" w:space="0" w:color="auto"/>
          </w:divBdr>
        </w:div>
      </w:divsChild>
    </w:div>
    <w:div w:id="1397900888">
      <w:bodyDiv w:val="1"/>
      <w:marLeft w:val="0"/>
      <w:marRight w:val="0"/>
      <w:marTop w:val="0"/>
      <w:marBottom w:val="0"/>
      <w:divBdr>
        <w:top w:val="none" w:sz="0" w:space="0" w:color="auto"/>
        <w:left w:val="none" w:sz="0" w:space="0" w:color="auto"/>
        <w:bottom w:val="none" w:sz="0" w:space="0" w:color="auto"/>
        <w:right w:val="none" w:sz="0" w:space="0" w:color="auto"/>
      </w:divBdr>
    </w:div>
    <w:div w:id="1407678970">
      <w:bodyDiv w:val="1"/>
      <w:marLeft w:val="0"/>
      <w:marRight w:val="0"/>
      <w:marTop w:val="0"/>
      <w:marBottom w:val="0"/>
      <w:divBdr>
        <w:top w:val="none" w:sz="0" w:space="0" w:color="auto"/>
        <w:left w:val="none" w:sz="0" w:space="0" w:color="auto"/>
        <w:bottom w:val="none" w:sz="0" w:space="0" w:color="auto"/>
        <w:right w:val="none" w:sz="0" w:space="0" w:color="auto"/>
      </w:divBdr>
    </w:div>
    <w:div w:id="1578854688">
      <w:bodyDiv w:val="1"/>
      <w:marLeft w:val="0"/>
      <w:marRight w:val="0"/>
      <w:marTop w:val="0"/>
      <w:marBottom w:val="0"/>
      <w:divBdr>
        <w:top w:val="none" w:sz="0" w:space="0" w:color="auto"/>
        <w:left w:val="none" w:sz="0" w:space="0" w:color="auto"/>
        <w:bottom w:val="none" w:sz="0" w:space="0" w:color="auto"/>
        <w:right w:val="none" w:sz="0" w:space="0" w:color="auto"/>
      </w:divBdr>
    </w:div>
    <w:div w:id="1627198959">
      <w:bodyDiv w:val="1"/>
      <w:marLeft w:val="0"/>
      <w:marRight w:val="0"/>
      <w:marTop w:val="0"/>
      <w:marBottom w:val="0"/>
      <w:divBdr>
        <w:top w:val="none" w:sz="0" w:space="0" w:color="auto"/>
        <w:left w:val="none" w:sz="0" w:space="0" w:color="auto"/>
        <w:bottom w:val="none" w:sz="0" w:space="0" w:color="auto"/>
        <w:right w:val="none" w:sz="0" w:space="0" w:color="auto"/>
      </w:divBdr>
    </w:div>
    <w:div w:id="1834831960">
      <w:bodyDiv w:val="1"/>
      <w:marLeft w:val="0"/>
      <w:marRight w:val="0"/>
      <w:marTop w:val="0"/>
      <w:marBottom w:val="0"/>
      <w:divBdr>
        <w:top w:val="none" w:sz="0" w:space="0" w:color="auto"/>
        <w:left w:val="none" w:sz="0" w:space="0" w:color="auto"/>
        <w:bottom w:val="none" w:sz="0" w:space="0" w:color="auto"/>
        <w:right w:val="none" w:sz="0" w:space="0" w:color="auto"/>
      </w:divBdr>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sChild>
        <w:div w:id="1134521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001281">
              <w:marLeft w:val="0"/>
              <w:marRight w:val="0"/>
              <w:marTop w:val="0"/>
              <w:marBottom w:val="0"/>
              <w:divBdr>
                <w:top w:val="none" w:sz="0" w:space="0" w:color="auto"/>
                <w:left w:val="none" w:sz="0" w:space="0" w:color="auto"/>
                <w:bottom w:val="none" w:sz="0" w:space="0" w:color="auto"/>
                <w:right w:val="none" w:sz="0" w:space="0" w:color="auto"/>
              </w:divBdr>
              <w:divsChild>
                <w:div w:id="1619682854">
                  <w:marLeft w:val="0"/>
                  <w:marRight w:val="0"/>
                  <w:marTop w:val="0"/>
                  <w:marBottom w:val="0"/>
                  <w:divBdr>
                    <w:top w:val="none" w:sz="0" w:space="0" w:color="auto"/>
                    <w:left w:val="none" w:sz="0" w:space="0" w:color="auto"/>
                    <w:bottom w:val="none" w:sz="0" w:space="0" w:color="auto"/>
                    <w:right w:val="none" w:sz="0" w:space="0" w:color="auto"/>
                  </w:divBdr>
                  <w:divsChild>
                    <w:div w:id="17036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9ADA-C63E-41AD-87CE-3E76C948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2487</Words>
  <Characters>13291</Characters>
  <Application>Microsoft Office Word</Application>
  <DocSecurity>0</DocSecurity>
  <Lines>225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2022-11-25T14:15:00Z</dcterms:created>
  <dcterms:modified xsi:type="dcterms:W3CDTF">2022-11-25T14:16:00Z</dcterms:modified>
</cp:coreProperties>
</file>