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0307" w14:textId="77777777" w:rsidR="004249B1" w:rsidRDefault="004249B1" w:rsidP="004249B1">
      <w:pPr>
        <w:rPr>
          <w:noProof/>
        </w:rPr>
      </w:pPr>
      <w:r>
        <w:rPr>
          <w:noProof/>
        </w:rPr>
        <w:drawing>
          <wp:anchor distT="0" distB="0" distL="114300" distR="114300" simplePos="0" relativeHeight="251659264" behindDoc="0" locked="0" layoutInCell="1" allowOverlap="1" wp14:anchorId="578A99FC" wp14:editId="5DBEBCB7">
            <wp:simplePos x="118753" y="415636"/>
            <wp:positionH relativeFrom="margin">
              <wp:align>center</wp:align>
            </wp:positionH>
            <wp:positionV relativeFrom="margin">
              <wp:align>top</wp:align>
            </wp:positionV>
            <wp:extent cx="5110761" cy="11697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0761" cy="1169772"/>
                    </a:xfrm>
                    <a:prstGeom prst="rect">
                      <a:avLst/>
                    </a:prstGeom>
                    <a:noFill/>
                  </pic:spPr>
                </pic:pic>
              </a:graphicData>
            </a:graphic>
            <wp14:sizeRelH relativeFrom="margin">
              <wp14:pctWidth>0</wp14:pctWidth>
            </wp14:sizeRelH>
            <wp14:sizeRelV relativeFrom="margin">
              <wp14:pctHeight>0</wp14:pctHeight>
            </wp14:sizeRelV>
          </wp:anchor>
        </w:drawing>
      </w:r>
    </w:p>
    <w:p w14:paraId="41D7FC09" w14:textId="77777777" w:rsidR="004249B1" w:rsidRPr="003615DE" w:rsidRDefault="004249B1" w:rsidP="004249B1"/>
    <w:p w14:paraId="15ECAC9B" w14:textId="527C09C3" w:rsidR="004249B1" w:rsidRPr="003615DE" w:rsidRDefault="004249B1" w:rsidP="004249B1"/>
    <w:p w14:paraId="33A666CA" w14:textId="7B8F6E14" w:rsidR="004249B1" w:rsidRPr="003615DE" w:rsidRDefault="00C851F4" w:rsidP="004249B1">
      <w:r>
        <w:rPr>
          <w:noProof/>
        </w:rPr>
        <w:drawing>
          <wp:anchor distT="0" distB="0" distL="114300" distR="114300" simplePos="0" relativeHeight="251660288" behindDoc="1" locked="0" layoutInCell="1" allowOverlap="1" wp14:anchorId="39510692" wp14:editId="4CBE328C">
            <wp:simplePos x="0" y="0"/>
            <wp:positionH relativeFrom="page">
              <wp:posOffset>-11875</wp:posOffset>
            </wp:positionH>
            <wp:positionV relativeFrom="paragraph">
              <wp:posOffset>259715</wp:posOffset>
            </wp:positionV>
            <wp:extent cx="7557709" cy="3200375"/>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354" cy="3208271"/>
                    </a:xfrm>
                    <a:prstGeom prst="rect">
                      <a:avLst/>
                    </a:prstGeom>
                    <a:noFill/>
                  </pic:spPr>
                </pic:pic>
              </a:graphicData>
            </a:graphic>
            <wp14:sizeRelV relativeFrom="margin">
              <wp14:pctHeight>0</wp14:pctHeight>
            </wp14:sizeRelV>
          </wp:anchor>
        </w:drawing>
      </w:r>
    </w:p>
    <w:p w14:paraId="11C21ADE" w14:textId="77777777" w:rsidR="004249B1" w:rsidRDefault="004249B1" w:rsidP="004249B1">
      <w:pPr>
        <w:rPr>
          <w:noProof/>
        </w:rPr>
      </w:pPr>
      <w:r>
        <w:rPr>
          <w:noProof/>
        </w:rPr>
        <w:t xml:space="preserve"> </w:t>
      </w:r>
    </w:p>
    <w:p w14:paraId="6C2E5A6F" w14:textId="61EFC1D5" w:rsidR="00FB3C3D" w:rsidRPr="00C851F4" w:rsidRDefault="004249B1" w:rsidP="004249B1">
      <w:pPr>
        <w:jc w:val="center"/>
        <w:rPr>
          <w:rFonts w:ascii="Avenir Next Condensed" w:eastAsia="Avenir" w:hAnsi="Avenir Next Condensed" w:cs="Avenir"/>
          <w:b/>
          <w:bCs/>
          <w:color w:val="000000"/>
          <w:sz w:val="40"/>
          <w:szCs w:val="40"/>
        </w:rPr>
      </w:pPr>
      <w:r w:rsidRPr="00C851F4">
        <w:rPr>
          <w:rFonts w:ascii="Avenir Next Condensed" w:eastAsia="Avenir" w:hAnsi="Avenir Next Condensed" w:cs="Avenir"/>
          <w:b/>
          <w:bCs/>
          <w:color w:val="000000"/>
          <w:sz w:val="40"/>
          <w:szCs w:val="40"/>
        </w:rPr>
        <w:t xml:space="preserve">SUBMISSION TO THE </w:t>
      </w:r>
      <w:r w:rsidR="00FB3C3D" w:rsidRPr="00C851F4">
        <w:rPr>
          <w:rFonts w:ascii="Avenir Next Condensed" w:eastAsia="Avenir" w:hAnsi="Avenir Next Condensed" w:cs="Avenir"/>
          <w:b/>
          <w:bCs/>
          <w:color w:val="000000"/>
          <w:sz w:val="40"/>
          <w:szCs w:val="40"/>
        </w:rPr>
        <w:t xml:space="preserve">SPECIAL RAPPORTEUR ON TORTURE </w:t>
      </w:r>
    </w:p>
    <w:p w14:paraId="2BBA2132" w14:textId="72A6C14D" w:rsidR="00C851F4" w:rsidRPr="00C851F4" w:rsidRDefault="00C851F4" w:rsidP="00C851F4">
      <w:pPr>
        <w:tabs>
          <w:tab w:val="left" w:pos="3100"/>
        </w:tabs>
        <w:jc w:val="center"/>
        <w:rPr>
          <w:rStyle w:val="fontstyle01"/>
          <w:sz w:val="32"/>
        </w:rPr>
      </w:pPr>
      <w:r w:rsidRPr="00C851F4">
        <w:rPr>
          <w:rStyle w:val="fontstyle01"/>
          <w:sz w:val="32"/>
        </w:rPr>
        <w:t>THE DUTY TO INVESTIGATE CRIMES OF TORTURE IN NATIONAL LAW AND PRACTICE</w:t>
      </w:r>
      <w:r w:rsidRPr="00C851F4">
        <w:rPr>
          <w:rStyle w:val="fontstyle01"/>
          <w:rFonts w:hint="eastAsia"/>
          <w:sz w:val="32"/>
        </w:rPr>
        <w:t>”</w:t>
      </w:r>
    </w:p>
    <w:p w14:paraId="1F5A2E0D" w14:textId="77777777" w:rsidR="00C851F4" w:rsidRPr="00C851F4" w:rsidRDefault="00C851F4" w:rsidP="00C851F4">
      <w:pPr>
        <w:tabs>
          <w:tab w:val="left" w:pos="3100"/>
        </w:tabs>
        <w:jc w:val="center"/>
        <w:rPr>
          <w:rStyle w:val="fontstyle01"/>
          <w:sz w:val="32"/>
        </w:rPr>
      </w:pPr>
      <w:r w:rsidRPr="00C851F4">
        <w:rPr>
          <w:rStyle w:val="fontstyle01"/>
          <w:sz w:val="32"/>
        </w:rPr>
        <w:t xml:space="preserve">FOR THE SECOND THEMATIC REPORT OF THE SPECIAL RAPPORTEUR ON TORTURE </w:t>
      </w:r>
    </w:p>
    <w:p w14:paraId="03BF0BE8" w14:textId="278473C6" w:rsidR="004249B1" w:rsidRPr="00C851F4" w:rsidRDefault="00C851F4" w:rsidP="00C851F4">
      <w:pPr>
        <w:tabs>
          <w:tab w:val="left" w:pos="3100"/>
        </w:tabs>
        <w:jc w:val="center"/>
        <w:rPr>
          <w:rFonts w:ascii="Calibri-Bold" w:hAnsi="Calibri-Bold"/>
          <w:b/>
          <w:bCs/>
          <w:color w:val="000000"/>
          <w:sz w:val="40"/>
          <w:szCs w:val="40"/>
        </w:rPr>
      </w:pPr>
      <w:r w:rsidRPr="00C851F4">
        <w:rPr>
          <w:rStyle w:val="fontstyle01"/>
          <w:sz w:val="32"/>
        </w:rPr>
        <w:t>TO BE PRESENTED TO THE 52ND SESSION OF THE HUMAN RIGHTS COUNCIL</w:t>
      </w:r>
    </w:p>
    <w:p w14:paraId="53388691" w14:textId="77777777" w:rsidR="004249B1" w:rsidRPr="00C851F4" w:rsidRDefault="004249B1" w:rsidP="004249B1">
      <w:pPr>
        <w:tabs>
          <w:tab w:val="left" w:pos="3100"/>
        </w:tabs>
        <w:rPr>
          <w:sz w:val="40"/>
          <w:szCs w:val="40"/>
        </w:rPr>
      </w:pPr>
    </w:p>
    <w:p w14:paraId="18652B1B" w14:textId="77777777" w:rsidR="00C851F4" w:rsidRDefault="00C851F4" w:rsidP="00C851F4">
      <w:pPr>
        <w:spacing w:after="100" w:afterAutospacing="1" w:line="276" w:lineRule="auto"/>
        <w:outlineLvl w:val="3"/>
        <w:rPr>
          <w:sz w:val="32"/>
          <w:szCs w:val="32"/>
        </w:rPr>
      </w:pPr>
    </w:p>
    <w:p w14:paraId="259E4C20" w14:textId="60E04FE0" w:rsidR="004249B1" w:rsidRPr="00ED504C" w:rsidRDefault="004249B1" w:rsidP="004249B1">
      <w:pPr>
        <w:spacing w:after="100" w:afterAutospacing="1" w:line="276" w:lineRule="auto"/>
        <w:jc w:val="center"/>
        <w:outlineLvl w:val="3"/>
        <w:rPr>
          <w:rFonts w:ascii="Avenir Next Condensed" w:eastAsia="Times New Roman" w:hAnsi="Avenir Next Condensed" w:cs="Arial"/>
          <w:color w:val="000000" w:themeColor="text1"/>
          <w:sz w:val="40"/>
          <w:szCs w:val="44"/>
          <w:lang w:eastAsia="en-GB"/>
        </w:rPr>
      </w:pPr>
      <w:r>
        <w:rPr>
          <w:sz w:val="32"/>
          <w:szCs w:val="32"/>
        </w:rPr>
        <w:t xml:space="preserve">SUBMITTED </w:t>
      </w:r>
      <w:r>
        <w:rPr>
          <w:sz w:val="32"/>
          <w:szCs w:val="32"/>
        </w:rPr>
        <w:t>O</w:t>
      </w:r>
      <w:r>
        <w:rPr>
          <w:sz w:val="32"/>
          <w:szCs w:val="32"/>
        </w:rPr>
        <w:t>N</w:t>
      </w:r>
      <w:r>
        <w:rPr>
          <w:sz w:val="32"/>
          <w:szCs w:val="32"/>
        </w:rPr>
        <w:t xml:space="preserve"> 25</w:t>
      </w:r>
      <w:r>
        <w:rPr>
          <w:sz w:val="32"/>
          <w:szCs w:val="32"/>
        </w:rPr>
        <w:t xml:space="preserve"> </w:t>
      </w:r>
      <w:r>
        <w:rPr>
          <w:sz w:val="32"/>
          <w:szCs w:val="32"/>
        </w:rPr>
        <w:t>NOVEMBER</w:t>
      </w:r>
      <w:r>
        <w:rPr>
          <w:sz w:val="32"/>
          <w:szCs w:val="32"/>
        </w:rPr>
        <w:t xml:space="preserve"> 2022</w:t>
      </w:r>
    </w:p>
    <w:p w14:paraId="44DB382C" w14:textId="77777777" w:rsidR="004249B1" w:rsidRDefault="004249B1" w:rsidP="004249B1">
      <w:pPr>
        <w:tabs>
          <w:tab w:val="left" w:pos="3100"/>
        </w:tabs>
      </w:pPr>
    </w:p>
    <w:p w14:paraId="2906D3F1" w14:textId="77777777" w:rsidR="004249B1" w:rsidRDefault="004249B1" w:rsidP="004249B1">
      <w:pPr>
        <w:tabs>
          <w:tab w:val="left" w:pos="3100"/>
        </w:tabs>
      </w:pPr>
    </w:p>
    <w:p w14:paraId="05FD83DE" w14:textId="795AA57F" w:rsidR="004249B1" w:rsidRPr="00A616B9" w:rsidRDefault="004249B1" w:rsidP="004249B1">
      <w:pPr>
        <w:spacing w:after="0" w:line="240" w:lineRule="auto"/>
        <w:ind w:left="2160" w:right="-347" w:hanging="2160"/>
        <w:jc w:val="center"/>
        <w:rPr>
          <w:rFonts w:ascii="Helvetica" w:eastAsia="Times New Roman" w:hAnsi="Helvetica" w:cs="Helvetica"/>
          <w:bCs/>
          <w:color w:val="000000" w:themeColor="text1"/>
          <w:sz w:val="24"/>
          <w:szCs w:val="24"/>
          <w:lang w:val="en-GB" w:eastAsia="en-GB"/>
        </w:rPr>
      </w:pPr>
      <w:r w:rsidRPr="00A616B9">
        <w:rPr>
          <w:rFonts w:ascii="Helvetica" w:eastAsia="Times New Roman" w:hAnsi="Helvetica" w:cs="Helvetica"/>
          <w:b/>
          <w:sz w:val="24"/>
          <w:szCs w:val="24"/>
          <w:lang w:val="en-GB" w:eastAsia="en-GB"/>
        </w:rPr>
        <w:t>Lawyers for Human Rights</w:t>
      </w:r>
    </w:p>
    <w:p w14:paraId="69B8A1C7" w14:textId="258C045B" w:rsidR="004249B1" w:rsidRPr="00A616B9" w:rsidRDefault="004249B1" w:rsidP="004249B1">
      <w:pPr>
        <w:spacing w:after="0" w:line="240" w:lineRule="auto"/>
        <w:ind w:right="-347"/>
        <w:jc w:val="center"/>
        <w:rPr>
          <w:rFonts w:ascii="Helvetica" w:eastAsia="Times New Roman" w:hAnsi="Helvetica" w:cs="Helvetica"/>
          <w:b/>
          <w:sz w:val="24"/>
          <w:szCs w:val="24"/>
          <w:lang w:val="en-GB" w:eastAsia="en-GB"/>
        </w:rPr>
      </w:pPr>
      <w:r w:rsidRPr="00A616B9">
        <w:rPr>
          <w:rFonts w:ascii="Helvetica" w:eastAsia="Times New Roman" w:hAnsi="Helvetica" w:cs="Helvetica"/>
          <w:bCs/>
          <w:color w:val="000000" w:themeColor="text1"/>
          <w:sz w:val="24"/>
          <w:szCs w:val="24"/>
          <w:lang w:val="en-GB" w:eastAsia="en-GB"/>
        </w:rPr>
        <w:t>87 De Korte Street</w:t>
      </w:r>
    </w:p>
    <w:p w14:paraId="6B235018" w14:textId="078FDD6C" w:rsidR="004249B1" w:rsidRPr="00A616B9" w:rsidRDefault="004249B1" w:rsidP="004249B1">
      <w:pPr>
        <w:spacing w:after="0" w:line="240" w:lineRule="auto"/>
        <w:ind w:right="-205"/>
        <w:jc w:val="center"/>
        <w:rPr>
          <w:rFonts w:ascii="Helvetica" w:eastAsia="Times New Roman" w:hAnsi="Helvetica" w:cs="Helvetica"/>
          <w:b/>
          <w:sz w:val="24"/>
          <w:szCs w:val="24"/>
          <w:lang w:val="en-GB" w:eastAsia="en-GB"/>
        </w:rPr>
      </w:pPr>
      <w:r w:rsidRPr="00A616B9">
        <w:rPr>
          <w:rFonts w:ascii="Helvetica" w:eastAsia="Times New Roman" w:hAnsi="Helvetica" w:cs="Helvetica"/>
          <w:bCs/>
          <w:color w:val="000000" w:themeColor="text1"/>
          <w:sz w:val="24"/>
          <w:szCs w:val="24"/>
          <w:lang w:val="en-GB" w:eastAsia="en-GB"/>
        </w:rPr>
        <w:t>Braamfontein, Johannesburg</w:t>
      </w:r>
    </w:p>
    <w:p w14:paraId="44C48BC6" w14:textId="44C8F3E3" w:rsidR="004249B1" w:rsidRPr="00A616B9" w:rsidRDefault="004249B1" w:rsidP="004249B1">
      <w:pPr>
        <w:spacing w:after="0" w:line="240" w:lineRule="auto"/>
        <w:ind w:left="-567" w:right="-205" w:firstLine="567"/>
        <w:jc w:val="center"/>
        <w:rPr>
          <w:rFonts w:ascii="Helvetica" w:eastAsia="Times New Roman" w:hAnsi="Helvetica" w:cs="Helvetica"/>
          <w:bCs/>
          <w:color w:val="000000" w:themeColor="text1"/>
          <w:sz w:val="24"/>
          <w:szCs w:val="24"/>
          <w:lang w:val="en-GB" w:eastAsia="en-GB"/>
        </w:rPr>
      </w:pPr>
      <w:r w:rsidRPr="00A616B9">
        <w:rPr>
          <w:rFonts w:ascii="Helvetica" w:eastAsia="Times New Roman" w:hAnsi="Helvetica" w:cs="Helvetica"/>
          <w:bCs/>
          <w:color w:val="000000" w:themeColor="text1"/>
          <w:sz w:val="24"/>
          <w:szCs w:val="24"/>
          <w:lang w:val="en-GB" w:eastAsia="en-GB"/>
        </w:rPr>
        <w:t>South Africa</w:t>
      </w:r>
    </w:p>
    <w:p w14:paraId="433309DD" w14:textId="1B29C889" w:rsidR="004249B1" w:rsidRPr="00A616B9" w:rsidRDefault="004249B1" w:rsidP="004249B1">
      <w:pPr>
        <w:spacing w:after="0" w:line="240" w:lineRule="auto"/>
        <w:ind w:right="-205"/>
        <w:jc w:val="center"/>
        <w:rPr>
          <w:rFonts w:ascii="Helvetica" w:eastAsia="Times New Roman" w:hAnsi="Helvetica" w:cs="Helvetica"/>
          <w:bCs/>
          <w:color w:val="0A597C"/>
          <w:sz w:val="24"/>
          <w:szCs w:val="24"/>
          <w:lang w:val="en-GB" w:eastAsia="en-GB"/>
        </w:rPr>
      </w:pPr>
      <w:r w:rsidRPr="00A616B9">
        <w:rPr>
          <w:rFonts w:ascii="Helvetica" w:eastAsia="Times New Roman" w:hAnsi="Helvetica" w:cs="Helvetica"/>
          <w:bCs/>
          <w:color w:val="1B5479"/>
          <w:sz w:val="24"/>
          <w:szCs w:val="24"/>
          <w:lang w:val="en-GB" w:eastAsia="en-GB"/>
        </w:rPr>
        <w:t xml:space="preserve">W: </w:t>
      </w:r>
      <w:hyperlink r:id="rId10" w:history="1">
        <w:r w:rsidRPr="00A616B9">
          <w:rPr>
            <w:rFonts w:ascii="Helvetica" w:eastAsia="Times New Roman" w:hAnsi="Helvetica" w:cs="Helvetica"/>
            <w:bCs/>
            <w:color w:val="0563C1" w:themeColor="hyperlink"/>
            <w:sz w:val="24"/>
            <w:szCs w:val="24"/>
            <w:u w:val="single"/>
            <w:lang w:val="en-GB" w:eastAsia="en-GB"/>
          </w:rPr>
          <w:t>www.lhr.org.za</w:t>
        </w:r>
      </w:hyperlink>
    </w:p>
    <w:p w14:paraId="180E4272" w14:textId="5732102C" w:rsidR="004249B1" w:rsidRPr="00A616B9" w:rsidRDefault="004249B1" w:rsidP="004249B1">
      <w:pPr>
        <w:spacing w:after="0" w:line="240" w:lineRule="auto"/>
        <w:ind w:left="-567" w:right="-205" w:firstLine="567"/>
        <w:jc w:val="center"/>
        <w:rPr>
          <w:rFonts w:ascii="Helvetica" w:eastAsia="Times New Roman" w:hAnsi="Helvetica" w:cs="Helvetica"/>
          <w:bCs/>
          <w:color w:val="1B5479"/>
          <w:sz w:val="24"/>
          <w:szCs w:val="24"/>
          <w:lang w:val="en-GB" w:eastAsia="en-GB"/>
        </w:rPr>
      </w:pPr>
      <w:r w:rsidRPr="00A616B9">
        <w:rPr>
          <w:rFonts w:ascii="Helvetica" w:eastAsia="Times New Roman" w:hAnsi="Helvetica" w:cs="Helvetica"/>
          <w:bCs/>
          <w:color w:val="1B5479"/>
          <w:sz w:val="24"/>
          <w:szCs w:val="24"/>
          <w:lang w:val="en-GB" w:eastAsia="en-GB"/>
        </w:rPr>
        <w:t xml:space="preserve">E: </w:t>
      </w:r>
      <w:hyperlink r:id="rId11" w:history="1">
        <w:r w:rsidRPr="006601F4">
          <w:rPr>
            <w:rStyle w:val="Hyperlink"/>
            <w:rFonts w:ascii="Helvetica" w:eastAsia="Times New Roman" w:hAnsi="Helvetica" w:cs="Helvetica"/>
            <w:bCs/>
            <w:sz w:val="24"/>
            <w:szCs w:val="24"/>
            <w:lang w:val="en-GB" w:eastAsia="en-GB"/>
          </w:rPr>
          <w:t>nabeelah@lhr.org.za</w:t>
        </w:r>
      </w:hyperlink>
      <w:r w:rsidR="00C851F4">
        <w:rPr>
          <w:rStyle w:val="Hyperlink"/>
          <w:rFonts w:ascii="Helvetica" w:eastAsia="Times New Roman" w:hAnsi="Helvetica" w:cs="Helvetica"/>
          <w:bCs/>
          <w:sz w:val="24"/>
          <w:szCs w:val="24"/>
          <w:lang w:val="en-GB" w:eastAsia="en-GB"/>
        </w:rPr>
        <w:t xml:space="preserve"> / </w:t>
      </w:r>
      <w:hyperlink r:id="rId12" w:history="1">
        <w:r w:rsidR="00C851F4" w:rsidRPr="008661D6">
          <w:rPr>
            <w:rStyle w:val="Hyperlink"/>
            <w:rFonts w:ascii="Helvetica" w:eastAsia="Times New Roman" w:hAnsi="Helvetica" w:cs="Helvetica"/>
            <w:bCs/>
            <w:sz w:val="24"/>
            <w:szCs w:val="24"/>
            <w:lang w:val="en-GB" w:eastAsia="en-GB"/>
          </w:rPr>
          <w:t>tumelo@lhr.org,za</w:t>
        </w:r>
      </w:hyperlink>
      <w:r w:rsidR="00C851F4">
        <w:rPr>
          <w:rStyle w:val="Hyperlink"/>
          <w:rFonts w:ascii="Helvetica" w:eastAsia="Times New Roman" w:hAnsi="Helvetica" w:cs="Helvetica"/>
          <w:bCs/>
          <w:sz w:val="24"/>
          <w:szCs w:val="24"/>
          <w:lang w:val="en-GB" w:eastAsia="en-GB"/>
        </w:rPr>
        <w:t xml:space="preserve"> / palesa@lhr.org.za</w:t>
      </w:r>
    </w:p>
    <w:p w14:paraId="7617DD1D" w14:textId="77777777" w:rsidR="004249B1" w:rsidRDefault="004249B1" w:rsidP="004249B1">
      <w:pPr>
        <w:tabs>
          <w:tab w:val="left" w:pos="3100"/>
        </w:tabs>
        <w:jc w:val="center"/>
      </w:pPr>
    </w:p>
    <w:p w14:paraId="7F3CB71B" w14:textId="5749837D" w:rsidR="001826A1" w:rsidRDefault="001826A1" w:rsidP="001826A1">
      <w:pPr>
        <w:rPr>
          <w:b/>
          <w:bCs/>
        </w:rPr>
      </w:pPr>
    </w:p>
    <w:p w14:paraId="3A4635D7" w14:textId="56ACA666" w:rsidR="001826A1" w:rsidRPr="00AA7D95" w:rsidRDefault="001826A1" w:rsidP="00090FE2">
      <w:pPr>
        <w:pStyle w:val="ListParagraph"/>
        <w:numPr>
          <w:ilvl w:val="0"/>
          <w:numId w:val="4"/>
        </w:numPr>
        <w:rPr>
          <w:rFonts w:cstheme="minorHAnsi"/>
          <w:b/>
          <w:bCs/>
        </w:rPr>
      </w:pPr>
      <w:r w:rsidRPr="00AA7D95">
        <w:rPr>
          <w:rFonts w:cstheme="minorHAnsi"/>
          <w:b/>
          <w:bCs/>
        </w:rPr>
        <w:t>Introduction and Background</w:t>
      </w:r>
    </w:p>
    <w:p w14:paraId="7A787D72" w14:textId="7B71734D" w:rsidR="001826A1" w:rsidRPr="00AA7D95" w:rsidRDefault="001826A1" w:rsidP="001826A1">
      <w:pPr>
        <w:pStyle w:val="ListParagraph"/>
        <w:ind w:left="1080"/>
        <w:rPr>
          <w:rFonts w:cstheme="minorHAnsi"/>
          <w:b/>
          <w:bCs/>
        </w:rPr>
      </w:pPr>
    </w:p>
    <w:p w14:paraId="50AD9EFE" w14:textId="03BCC452" w:rsidR="00063C0B" w:rsidRPr="00AA7D95" w:rsidRDefault="00063C0B" w:rsidP="00B86150">
      <w:pPr>
        <w:pStyle w:val="ListParagraph"/>
        <w:numPr>
          <w:ilvl w:val="1"/>
          <w:numId w:val="1"/>
        </w:numPr>
        <w:jc w:val="both"/>
        <w:rPr>
          <w:rFonts w:cstheme="minorHAnsi"/>
        </w:rPr>
      </w:pPr>
      <w:r w:rsidRPr="00AA7D95">
        <w:rPr>
          <w:rFonts w:cstheme="minorHAnsi"/>
        </w:rPr>
        <w:t>Lawyers for Human Rights (LHR) is an independent, non-profit human rights organization, started by a group of activist lawyers in 1979 and located in South Africa. LHR’s programs undertake strategic work in six areas of human rights law, including a key focus on refugee and migrant rights, including immigration detention. LHR employs a holistic approach to social justice and human rights enforcement that includes strategic litigation, advocacy, law reform, human</w:t>
      </w:r>
      <w:r w:rsidR="00B86150" w:rsidRPr="00AA7D95">
        <w:rPr>
          <w:rFonts w:cstheme="minorHAnsi"/>
        </w:rPr>
        <w:t xml:space="preserve"> </w:t>
      </w:r>
      <w:r w:rsidRPr="00AA7D95">
        <w:rPr>
          <w:rFonts w:cstheme="minorHAnsi"/>
        </w:rPr>
        <w:t>rights education, and community mobilization and support.</w:t>
      </w:r>
    </w:p>
    <w:p w14:paraId="31B6C2F6" w14:textId="77777777" w:rsidR="00B86150" w:rsidRPr="00AA7D95" w:rsidRDefault="00B86150" w:rsidP="00B86150">
      <w:pPr>
        <w:pStyle w:val="ListParagraph"/>
        <w:ind w:left="360"/>
        <w:jc w:val="both"/>
        <w:rPr>
          <w:rFonts w:cstheme="minorHAnsi"/>
        </w:rPr>
      </w:pPr>
    </w:p>
    <w:p w14:paraId="0C17606B" w14:textId="76843A8C" w:rsidR="00A82B22" w:rsidRPr="00AA7D95" w:rsidRDefault="00A47838" w:rsidP="00A82B22">
      <w:pPr>
        <w:pStyle w:val="ListParagraph"/>
        <w:numPr>
          <w:ilvl w:val="1"/>
          <w:numId w:val="1"/>
        </w:numPr>
        <w:jc w:val="both"/>
        <w:rPr>
          <w:rFonts w:cstheme="minorHAnsi"/>
        </w:rPr>
      </w:pPr>
      <w:r w:rsidRPr="00AA7D95">
        <w:rPr>
          <w:rFonts w:cstheme="minorHAnsi"/>
        </w:rPr>
        <w:t>L</w:t>
      </w:r>
      <w:r w:rsidR="00B86150" w:rsidRPr="00AA7D95">
        <w:rPr>
          <w:rFonts w:cstheme="minorHAnsi"/>
        </w:rPr>
        <w:t>HR</w:t>
      </w:r>
      <w:r w:rsidRPr="00AA7D95">
        <w:rPr>
          <w:rFonts w:cstheme="minorHAnsi"/>
        </w:rPr>
        <w:t xml:space="preserve"> </w:t>
      </w:r>
      <w:r w:rsidR="005D098C" w:rsidRPr="00AA7D95">
        <w:rPr>
          <w:rFonts w:cstheme="minorHAnsi"/>
        </w:rPr>
        <w:t>presents</w:t>
      </w:r>
      <w:r w:rsidR="00C95328" w:rsidRPr="00AA7D95">
        <w:rPr>
          <w:rFonts w:cstheme="minorHAnsi"/>
        </w:rPr>
        <w:t xml:space="preserve"> </w:t>
      </w:r>
      <w:r w:rsidR="00181CFE" w:rsidRPr="00AA7D95">
        <w:rPr>
          <w:rFonts w:cstheme="minorHAnsi"/>
        </w:rPr>
        <w:t xml:space="preserve">the following </w:t>
      </w:r>
      <w:r w:rsidR="005D098C" w:rsidRPr="00AA7D95">
        <w:rPr>
          <w:rFonts w:cstheme="minorHAnsi"/>
        </w:rPr>
        <w:t>submission</w:t>
      </w:r>
      <w:r w:rsidR="00181CFE" w:rsidRPr="00AA7D95">
        <w:rPr>
          <w:rFonts w:cstheme="minorHAnsi"/>
        </w:rPr>
        <w:t xml:space="preserve"> towards t</w:t>
      </w:r>
      <w:r w:rsidR="00421F79" w:rsidRPr="00AA7D95">
        <w:rPr>
          <w:rFonts w:cstheme="minorHAnsi"/>
        </w:rPr>
        <w:t>he Special Rapporteur</w:t>
      </w:r>
      <w:r w:rsidR="00E943A5" w:rsidRPr="00AA7D95">
        <w:rPr>
          <w:rFonts w:cstheme="minorHAnsi"/>
        </w:rPr>
        <w:t xml:space="preserve"> on Torture</w:t>
      </w:r>
      <w:r w:rsidR="00421F79" w:rsidRPr="00AA7D95">
        <w:rPr>
          <w:rFonts w:cstheme="minorHAnsi"/>
        </w:rPr>
        <w:t>’s</w:t>
      </w:r>
      <w:r w:rsidR="00E943A5" w:rsidRPr="00AA7D95">
        <w:rPr>
          <w:rFonts w:cstheme="minorHAnsi"/>
        </w:rPr>
        <w:t xml:space="preserve"> (Special Rapporteur)</w:t>
      </w:r>
      <w:r w:rsidR="00421F79" w:rsidRPr="00AA7D95">
        <w:rPr>
          <w:rFonts w:cstheme="minorHAnsi"/>
        </w:rPr>
        <w:t xml:space="preserve"> forthcoming and second report</w:t>
      </w:r>
      <w:r w:rsidR="00181CFE" w:rsidRPr="00AA7D95">
        <w:rPr>
          <w:rFonts w:cstheme="minorHAnsi"/>
        </w:rPr>
        <w:t xml:space="preserve"> with the </w:t>
      </w:r>
      <w:r w:rsidR="00421F79" w:rsidRPr="00AA7D95">
        <w:rPr>
          <w:rFonts w:cstheme="minorHAnsi"/>
        </w:rPr>
        <w:t xml:space="preserve">aim to study and share a range of domestic legislative, </w:t>
      </w:r>
      <w:r w:rsidR="003C1104" w:rsidRPr="00AA7D95">
        <w:rPr>
          <w:rFonts w:cstheme="minorHAnsi"/>
        </w:rPr>
        <w:t>investigative,</w:t>
      </w:r>
      <w:r w:rsidR="00421F79" w:rsidRPr="00AA7D95">
        <w:rPr>
          <w:rFonts w:cstheme="minorHAnsi"/>
        </w:rPr>
        <w:t xml:space="preserve"> and prosecutorial practices </w:t>
      </w:r>
      <w:r w:rsidR="00E22D9B" w:rsidRPr="00AA7D95">
        <w:rPr>
          <w:rFonts w:cstheme="minorHAnsi"/>
        </w:rPr>
        <w:t>to</w:t>
      </w:r>
      <w:r w:rsidR="00421F79" w:rsidRPr="00AA7D95">
        <w:rPr>
          <w:rFonts w:cstheme="minorHAnsi"/>
        </w:rPr>
        <w:t xml:space="preserve"> address multiple challenges, impediments and obstacles standing in the way of effective accountability and justice for victims and survivors</w:t>
      </w:r>
      <w:r w:rsidR="00D57D64" w:rsidRPr="00AA7D95">
        <w:rPr>
          <w:rFonts w:cstheme="minorHAnsi"/>
        </w:rPr>
        <w:t xml:space="preserve"> of torture in South Africa</w:t>
      </w:r>
      <w:r w:rsidR="00421F79" w:rsidRPr="00AA7D95">
        <w:rPr>
          <w:rFonts w:cstheme="minorHAnsi"/>
        </w:rPr>
        <w:t>.</w:t>
      </w:r>
      <w:r w:rsidR="00725E13" w:rsidRPr="00AA7D95">
        <w:rPr>
          <w:rFonts w:cstheme="minorHAnsi"/>
        </w:rPr>
        <w:t xml:space="preserve"> LHR welcomes</w:t>
      </w:r>
      <w:r w:rsidR="00421F79" w:rsidRPr="00AA7D95">
        <w:rPr>
          <w:rFonts w:cstheme="minorHAnsi"/>
        </w:rPr>
        <w:t xml:space="preserve"> </w:t>
      </w:r>
      <w:r w:rsidR="00725E13" w:rsidRPr="00AA7D95">
        <w:rPr>
          <w:rFonts w:cstheme="minorHAnsi"/>
        </w:rPr>
        <w:t>t</w:t>
      </w:r>
      <w:r w:rsidR="00421F79" w:rsidRPr="00AA7D95">
        <w:rPr>
          <w:rFonts w:cstheme="minorHAnsi"/>
        </w:rPr>
        <w:t>he Special Rapporteur’s report</w:t>
      </w:r>
      <w:r w:rsidR="00725E13" w:rsidRPr="00AA7D95">
        <w:rPr>
          <w:rFonts w:cstheme="minorHAnsi"/>
        </w:rPr>
        <w:t xml:space="preserve"> to</w:t>
      </w:r>
      <w:r w:rsidR="00421F79" w:rsidRPr="00AA7D95">
        <w:rPr>
          <w:rFonts w:cstheme="minorHAnsi"/>
        </w:rPr>
        <w:t xml:space="preserve"> </w:t>
      </w:r>
      <w:proofErr w:type="gramStart"/>
      <w:r w:rsidR="00421F79" w:rsidRPr="00AA7D95">
        <w:rPr>
          <w:rFonts w:cstheme="minorHAnsi"/>
        </w:rPr>
        <w:t>hone in on</w:t>
      </w:r>
      <w:proofErr w:type="gramEnd"/>
      <w:r w:rsidR="00421F79" w:rsidRPr="00AA7D95">
        <w:rPr>
          <w:rFonts w:cstheme="minorHAnsi"/>
        </w:rPr>
        <w:t xml:space="preserve"> the duty to investigate crimes of torture at the national level, which starts from establishing all acts of torture as indictable offences in national law, and proceeds through a process of complaints and investigations, and concludes only when a prosecution is completed to final judgment and a punishment is imposed that is commensurate with the gravity of the offence, and victims benefit from a just remedy</w:t>
      </w:r>
      <w:r w:rsidR="00C01071" w:rsidRPr="00AA7D95">
        <w:rPr>
          <w:rFonts w:cstheme="minorHAnsi"/>
        </w:rPr>
        <w:t xml:space="preserve">. </w:t>
      </w:r>
    </w:p>
    <w:p w14:paraId="77DA92CA" w14:textId="77777777" w:rsidR="00A82B22" w:rsidRPr="00AA7D95" w:rsidRDefault="00A82B22" w:rsidP="00A82B22">
      <w:pPr>
        <w:pStyle w:val="ListParagraph"/>
        <w:rPr>
          <w:rFonts w:cstheme="minorHAnsi"/>
        </w:rPr>
      </w:pPr>
    </w:p>
    <w:p w14:paraId="668AE707" w14:textId="77777777" w:rsidR="004D3C07" w:rsidRPr="00AA7D95" w:rsidRDefault="00D452F4" w:rsidP="00B86150">
      <w:pPr>
        <w:pStyle w:val="ListParagraph"/>
        <w:numPr>
          <w:ilvl w:val="1"/>
          <w:numId w:val="1"/>
        </w:numPr>
        <w:jc w:val="both"/>
        <w:rPr>
          <w:rFonts w:cstheme="minorHAnsi"/>
        </w:rPr>
      </w:pPr>
      <w:r w:rsidRPr="00AA7D95">
        <w:rPr>
          <w:rFonts w:cstheme="minorHAnsi"/>
        </w:rPr>
        <w:t>Th</w:t>
      </w:r>
      <w:r w:rsidR="00744E7D" w:rsidRPr="00AA7D95">
        <w:rPr>
          <w:rFonts w:cstheme="minorHAnsi"/>
        </w:rPr>
        <w:t xml:space="preserve">is submission seeks to </w:t>
      </w:r>
      <w:r w:rsidR="00036C8F" w:rsidRPr="00AA7D95">
        <w:rPr>
          <w:rFonts w:cstheme="minorHAnsi"/>
        </w:rPr>
        <w:t xml:space="preserve">focus specifically on </w:t>
      </w:r>
      <w:r w:rsidR="00753E6B" w:rsidRPr="00AA7D95">
        <w:rPr>
          <w:rFonts w:cstheme="minorHAnsi"/>
        </w:rPr>
        <w:t>the duty to investigate crimes of torture in national law and practice</w:t>
      </w:r>
      <w:r w:rsidR="00D3307A" w:rsidRPr="00AA7D95">
        <w:rPr>
          <w:rFonts w:cstheme="minorHAnsi"/>
        </w:rPr>
        <w:t>, specifically in context of torture in correctional centres</w:t>
      </w:r>
      <w:r w:rsidR="004D3C07" w:rsidRPr="00AA7D95">
        <w:rPr>
          <w:rFonts w:cstheme="minorHAnsi"/>
        </w:rPr>
        <w:t>. In doing so, it will set out:</w:t>
      </w:r>
    </w:p>
    <w:p w14:paraId="10028F55" w14:textId="77777777" w:rsidR="00944284" w:rsidRPr="00AA7D95" w:rsidRDefault="00944284" w:rsidP="00944284">
      <w:pPr>
        <w:pStyle w:val="ListParagraph"/>
        <w:rPr>
          <w:rFonts w:cstheme="minorHAnsi"/>
        </w:rPr>
      </w:pPr>
    </w:p>
    <w:p w14:paraId="4A649706" w14:textId="13273E70" w:rsidR="00944284" w:rsidRPr="00AA7D95" w:rsidRDefault="00944284" w:rsidP="00DA1F5F">
      <w:pPr>
        <w:pStyle w:val="ListParagraph"/>
        <w:numPr>
          <w:ilvl w:val="2"/>
          <w:numId w:val="1"/>
        </w:numPr>
        <w:ind w:left="1560" w:hanging="1276"/>
        <w:jc w:val="both"/>
        <w:rPr>
          <w:rFonts w:cstheme="minorHAnsi"/>
        </w:rPr>
      </w:pPr>
      <w:r w:rsidRPr="00AA7D95">
        <w:rPr>
          <w:rFonts w:cstheme="minorHAnsi"/>
        </w:rPr>
        <w:t xml:space="preserve">The legal framework in South Africa addressing the </w:t>
      </w:r>
      <w:r w:rsidR="008D144C" w:rsidRPr="00AA7D95">
        <w:rPr>
          <w:rFonts w:cstheme="minorHAnsi"/>
        </w:rPr>
        <w:t>duty to investigate crimes of torture</w:t>
      </w:r>
      <w:r w:rsidR="00AE4B25" w:rsidRPr="00AA7D95">
        <w:rPr>
          <w:rFonts w:cstheme="minorHAnsi"/>
        </w:rPr>
        <w:t>;</w:t>
      </w:r>
    </w:p>
    <w:p w14:paraId="62CEA7DD" w14:textId="5B4B106E" w:rsidR="00AE4B25" w:rsidRPr="00AA7D95" w:rsidRDefault="00AE4B25" w:rsidP="00DA1F5F">
      <w:pPr>
        <w:pStyle w:val="ListParagraph"/>
        <w:numPr>
          <w:ilvl w:val="2"/>
          <w:numId w:val="1"/>
        </w:numPr>
        <w:ind w:left="1560" w:hanging="1276"/>
        <w:jc w:val="both"/>
        <w:rPr>
          <w:rFonts w:cstheme="minorHAnsi"/>
        </w:rPr>
      </w:pPr>
      <w:r w:rsidRPr="00DA1F5F">
        <w:rPr>
          <w:rFonts w:cstheme="minorHAnsi"/>
        </w:rPr>
        <w:t xml:space="preserve">a case study of LHR’s </w:t>
      </w:r>
      <w:r w:rsidRPr="00DA1F5F">
        <w:rPr>
          <w:rFonts w:cstheme="minorHAnsi"/>
        </w:rPr>
        <w:t>experience in investigating and prosecuting actual cases</w:t>
      </w:r>
      <w:r w:rsidRPr="00DA1F5F">
        <w:rPr>
          <w:rFonts w:cstheme="minorHAnsi"/>
        </w:rPr>
        <w:t>; and</w:t>
      </w:r>
    </w:p>
    <w:p w14:paraId="1AB56C33" w14:textId="73F89CE4" w:rsidR="00AE4B25" w:rsidRPr="00AA7D95" w:rsidRDefault="00AE4B25" w:rsidP="00DA1F5F">
      <w:pPr>
        <w:pStyle w:val="ListParagraph"/>
        <w:numPr>
          <w:ilvl w:val="2"/>
          <w:numId w:val="1"/>
        </w:numPr>
        <w:ind w:left="1560" w:hanging="1276"/>
        <w:jc w:val="both"/>
        <w:rPr>
          <w:rFonts w:cstheme="minorHAnsi"/>
        </w:rPr>
      </w:pPr>
      <w:r w:rsidRPr="00DA1F5F">
        <w:rPr>
          <w:rFonts w:cstheme="minorHAnsi"/>
        </w:rPr>
        <w:t>and identifying some of the outstanding challenges to holding accused accountable.</w:t>
      </w:r>
    </w:p>
    <w:p w14:paraId="4CA373F7" w14:textId="35A4AB04" w:rsidR="00652171" w:rsidRPr="00AA7D95" w:rsidRDefault="00652171" w:rsidP="00421F79">
      <w:pPr>
        <w:rPr>
          <w:rFonts w:cstheme="minorHAnsi"/>
        </w:rPr>
      </w:pPr>
    </w:p>
    <w:p w14:paraId="09417B98" w14:textId="3B778DA7" w:rsidR="00652171" w:rsidRPr="00AA7D95" w:rsidRDefault="00AE4B25" w:rsidP="00B97B64">
      <w:pPr>
        <w:pStyle w:val="ListParagraph"/>
        <w:numPr>
          <w:ilvl w:val="0"/>
          <w:numId w:val="4"/>
        </w:numPr>
        <w:rPr>
          <w:rFonts w:cstheme="minorHAnsi"/>
          <w:b/>
          <w:bCs/>
        </w:rPr>
      </w:pPr>
      <w:r w:rsidRPr="00AA7D95">
        <w:rPr>
          <w:rFonts w:cstheme="minorHAnsi"/>
          <w:b/>
          <w:bCs/>
        </w:rPr>
        <w:t>Legal</w:t>
      </w:r>
      <w:r w:rsidR="002633F6" w:rsidRPr="00AA7D95">
        <w:rPr>
          <w:rFonts w:cstheme="minorHAnsi"/>
          <w:b/>
          <w:bCs/>
        </w:rPr>
        <w:t xml:space="preserve"> </w:t>
      </w:r>
      <w:r w:rsidRPr="00AA7D95">
        <w:rPr>
          <w:rFonts w:cstheme="minorHAnsi"/>
          <w:b/>
          <w:bCs/>
        </w:rPr>
        <w:t>f</w:t>
      </w:r>
      <w:r w:rsidR="002633F6" w:rsidRPr="00AA7D95">
        <w:rPr>
          <w:rFonts w:cstheme="minorHAnsi"/>
          <w:b/>
          <w:bCs/>
        </w:rPr>
        <w:t>ramework</w:t>
      </w:r>
    </w:p>
    <w:p w14:paraId="7AC124D7" w14:textId="77777777" w:rsidR="00AE4B25" w:rsidRPr="00AA7D95" w:rsidRDefault="00AE4B25" w:rsidP="00AE4B25">
      <w:pPr>
        <w:pStyle w:val="ListParagraph"/>
        <w:ind w:left="360"/>
        <w:rPr>
          <w:rFonts w:cstheme="minorHAnsi"/>
          <w:b/>
          <w:bCs/>
        </w:rPr>
      </w:pPr>
    </w:p>
    <w:p w14:paraId="52413441" w14:textId="39233760" w:rsidR="00B44A53" w:rsidRPr="00AA7D95" w:rsidRDefault="00047A2C" w:rsidP="00AE4B25">
      <w:pPr>
        <w:pStyle w:val="ListParagraph"/>
        <w:numPr>
          <w:ilvl w:val="1"/>
          <w:numId w:val="4"/>
        </w:numPr>
        <w:jc w:val="both"/>
        <w:rPr>
          <w:rFonts w:cstheme="minorHAnsi"/>
        </w:rPr>
      </w:pPr>
      <w:r w:rsidRPr="00AA7D95">
        <w:rPr>
          <w:rFonts w:cstheme="minorHAnsi"/>
        </w:rPr>
        <w:t>In terms of Article 1 of the</w:t>
      </w:r>
      <w:r w:rsidR="00B61310" w:rsidRPr="00AA7D95">
        <w:rPr>
          <w:rFonts w:cstheme="minorHAnsi"/>
        </w:rPr>
        <w:t xml:space="preserve"> United Nations</w:t>
      </w:r>
      <w:r w:rsidRPr="00AA7D95">
        <w:rPr>
          <w:rFonts w:cstheme="minorHAnsi"/>
        </w:rPr>
        <w:t xml:space="preserve"> Convention against Torture</w:t>
      </w:r>
      <w:r w:rsidR="003C1104" w:rsidRPr="00AA7D95">
        <w:rPr>
          <w:rFonts w:cstheme="minorHAnsi"/>
        </w:rPr>
        <w:t xml:space="preserve"> </w:t>
      </w:r>
      <w:r w:rsidRPr="00AA7D95">
        <w:rPr>
          <w:rFonts w:cstheme="minorHAnsi"/>
        </w:rPr>
        <w:t xml:space="preserve">(CAT), </w:t>
      </w:r>
      <w:r w:rsidR="00B44A53" w:rsidRPr="00AA7D95">
        <w:rPr>
          <w:rFonts w:cstheme="minorHAnsi"/>
        </w:rPr>
        <w:t>torture is defined as:</w:t>
      </w:r>
    </w:p>
    <w:p w14:paraId="5A5FDB7B" w14:textId="77777777" w:rsidR="00B44A53" w:rsidRPr="00AA7D95" w:rsidRDefault="00B44A53" w:rsidP="00B44A53">
      <w:pPr>
        <w:pStyle w:val="ListParagraph"/>
        <w:ind w:left="360"/>
        <w:jc w:val="both"/>
        <w:rPr>
          <w:rFonts w:cstheme="minorHAnsi"/>
        </w:rPr>
      </w:pPr>
    </w:p>
    <w:p w14:paraId="69D10E73" w14:textId="7B3C4573" w:rsidR="00047A2C" w:rsidRDefault="00047A2C" w:rsidP="00324FEC">
      <w:pPr>
        <w:pStyle w:val="ListParagraph"/>
        <w:jc w:val="both"/>
        <w:rPr>
          <w:rFonts w:cstheme="minorHAnsi"/>
        </w:rPr>
      </w:pPr>
      <w:r w:rsidRPr="00AA7D95">
        <w:rPr>
          <w:rFonts w:cstheme="minorHAnsi"/>
        </w:rPr>
        <w:t xml:space="preserve"> </w:t>
      </w:r>
      <w:r w:rsidR="00C34018" w:rsidRPr="00AA7D95">
        <w:rPr>
          <w:rFonts w:cstheme="minorHAnsi"/>
        </w:rPr>
        <w:t>“</w:t>
      </w:r>
      <w:r w:rsidRPr="00AA7D95">
        <w:rPr>
          <w:rFonts w:cstheme="minorHAnsi"/>
        </w:rPr>
        <w:t>any act by which severe pain or suffering, whether physical or mental, is intentionally inflicted on a person for  such  purposes  as  obtaining  from  him/her,</w:t>
      </w:r>
      <w:r w:rsidR="00C34018" w:rsidRPr="00AA7D95">
        <w:rPr>
          <w:rFonts w:cstheme="minorHAnsi"/>
        </w:rPr>
        <w:t xml:space="preserve"> </w:t>
      </w:r>
      <w:r w:rsidRPr="00AA7D95">
        <w:rPr>
          <w:rFonts w:cstheme="minorHAnsi"/>
        </w:rPr>
        <w:t>or  a  third  person,</w:t>
      </w:r>
      <w:r w:rsidR="00C34018" w:rsidRPr="00AA7D95">
        <w:rPr>
          <w:rFonts w:cstheme="minorHAnsi"/>
        </w:rPr>
        <w:t xml:space="preserve"> </w:t>
      </w:r>
      <w:r w:rsidRPr="00AA7D95">
        <w:rPr>
          <w:rFonts w:cstheme="minorHAnsi"/>
        </w:rPr>
        <w:t>information  or  confession, punishing him/her for an act he/she,</w:t>
      </w:r>
      <w:r w:rsidR="00C34018" w:rsidRPr="00AA7D95">
        <w:rPr>
          <w:rFonts w:cstheme="minorHAnsi"/>
        </w:rPr>
        <w:t xml:space="preserve"> </w:t>
      </w:r>
      <w:r w:rsidRPr="00AA7D95">
        <w:rPr>
          <w:rFonts w:cstheme="minorHAnsi"/>
        </w:rPr>
        <w:t>or a third person,</w:t>
      </w:r>
      <w:r w:rsidR="00C34018" w:rsidRPr="00AA7D95">
        <w:rPr>
          <w:rFonts w:cstheme="minorHAnsi"/>
        </w:rPr>
        <w:t xml:space="preserve"> </w:t>
      </w:r>
      <w:r w:rsidRPr="00AA7D95">
        <w:rPr>
          <w:rFonts w:cstheme="minorHAnsi"/>
        </w:rPr>
        <w:t>has committed or is suspected of having committed, or intimidating or coercing him/her,</w:t>
      </w:r>
      <w:r w:rsidR="00C34018" w:rsidRPr="00AA7D95">
        <w:rPr>
          <w:rFonts w:cstheme="minorHAnsi"/>
        </w:rPr>
        <w:t xml:space="preserve"> </w:t>
      </w:r>
      <w:r w:rsidRPr="00AA7D95">
        <w:rPr>
          <w:rFonts w:cstheme="minorHAnsi"/>
        </w:rPr>
        <w:t>or a third person, or for any reason based on</w:t>
      </w:r>
      <w:r w:rsidR="003C1104" w:rsidRPr="00AA7D95">
        <w:rPr>
          <w:rFonts w:cstheme="minorHAnsi"/>
        </w:rPr>
        <w:t xml:space="preserve"> </w:t>
      </w:r>
      <w:r w:rsidRPr="00AA7D95">
        <w:rPr>
          <w:rFonts w:cstheme="minorHAnsi"/>
        </w:rPr>
        <w:t>discrimination of any kind, when such pain or suffering is inflicted by or at the instigation of or with</w:t>
      </w:r>
      <w:r w:rsidR="008209A2" w:rsidRPr="00AA7D95">
        <w:rPr>
          <w:rFonts w:cstheme="minorHAnsi"/>
        </w:rPr>
        <w:t xml:space="preserve"> the consent</w:t>
      </w:r>
      <w:r w:rsidRPr="00AA7D95">
        <w:rPr>
          <w:rFonts w:cstheme="minorHAnsi"/>
        </w:rPr>
        <w:t xml:space="preserve"> or acquiescence of a public official or other person acting in an official capacity</w:t>
      </w:r>
      <w:r w:rsidR="0019771D" w:rsidRPr="00AA7D95">
        <w:rPr>
          <w:rFonts w:cstheme="minorHAnsi"/>
        </w:rPr>
        <w:t>”</w:t>
      </w:r>
      <w:r w:rsidR="0019771D" w:rsidRPr="00AA7D95">
        <w:rPr>
          <w:rStyle w:val="FootnoteReference"/>
          <w:rFonts w:cstheme="minorHAnsi"/>
        </w:rPr>
        <w:footnoteReference w:id="1"/>
      </w:r>
      <w:r w:rsidRPr="00AA7D95">
        <w:rPr>
          <w:rFonts w:cstheme="minorHAnsi"/>
        </w:rPr>
        <w:t>.</w:t>
      </w:r>
    </w:p>
    <w:p w14:paraId="6AA66AA2" w14:textId="77777777" w:rsidR="00B23015" w:rsidRPr="00AA7D95" w:rsidRDefault="00B23015" w:rsidP="00DA1F5F">
      <w:pPr>
        <w:pStyle w:val="ListParagraph"/>
        <w:jc w:val="both"/>
        <w:rPr>
          <w:rFonts w:cstheme="minorHAnsi"/>
        </w:rPr>
      </w:pPr>
    </w:p>
    <w:p w14:paraId="1981BE96" w14:textId="7D616052" w:rsidR="00A54A48" w:rsidRPr="00B23015" w:rsidRDefault="00FA6CCA" w:rsidP="00DA1F5F">
      <w:pPr>
        <w:pStyle w:val="ListParagraph"/>
        <w:numPr>
          <w:ilvl w:val="1"/>
          <w:numId w:val="4"/>
        </w:numPr>
        <w:jc w:val="both"/>
        <w:rPr>
          <w:rFonts w:cstheme="minorHAnsi"/>
        </w:rPr>
      </w:pPr>
      <w:r w:rsidRPr="00AA7D95">
        <w:rPr>
          <w:rFonts w:cstheme="minorHAnsi"/>
        </w:rPr>
        <w:t xml:space="preserve">South Africa ratified the </w:t>
      </w:r>
      <w:r w:rsidR="001C4B3A" w:rsidRPr="00AA7D95">
        <w:rPr>
          <w:rFonts w:cstheme="minorHAnsi"/>
        </w:rPr>
        <w:t>CAT</w:t>
      </w:r>
      <w:r w:rsidRPr="00AA7D95">
        <w:rPr>
          <w:rFonts w:cstheme="minorHAnsi"/>
        </w:rPr>
        <w:t xml:space="preserve"> in 1998.  As a result of this, South Africa has h</w:t>
      </w:r>
      <w:r w:rsidR="003C1104" w:rsidRPr="00AA7D95">
        <w:rPr>
          <w:rFonts w:cstheme="minorHAnsi"/>
        </w:rPr>
        <w:t>el</w:t>
      </w:r>
      <w:r w:rsidRPr="00AA7D95">
        <w:rPr>
          <w:rFonts w:cstheme="minorHAnsi"/>
        </w:rPr>
        <w:t>d a</w:t>
      </w:r>
      <w:r w:rsidR="00A44E8C" w:rsidRPr="00AA7D95">
        <w:rPr>
          <w:rFonts w:cstheme="minorHAnsi"/>
        </w:rPr>
        <w:t>n international obligation in human rights law</w:t>
      </w:r>
      <w:r w:rsidRPr="00AA7D95">
        <w:rPr>
          <w:rFonts w:cstheme="minorHAnsi"/>
        </w:rPr>
        <w:t xml:space="preserve"> to pass legislation to ensure that torture becomes a crime punishable by law. </w:t>
      </w:r>
    </w:p>
    <w:p w14:paraId="043A7B61" w14:textId="77777777" w:rsidR="00B23015" w:rsidRDefault="00B23015" w:rsidP="00DA1F5F">
      <w:pPr>
        <w:pStyle w:val="ListParagraph"/>
        <w:ind w:left="360"/>
        <w:jc w:val="both"/>
        <w:rPr>
          <w:rFonts w:cstheme="minorHAnsi"/>
        </w:rPr>
      </w:pPr>
    </w:p>
    <w:p w14:paraId="188549F4" w14:textId="0211E994" w:rsidR="00BC5635" w:rsidRPr="00AA7D95" w:rsidRDefault="004B2B5A" w:rsidP="000739F7">
      <w:pPr>
        <w:pStyle w:val="ListParagraph"/>
        <w:numPr>
          <w:ilvl w:val="1"/>
          <w:numId w:val="4"/>
        </w:numPr>
        <w:jc w:val="both"/>
        <w:rPr>
          <w:rFonts w:cstheme="minorHAnsi"/>
        </w:rPr>
      </w:pPr>
      <w:r w:rsidRPr="00AA7D95">
        <w:rPr>
          <w:rFonts w:cstheme="minorHAnsi"/>
        </w:rPr>
        <w:t>Under the Constitution of South Africa, 1996</w:t>
      </w:r>
      <w:r w:rsidR="005543AD" w:rsidRPr="00AA7D95">
        <w:rPr>
          <w:rFonts w:cstheme="minorHAnsi"/>
        </w:rPr>
        <w:t>, torture is absolutely prohibited. There are no permitted exceptions or derogations, even in cases of emergency</w:t>
      </w:r>
      <w:r w:rsidR="000739F7" w:rsidRPr="00AA7D95">
        <w:rPr>
          <w:rFonts w:cstheme="minorHAnsi"/>
        </w:rPr>
        <w:t xml:space="preserve">. This is enshrined in </w:t>
      </w:r>
      <w:r w:rsidR="007B15C6" w:rsidRPr="00AA7D95">
        <w:rPr>
          <w:rFonts w:cstheme="minorHAnsi"/>
        </w:rPr>
        <w:t>t</w:t>
      </w:r>
      <w:r w:rsidR="003F6026" w:rsidRPr="00AA7D95">
        <w:rPr>
          <w:rFonts w:cstheme="minorHAnsi"/>
        </w:rPr>
        <w:t>he right to freedom and security of the person is protected under section 12 of the Constitution, which states that:</w:t>
      </w:r>
    </w:p>
    <w:p w14:paraId="7A841C77" w14:textId="337E143C" w:rsidR="004A2CAB" w:rsidRPr="00DA1F5F" w:rsidRDefault="0074181F" w:rsidP="00DA1F5F">
      <w:pPr>
        <w:pStyle w:val="ListParagraph"/>
        <w:ind w:left="360" w:firstLine="360"/>
        <w:jc w:val="both"/>
        <w:rPr>
          <w:rFonts w:cstheme="minorHAnsi"/>
        </w:rPr>
      </w:pPr>
      <w:r w:rsidRPr="00AA7D95">
        <w:rPr>
          <w:rFonts w:cstheme="minorHAnsi"/>
        </w:rPr>
        <w:t>“</w:t>
      </w:r>
      <w:r w:rsidR="004A2CAB" w:rsidRPr="00DA1F5F">
        <w:rPr>
          <w:rFonts w:cstheme="minorHAnsi"/>
        </w:rPr>
        <w:t xml:space="preserve">Everyone has the right to freedom and security of the person, which includes the right </w:t>
      </w:r>
      <w:r w:rsidR="004A2CAB" w:rsidRPr="00DA1F5F">
        <w:rPr>
          <w:rFonts w:cstheme="minorHAnsi"/>
        </w:rPr>
        <w:softHyphen/>
      </w:r>
    </w:p>
    <w:p w14:paraId="26F43C5F" w14:textId="1CF32C1B" w:rsidR="004A2CAB" w:rsidRPr="00DA1F5F" w:rsidRDefault="004A2CAB" w:rsidP="00DA1F5F">
      <w:pPr>
        <w:pStyle w:val="ListParagraph"/>
        <w:ind w:left="360" w:firstLine="360"/>
        <w:jc w:val="both"/>
        <w:rPr>
          <w:rFonts w:cstheme="minorHAnsi"/>
        </w:rPr>
      </w:pPr>
    </w:p>
    <w:p w14:paraId="02BCE175" w14:textId="37EFBCDC" w:rsidR="004A2CAB" w:rsidRPr="00DA1F5F" w:rsidRDefault="0074181F" w:rsidP="00DA1F5F">
      <w:pPr>
        <w:pStyle w:val="ListParagraph"/>
        <w:ind w:firstLine="360"/>
        <w:jc w:val="both"/>
        <w:rPr>
          <w:rFonts w:cstheme="minorHAnsi"/>
        </w:rPr>
      </w:pPr>
      <w:r w:rsidRPr="00AA7D95">
        <w:rPr>
          <w:rFonts w:cstheme="minorHAnsi"/>
        </w:rPr>
        <w:t>(</w:t>
      </w:r>
      <w:r w:rsidR="004A2CAB" w:rsidRPr="00DA1F5F">
        <w:rPr>
          <w:rFonts w:cstheme="minorHAnsi"/>
        </w:rPr>
        <w:t>d</w:t>
      </w:r>
      <w:r w:rsidRPr="00AA7D95">
        <w:rPr>
          <w:rFonts w:cstheme="minorHAnsi"/>
        </w:rPr>
        <w:t>)</w:t>
      </w:r>
      <w:r w:rsidRPr="00AA7D95">
        <w:rPr>
          <w:rFonts w:cstheme="minorHAnsi"/>
        </w:rPr>
        <w:tab/>
      </w:r>
      <w:r w:rsidR="004A2CAB" w:rsidRPr="00DA1F5F">
        <w:rPr>
          <w:rFonts w:cstheme="minorHAnsi"/>
        </w:rPr>
        <w:t>not to be tortured in any way; and</w:t>
      </w:r>
    </w:p>
    <w:p w14:paraId="2321E9EC" w14:textId="032D0E7B" w:rsidR="004A2CAB" w:rsidRPr="00DA1F5F" w:rsidRDefault="0074181F" w:rsidP="00DA1F5F">
      <w:pPr>
        <w:pStyle w:val="ListParagraph"/>
        <w:ind w:firstLine="360"/>
        <w:jc w:val="both"/>
        <w:rPr>
          <w:rFonts w:cstheme="minorHAnsi"/>
        </w:rPr>
      </w:pPr>
      <w:r w:rsidRPr="00AA7D95">
        <w:rPr>
          <w:rFonts w:cstheme="minorHAnsi"/>
        </w:rPr>
        <w:t>(e)</w:t>
      </w:r>
      <w:r w:rsidRPr="00AA7D95">
        <w:rPr>
          <w:rFonts w:cstheme="minorHAnsi"/>
        </w:rPr>
        <w:tab/>
      </w:r>
      <w:r w:rsidR="004A2CAB" w:rsidRPr="00DA1F5F">
        <w:rPr>
          <w:rFonts w:cstheme="minorHAnsi"/>
        </w:rPr>
        <w:t xml:space="preserve">not to be treated or punished in a cruel, </w:t>
      </w:r>
      <w:proofErr w:type="gramStart"/>
      <w:r w:rsidR="004A2CAB" w:rsidRPr="00DA1F5F">
        <w:rPr>
          <w:rFonts w:cstheme="minorHAnsi"/>
        </w:rPr>
        <w:t>inhuman</w:t>
      </w:r>
      <w:proofErr w:type="gramEnd"/>
      <w:r w:rsidR="004A2CAB" w:rsidRPr="00DA1F5F">
        <w:rPr>
          <w:rFonts w:cstheme="minorHAnsi"/>
        </w:rPr>
        <w:t xml:space="preserve"> or degrading way.</w:t>
      </w:r>
      <w:r w:rsidRPr="00AA7D95">
        <w:rPr>
          <w:rFonts w:cstheme="minorHAnsi"/>
        </w:rPr>
        <w:t>”</w:t>
      </w:r>
    </w:p>
    <w:p w14:paraId="4C72CECF" w14:textId="77777777" w:rsidR="00BC5635" w:rsidRPr="00AA7D95" w:rsidRDefault="00BC5635" w:rsidP="00BC5635">
      <w:pPr>
        <w:pStyle w:val="ListParagraph"/>
        <w:rPr>
          <w:rFonts w:cstheme="minorHAnsi"/>
        </w:rPr>
      </w:pPr>
    </w:p>
    <w:p w14:paraId="1654F92F" w14:textId="5DEEA38D" w:rsidR="00A0164B" w:rsidRPr="00AA7D95" w:rsidRDefault="00917E1F" w:rsidP="00A0164B">
      <w:pPr>
        <w:pStyle w:val="ListParagraph"/>
        <w:numPr>
          <w:ilvl w:val="1"/>
          <w:numId w:val="4"/>
        </w:numPr>
        <w:jc w:val="both"/>
        <w:rPr>
          <w:rFonts w:cstheme="minorHAnsi"/>
        </w:rPr>
      </w:pPr>
      <w:r w:rsidRPr="00AA7D95">
        <w:rPr>
          <w:rFonts w:cstheme="minorHAnsi"/>
        </w:rPr>
        <w:t>The Prevention and Combating of Torture of Persons Act 13 of 2013</w:t>
      </w:r>
      <w:r w:rsidR="00D51201" w:rsidRPr="00AA7D95">
        <w:rPr>
          <w:rFonts w:cstheme="minorHAnsi"/>
        </w:rPr>
        <w:t xml:space="preserve"> (the Torture Act)</w:t>
      </w:r>
      <w:r w:rsidR="00D3370A" w:rsidRPr="00AA7D95">
        <w:rPr>
          <w:rStyle w:val="FootnoteReference"/>
          <w:rFonts w:cstheme="minorHAnsi"/>
        </w:rPr>
        <w:footnoteReference w:id="2"/>
      </w:r>
      <w:r w:rsidR="00D51201" w:rsidRPr="00AA7D95">
        <w:rPr>
          <w:rFonts w:cstheme="minorHAnsi"/>
        </w:rPr>
        <w:t xml:space="preserve"> was promulgated </w:t>
      </w:r>
      <w:r w:rsidR="00873190" w:rsidRPr="00AA7D95">
        <w:rPr>
          <w:rFonts w:cstheme="minorHAnsi"/>
        </w:rPr>
        <w:t xml:space="preserve">to </w:t>
      </w:r>
      <w:r w:rsidR="00D51201" w:rsidRPr="00AA7D95">
        <w:rPr>
          <w:rFonts w:cstheme="minorHAnsi"/>
        </w:rPr>
        <w:t>give’s effect to South A</w:t>
      </w:r>
      <w:r w:rsidR="00873190" w:rsidRPr="00AA7D95">
        <w:rPr>
          <w:rFonts w:cstheme="minorHAnsi"/>
        </w:rPr>
        <w:t>frica</w:t>
      </w:r>
      <w:r w:rsidR="00B37B5B" w:rsidRPr="00AA7D95">
        <w:rPr>
          <w:rFonts w:cstheme="minorHAnsi"/>
        </w:rPr>
        <w:t xml:space="preserve">’s obligations under the Act. </w:t>
      </w:r>
    </w:p>
    <w:p w14:paraId="5F32199C" w14:textId="51246F21" w:rsidR="00B37B5B" w:rsidRPr="00AA7D95" w:rsidRDefault="00585322" w:rsidP="00DA1F5F">
      <w:pPr>
        <w:pStyle w:val="ListParagraph"/>
        <w:numPr>
          <w:ilvl w:val="2"/>
          <w:numId w:val="4"/>
        </w:numPr>
        <w:ind w:left="1418" w:hanging="992"/>
        <w:jc w:val="both"/>
        <w:rPr>
          <w:rFonts w:cstheme="minorHAnsi"/>
        </w:rPr>
      </w:pPr>
      <w:r w:rsidRPr="00AA7D95">
        <w:rPr>
          <w:rFonts w:cstheme="minorHAnsi"/>
        </w:rPr>
        <w:t xml:space="preserve">The definition of torture </w:t>
      </w:r>
      <w:r w:rsidR="00957E4B">
        <w:rPr>
          <w:rFonts w:cstheme="minorHAnsi"/>
        </w:rPr>
        <w:t xml:space="preserve">as set out </w:t>
      </w:r>
      <w:r w:rsidRPr="00AA7D95">
        <w:rPr>
          <w:rFonts w:cstheme="minorHAnsi"/>
        </w:rPr>
        <w:t xml:space="preserve">in </w:t>
      </w:r>
      <w:r w:rsidR="00957E4B">
        <w:rPr>
          <w:rFonts w:cstheme="minorHAnsi"/>
        </w:rPr>
        <w:t>s</w:t>
      </w:r>
      <w:r w:rsidR="00957E4B" w:rsidRPr="00AA7D95">
        <w:rPr>
          <w:rFonts w:cstheme="minorHAnsi"/>
        </w:rPr>
        <w:t xml:space="preserve">ection </w:t>
      </w:r>
      <w:r w:rsidR="00AD3064" w:rsidRPr="00AA7D95">
        <w:rPr>
          <w:rFonts w:cstheme="minorHAnsi"/>
        </w:rPr>
        <w:t>3 of the Torture Act</w:t>
      </w:r>
      <w:r w:rsidR="00957E4B">
        <w:rPr>
          <w:rFonts w:cstheme="minorHAnsi"/>
        </w:rPr>
        <w:t xml:space="preserve"> mirrors that of the </w:t>
      </w:r>
      <w:r w:rsidR="00A918F6">
        <w:rPr>
          <w:rFonts w:cstheme="minorHAnsi"/>
        </w:rPr>
        <w:t>definition in the CAT</w:t>
      </w:r>
      <w:r w:rsidR="00D0110B" w:rsidRPr="00AA7D95">
        <w:rPr>
          <w:rFonts w:cstheme="minorHAnsi"/>
        </w:rPr>
        <w:t>.</w:t>
      </w:r>
    </w:p>
    <w:p w14:paraId="590F7342" w14:textId="6DF8EC3D" w:rsidR="00D0110B" w:rsidRPr="00AA7D95" w:rsidRDefault="00D0110B" w:rsidP="00DA1F5F">
      <w:pPr>
        <w:pStyle w:val="ListParagraph"/>
        <w:numPr>
          <w:ilvl w:val="2"/>
          <w:numId w:val="4"/>
        </w:numPr>
        <w:ind w:left="1418" w:hanging="992"/>
        <w:jc w:val="both"/>
        <w:rPr>
          <w:rFonts w:cstheme="minorHAnsi"/>
        </w:rPr>
      </w:pPr>
      <w:r w:rsidRPr="00AA7D95">
        <w:rPr>
          <w:rFonts w:cstheme="minorHAnsi"/>
        </w:rPr>
        <w:t>Section 4 of the Torture</w:t>
      </w:r>
      <w:r w:rsidR="00A918F6">
        <w:rPr>
          <w:rFonts w:cstheme="minorHAnsi"/>
        </w:rPr>
        <w:t xml:space="preserve"> Act</w:t>
      </w:r>
      <w:r w:rsidRPr="00AA7D95">
        <w:rPr>
          <w:rFonts w:cstheme="minorHAnsi"/>
        </w:rPr>
        <w:t xml:space="preserve"> sets out </w:t>
      </w:r>
      <w:r w:rsidR="00D3370A" w:rsidRPr="00AA7D95">
        <w:rPr>
          <w:rFonts w:cstheme="minorHAnsi"/>
        </w:rPr>
        <w:t>the offences and penalties</w:t>
      </w:r>
      <w:r w:rsidR="00CB5BC2" w:rsidRPr="00AA7D95">
        <w:rPr>
          <w:rFonts w:cstheme="minorHAnsi"/>
        </w:rPr>
        <w:t xml:space="preserve"> for committing the offence of torture. The most noteworthy aspects of this section are that:</w:t>
      </w:r>
    </w:p>
    <w:p w14:paraId="0B462B27" w14:textId="64BC7137" w:rsidR="00CB5BC2" w:rsidRPr="00AA7D95" w:rsidRDefault="00CB5BC2" w:rsidP="00DA1F5F">
      <w:pPr>
        <w:pStyle w:val="ListParagraph"/>
        <w:numPr>
          <w:ilvl w:val="2"/>
          <w:numId w:val="4"/>
        </w:numPr>
        <w:ind w:left="2268" w:hanging="850"/>
        <w:jc w:val="both"/>
        <w:rPr>
          <w:rFonts w:cstheme="minorHAnsi"/>
        </w:rPr>
      </w:pPr>
      <w:r w:rsidRPr="00AA7D95">
        <w:rPr>
          <w:rFonts w:cstheme="minorHAnsi"/>
        </w:rPr>
        <w:t xml:space="preserve">Section 4(1) </w:t>
      </w:r>
      <w:r w:rsidR="00695C00" w:rsidRPr="00AA7D95">
        <w:rPr>
          <w:rFonts w:cstheme="minorHAnsi"/>
        </w:rPr>
        <w:t xml:space="preserve">expands the scope of persons who are guilty of the offence of torture </w:t>
      </w:r>
      <w:r w:rsidR="001135CE" w:rsidRPr="00AA7D95">
        <w:rPr>
          <w:rFonts w:cstheme="minorHAnsi"/>
        </w:rPr>
        <w:t>to include not only a person who commits torture, but also someone who attempts to commit torture or incites, instigates</w:t>
      </w:r>
      <w:r w:rsidR="00CB7E11" w:rsidRPr="00AA7D95">
        <w:rPr>
          <w:rFonts w:cstheme="minorHAnsi"/>
        </w:rPr>
        <w:t xml:space="preserve">, </w:t>
      </w:r>
      <w:proofErr w:type="gramStart"/>
      <w:r w:rsidR="00CB7E11" w:rsidRPr="00AA7D95">
        <w:rPr>
          <w:rFonts w:cstheme="minorHAnsi"/>
        </w:rPr>
        <w:t>commands</w:t>
      </w:r>
      <w:proofErr w:type="gramEnd"/>
      <w:r w:rsidR="00CB7E11" w:rsidRPr="00AA7D95">
        <w:rPr>
          <w:rFonts w:cstheme="minorHAnsi"/>
        </w:rPr>
        <w:t xml:space="preserve"> or procures any person to commit torture.</w:t>
      </w:r>
    </w:p>
    <w:p w14:paraId="6A8DAB1C" w14:textId="7A7089C2" w:rsidR="00803F1A" w:rsidRPr="00AA7D95" w:rsidRDefault="00803F1A" w:rsidP="00DA1F5F">
      <w:pPr>
        <w:pStyle w:val="ListParagraph"/>
        <w:numPr>
          <w:ilvl w:val="2"/>
          <w:numId w:val="4"/>
        </w:numPr>
        <w:ind w:left="2268" w:hanging="850"/>
        <w:jc w:val="both"/>
        <w:rPr>
          <w:rFonts w:cstheme="minorHAnsi"/>
        </w:rPr>
      </w:pPr>
      <w:r w:rsidRPr="00AA7D95">
        <w:rPr>
          <w:rFonts w:cstheme="minorHAnsi"/>
        </w:rPr>
        <w:t>Section 4(4) of the Act provides that there are no justifications or</w:t>
      </w:r>
      <w:r w:rsidR="00060888" w:rsidRPr="00AA7D95">
        <w:rPr>
          <w:rFonts w:cstheme="minorHAnsi"/>
        </w:rPr>
        <w:t xml:space="preserve"> </w:t>
      </w:r>
      <w:r w:rsidRPr="00AA7D95">
        <w:rPr>
          <w:rFonts w:cstheme="minorHAnsi"/>
        </w:rPr>
        <w:t>defences for the offence torture. It states:</w:t>
      </w:r>
    </w:p>
    <w:p w14:paraId="32E23D15" w14:textId="77777777" w:rsidR="00B432CF" w:rsidRPr="00AA7D95" w:rsidRDefault="00B432CF" w:rsidP="00DA1F5F">
      <w:pPr>
        <w:pStyle w:val="ListParagraph"/>
        <w:ind w:left="1014" w:hanging="294"/>
        <w:jc w:val="both"/>
        <w:rPr>
          <w:rFonts w:cstheme="minorHAnsi"/>
        </w:rPr>
      </w:pPr>
    </w:p>
    <w:p w14:paraId="1DBA8EC2" w14:textId="2E7D8C3C" w:rsidR="00CB7E11" w:rsidRPr="00AA7D95" w:rsidRDefault="00803F1A" w:rsidP="00DA1F5F">
      <w:pPr>
        <w:pStyle w:val="ListParagraph"/>
        <w:ind w:left="2160"/>
        <w:jc w:val="both"/>
        <w:rPr>
          <w:rFonts w:cstheme="minorHAnsi"/>
        </w:rPr>
      </w:pPr>
      <w:r w:rsidRPr="00AA7D95">
        <w:rPr>
          <w:rFonts w:cstheme="minorHAnsi"/>
        </w:rPr>
        <w:t>“(4) No exceptional circumstances whatsoever, including but</w:t>
      </w:r>
      <w:r w:rsidR="00060888" w:rsidRPr="00AA7D95">
        <w:rPr>
          <w:rFonts w:cstheme="minorHAnsi"/>
        </w:rPr>
        <w:t xml:space="preserve"> </w:t>
      </w:r>
      <w:r w:rsidRPr="00AA7D95">
        <w:rPr>
          <w:rFonts w:cstheme="minorHAnsi"/>
        </w:rPr>
        <w:t>not limited to, a state of war, threat of war, internal political</w:t>
      </w:r>
      <w:r w:rsidR="00060888" w:rsidRPr="00AA7D95">
        <w:rPr>
          <w:rFonts w:cstheme="minorHAnsi"/>
        </w:rPr>
        <w:t xml:space="preserve"> </w:t>
      </w:r>
      <w:r w:rsidRPr="00AA7D95">
        <w:rPr>
          <w:rFonts w:cstheme="minorHAnsi"/>
        </w:rPr>
        <w:t>instability, national security or any state of emergency may</w:t>
      </w:r>
      <w:r w:rsidR="00060888" w:rsidRPr="00AA7D95">
        <w:rPr>
          <w:rFonts w:cstheme="minorHAnsi"/>
        </w:rPr>
        <w:t xml:space="preserve"> </w:t>
      </w:r>
      <w:r w:rsidRPr="00AA7D95">
        <w:rPr>
          <w:rFonts w:cstheme="minorHAnsi"/>
        </w:rPr>
        <w:t>be invoked as a justification for torture.</w:t>
      </w:r>
      <w:r w:rsidR="00B432CF" w:rsidRPr="00AA7D95">
        <w:rPr>
          <w:rFonts w:cstheme="minorHAnsi"/>
        </w:rPr>
        <w:t>”</w:t>
      </w:r>
    </w:p>
    <w:p w14:paraId="5342DDC9" w14:textId="77777777" w:rsidR="00E9014A" w:rsidRPr="00AA7D95" w:rsidRDefault="00E9014A" w:rsidP="00E9014A">
      <w:pPr>
        <w:pStyle w:val="ListParagraph"/>
        <w:jc w:val="both"/>
        <w:rPr>
          <w:rFonts w:cstheme="minorHAnsi"/>
        </w:rPr>
      </w:pPr>
    </w:p>
    <w:p w14:paraId="2D6E0BA7" w14:textId="12F023D6" w:rsidR="003116BF" w:rsidRPr="00AA7D95" w:rsidRDefault="004B48F4" w:rsidP="00EA78C6">
      <w:pPr>
        <w:pStyle w:val="ListParagraph"/>
        <w:numPr>
          <w:ilvl w:val="1"/>
          <w:numId w:val="4"/>
        </w:numPr>
        <w:jc w:val="both"/>
        <w:rPr>
          <w:rFonts w:cstheme="minorHAnsi"/>
        </w:rPr>
      </w:pPr>
      <w:r w:rsidRPr="00AA7D95">
        <w:rPr>
          <w:rFonts w:cstheme="minorHAnsi"/>
        </w:rPr>
        <w:t>The Correctional Services Act</w:t>
      </w:r>
      <w:r w:rsidR="00AC1A39" w:rsidRPr="00AA7D95">
        <w:rPr>
          <w:rFonts w:cstheme="minorHAnsi"/>
        </w:rPr>
        <w:t>,</w:t>
      </w:r>
      <w:r w:rsidRPr="00AA7D95">
        <w:rPr>
          <w:rFonts w:cstheme="minorHAnsi"/>
        </w:rPr>
        <w:t xml:space="preserve"> 111 of 1998</w:t>
      </w:r>
      <w:r w:rsidR="00AD76DA" w:rsidRPr="00AA7D95">
        <w:rPr>
          <w:rFonts w:cstheme="minorHAnsi"/>
        </w:rPr>
        <w:t xml:space="preserve"> (CSA),</w:t>
      </w:r>
      <w:r w:rsidR="00AD76DA" w:rsidRPr="00AA7D95">
        <w:rPr>
          <w:rStyle w:val="FootnoteReference"/>
          <w:rFonts w:cstheme="minorHAnsi"/>
        </w:rPr>
        <w:footnoteReference w:id="3"/>
      </w:r>
      <w:r w:rsidRPr="00AA7D95">
        <w:rPr>
          <w:rFonts w:cstheme="minorHAnsi"/>
        </w:rPr>
        <w:t xml:space="preserve"> was promulgated in 1998</w:t>
      </w:r>
      <w:r w:rsidR="00AC1A39" w:rsidRPr="00AA7D95">
        <w:rPr>
          <w:rFonts w:cstheme="minorHAnsi"/>
        </w:rPr>
        <w:t xml:space="preserve"> and </w:t>
      </w:r>
      <w:r w:rsidR="00866FD9" w:rsidRPr="00AA7D95">
        <w:rPr>
          <w:rFonts w:cstheme="minorHAnsi"/>
        </w:rPr>
        <w:t>establishes the correctional system in South Africa</w:t>
      </w:r>
      <w:r w:rsidR="00AD76DA" w:rsidRPr="00AA7D95">
        <w:rPr>
          <w:rFonts w:cstheme="minorHAnsi"/>
        </w:rPr>
        <w:t xml:space="preserve"> which is charged with “detaining all inmates in safe custody whilst ensuring their human dignity”</w:t>
      </w:r>
      <w:r w:rsidRPr="00AA7D95">
        <w:rPr>
          <w:rFonts w:cstheme="minorHAnsi"/>
        </w:rPr>
        <w:t>.</w:t>
      </w:r>
      <w:r w:rsidR="00AD76DA" w:rsidRPr="00AA7D95">
        <w:rPr>
          <w:rStyle w:val="FootnoteReference"/>
          <w:rFonts w:cstheme="minorHAnsi"/>
        </w:rPr>
        <w:footnoteReference w:id="4"/>
      </w:r>
      <w:r w:rsidRPr="00AA7D95">
        <w:rPr>
          <w:rFonts w:cstheme="minorHAnsi"/>
        </w:rPr>
        <w:t xml:space="preserve"> </w:t>
      </w:r>
    </w:p>
    <w:p w14:paraId="33A7E31B" w14:textId="77777777" w:rsidR="003116BF" w:rsidRPr="00AA7D95" w:rsidRDefault="003116BF" w:rsidP="00DA1F5F">
      <w:pPr>
        <w:pStyle w:val="ListParagraph"/>
        <w:ind w:left="360"/>
        <w:jc w:val="both"/>
        <w:rPr>
          <w:rFonts w:cstheme="minorHAnsi"/>
        </w:rPr>
      </w:pPr>
    </w:p>
    <w:p w14:paraId="74935D8E" w14:textId="33A65CFB" w:rsidR="004B48F4" w:rsidRPr="00AA7D95" w:rsidRDefault="004B48F4" w:rsidP="00EA78C6">
      <w:pPr>
        <w:pStyle w:val="ListParagraph"/>
        <w:numPr>
          <w:ilvl w:val="1"/>
          <w:numId w:val="4"/>
        </w:numPr>
        <w:jc w:val="both"/>
        <w:rPr>
          <w:rFonts w:cstheme="minorHAnsi"/>
        </w:rPr>
      </w:pPr>
      <w:r w:rsidRPr="00AA7D95">
        <w:rPr>
          <w:rFonts w:cstheme="minorHAnsi"/>
        </w:rPr>
        <w:t xml:space="preserve">Chapter 3 of this </w:t>
      </w:r>
      <w:r w:rsidR="00AD76DA" w:rsidRPr="00AA7D95">
        <w:rPr>
          <w:rFonts w:cstheme="minorHAnsi"/>
        </w:rPr>
        <w:t>CSA</w:t>
      </w:r>
      <w:r w:rsidR="00AD76DA" w:rsidRPr="00AA7D95">
        <w:rPr>
          <w:rFonts w:cstheme="minorHAnsi"/>
        </w:rPr>
        <w:t xml:space="preserve"> </w:t>
      </w:r>
      <w:r w:rsidR="00AD76DA" w:rsidRPr="00AA7D95">
        <w:rPr>
          <w:rFonts w:cstheme="minorHAnsi"/>
        </w:rPr>
        <w:t>en</w:t>
      </w:r>
      <w:r w:rsidRPr="00AA7D95">
        <w:rPr>
          <w:rFonts w:cstheme="minorHAnsi"/>
        </w:rPr>
        <w:t>titled</w:t>
      </w:r>
      <w:r w:rsidR="00AE3A39" w:rsidRPr="00AA7D95">
        <w:rPr>
          <w:rFonts w:cstheme="minorHAnsi"/>
        </w:rPr>
        <w:t xml:space="preserve"> ”</w:t>
      </w:r>
      <w:r w:rsidR="00F422DB" w:rsidRPr="00AA7D95">
        <w:rPr>
          <w:rFonts w:cstheme="minorHAnsi"/>
        </w:rPr>
        <w:t>C</w:t>
      </w:r>
      <w:r w:rsidRPr="00AA7D95">
        <w:rPr>
          <w:rFonts w:cstheme="minorHAnsi"/>
        </w:rPr>
        <w:t xml:space="preserve">ustody of all inmates under conditions of human </w:t>
      </w:r>
      <w:r w:rsidR="00A918F6" w:rsidRPr="00AA7D95">
        <w:rPr>
          <w:rFonts w:cstheme="minorHAnsi"/>
        </w:rPr>
        <w:t>dignity</w:t>
      </w:r>
      <w:r w:rsidR="00A918F6">
        <w:rPr>
          <w:rFonts w:cstheme="minorHAnsi"/>
        </w:rPr>
        <w:t>”</w:t>
      </w:r>
      <w:r w:rsidR="00A918F6" w:rsidRPr="00AA7D95">
        <w:rPr>
          <w:rFonts w:cstheme="minorHAnsi"/>
        </w:rPr>
        <w:t xml:space="preserve"> </w:t>
      </w:r>
      <w:r w:rsidRPr="00AA7D95">
        <w:rPr>
          <w:rFonts w:cstheme="minorHAnsi"/>
        </w:rPr>
        <w:t xml:space="preserve">makes provision for the standard of inmates’ treatment ranging from safe custody to security issues. What is significant about this </w:t>
      </w:r>
      <w:r w:rsidR="00DA1F5F">
        <w:rPr>
          <w:rFonts w:cstheme="minorHAnsi"/>
        </w:rPr>
        <w:t>CSA</w:t>
      </w:r>
      <w:r w:rsidR="00DA1F5F" w:rsidRPr="00AA7D95">
        <w:rPr>
          <w:rFonts w:cstheme="minorHAnsi"/>
        </w:rPr>
        <w:t xml:space="preserve"> </w:t>
      </w:r>
      <w:r w:rsidRPr="00AA7D95">
        <w:rPr>
          <w:rFonts w:cstheme="minorHAnsi"/>
        </w:rPr>
        <w:t>is that</w:t>
      </w:r>
      <w:r w:rsidR="00F422DB" w:rsidRPr="00AA7D95">
        <w:rPr>
          <w:rFonts w:cstheme="minorHAnsi"/>
        </w:rPr>
        <w:t xml:space="preserve"> </w:t>
      </w:r>
      <w:r w:rsidRPr="00AA7D95">
        <w:rPr>
          <w:rFonts w:cstheme="minorHAnsi"/>
        </w:rPr>
        <w:t>it is</w:t>
      </w:r>
      <w:r w:rsidR="00F422DB" w:rsidRPr="00AA7D95">
        <w:rPr>
          <w:rFonts w:cstheme="minorHAnsi"/>
        </w:rPr>
        <w:t xml:space="preserve"> </w:t>
      </w:r>
      <w:r w:rsidRPr="00AA7D95">
        <w:rPr>
          <w:rFonts w:cstheme="minorHAnsi"/>
        </w:rPr>
        <w:t>aligned to and underpinned by the basic principles of democracy</w:t>
      </w:r>
      <w:r w:rsidR="00F422DB" w:rsidRPr="00AA7D95">
        <w:rPr>
          <w:rFonts w:cstheme="minorHAnsi"/>
        </w:rPr>
        <w:t xml:space="preserve"> </w:t>
      </w:r>
      <w:r w:rsidRPr="00AA7D95">
        <w:rPr>
          <w:rFonts w:cstheme="minorHAnsi"/>
        </w:rPr>
        <w:t xml:space="preserve">characterised by the promotion, </w:t>
      </w:r>
      <w:r w:rsidR="00FD0171" w:rsidRPr="00AA7D95">
        <w:rPr>
          <w:rFonts w:cstheme="minorHAnsi"/>
        </w:rPr>
        <w:t>protection,</w:t>
      </w:r>
      <w:r w:rsidRPr="00AA7D95">
        <w:rPr>
          <w:rFonts w:cstheme="minorHAnsi"/>
        </w:rPr>
        <w:t xml:space="preserve"> and respect of inmates’ rights.</w:t>
      </w:r>
      <w:r w:rsidR="004007D0" w:rsidRPr="00AA7D95">
        <w:rPr>
          <w:rFonts w:cstheme="minorHAnsi"/>
        </w:rPr>
        <w:t xml:space="preserve"> </w:t>
      </w:r>
    </w:p>
    <w:p w14:paraId="5F2082E8" w14:textId="77777777" w:rsidR="00025B32" w:rsidRPr="00AA7D95" w:rsidRDefault="00025B32" w:rsidP="00DA1F5F">
      <w:pPr>
        <w:pStyle w:val="ListParagraph"/>
        <w:rPr>
          <w:rFonts w:cstheme="minorHAnsi"/>
        </w:rPr>
      </w:pPr>
    </w:p>
    <w:p w14:paraId="2BCCB30A" w14:textId="0C83CB93" w:rsidR="009400A4" w:rsidRPr="00AA7D95" w:rsidRDefault="00AF13A5" w:rsidP="00EA78C6">
      <w:pPr>
        <w:pStyle w:val="ListParagraph"/>
        <w:numPr>
          <w:ilvl w:val="1"/>
          <w:numId w:val="4"/>
        </w:numPr>
        <w:jc w:val="both"/>
        <w:rPr>
          <w:rFonts w:cstheme="minorHAnsi"/>
        </w:rPr>
      </w:pPr>
      <w:r w:rsidRPr="00AA7D95">
        <w:rPr>
          <w:rFonts w:cstheme="minorHAnsi"/>
        </w:rPr>
        <w:t>T</w:t>
      </w:r>
      <w:r w:rsidR="00EA78C6" w:rsidRPr="00AA7D95">
        <w:rPr>
          <w:rFonts w:cstheme="minorHAnsi"/>
        </w:rPr>
        <w:t>he CSA does not specifically deal with instances of torture</w:t>
      </w:r>
      <w:r w:rsidR="00FE6706" w:rsidRPr="00AA7D95">
        <w:rPr>
          <w:rFonts w:cstheme="minorHAnsi"/>
        </w:rPr>
        <w:t xml:space="preserve"> in the correctional system</w:t>
      </w:r>
      <w:r w:rsidRPr="00AA7D95">
        <w:rPr>
          <w:rFonts w:cstheme="minorHAnsi"/>
        </w:rPr>
        <w:t xml:space="preserve">. However, </w:t>
      </w:r>
      <w:r w:rsidR="00FE6706" w:rsidRPr="00AA7D95">
        <w:rPr>
          <w:rFonts w:cstheme="minorHAnsi"/>
        </w:rPr>
        <w:t xml:space="preserve">the CSA, </w:t>
      </w:r>
      <w:r w:rsidR="00574352" w:rsidRPr="00AA7D95">
        <w:rPr>
          <w:rFonts w:cstheme="minorHAnsi"/>
        </w:rPr>
        <w:t xml:space="preserve">the </w:t>
      </w:r>
      <w:r w:rsidR="00574352" w:rsidRPr="00DA1F5F">
        <w:rPr>
          <w:rFonts w:cstheme="minorHAnsi"/>
        </w:rPr>
        <w:t>Correctional Services Regulations, GN R323 in GG 35277 of 25 April 2012</w:t>
      </w:r>
      <w:r w:rsidR="009C08BB" w:rsidRPr="00DA1F5F">
        <w:rPr>
          <w:rFonts w:cstheme="minorHAnsi"/>
        </w:rPr>
        <w:t xml:space="preserve"> and </w:t>
      </w:r>
      <w:r w:rsidR="009C08BB" w:rsidRPr="00DA1F5F">
        <w:rPr>
          <w:rFonts w:cstheme="minorHAnsi"/>
        </w:rPr>
        <w:t>the Standing Orders issued by the</w:t>
      </w:r>
      <w:r w:rsidR="003116BF" w:rsidRPr="00AA7D95">
        <w:rPr>
          <w:rFonts w:cstheme="minorHAnsi"/>
        </w:rPr>
        <w:t xml:space="preserve"> </w:t>
      </w:r>
      <w:r w:rsidR="009C08BB" w:rsidRPr="00DA1F5F">
        <w:rPr>
          <w:rFonts w:cstheme="minorHAnsi"/>
        </w:rPr>
        <w:t>National Commissioner of Correctional Services (“the National</w:t>
      </w:r>
      <w:r w:rsidR="003116BF" w:rsidRPr="00AA7D95">
        <w:rPr>
          <w:rFonts w:cstheme="minorHAnsi"/>
        </w:rPr>
        <w:t xml:space="preserve"> </w:t>
      </w:r>
      <w:r w:rsidR="009C08BB" w:rsidRPr="00DA1F5F">
        <w:rPr>
          <w:rFonts w:cstheme="minorHAnsi"/>
        </w:rPr>
        <w:t>Commissioner”) under section 134(2) of the Act (“the B-orders” or “the</w:t>
      </w:r>
      <w:r w:rsidR="003116BF" w:rsidRPr="00AA7D95">
        <w:rPr>
          <w:rFonts w:cstheme="minorHAnsi"/>
        </w:rPr>
        <w:t xml:space="preserve"> </w:t>
      </w:r>
      <w:r w:rsidR="009C08BB" w:rsidRPr="00DA1F5F">
        <w:rPr>
          <w:rFonts w:cstheme="minorHAnsi"/>
        </w:rPr>
        <w:t>Standing Orders”)</w:t>
      </w:r>
      <w:r w:rsidR="008132E8" w:rsidRPr="00AA7D95">
        <w:rPr>
          <w:rFonts w:cstheme="minorHAnsi"/>
        </w:rPr>
        <w:t xml:space="preserve"> </w:t>
      </w:r>
      <w:r w:rsidR="00C42931" w:rsidRPr="00AA7D95">
        <w:rPr>
          <w:rFonts w:cstheme="minorHAnsi"/>
        </w:rPr>
        <w:t>regulate</w:t>
      </w:r>
      <w:r w:rsidR="009C08BB" w:rsidRPr="00AA7D95">
        <w:rPr>
          <w:rFonts w:cstheme="minorHAnsi"/>
        </w:rPr>
        <w:t>s</w:t>
      </w:r>
      <w:r w:rsidR="00C42931" w:rsidRPr="00AA7D95">
        <w:rPr>
          <w:rFonts w:cstheme="minorHAnsi"/>
        </w:rPr>
        <w:t xml:space="preserve"> the use of force and segregation</w:t>
      </w:r>
      <w:r w:rsidR="00945C3D" w:rsidRPr="00DA1F5F">
        <w:rPr>
          <w:rFonts w:cstheme="minorHAnsi"/>
          <w:vertAlign w:val="superscript"/>
        </w:rPr>
        <w:footnoteReference w:id="5"/>
      </w:r>
      <w:r w:rsidR="00613B22" w:rsidRPr="00AA7D95">
        <w:rPr>
          <w:rFonts w:cstheme="minorHAnsi"/>
        </w:rPr>
        <w:t xml:space="preserve">, each of which has been recognised as </w:t>
      </w:r>
      <w:r w:rsidR="009400A4" w:rsidRPr="00AA7D95">
        <w:rPr>
          <w:rFonts w:cstheme="minorHAnsi"/>
        </w:rPr>
        <w:t>methods and</w:t>
      </w:r>
      <w:r w:rsidR="00381766" w:rsidRPr="00AA7D95">
        <w:rPr>
          <w:rFonts w:cstheme="minorHAnsi"/>
        </w:rPr>
        <w:t xml:space="preserve"> forms</w:t>
      </w:r>
      <w:r w:rsidR="009400A4" w:rsidRPr="00AA7D95">
        <w:rPr>
          <w:rFonts w:cstheme="minorHAnsi"/>
        </w:rPr>
        <w:t xml:space="preserve"> of torture.</w:t>
      </w:r>
    </w:p>
    <w:p w14:paraId="0122D2DA" w14:textId="77777777" w:rsidR="00381766" w:rsidRPr="00AA7D95" w:rsidRDefault="00381766" w:rsidP="00DA1F5F">
      <w:pPr>
        <w:pStyle w:val="ListParagraph"/>
        <w:rPr>
          <w:rFonts w:cstheme="minorHAnsi"/>
        </w:rPr>
      </w:pPr>
    </w:p>
    <w:p w14:paraId="6EA15670" w14:textId="7AF10EFC" w:rsidR="00EA78C6" w:rsidRPr="00AA7D95" w:rsidRDefault="009400A4" w:rsidP="00381766">
      <w:pPr>
        <w:pStyle w:val="ListParagraph"/>
        <w:numPr>
          <w:ilvl w:val="2"/>
          <w:numId w:val="4"/>
        </w:numPr>
        <w:ind w:hanging="294"/>
        <w:jc w:val="both"/>
        <w:rPr>
          <w:rFonts w:cstheme="minorHAnsi"/>
        </w:rPr>
      </w:pPr>
      <w:r w:rsidRPr="00AA7D95">
        <w:rPr>
          <w:rFonts w:cstheme="minorHAnsi"/>
          <w:b/>
          <w:bCs/>
          <w:i/>
          <w:iCs/>
          <w:u w:val="single"/>
        </w:rPr>
        <w:t>Use of force</w:t>
      </w:r>
      <w:r w:rsidR="00C83E68" w:rsidRPr="00AA7D95">
        <w:rPr>
          <w:rFonts w:cstheme="minorHAnsi"/>
        </w:rPr>
        <w:t xml:space="preserve"> </w:t>
      </w:r>
    </w:p>
    <w:p w14:paraId="757E78ED" w14:textId="77777777" w:rsidR="00381766" w:rsidRPr="00AA7D95" w:rsidRDefault="00381766" w:rsidP="00DA1F5F">
      <w:pPr>
        <w:pStyle w:val="ListParagraph"/>
        <w:jc w:val="both"/>
        <w:rPr>
          <w:rFonts w:cstheme="minorHAnsi"/>
        </w:rPr>
      </w:pPr>
    </w:p>
    <w:p w14:paraId="048724A1" w14:textId="57A5520F" w:rsidR="002D6B1F" w:rsidRPr="00AA7D95" w:rsidRDefault="002D6B1F" w:rsidP="00DA1F5F">
      <w:pPr>
        <w:pStyle w:val="ListParagraph"/>
        <w:numPr>
          <w:ilvl w:val="3"/>
          <w:numId w:val="4"/>
        </w:numPr>
        <w:ind w:firstLine="698"/>
        <w:jc w:val="both"/>
        <w:rPr>
          <w:rFonts w:cstheme="minorHAnsi"/>
        </w:rPr>
      </w:pPr>
      <w:r w:rsidRPr="00AA7D95">
        <w:rPr>
          <w:rFonts w:cstheme="minorHAnsi"/>
        </w:rPr>
        <w:t>Section 32 of the Act governs the use of force,</w:t>
      </w:r>
      <w:r w:rsidR="00524AF7">
        <w:rPr>
          <w:rStyle w:val="FootnoteReference"/>
          <w:rFonts w:cstheme="minorHAnsi"/>
        </w:rPr>
        <w:footnoteReference w:id="6"/>
      </w:r>
      <w:r w:rsidR="00E05226" w:rsidRPr="00AA7D95">
        <w:rPr>
          <w:rFonts w:cstheme="minorHAnsi"/>
        </w:rPr>
        <w:t xml:space="preserve"> </w:t>
      </w:r>
      <w:r w:rsidRPr="00AA7D95">
        <w:rPr>
          <w:rFonts w:cstheme="minorHAnsi"/>
        </w:rPr>
        <w:t>specifically that it must be:</w:t>
      </w:r>
    </w:p>
    <w:p w14:paraId="60F4446D" w14:textId="0E6C930D" w:rsidR="001E3468" w:rsidRPr="00DA1F5F" w:rsidRDefault="00756A0A" w:rsidP="00DA1F5F">
      <w:pPr>
        <w:pStyle w:val="ListParagraph"/>
        <w:numPr>
          <w:ilvl w:val="4"/>
          <w:numId w:val="4"/>
        </w:numPr>
        <w:ind w:left="2835" w:hanging="1417"/>
        <w:jc w:val="both"/>
        <w:rPr>
          <w:rFonts w:cstheme="minorHAnsi"/>
        </w:rPr>
      </w:pPr>
      <w:r w:rsidRPr="00DA1F5F">
        <w:rPr>
          <w:rFonts w:cstheme="minorHAnsi"/>
          <w:color w:val="000000"/>
        </w:rPr>
        <w:t>the minimum force required to ensure safe custody,</w:t>
      </w:r>
      <w:r w:rsidR="00E05226" w:rsidRPr="00DA1F5F">
        <w:rPr>
          <w:rFonts w:cstheme="minorHAnsi"/>
          <w:color w:val="000000"/>
        </w:rPr>
        <w:t xml:space="preserve"> </w:t>
      </w:r>
      <w:r w:rsidRPr="00DA1F5F">
        <w:rPr>
          <w:rFonts w:cstheme="minorHAnsi"/>
          <w:color w:val="000000"/>
        </w:rPr>
        <w:t>where</w:t>
      </w:r>
      <w:r w:rsidR="00E05226" w:rsidRPr="00DA1F5F">
        <w:rPr>
          <w:rFonts w:cstheme="minorHAnsi"/>
          <w:color w:val="000000"/>
        </w:rPr>
        <w:t xml:space="preserve"> </w:t>
      </w:r>
      <w:r w:rsidRPr="00DA1F5F">
        <w:rPr>
          <w:rFonts w:cstheme="minorHAnsi"/>
          <w:color w:val="000000"/>
        </w:rPr>
        <w:t>no other</w:t>
      </w:r>
      <w:r w:rsidR="00381766" w:rsidRPr="00DA1F5F">
        <w:rPr>
          <w:rFonts w:cstheme="minorHAnsi"/>
          <w:color w:val="000000"/>
        </w:rPr>
        <w:t xml:space="preserve"> </w:t>
      </w:r>
      <w:r w:rsidRPr="00DA1F5F">
        <w:rPr>
          <w:rFonts w:cstheme="minorHAnsi"/>
          <w:color w:val="000000"/>
        </w:rPr>
        <w:t>means are available (s</w:t>
      </w:r>
      <w:r w:rsidR="008834D8">
        <w:rPr>
          <w:rFonts w:cstheme="minorHAnsi"/>
          <w:color w:val="000000"/>
        </w:rPr>
        <w:t>ection</w:t>
      </w:r>
      <w:r w:rsidRPr="00DA1F5F">
        <w:rPr>
          <w:rFonts w:cstheme="minorHAnsi"/>
          <w:color w:val="000000"/>
        </w:rPr>
        <w:t xml:space="preserve"> 32(1)(a));</w:t>
      </w:r>
    </w:p>
    <w:p w14:paraId="3D3EBA76" w14:textId="47F23A77" w:rsidR="001E3468" w:rsidRPr="00DA1F5F" w:rsidRDefault="00756A0A" w:rsidP="00E05226">
      <w:pPr>
        <w:pStyle w:val="ListParagraph"/>
        <w:numPr>
          <w:ilvl w:val="4"/>
          <w:numId w:val="4"/>
        </w:numPr>
        <w:ind w:left="1418" w:firstLine="0"/>
        <w:jc w:val="both"/>
        <w:rPr>
          <w:rFonts w:cstheme="minorHAnsi"/>
        </w:rPr>
      </w:pPr>
      <w:r w:rsidRPr="00DA1F5F">
        <w:rPr>
          <w:rFonts w:cstheme="minorHAnsi"/>
          <w:color w:val="000000"/>
        </w:rPr>
        <w:t>proportionate to the objective (s</w:t>
      </w:r>
      <w:r w:rsidR="008834D8">
        <w:rPr>
          <w:rFonts w:cstheme="minorHAnsi"/>
          <w:color w:val="000000"/>
        </w:rPr>
        <w:t>ection</w:t>
      </w:r>
      <w:r w:rsidRPr="00DA1F5F">
        <w:rPr>
          <w:rFonts w:cstheme="minorHAnsi"/>
          <w:color w:val="000000"/>
        </w:rPr>
        <w:t xml:space="preserve"> 32(1)(b));</w:t>
      </w:r>
    </w:p>
    <w:p w14:paraId="492C2D25" w14:textId="5F85722A" w:rsidR="001E3468" w:rsidRPr="00DA1F5F" w:rsidRDefault="00756A0A" w:rsidP="00DA1F5F">
      <w:pPr>
        <w:pStyle w:val="ListParagraph"/>
        <w:numPr>
          <w:ilvl w:val="4"/>
          <w:numId w:val="4"/>
        </w:numPr>
        <w:ind w:left="2835" w:hanging="1417"/>
        <w:jc w:val="both"/>
        <w:rPr>
          <w:rFonts w:cstheme="minorHAnsi"/>
          <w:color w:val="000000"/>
        </w:rPr>
      </w:pPr>
      <w:r w:rsidRPr="00DA1F5F">
        <w:rPr>
          <w:rFonts w:cstheme="minorHAnsi"/>
          <w:color w:val="000000"/>
        </w:rPr>
        <w:t>necessary for one of the specified purposes – i.e., for self-defence</w:t>
      </w:r>
      <w:r w:rsidR="001E3468" w:rsidRPr="00DA1F5F">
        <w:rPr>
          <w:rFonts w:cstheme="minorHAnsi"/>
          <w:color w:val="000000"/>
        </w:rPr>
        <w:t xml:space="preserve"> </w:t>
      </w:r>
      <w:r w:rsidRPr="00DA1F5F">
        <w:rPr>
          <w:rFonts w:cstheme="minorHAnsi"/>
          <w:color w:val="000000"/>
        </w:rPr>
        <w:t>or the defence of any other person; to prevent the escape of an</w:t>
      </w:r>
      <w:r w:rsidR="002818E2" w:rsidRPr="00DA1F5F">
        <w:rPr>
          <w:rFonts w:cstheme="minorHAnsi"/>
          <w:color w:val="000000"/>
        </w:rPr>
        <w:t xml:space="preserve"> </w:t>
      </w:r>
      <w:r w:rsidRPr="00DA1F5F">
        <w:rPr>
          <w:rFonts w:cstheme="minorHAnsi"/>
          <w:color w:val="000000"/>
        </w:rPr>
        <w:t>inmate; or to protect property (s</w:t>
      </w:r>
      <w:r w:rsidR="008834D8">
        <w:rPr>
          <w:rFonts w:cstheme="minorHAnsi"/>
          <w:color w:val="000000"/>
        </w:rPr>
        <w:t>ection</w:t>
      </w:r>
      <w:r w:rsidRPr="00DA1F5F">
        <w:rPr>
          <w:rFonts w:cstheme="minorHAnsi"/>
          <w:color w:val="000000"/>
        </w:rPr>
        <w:t xml:space="preserve"> 32(1)(c));</w:t>
      </w:r>
    </w:p>
    <w:p w14:paraId="4230AA09" w14:textId="7B866B1F" w:rsidR="00CF374C" w:rsidRPr="00DA1F5F" w:rsidRDefault="00756A0A" w:rsidP="002818E2">
      <w:pPr>
        <w:pStyle w:val="ListParagraph"/>
        <w:numPr>
          <w:ilvl w:val="4"/>
          <w:numId w:val="4"/>
        </w:numPr>
        <w:ind w:left="2835" w:hanging="1417"/>
        <w:jc w:val="both"/>
        <w:rPr>
          <w:rFonts w:cstheme="minorHAnsi"/>
          <w:color w:val="000000"/>
        </w:rPr>
      </w:pPr>
      <w:r w:rsidRPr="00DA1F5F">
        <w:rPr>
          <w:rFonts w:cstheme="minorHAnsi"/>
          <w:color w:val="000000"/>
        </w:rPr>
        <w:t>authorised by the Head of Centre, “unless a correctional official</w:t>
      </w:r>
      <w:r w:rsidR="001E3468" w:rsidRPr="00DA1F5F">
        <w:rPr>
          <w:rFonts w:cstheme="minorHAnsi"/>
          <w:color w:val="000000"/>
        </w:rPr>
        <w:t xml:space="preserve"> </w:t>
      </w:r>
      <w:r w:rsidRPr="00DA1F5F">
        <w:rPr>
          <w:rFonts w:cstheme="minorHAnsi"/>
          <w:color w:val="000000"/>
        </w:rPr>
        <w:t>reasonably believes that the Head of the Correctional Centre would</w:t>
      </w:r>
      <w:r w:rsidR="001E3468" w:rsidRPr="00DA1F5F">
        <w:rPr>
          <w:rFonts w:cstheme="minorHAnsi"/>
          <w:color w:val="000000"/>
        </w:rPr>
        <w:t xml:space="preserve"> </w:t>
      </w:r>
      <w:r w:rsidRPr="00DA1F5F">
        <w:rPr>
          <w:rFonts w:cstheme="minorHAnsi"/>
          <w:color w:val="000000"/>
        </w:rPr>
        <w:t>authorise the use of force and that the delay in obtaining such</w:t>
      </w:r>
      <w:r w:rsidR="001E3468" w:rsidRPr="00DA1F5F">
        <w:rPr>
          <w:rFonts w:cstheme="minorHAnsi"/>
          <w:color w:val="000000"/>
        </w:rPr>
        <w:t xml:space="preserve"> </w:t>
      </w:r>
      <w:r w:rsidRPr="00DA1F5F">
        <w:rPr>
          <w:rFonts w:cstheme="minorHAnsi"/>
          <w:color w:val="000000"/>
        </w:rPr>
        <w:t>authorisation would defeat the objective” (s</w:t>
      </w:r>
      <w:r w:rsidR="008834D8">
        <w:rPr>
          <w:rFonts w:cstheme="minorHAnsi"/>
          <w:color w:val="000000"/>
        </w:rPr>
        <w:t>ection</w:t>
      </w:r>
      <w:r w:rsidRPr="00DA1F5F">
        <w:rPr>
          <w:rFonts w:cstheme="minorHAnsi"/>
          <w:color w:val="000000"/>
        </w:rPr>
        <w:t xml:space="preserve"> 32(2)). </w:t>
      </w:r>
    </w:p>
    <w:p w14:paraId="61EAE68E" w14:textId="77777777" w:rsidR="002818E2" w:rsidRPr="00DA1F5F" w:rsidRDefault="002818E2" w:rsidP="00DA1F5F">
      <w:pPr>
        <w:pStyle w:val="ListParagraph"/>
        <w:ind w:left="2835"/>
        <w:jc w:val="both"/>
        <w:rPr>
          <w:rFonts w:cstheme="minorHAnsi"/>
          <w:color w:val="000000"/>
        </w:rPr>
      </w:pPr>
    </w:p>
    <w:p w14:paraId="04940801" w14:textId="3B175711" w:rsidR="00CF374C" w:rsidRPr="00AA7D95" w:rsidRDefault="00756A0A" w:rsidP="005E24B0">
      <w:pPr>
        <w:pStyle w:val="ListParagraph"/>
        <w:numPr>
          <w:ilvl w:val="3"/>
          <w:numId w:val="4"/>
        </w:numPr>
        <w:ind w:left="2127" w:hanging="709"/>
        <w:jc w:val="both"/>
        <w:rPr>
          <w:rFonts w:cstheme="minorHAnsi"/>
        </w:rPr>
      </w:pPr>
      <w:r w:rsidRPr="00DA1F5F">
        <w:rPr>
          <w:rFonts w:cstheme="minorHAnsi"/>
        </w:rPr>
        <w:t>If force is used</w:t>
      </w:r>
      <w:r w:rsidR="001E3468" w:rsidRPr="00DA1F5F">
        <w:rPr>
          <w:rFonts w:cstheme="minorHAnsi"/>
        </w:rPr>
        <w:t xml:space="preserve"> </w:t>
      </w:r>
      <w:r w:rsidRPr="00DA1F5F">
        <w:rPr>
          <w:rFonts w:cstheme="minorHAnsi"/>
        </w:rPr>
        <w:t>without prior permission, the correctional official must report the</w:t>
      </w:r>
      <w:r w:rsidR="001E3468" w:rsidRPr="00DA1F5F">
        <w:rPr>
          <w:rFonts w:cstheme="minorHAnsi"/>
        </w:rPr>
        <w:t xml:space="preserve"> </w:t>
      </w:r>
      <w:r w:rsidRPr="00DA1F5F">
        <w:rPr>
          <w:rFonts w:cstheme="minorHAnsi"/>
        </w:rPr>
        <w:t>action taken to the Head of Centre as soon as reasonably possible</w:t>
      </w:r>
      <w:r w:rsidR="001E3468" w:rsidRPr="00DA1F5F">
        <w:rPr>
          <w:rFonts w:cstheme="minorHAnsi"/>
        </w:rPr>
        <w:t xml:space="preserve"> </w:t>
      </w:r>
      <w:r w:rsidRPr="00DA1F5F">
        <w:rPr>
          <w:rFonts w:cstheme="minorHAnsi"/>
        </w:rPr>
        <w:t>(s</w:t>
      </w:r>
      <w:r w:rsidR="008834D8">
        <w:rPr>
          <w:rFonts w:cstheme="minorHAnsi"/>
        </w:rPr>
        <w:t>ection</w:t>
      </w:r>
      <w:r w:rsidRPr="00DA1F5F">
        <w:rPr>
          <w:rFonts w:cstheme="minorHAnsi"/>
        </w:rPr>
        <w:t xml:space="preserve"> 32(3)); and reported to the Inspecting Judge</w:t>
      </w:r>
      <w:r w:rsidR="008834D8">
        <w:rPr>
          <w:rStyle w:val="FootnoteReference"/>
          <w:rFonts w:cstheme="minorHAnsi"/>
        </w:rPr>
        <w:footnoteReference w:id="7"/>
      </w:r>
      <w:r w:rsidRPr="00DA1F5F">
        <w:rPr>
          <w:rFonts w:cstheme="minorHAnsi"/>
        </w:rPr>
        <w:t xml:space="preserve"> immediately (s</w:t>
      </w:r>
      <w:r w:rsidR="00524AF7">
        <w:rPr>
          <w:rFonts w:cstheme="minorHAnsi"/>
        </w:rPr>
        <w:t>ection</w:t>
      </w:r>
      <w:r w:rsidRPr="00DA1F5F">
        <w:rPr>
          <w:rFonts w:cstheme="minorHAnsi"/>
        </w:rPr>
        <w:t xml:space="preserve"> 32(6)).</w:t>
      </w:r>
    </w:p>
    <w:p w14:paraId="4CB7CD40" w14:textId="77777777" w:rsidR="005E24B0" w:rsidRPr="00DA1F5F" w:rsidRDefault="005E24B0" w:rsidP="00DA1F5F">
      <w:pPr>
        <w:pStyle w:val="ListParagraph"/>
        <w:ind w:left="2127"/>
        <w:jc w:val="both"/>
        <w:rPr>
          <w:rFonts w:cstheme="minorHAnsi"/>
        </w:rPr>
      </w:pPr>
    </w:p>
    <w:p w14:paraId="5BE48F92" w14:textId="2C643065" w:rsidR="009279E8" w:rsidRPr="00AA7D95" w:rsidRDefault="00436E0B" w:rsidP="00DA1F5F">
      <w:pPr>
        <w:pStyle w:val="ListParagraph"/>
        <w:numPr>
          <w:ilvl w:val="3"/>
          <w:numId w:val="4"/>
        </w:numPr>
        <w:ind w:left="2127" w:hanging="709"/>
        <w:jc w:val="both"/>
        <w:rPr>
          <w:rFonts w:cstheme="minorHAnsi"/>
        </w:rPr>
      </w:pPr>
      <w:r w:rsidRPr="00DA1F5F">
        <w:rPr>
          <w:rFonts w:cstheme="minorHAnsi"/>
        </w:rPr>
        <w:t>I</w:t>
      </w:r>
      <w:r w:rsidR="009279E8" w:rsidRPr="00AA7D95">
        <w:rPr>
          <w:rFonts w:cstheme="minorHAnsi"/>
        </w:rPr>
        <w:t>f force is used against an inmate, the inmate concerned must undergo</w:t>
      </w:r>
      <w:r w:rsidRPr="00DA1F5F">
        <w:rPr>
          <w:rFonts w:cstheme="minorHAnsi"/>
        </w:rPr>
        <w:t xml:space="preserve"> </w:t>
      </w:r>
      <w:r w:rsidR="009279E8" w:rsidRPr="00AA7D95">
        <w:rPr>
          <w:rFonts w:cstheme="minorHAnsi"/>
        </w:rPr>
        <w:t>an immediate medical examination and receive the treatment</w:t>
      </w:r>
      <w:r w:rsidR="0022340A" w:rsidRPr="00DA1F5F">
        <w:rPr>
          <w:rFonts w:cstheme="minorHAnsi"/>
        </w:rPr>
        <w:t xml:space="preserve"> </w:t>
      </w:r>
      <w:r w:rsidR="009279E8" w:rsidRPr="00AA7D95">
        <w:rPr>
          <w:rFonts w:cstheme="minorHAnsi"/>
        </w:rPr>
        <w:t>prescribed</w:t>
      </w:r>
      <w:r w:rsidRPr="00AA7D95">
        <w:rPr>
          <w:rFonts w:cstheme="minorHAnsi"/>
        </w:rPr>
        <w:t xml:space="preserve"> </w:t>
      </w:r>
      <w:r w:rsidR="009279E8" w:rsidRPr="00AA7D95">
        <w:rPr>
          <w:rFonts w:cstheme="minorHAnsi"/>
        </w:rPr>
        <w:t>by the correctional medical practitioner (s</w:t>
      </w:r>
      <w:r w:rsidR="00524AF7">
        <w:rPr>
          <w:rFonts w:cstheme="minorHAnsi"/>
        </w:rPr>
        <w:t>ection</w:t>
      </w:r>
      <w:r w:rsidR="009279E8" w:rsidRPr="00AA7D95">
        <w:rPr>
          <w:rFonts w:cstheme="minorHAnsi"/>
        </w:rPr>
        <w:t xml:space="preserve"> 32(5))</w:t>
      </w:r>
      <w:r w:rsidR="00524AF7">
        <w:rPr>
          <w:rFonts w:cstheme="minorHAnsi"/>
        </w:rPr>
        <w:t>.</w:t>
      </w:r>
    </w:p>
    <w:p w14:paraId="2798A565" w14:textId="77777777" w:rsidR="005E24B0" w:rsidRPr="00AA7D95" w:rsidRDefault="005E24B0" w:rsidP="00DA1F5F">
      <w:pPr>
        <w:pStyle w:val="ListParagraph"/>
        <w:ind w:left="2127"/>
        <w:jc w:val="both"/>
        <w:rPr>
          <w:rFonts w:cstheme="minorHAnsi"/>
        </w:rPr>
      </w:pPr>
    </w:p>
    <w:p w14:paraId="488944C4" w14:textId="52C8488C" w:rsidR="00A16413" w:rsidRPr="00AA7D95" w:rsidRDefault="0022340A" w:rsidP="00DA1F5F">
      <w:pPr>
        <w:pStyle w:val="ListParagraph"/>
        <w:numPr>
          <w:ilvl w:val="3"/>
          <w:numId w:val="4"/>
        </w:numPr>
        <w:ind w:left="2127" w:hanging="709"/>
        <w:jc w:val="both"/>
        <w:rPr>
          <w:rFonts w:cstheme="minorHAnsi"/>
        </w:rPr>
      </w:pPr>
      <w:r w:rsidRPr="00AA7D95">
        <w:rPr>
          <w:rFonts w:cstheme="minorHAnsi"/>
        </w:rPr>
        <w:t>T</w:t>
      </w:r>
      <w:r w:rsidR="00E97D93" w:rsidRPr="00DA1F5F">
        <w:rPr>
          <w:rFonts w:cstheme="minorHAnsi"/>
        </w:rPr>
        <w:t>he Standing Orders detail the recording and reporting</w:t>
      </w:r>
      <w:r w:rsidR="00524AF7">
        <w:rPr>
          <w:rFonts w:cstheme="minorHAnsi"/>
        </w:rPr>
        <w:t xml:space="preserve"> </w:t>
      </w:r>
      <w:r w:rsidR="00E97D93" w:rsidRPr="00DA1F5F">
        <w:rPr>
          <w:rFonts w:cstheme="minorHAnsi"/>
        </w:rPr>
        <w:t>obligations in the event of the use of force.</w:t>
      </w:r>
    </w:p>
    <w:p w14:paraId="56EC4149" w14:textId="77777777" w:rsidR="0022340A" w:rsidRPr="00AA7D95" w:rsidRDefault="0022340A" w:rsidP="00DA1F5F">
      <w:pPr>
        <w:pStyle w:val="ListParagraph"/>
        <w:jc w:val="both"/>
        <w:rPr>
          <w:rFonts w:cstheme="minorHAnsi"/>
        </w:rPr>
      </w:pPr>
    </w:p>
    <w:p w14:paraId="3775F560" w14:textId="7AD8F85E" w:rsidR="00BD4687" w:rsidRPr="00DA1F5F" w:rsidRDefault="009400A4" w:rsidP="00DA1F5F">
      <w:pPr>
        <w:pStyle w:val="ListParagraph"/>
        <w:numPr>
          <w:ilvl w:val="2"/>
          <w:numId w:val="4"/>
        </w:numPr>
        <w:ind w:hanging="294"/>
        <w:jc w:val="both"/>
        <w:rPr>
          <w:rFonts w:cstheme="minorHAnsi"/>
          <w:b/>
          <w:bCs/>
          <w:i/>
          <w:iCs/>
          <w:u w:val="single"/>
        </w:rPr>
      </w:pPr>
      <w:r w:rsidRPr="00DA1F5F">
        <w:rPr>
          <w:rFonts w:cstheme="minorHAnsi"/>
          <w:b/>
          <w:bCs/>
          <w:i/>
          <w:iCs/>
          <w:u w:val="single"/>
        </w:rPr>
        <w:t xml:space="preserve">Segregation </w:t>
      </w:r>
    </w:p>
    <w:p w14:paraId="6FDD105E" w14:textId="666E007B" w:rsidR="00143806" w:rsidRPr="00DA1F5F" w:rsidRDefault="00143806" w:rsidP="00DA1F5F">
      <w:pPr>
        <w:pStyle w:val="ListParagraph"/>
        <w:tabs>
          <w:tab w:val="left" w:pos="6173"/>
        </w:tabs>
        <w:ind w:left="2127"/>
        <w:jc w:val="both"/>
        <w:rPr>
          <w:rFonts w:cstheme="minorHAnsi"/>
          <w:b/>
          <w:bCs/>
          <w:i/>
          <w:iCs/>
        </w:rPr>
      </w:pPr>
    </w:p>
    <w:p w14:paraId="7A36126C" w14:textId="12572375" w:rsidR="00C52BA2" w:rsidRPr="00DA1F5F" w:rsidRDefault="008834D8" w:rsidP="005E24B0">
      <w:pPr>
        <w:pStyle w:val="ListParagraph"/>
        <w:numPr>
          <w:ilvl w:val="3"/>
          <w:numId w:val="4"/>
        </w:numPr>
        <w:ind w:left="2127" w:hanging="709"/>
        <w:jc w:val="both"/>
        <w:rPr>
          <w:rFonts w:cstheme="minorHAnsi"/>
          <w:b/>
          <w:bCs/>
          <w:i/>
          <w:iCs/>
        </w:rPr>
      </w:pPr>
      <w:r>
        <w:rPr>
          <w:rFonts w:cstheme="minorHAnsi"/>
        </w:rPr>
        <w:t>In South Africa, s</w:t>
      </w:r>
      <w:r w:rsidR="00003C42" w:rsidRPr="00DA1F5F">
        <w:rPr>
          <w:rFonts w:cstheme="minorHAnsi"/>
        </w:rPr>
        <w:t>egregation is regulated by section 30 of the Act</w:t>
      </w:r>
      <w:r w:rsidR="005E24B0" w:rsidRPr="00AA7D95">
        <w:rPr>
          <w:rFonts w:cstheme="minorHAnsi"/>
        </w:rPr>
        <w:t xml:space="preserve"> and</w:t>
      </w:r>
      <w:r w:rsidR="00003C42" w:rsidRPr="00DA1F5F">
        <w:rPr>
          <w:rFonts w:cstheme="minorHAnsi"/>
        </w:rPr>
        <w:t xml:space="preserve"> provides</w:t>
      </w:r>
      <w:r w:rsidR="005E24B0" w:rsidRPr="00AA7D95">
        <w:rPr>
          <w:rFonts w:cstheme="minorHAnsi"/>
        </w:rPr>
        <w:t xml:space="preserve"> for instances where segregation of an inmate is permissible, including in </w:t>
      </w:r>
      <w:r w:rsidR="00003C42" w:rsidRPr="00DA1F5F">
        <w:rPr>
          <w:rFonts w:cstheme="minorHAnsi"/>
        </w:rPr>
        <w:t>to give effect to the penalty of the restriction of the</w:t>
      </w:r>
      <w:r w:rsidR="008523E8" w:rsidRPr="00AA7D95">
        <w:rPr>
          <w:rFonts w:cstheme="minorHAnsi"/>
        </w:rPr>
        <w:t xml:space="preserve"> </w:t>
      </w:r>
      <w:r w:rsidR="00003C42" w:rsidRPr="00DA1F5F">
        <w:rPr>
          <w:rFonts w:cstheme="minorHAnsi"/>
        </w:rPr>
        <w:t xml:space="preserve">amenities imposed </w:t>
      </w:r>
      <w:r w:rsidR="00ED4863" w:rsidRPr="00AA7D95">
        <w:rPr>
          <w:rFonts w:cstheme="minorHAnsi"/>
        </w:rPr>
        <w:t xml:space="preserve">under the </w:t>
      </w:r>
      <w:r w:rsidR="00C52BA2" w:rsidRPr="00AA7D95">
        <w:rPr>
          <w:rFonts w:cstheme="minorHAnsi"/>
        </w:rPr>
        <w:t>CSA (section 30(1)(b).</w:t>
      </w:r>
      <w:r w:rsidR="00143806" w:rsidRPr="00AA7D95">
        <w:rPr>
          <w:rFonts w:cstheme="minorHAnsi"/>
        </w:rPr>
        <w:t xml:space="preserve"> Section 30(9) however contains the caveat that </w:t>
      </w:r>
      <w:r w:rsidR="00143806" w:rsidRPr="00DA1F5F">
        <w:rPr>
          <w:rFonts w:cstheme="minorHAnsi"/>
          <w:color w:val="000000"/>
        </w:rPr>
        <w:t>e</w:t>
      </w:r>
      <w:r w:rsidR="00143806" w:rsidRPr="00DA1F5F">
        <w:rPr>
          <w:rFonts w:cstheme="minorHAnsi"/>
          <w:color w:val="000000"/>
        </w:rPr>
        <w:t>xcept in so far as it may be necessary in terms of</w:t>
      </w:r>
      <w:r w:rsidR="00143806" w:rsidRPr="00DA1F5F">
        <w:rPr>
          <w:rFonts w:cstheme="minorHAnsi"/>
          <w:color w:val="000000"/>
        </w:rPr>
        <w:t xml:space="preserve"> </w:t>
      </w:r>
      <w:r w:rsidR="00143806" w:rsidRPr="00DA1F5F">
        <w:rPr>
          <w:rFonts w:cstheme="minorHAnsi"/>
          <w:color w:val="000000"/>
        </w:rPr>
        <w:t>subsection (1) (b)</w:t>
      </w:r>
      <w:r w:rsidR="001E362D" w:rsidRPr="00DA1F5F">
        <w:rPr>
          <w:rFonts w:cstheme="minorHAnsi"/>
          <w:color w:val="000000"/>
        </w:rPr>
        <w:t>,</w:t>
      </w:r>
      <w:r w:rsidR="00143806" w:rsidRPr="00DA1F5F">
        <w:rPr>
          <w:rFonts w:cstheme="minorHAnsi"/>
          <w:color w:val="000000"/>
        </w:rPr>
        <w:t xml:space="preserve"> segregation may never be ordered as a</w:t>
      </w:r>
      <w:r w:rsidR="001E362D" w:rsidRPr="00DA1F5F">
        <w:rPr>
          <w:rFonts w:cstheme="minorHAnsi"/>
          <w:color w:val="000000"/>
        </w:rPr>
        <w:t xml:space="preserve"> </w:t>
      </w:r>
      <w:r w:rsidR="00143806" w:rsidRPr="00DA1F5F">
        <w:rPr>
          <w:rFonts w:cstheme="minorHAnsi"/>
          <w:color w:val="000000"/>
        </w:rPr>
        <w:t>form of punishment or disciplinary measure.”</w:t>
      </w:r>
    </w:p>
    <w:p w14:paraId="076DC116" w14:textId="77777777" w:rsidR="00C52BA2" w:rsidRPr="00DA1F5F" w:rsidRDefault="00C52BA2" w:rsidP="00DA1F5F">
      <w:pPr>
        <w:pStyle w:val="ListParagraph"/>
        <w:rPr>
          <w:rFonts w:cstheme="minorHAnsi"/>
          <w:color w:val="000000"/>
        </w:rPr>
      </w:pPr>
    </w:p>
    <w:p w14:paraId="441C4B4D" w14:textId="7B96704F" w:rsidR="00003C42" w:rsidRPr="00DA1F5F" w:rsidRDefault="001E362D" w:rsidP="001E362D">
      <w:pPr>
        <w:pStyle w:val="ListParagraph"/>
        <w:numPr>
          <w:ilvl w:val="3"/>
          <w:numId w:val="4"/>
        </w:numPr>
        <w:ind w:left="2127" w:hanging="709"/>
        <w:jc w:val="both"/>
        <w:rPr>
          <w:rFonts w:cstheme="minorHAnsi"/>
          <w:b/>
          <w:bCs/>
          <w:i/>
          <w:iCs/>
        </w:rPr>
      </w:pPr>
      <w:r w:rsidRPr="00DA1F5F">
        <w:rPr>
          <w:rFonts w:cstheme="minorHAnsi"/>
          <w:color w:val="000000"/>
        </w:rPr>
        <w:t>Section 30(6) provides that a</w:t>
      </w:r>
      <w:r w:rsidR="00003C42" w:rsidRPr="00DA1F5F">
        <w:rPr>
          <w:rFonts w:cstheme="minorHAnsi"/>
          <w:color w:val="000000"/>
        </w:rPr>
        <w:t>ll instances of segregation and extended segregation</w:t>
      </w:r>
      <w:r w:rsidR="007B37CE" w:rsidRPr="00DA1F5F">
        <w:rPr>
          <w:rFonts w:cstheme="minorHAnsi"/>
          <w:color w:val="000000"/>
        </w:rPr>
        <w:t xml:space="preserve"> </w:t>
      </w:r>
      <w:r w:rsidR="00003C42" w:rsidRPr="00DA1F5F">
        <w:rPr>
          <w:rFonts w:cstheme="minorHAnsi"/>
          <w:color w:val="000000"/>
        </w:rPr>
        <w:t>must be reported immediately by the Head of the</w:t>
      </w:r>
      <w:r w:rsidR="007B37CE" w:rsidRPr="00DA1F5F">
        <w:rPr>
          <w:rFonts w:cstheme="minorHAnsi"/>
          <w:color w:val="000000"/>
        </w:rPr>
        <w:t xml:space="preserve"> </w:t>
      </w:r>
      <w:r w:rsidR="00003C42" w:rsidRPr="00DA1F5F">
        <w:rPr>
          <w:rFonts w:cstheme="minorHAnsi"/>
          <w:color w:val="000000"/>
        </w:rPr>
        <w:t>Correctional Centre to the National Commissioner and to</w:t>
      </w:r>
      <w:r w:rsidR="007B37CE" w:rsidRPr="00DA1F5F">
        <w:rPr>
          <w:rFonts w:cstheme="minorHAnsi"/>
          <w:color w:val="000000"/>
        </w:rPr>
        <w:t xml:space="preserve"> </w:t>
      </w:r>
      <w:r w:rsidR="00003C42" w:rsidRPr="00DA1F5F">
        <w:rPr>
          <w:rFonts w:cstheme="minorHAnsi"/>
          <w:color w:val="000000"/>
        </w:rPr>
        <w:t>the Inspecting Judge</w:t>
      </w:r>
      <w:r w:rsidR="000E0E12" w:rsidRPr="00DA1F5F">
        <w:rPr>
          <w:rFonts w:cstheme="minorHAnsi"/>
          <w:color w:val="000000"/>
        </w:rPr>
        <w:t>. Further, a</w:t>
      </w:r>
      <w:r w:rsidR="00003C42" w:rsidRPr="00DA1F5F">
        <w:rPr>
          <w:rFonts w:cstheme="minorHAnsi"/>
          <w:color w:val="000000"/>
        </w:rPr>
        <w:t>n inmate who is subjected to segregation may refer the</w:t>
      </w:r>
      <w:r w:rsidR="00C33E3C" w:rsidRPr="00DA1F5F">
        <w:rPr>
          <w:rFonts w:cstheme="minorHAnsi"/>
          <w:color w:val="000000"/>
        </w:rPr>
        <w:t xml:space="preserve"> </w:t>
      </w:r>
      <w:r w:rsidR="00003C42" w:rsidRPr="00DA1F5F">
        <w:rPr>
          <w:rFonts w:cstheme="minorHAnsi"/>
          <w:color w:val="000000"/>
        </w:rPr>
        <w:t>matter to</w:t>
      </w:r>
      <w:r w:rsidR="00C33E3C" w:rsidRPr="00DA1F5F">
        <w:rPr>
          <w:rFonts w:cstheme="minorHAnsi"/>
          <w:color w:val="000000"/>
        </w:rPr>
        <w:t xml:space="preserve"> </w:t>
      </w:r>
      <w:r w:rsidR="00003C42" w:rsidRPr="00DA1F5F">
        <w:rPr>
          <w:rFonts w:cstheme="minorHAnsi"/>
          <w:color w:val="000000"/>
        </w:rPr>
        <w:t>the Inspecting Judge who must decide thereon</w:t>
      </w:r>
      <w:r w:rsidR="00C33E3C" w:rsidRPr="00DA1F5F">
        <w:rPr>
          <w:rFonts w:cstheme="minorHAnsi"/>
          <w:color w:val="000000"/>
        </w:rPr>
        <w:t xml:space="preserve"> </w:t>
      </w:r>
      <w:r w:rsidR="00003C42" w:rsidRPr="00DA1F5F">
        <w:rPr>
          <w:rFonts w:cstheme="minorHAnsi"/>
          <w:color w:val="000000"/>
        </w:rPr>
        <w:t>within 72 hours after receipt thereof.</w:t>
      </w:r>
      <w:r w:rsidR="00C33E3C" w:rsidRPr="00DA1F5F">
        <w:rPr>
          <w:rFonts w:cstheme="minorHAnsi"/>
          <w:color w:val="000000"/>
        </w:rPr>
        <w:t xml:space="preserve"> </w:t>
      </w:r>
    </w:p>
    <w:p w14:paraId="52511209" w14:textId="77777777" w:rsidR="000E0E12" w:rsidRPr="00DA1F5F" w:rsidRDefault="000E0E12" w:rsidP="00DA1F5F">
      <w:pPr>
        <w:jc w:val="both"/>
        <w:rPr>
          <w:rFonts w:cstheme="minorHAnsi"/>
          <w:b/>
          <w:bCs/>
          <w:i/>
          <w:iCs/>
        </w:rPr>
      </w:pPr>
    </w:p>
    <w:p w14:paraId="42C508C0" w14:textId="564D0D20" w:rsidR="00B14268" w:rsidRPr="00AA7D95" w:rsidRDefault="00DB3036" w:rsidP="00DA1F5F">
      <w:pPr>
        <w:pStyle w:val="ListParagraph"/>
        <w:numPr>
          <w:ilvl w:val="0"/>
          <w:numId w:val="4"/>
        </w:numPr>
        <w:rPr>
          <w:rFonts w:cstheme="minorHAnsi"/>
          <w:b/>
          <w:bCs/>
        </w:rPr>
      </w:pPr>
      <w:r>
        <w:rPr>
          <w:rFonts w:cstheme="minorHAnsi"/>
          <w:b/>
          <w:bCs/>
        </w:rPr>
        <w:t>Oversight mechanisms</w:t>
      </w:r>
      <w:r w:rsidR="00766B54" w:rsidRPr="00AA7D95">
        <w:rPr>
          <w:rFonts w:cstheme="minorHAnsi"/>
          <w:b/>
          <w:bCs/>
        </w:rPr>
        <w:t xml:space="preserve"> in the correctional system in South Africa</w:t>
      </w:r>
    </w:p>
    <w:p w14:paraId="2CFBB9EA" w14:textId="77777777" w:rsidR="00E734FC" w:rsidRPr="00AA7D95" w:rsidRDefault="00E734FC" w:rsidP="00DA1F5F">
      <w:pPr>
        <w:pStyle w:val="ListParagraph"/>
        <w:ind w:left="1418"/>
        <w:jc w:val="both"/>
        <w:rPr>
          <w:rFonts w:cstheme="minorHAnsi"/>
          <w:b/>
          <w:bCs/>
        </w:rPr>
      </w:pPr>
    </w:p>
    <w:p w14:paraId="58FAB767" w14:textId="1318CD46" w:rsidR="00BD2506" w:rsidRPr="00DB3036" w:rsidRDefault="00565378" w:rsidP="00BD2506">
      <w:pPr>
        <w:pStyle w:val="ListParagraph"/>
        <w:numPr>
          <w:ilvl w:val="1"/>
          <w:numId w:val="4"/>
        </w:numPr>
        <w:jc w:val="both"/>
        <w:rPr>
          <w:rFonts w:cstheme="minorHAnsi"/>
          <w:b/>
          <w:bCs/>
        </w:rPr>
      </w:pPr>
      <w:r w:rsidRPr="00DA1F5F">
        <w:rPr>
          <w:rFonts w:cstheme="minorHAnsi"/>
        </w:rPr>
        <w:t xml:space="preserve">The CSA establishes the </w:t>
      </w:r>
      <w:r w:rsidR="00E734FC" w:rsidRPr="00DA1F5F">
        <w:rPr>
          <w:rFonts w:cstheme="minorHAnsi"/>
        </w:rPr>
        <w:t>Judicial Inspectorate for Correctional Services</w:t>
      </w:r>
      <w:r w:rsidR="00DB3036">
        <w:rPr>
          <w:rFonts w:cstheme="minorHAnsi"/>
        </w:rPr>
        <w:t xml:space="preserve"> (JICS)</w:t>
      </w:r>
      <w:r w:rsidR="00E1128B" w:rsidRPr="00DA1F5F">
        <w:rPr>
          <w:rFonts w:cstheme="minorHAnsi"/>
        </w:rPr>
        <w:t xml:space="preserve">, an independent office under the </w:t>
      </w:r>
      <w:r w:rsidR="00D337BC" w:rsidRPr="00DA1F5F">
        <w:rPr>
          <w:rFonts w:cstheme="minorHAnsi"/>
        </w:rPr>
        <w:t xml:space="preserve">control </w:t>
      </w:r>
      <w:r w:rsidR="0084363B" w:rsidRPr="00DA1F5F">
        <w:rPr>
          <w:rFonts w:cstheme="minorHAnsi"/>
        </w:rPr>
        <w:t xml:space="preserve">of the Inspecting Judge, with the objective of facilitating the </w:t>
      </w:r>
      <w:r w:rsidR="00257894" w:rsidRPr="00DA1F5F">
        <w:rPr>
          <w:rFonts w:cstheme="minorHAnsi"/>
        </w:rPr>
        <w:t>inspection of correctional centres</w:t>
      </w:r>
      <w:r w:rsidR="00DB3036">
        <w:rPr>
          <w:rFonts w:cstheme="minorHAnsi"/>
          <w:b/>
          <w:bCs/>
        </w:rPr>
        <w:t>.</w:t>
      </w:r>
      <w:r w:rsidR="00DB3036">
        <w:rPr>
          <w:rStyle w:val="FootnoteReference"/>
          <w:rFonts w:cstheme="minorHAnsi"/>
          <w:b/>
          <w:bCs/>
        </w:rPr>
        <w:footnoteReference w:id="8"/>
      </w:r>
      <w:r w:rsidR="00BD2506" w:rsidRPr="00DB3036">
        <w:rPr>
          <w:rFonts w:cstheme="minorHAnsi"/>
          <w:b/>
          <w:bCs/>
        </w:rPr>
        <w:t xml:space="preserve"> </w:t>
      </w:r>
    </w:p>
    <w:p w14:paraId="168F049C" w14:textId="77777777" w:rsidR="00DB3036" w:rsidRPr="00DA1F5F" w:rsidRDefault="00DB3036" w:rsidP="00DA1F5F">
      <w:pPr>
        <w:pStyle w:val="ListParagraph"/>
        <w:ind w:left="360"/>
        <w:jc w:val="both"/>
        <w:rPr>
          <w:rFonts w:cstheme="minorHAnsi"/>
          <w:b/>
          <w:bCs/>
        </w:rPr>
      </w:pPr>
    </w:p>
    <w:p w14:paraId="1EEC324D" w14:textId="1DDD83D2" w:rsidR="00BD2506" w:rsidRPr="00DA1F5F" w:rsidRDefault="0075678D" w:rsidP="00BD2506">
      <w:pPr>
        <w:pStyle w:val="ListParagraph"/>
        <w:numPr>
          <w:ilvl w:val="1"/>
          <w:numId w:val="4"/>
        </w:numPr>
        <w:jc w:val="both"/>
        <w:rPr>
          <w:rFonts w:cstheme="minorHAnsi"/>
          <w:b/>
          <w:bCs/>
        </w:rPr>
      </w:pPr>
      <w:r w:rsidRPr="00DA1F5F">
        <w:rPr>
          <w:rFonts w:cstheme="minorHAnsi"/>
          <w:color w:val="000000"/>
        </w:rPr>
        <w:t>The Inspecting Judge is required to inspect, or arrange for the</w:t>
      </w:r>
      <w:r w:rsidR="00BD2506" w:rsidRPr="00DA1F5F">
        <w:rPr>
          <w:rFonts w:cstheme="minorHAnsi"/>
          <w:color w:val="000000"/>
        </w:rPr>
        <w:t xml:space="preserve"> </w:t>
      </w:r>
      <w:r w:rsidRPr="00DA1F5F">
        <w:rPr>
          <w:rFonts w:cstheme="minorHAnsi"/>
          <w:color w:val="000000"/>
        </w:rPr>
        <w:t>inspection of, correctional centres and remand detention facilities in order to report on</w:t>
      </w:r>
      <w:r w:rsidR="00BD2506" w:rsidRPr="00DA1F5F">
        <w:rPr>
          <w:rFonts w:cstheme="minorHAnsi"/>
          <w:color w:val="000000"/>
        </w:rPr>
        <w:t xml:space="preserve"> </w:t>
      </w:r>
      <w:r w:rsidRPr="00DA1F5F">
        <w:rPr>
          <w:rFonts w:cstheme="minorHAnsi"/>
          <w:color w:val="000000"/>
        </w:rPr>
        <w:t>the treatment of inmates in correctional centres and on conditions and any corrupt</w:t>
      </w:r>
      <w:r w:rsidR="00BD2506" w:rsidRPr="00DA1F5F">
        <w:rPr>
          <w:rFonts w:cstheme="minorHAnsi"/>
          <w:color w:val="000000"/>
        </w:rPr>
        <w:t xml:space="preserve"> </w:t>
      </w:r>
      <w:r w:rsidRPr="00DA1F5F">
        <w:rPr>
          <w:rFonts w:cstheme="minorHAnsi"/>
          <w:color w:val="000000"/>
        </w:rPr>
        <w:t>practices therein.</w:t>
      </w:r>
      <w:r w:rsidR="00614720">
        <w:rPr>
          <w:rStyle w:val="FootnoteReference"/>
          <w:rFonts w:cstheme="minorHAnsi"/>
          <w:color w:val="000000"/>
        </w:rPr>
        <w:footnoteReference w:id="9"/>
      </w:r>
      <w:r w:rsidRPr="00DA1F5F">
        <w:rPr>
          <w:rFonts w:cstheme="minorHAnsi"/>
          <w:color w:val="000000"/>
        </w:rPr>
        <w:t xml:space="preserve"> </w:t>
      </w:r>
    </w:p>
    <w:p w14:paraId="3124BDBB" w14:textId="77777777" w:rsidR="00BD2506" w:rsidRPr="00DA1F5F" w:rsidRDefault="00BD2506" w:rsidP="00DA1F5F">
      <w:pPr>
        <w:pStyle w:val="ListParagraph"/>
        <w:ind w:left="360"/>
        <w:jc w:val="both"/>
        <w:rPr>
          <w:rFonts w:cstheme="minorHAnsi"/>
          <w:b/>
          <w:bCs/>
        </w:rPr>
      </w:pPr>
    </w:p>
    <w:p w14:paraId="3AED4AFF" w14:textId="000600EE" w:rsidR="0075678D" w:rsidRPr="00DA1F5F" w:rsidRDefault="0075678D" w:rsidP="00DA1F5F">
      <w:pPr>
        <w:pStyle w:val="ListParagraph"/>
        <w:numPr>
          <w:ilvl w:val="1"/>
          <w:numId w:val="4"/>
        </w:numPr>
        <w:jc w:val="both"/>
        <w:rPr>
          <w:rFonts w:cstheme="minorHAnsi"/>
          <w:b/>
          <w:bCs/>
        </w:rPr>
      </w:pPr>
      <w:r w:rsidRPr="00DA1F5F">
        <w:rPr>
          <w:rFonts w:cstheme="minorHAnsi"/>
          <w:color w:val="000000"/>
        </w:rPr>
        <w:t xml:space="preserve">The </w:t>
      </w:r>
      <w:r w:rsidR="00BD2506" w:rsidRPr="00DA1F5F">
        <w:rPr>
          <w:rFonts w:cstheme="minorHAnsi"/>
          <w:color w:val="000000"/>
        </w:rPr>
        <w:t xml:space="preserve">CSA </w:t>
      </w:r>
      <w:r w:rsidR="00C24929">
        <w:rPr>
          <w:rFonts w:cstheme="minorHAnsi"/>
          <w:color w:val="000000"/>
        </w:rPr>
        <w:t xml:space="preserve">also </w:t>
      </w:r>
      <w:r w:rsidR="00BD2506" w:rsidRPr="00DA1F5F">
        <w:rPr>
          <w:rFonts w:cstheme="minorHAnsi"/>
          <w:color w:val="000000"/>
        </w:rPr>
        <w:t>provides</w:t>
      </w:r>
      <w:r w:rsidR="00C24929">
        <w:rPr>
          <w:rFonts w:cstheme="minorHAnsi"/>
          <w:color w:val="000000"/>
        </w:rPr>
        <w:t xml:space="preserve"> for certain reporting mechanisms to occur to the Inspecting Judge, including in </w:t>
      </w:r>
      <w:r w:rsidRPr="00DA1F5F">
        <w:rPr>
          <w:rFonts w:cstheme="minorHAnsi"/>
          <w:color w:val="000000"/>
        </w:rPr>
        <w:t>whenever an inmate dies in a correctional</w:t>
      </w:r>
      <w:r w:rsidR="00BD2506" w:rsidRPr="00DA1F5F">
        <w:rPr>
          <w:rFonts w:cstheme="minorHAnsi"/>
          <w:color w:val="000000"/>
        </w:rPr>
        <w:t xml:space="preserve"> </w:t>
      </w:r>
      <w:r w:rsidRPr="00DA1F5F">
        <w:rPr>
          <w:rFonts w:cstheme="minorHAnsi"/>
          <w:color w:val="000000"/>
        </w:rPr>
        <w:t>centre</w:t>
      </w:r>
      <w:r w:rsidR="00361249">
        <w:rPr>
          <w:rFonts w:cstheme="minorHAnsi"/>
          <w:color w:val="000000"/>
        </w:rPr>
        <w:t xml:space="preserve"> or</w:t>
      </w:r>
      <w:r w:rsidRPr="00DA1F5F">
        <w:rPr>
          <w:rFonts w:cstheme="minorHAnsi"/>
          <w:color w:val="000000"/>
        </w:rPr>
        <w:t xml:space="preserve"> instances of the use of force against inmates. </w:t>
      </w:r>
      <w:r w:rsidR="009132A4" w:rsidRPr="00DA1F5F">
        <w:rPr>
          <w:rFonts w:cstheme="minorHAnsi"/>
          <w:color w:val="000000"/>
        </w:rPr>
        <w:t xml:space="preserve">The CSA does not however provide JICS with any prosecutorial or judicial powers to hold </w:t>
      </w:r>
      <w:r w:rsidR="009527E2" w:rsidRPr="00DA1F5F">
        <w:rPr>
          <w:rFonts w:cstheme="minorHAnsi"/>
          <w:color w:val="000000"/>
        </w:rPr>
        <w:t xml:space="preserve">to </w:t>
      </w:r>
      <w:r w:rsidR="009132A4" w:rsidRPr="00DA1F5F">
        <w:rPr>
          <w:rFonts w:cstheme="minorHAnsi"/>
          <w:color w:val="000000"/>
        </w:rPr>
        <w:t>account perpetrators of excessive use of force</w:t>
      </w:r>
      <w:r w:rsidR="009527E2" w:rsidRPr="00DA1F5F">
        <w:rPr>
          <w:rFonts w:cstheme="minorHAnsi"/>
          <w:color w:val="000000"/>
        </w:rPr>
        <w:t>.</w:t>
      </w:r>
    </w:p>
    <w:p w14:paraId="01A2F970" w14:textId="77777777" w:rsidR="00766B54" w:rsidRPr="00AA7D95" w:rsidRDefault="00766B54" w:rsidP="00DA1F5F">
      <w:pPr>
        <w:pStyle w:val="ListParagraph"/>
        <w:rPr>
          <w:rFonts w:cstheme="minorHAnsi"/>
          <w:b/>
          <w:bCs/>
        </w:rPr>
      </w:pPr>
    </w:p>
    <w:p w14:paraId="694FB1AC" w14:textId="64FD66DB" w:rsidR="00971523" w:rsidRPr="00DA1F5F" w:rsidRDefault="00ED447A" w:rsidP="00ED447A">
      <w:pPr>
        <w:pStyle w:val="ListParagraph"/>
        <w:numPr>
          <w:ilvl w:val="1"/>
          <w:numId w:val="4"/>
        </w:numPr>
        <w:jc w:val="both"/>
        <w:rPr>
          <w:rFonts w:cstheme="minorHAnsi"/>
        </w:rPr>
      </w:pPr>
      <w:r w:rsidRPr="00DA1F5F">
        <w:rPr>
          <w:rFonts w:cstheme="minorHAnsi"/>
        </w:rPr>
        <w:t xml:space="preserve">In December 2020, the Constitutional Court confirmed the order of constitutional invalidity made by the Western Cape High Court in </w:t>
      </w:r>
      <w:r w:rsidRPr="00DA1F5F">
        <w:rPr>
          <w:rFonts w:cstheme="minorHAnsi"/>
          <w:i/>
          <w:iCs/>
        </w:rPr>
        <w:t>Sonke Gender Justice NPC v President of the Republic of South Africa and Others</w:t>
      </w:r>
      <w:r w:rsidR="00971523" w:rsidRPr="00DA1F5F">
        <w:rPr>
          <w:rStyle w:val="FootnoteReference"/>
          <w:rFonts w:cstheme="minorHAnsi"/>
          <w:i/>
          <w:iCs/>
        </w:rPr>
        <w:footnoteReference w:id="10"/>
      </w:r>
      <w:r w:rsidRPr="00DA1F5F">
        <w:rPr>
          <w:rFonts w:cstheme="minorHAnsi"/>
        </w:rPr>
        <w:t xml:space="preserve"> regarding certain provisions of the C</w:t>
      </w:r>
      <w:r w:rsidR="00971523" w:rsidRPr="00DA1F5F">
        <w:rPr>
          <w:rFonts w:cstheme="minorHAnsi"/>
        </w:rPr>
        <w:t>SA</w:t>
      </w:r>
      <w:r w:rsidRPr="00DA1F5F">
        <w:rPr>
          <w:rFonts w:cstheme="minorHAnsi"/>
        </w:rPr>
        <w:t xml:space="preserve"> dealing with the independence of </w:t>
      </w:r>
      <w:r w:rsidR="00971523" w:rsidRPr="00DA1F5F">
        <w:rPr>
          <w:rFonts w:cstheme="minorHAnsi"/>
        </w:rPr>
        <w:t>J</w:t>
      </w:r>
      <w:r w:rsidRPr="00DA1F5F">
        <w:rPr>
          <w:rFonts w:cstheme="minorHAnsi"/>
        </w:rPr>
        <w:t>ICS. These provisions, set out in sections 88A(1)(b) and 91 of the C</w:t>
      </w:r>
      <w:r w:rsidR="00971523" w:rsidRPr="00DA1F5F">
        <w:rPr>
          <w:rFonts w:cstheme="minorHAnsi"/>
        </w:rPr>
        <w:t>SA</w:t>
      </w:r>
      <w:r w:rsidRPr="00DA1F5F">
        <w:rPr>
          <w:rFonts w:cstheme="minorHAnsi"/>
        </w:rPr>
        <w:t>, deal with the position of the Chief Executive Officer of JICS, stating that they are</w:t>
      </w:r>
      <w:r w:rsidRPr="00DA1F5F" w:rsidDel="004B63C2">
        <w:rPr>
          <w:rFonts w:cstheme="minorHAnsi"/>
        </w:rPr>
        <w:t xml:space="preserve"> </w:t>
      </w:r>
      <w:r w:rsidRPr="00DA1F5F">
        <w:rPr>
          <w:rFonts w:cstheme="minorHAnsi"/>
        </w:rPr>
        <w:t xml:space="preserve">accountable to the National Commissioner of Correctional Services for all monies spent, as well as matters relating to their misconduct or incapacity. Furthermore, that the Department of Correctional Services (DCS) is responsible for all of JICS’ expenses. These provisions do not give JICS sufficient independence to enable it to effectively oversee the DCS in respect of the conditions of detention and treatment of prisoners. </w:t>
      </w:r>
    </w:p>
    <w:p w14:paraId="316007ED" w14:textId="77777777" w:rsidR="00971523" w:rsidRPr="00AA7D95" w:rsidRDefault="00971523" w:rsidP="00DA1F5F">
      <w:pPr>
        <w:pStyle w:val="ListParagraph"/>
        <w:rPr>
          <w:rFonts w:cstheme="minorHAnsi"/>
        </w:rPr>
      </w:pPr>
    </w:p>
    <w:p w14:paraId="3080ADCF" w14:textId="27DD91CE" w:rsidR="00ED447A" w:rsidRPr="00AA7D95" w:rsidRDefault="00ED447A" w:rsidP="00ED447A">
      <w:pPr>
        <w:pStyle w:val="ListParagraph"/>
        <w:numPr>
          <w:ilvl w:val="1"/>
          <w:numId w:val="4"/>
        </w:numPr>
        <w:jc w:val="both"/>
        <w:rPr>
          <w:rFonts w:cstheme="minorHAnsi"/>
        </w:rPr>
      </w:pPr>
      <w:r w:rsidRPr="00DA1F5F">
        <w:rPr>
          <w:rFonts w:cstheme="minorHAnsi"/>
        </w:rPr>
        <w:t xml:space="preserve">In view of these findings, the Constitutional Court gave Parliament two years to rectify these issues; an approach that has been used previously by the Constitutional Court. The two-year period </w:t>
      </w:r>
      <w:r w:rsidR="00971523" w:rsidRPr="00DA1F5F">
        <w:rPr>
          <w:rFonts w:cstheme="minorHAnsi"/>
        </w:rPr>
        <w:t>was due to lapse in December 202</w:t>
      </w:r>
      <w:r w:rsidR="003009E5" w:rsidRPr="00DA1F5F">
        <w:rPr>
          <w:rFonts w:cstheme="minorHAnsi"/>
        </w:rPr>
        <w:t>2</w:t>
      </w:r>
      <w:r w:rsidR="00971523" w:rsidRPr="00DA1F5F">
        <w:rPr>
          <w:rFonts w:cstheme="minorHAnsi"/>
        </w:rPr>
        <w:t xml:space="preserve"> but the Constitutional Court has extended the period given to Parliament until </w:t>
      </w:r>
      <w:r w:rsidR="003009E5" w:rsidRPr="00DA1F5F">
        <w:rPr>
          <w:rFonts w:cstheme="minorHAnsi"/>
        </w:rPr>
        <w:t>December 2023</w:t>
      </w:r>
      <w:r w:rsidRPr="00DA1F5F">
        <w:rPr>
          <w:rFonts w:cstheme="minorHAnsi"/>
        </w:rPr>
        <w:t>.</w:t>
      </w:r>
    </w:p>
    <w:p w14:paraId="6A028D0D" w14:textId="5398B078" w:rsidR="00DC7809" w:rsidRPr="00AA7D95" w:rsidRDefault="00DC7809" w:rsidP="00DA1F5F">
      <w:pPr>
        <w:pStyle w:val="ListParagraph"/>
        <w:ind w:left="360"/>
        <w:jc w:val="both"/>
        <w:rPr>
          <w:rFonts w:cstheme="minorHAnsi"/>
        </w:rPr>
      </w:pPr>
    </w:p>
    <w:p w14:paraId="417CCE20" w14:textId="183ED9BE" w:rsidR="006E6E74" w:rsidRPr="00AA7D95" w:rsidRDefault="00DC7809" w:rsidP="00DA1F5F">
      <w:pPr>
        <w:pStyle w:val="ListParagraph"/>
        <w:numPr>
          <w:ilvl w:val="1"/>
          <w:numId w:val="1"/>
        </w:numPr>
        <w:jc w:val="both"/>
        <w:rPr>
          <w:rFonts w:cstheme="minorHAnsi"/>
          <w:color w:val="000000"/>
          <w:shd w:val="clear" w:color="auto" w:fill="FFFFFF"/>
        </w:rPr>
      </w:pPr>
      <w:r w:rsidRPr="00AA7D95">
        <w:rPr>
          <w:rFonts w:cstheme="minorHAnsi"/>
        </w:rPr>
        <w:t xml:space="preserve">In addition, </w:t>
      </w:r>
      <w:r w:rsidR="00BA36D9" w:rsidRPr="00AA7D95">
        <w:rPr>
          <w:rFonts w:cstheme="minorHAnsi"/>
        </w:rPr>
        <w:t>South Africa ratified the Optional Protocol to the Convention Against Torture (OPCAT)</w:t>
      </w:r>
      <w:r w:rsidR="00DD5DA5">
        <w:rPr>
          <w:rStyle w:val="FootnoteReference"/>
          <w:rFonts w:cstheme="minorHAnsi"/>
        </w:rPr>
        <w:footnoteReference w:id="11"/>
      </w:r>
      <w:r w:rsidR="00BA36D9" w:rsidRPr="00AA7D95">
        <w:rPr>
          <w:rFonts w:cstheme="minorHAnsi"/>
        </w:rPr>
        <w:t xml:space="preserve"> in 2019.</w:t>
      </w:r>
      <w:r w:rsidR="00C37BFD" w:rsidRPr="00AA7D95">
        <w:rPr>
          <w:rFonts w:cstheme="minorHAnsi"/>
        </w:rPr>
        <w:t xml:space="preserve"> </w:t>
      </w:r>
      <w:r w:rsidR="00C37BFD" w:rsidRPr="00AA7D95">
        <w:rPr>
          <w:rFonts w:cstheme="minorHAnsi"/>
        </w:rPr>
        <w:t xml:space="preserve">In line with the </w:t>
      </w:r>
      <w:r w:rsidR="003009E5" w:rsidRPr="00AA7D95">
        <w:rPr>
          <w:rFonts w:cstheme="minorHAnsi"/>
        </w:rPr>
        <w:t>OPCAT</w:t>
      </w:r>
      <w:r w:rsidR="00C37BFD" w:rsidRPr="00AA7D95">
        <w:rPr>
          <w:rFonts w:cstheme="minorHAnsi"/>
        </w:rPr>
        <w:t xml:space="preserve">, JICS is part of </w:t>
      </w:r>
      <w:r w:rsidR="009527E2" w:rsidRPr="00AA7D95">
        <w:rPr>
          <w:rFonts w:cstheme="minorHAnsi"/>
        </w:rPr>
        <w:t xml:space="preserve">the multi-body </w:t>
      </w:r>
      <w:r w:rsidR="00C37BFD" w:rsidRPr="00AA7D95">
        <w:rPr>
          <w:rFonts w:cstheme="minorHAnsi"/>
        </w:rPr>
        <w:t>National Preventive Mechanism (NPM)</w:t>
      </w:r>
      <w:r w:rsidR="00104ED1" w:rsidRPr="00AA7D95">
        <w:rPr>
          <w:rFonts w:cstheme="minorHAnsi"/>
        </w:rPr>
        <w:t xml:space="preserve"> established in South Africa</w:t>
      </w:r>
      <w:r w:rsidR="00C37BFD" w:rsidRPr="00AA7D95">
        <w:rPr>
          <w:rFonts w:cstheme="minorHAnsi"/>
        </w:rPr>
        <w:t xml:space="preserve">, which is coordinated by the South African Human Rights Commission. </w:t>
      </w:r>
      <w:r w:rsidR="00104ED1" w:rsidRPr="00AA7D95">
        <w:rPr>
          <w:rFonts w:cstheme="minorHAnsi"/>
        </w:rPr>
        <w:t>T</w:t>
      </w:r>
      <w:r w:rsidR="000A1C44" w:rsidRPr="00AA7D95">
        <w:rPr>
          <w:rFonts w:cstheme="minorHAnsi"/>
          <w:color w:val="000000"/>
          <w:shd w:val="clear" w:color="auto" w:fill="FFFFFF"/>
        </w:rPr>
        <w:t>he South African NPM</w:t>
      </w:r>
      <w:r w:rsidR="00712EB6" w:rsidRPr="00AA7D95">
        <w:rPr>
          <w:rFonts w:cstheme="minorHAnsi"/>
          <w:color w:val="000000"/>
          <w:shd w:val="clear" w:color="auto" w:fill="FFFFFF"/>
        </w:rPr>
        <w:t xml:space="preserve"> </w:t>
      </w:r>
      <w:r w:rsidR="00104ED1" w:rsidRPr="00AA7D95">
        <w:rPr>
          <w:rFonts w:cstheme="minorHAnsi"/>
          <w:color w:val="000000"/>
          <w:shd w:val="clear" w:color="auto" w:fill="FFFFFF"/>
        </w:rPr>
        <w:t xml:space="preserve">also </w:t>
      </w:r>
      <w:r w:rsidR="000A1C44" w:rsidRPr="00AA7D95">
        <w:rPr>
          <w:rFonts w:cstheme="minorHAnsi"/>
          <w:color w:val="000000"/>
          <w:shd w:val="clear" w:color="auto" w:fill="FFFFFF"/>
        </w:rPr>
        <w:t>include</w:t>
      </w:r>
      <w:r w:rsidR="00712EB6" w:rsidRPr="00AA7D95">
        <w:rPr>
          <w:rFonts w:cstheme="minorHAnsi"/>
          <w:color w:val="000000"/>
          <w:shd w:val="clear" w:color="auto" w:fill="FFFFFF"/>
        </w:rPr>
        <w:t xml:space="preserve">s </w:t>
      </w:r>
      <w:r w:rsidR="000A1C44" w:rsidRPr="00AA7D95">
        <w:rPr>
          <w:rFonts w:cstheme="minorHAnsi"/>
          <w:color w:val="000000"/>
          <w:shd w:val="clear" w:color="auto" w:fill="FFFFFF"/>
        </w:rPr>
        <w:t>institutions such as the JICS, the Independent Police Investigative Directorate, the Military Ombud and the Health Ombud.</w:t>
      </w:r>
      <w:r w:rsidR="00543049" w:rsidRPr="00AA7D95">
        <w:rPr>
          <w:rFonts w:cstheme="minorHAnsi"/>
          <w:color w:val="000000"/>
          <w:shd w:val="clear" w:color="auto" w:fill="FFFFFF"/>
        </w:rPr>
        <w:t xml:space="preserve"> </w:t>
      </w:r>
      <w:r w:rsidR="00BC6DFB" w:rsidRPr="00AA7D95">
        <w:rPr>
          <w:rFonts w:cstheme="minorHAnsi"/>
          <w:color w:val="000000"/>
          <w:shd w:val="clear" w:color="auto" w:fill="FFFFFF"/>
        </w:rPr>
        <w:t xml:space="preserve">NPM’s become fundamental to the work of monitoring places of detention and confinement and for the prevention of the scourge of torture that occurs in in these places. </w:t>
      </w:r>
    </w:p>
    <w:p w14:paraId="50BD2E88" w14:textId="77777777" w:rsidR="006E6E74" w:rsidRPr="00AA7D95" w:rsidRDefault="006E6E74" w:rsidP="002633F6">
      <w:pPr>
        <w:rPr>
          <w:rFonts w:cstheme="minorHAnsi"/>
          <w:color w:val="000000"/>
          <w:shd w:val="clear" w:color="auto" w:fill="FFFFFF"/>
        </w:rPr>
      </w:pPr>
    </w:p>
    <w:p w14:paraId="43E22AB6" w14:textId="5C6C0751" w:rsidR="00A54A48" w:rsidRPr="00AA7D95" w:rsidRDefault="00300ACF" w:rsidP="00DA1F5F">
      <w:pPr>
        <w:pStyle w:val="ListParagraph"/>
        <w:numPr>
          <w:ilvl w:val="0"/>
          <w:numId w:val="4"/>
        </w:numPr>
        <w:rPr>
          <w:rFonts w:cstheme="minorHAnsi"/>
          <w:b/>
          <w:bCs/>
        </w:rPr>
      </w:pPr>
      <w:r w:rsidRPr="00AA7D95">
        <w:rPr>
          <w:rFonts w:cstheme="minorHAnsi"/>
          <w:b/>
          <w:bCs/>
        </w:rPr>
        <w:t xml:space="preserve">Examples </w:t>
      </w:r>
      <w:r w:rsidR="00031205" w:rsidRPr="00AA7D95">
        <w:rPr>
          <w:rFonts w:cstheme="minorHAnsi"/>
          <w:b/>
          <w:bCs/>
        </w:rPr>
        <w:t xml:space="preserve">of human rights compliant prosecutions and </w:t>
      </w:r>
      <w:r w:rsidR="000A5EF1" w:rsidRPr="00AA7D95">
        <w:rPr>
          <w:rFonts w:cstheme="minorHAnsi"/>
          <w:b/>
          <w:bCs/>
        </w:rPr>
        <w:t>investigations</w:t>
      </w:r>
      <w:r w:rsidR="007034AE" w:rsidRPr="00AA7D95">
        <w:rPr>
          <w:rFonts w:cstheme="minorHAnsi"/>
          <w:b/>
          <w:bCs/>
        </w:rPr>
        <w:t xml:space="preserve"> </w:t>
      </w:r>
    </w:p>
    <w:p w14:paraId="747C4C4A" w14:textId="77777777" w:rsidR="007034AE" w:rsidRPr="00AA7D95" w:rsidRDefault="007034AE" w:rsidP="00DA1F5F">
      <w:pPr>
        <w:pStyle w:val="ListParagraph"/>
        <w:rPr>
          <w:rFonts w:cstheme="minorHAnsi"/>
          <w:b/>
          <w:bCs/>
        </w:rPr>
      </w:pPr>
    </w:p>
    <w:p w14:paraId="400AE767" w14:textId="04B4ED1B" w:rsidR="00DC7809" w:rsidRPr="00AA7D95" w:rsidRDefault="007034AE" w:rsidP="007034AE">
      <w:pPr>
        <w:pStyle w:val="ListParagraph"/>
        <w:numPr>
          <w:ilvl w:val="1"/>
          <w:numId w:val="4"/>
        </w:numPr>
        <w:jc w:val="both"/>
        <w:rPr>
          <w:rFonts w:cstheme="minorHAnsi"/>
        </w:rPr>
      </w:pPr>
      <w:r w:rsidRPr="00DA1F5F">
        <w:rPr>
          <w:rFonts w:cstheme="minorHAnsi"/>
        </w:rPr>
        <w:t xml:space="preserve">LHR receives numerous requests for assistance from incarcerated persons who have been subjected to </w:t>
      </w:r>
      <w:r w:rsidR="00DB6DF1" w:rsidRPr="00DA1F5F">
        <w:rPr>
          <w:rFonts w:cstheme="minorHAnsi"/>
        </w:rPr>
        <w:t>assault in correctional centres by correctional services officials. We</w:t>
      </w:r>
      <w:r w:rsidR="00371060" w:rsidRPr="00AA7D95">
        <w:rPr>
          <w:rFonts w:cstheme="minorHAnsi"/>
        </w:rPr>
        <w:t xml:space="preserve"> </w:t>
      </w:r>
      <w:r w:rsidR="00C302C0" w:rsidRPr="00AA7D95">
        <w:rPr>
          <w:rFonts w:cstheme="minorHAnsi"/>
        </w:rPr>
        <w:t xml:space="preserve">try to assist </w:t>
      </w:r>
      <w:r w:rsidR="006D05B1" w:rsidRPr="00AA7D95">
        <w:rPr>
          <w:rFonts w:cstheme="minorHAnsi"/>
        </w:rPr>
        <w:t>clients through opening criminal cases with the South African Police Services against perpetrators but often encounter the following issues:</w:t>
      </w:r>
    </w:p>
    <w:p w14:paraId="52DB3265" w14:textId="2DD6A988" w:rsidR="006D05B1" w:rsidRPr="00DA1F5F" w:rsidRDefault="006D05B1" w:rsidP="006D05B1">
      <w:pPr>
        <w:pStyle w:val="ListParagraph"/>
        <w:numPr>
          <w:ilvl w:val="2"/>
          <w:numId w:val="4"/>
        </w:numPr>
        <w:jc w:val="both"/>
        <w:rPr>
          <w:rFonts w:cstheme="minorHAnsi"/>
        </w:rPr>
      </w:pPr>
      <w:r w:rsidRPr="00DA1F5F">
        <w:rPr>
          <w:rFonts w:cstheme="minorHAnsi"/>
        </w:rPr>
        <w:t xml:space="preserve">our clients often fear that opening a </w:t>
      </w:r>
      <w:proofErr w:type="gramStart"/>
      <w:r w:rsidRPr="00DA1F5F">
        <w:rPr>
          <w:rFonts w:cstheme="minorHAnsi"/>
        </w:rPr>
        <w:t>criminal cases</w:t>
      </w:r>
      <w:proofErr w:type="gramEnd"/>
      <w:r w:rsidRPr="00DA1F5F">
        <w:rPr>
          <w:rFonts w:cstheme="minorHAnsi"/>
        </w:rPr>
        <w:t xml:space="preserve"> against the correctional services officials</w:t>
      </w:r>
      <w:r w:rsidR="009668E2" w:rsidRPr="00DA1F5F">
        <w:rPr>
          <w:rFonts w:cstheme="minorHAnsi"/>
        </w:rPr>
        <w:t xml:space="preserve"> will have negative reprisals against them and that they will be subjected to further assault and torture; </w:t>
      </w:r>
    </w:p>
    <w:p w14:paraId="341FD0CF" w14:textId="365D4BE3" w:rsidR="009668E2" w:rsidRPr="00DA1F5F" w:rsidRDefault="009668E2" w:rsidP="006D05B1">
      <w:pPr>
        <w:pStyle w:val="ListParagraph"/>
        <w:numPr>
          <w:ilvl w:val="2"/>
          <w:numId w:val="4"/>
        </w:numPr>
        <w:jc w:val="both"/>
        <w:rPr>
          <w:rFonts w:cstheme="minorHAnsi"/>
        </w:rPr>
      </w:pPr>
      <w:r w:rsidRPr="00DA1F5F">
        <w:rPr>
          <w:rFonts w:cstheme="minorHAnsi"/>
        </w:rPr>
        <w:t>the South African Police Services</w:t>
      </w:r>
      <w:r w:rsidR="002134AB" w:rsidRPr="00DA1F5F">
        <w:rPr>
          <w:rFonts w:cstheme="minorHAnsi"/>
        </w:rPr>
        <w:t xml:space="preserve"> do not go to the correctional centres </w:t>
      </w:r>
      <w:r w:rsidR="00C87070" w:rsidRPr="00DA1F5F">
        <w:rPr>
          <w:rFonts w:cstheme="minorHAnsi"/>
        </w:rPr>
        <w:t>to investigate the matters and so a case is not opened</w:t>
      </w:r>
      <w:r w:rsidR="000C1798" w:rsidRPr="00DA1F5F">
        <w:rPr>
          <w:rFonts w:cstheme="minorHAnsi"/>
        </w:rPr>
        <w:t>; or</w:t>
      </w:r>
    </w:p>
    <w:p w14:paraId="36F1AD3B" w14:textId="77777777" w:rsidR="00DC06F4" w:rsidRPr="00DA1F5F" w:rsidRDefault="000C1798" w:rsidP="006D05B1">
      <w:pPr>
        <w:pStyle w:val="ListParagraph"/>
        <w:numPr>
          <w:ilvl w:val="2"/>
          <w:numId w:val="4"/>
        </w:numPr>
        <w:jc w:val="both"/>
        <w:rPr>
          <w:rFonts w:cstheme="minorHAnsi"/>
        </w:rPr>
      </w:pPr>
      <w:r w:rsidRPr="00DA1F5F">
        <w:rPr>
          <w:rFonts w:cstheme="minorHAnsi"/>
        </w:rPr>
        <w:t xml:space="preserve">if criminal cases are opened, investigations are not followed through </w:t>
      </w:r>
      <w:r w:rsidR="006B6A20" w:rsidRPr="00DA1F5F">
        <w:rPr>
          <w:rFonts w:cstheme="minorHAnsi"/>
        </w:rPr>
        <w:t xml:space="preserve">or there is not sufficient </w:t>
      </w:r>
      <w:r w:rsidR="00DC06F4" w:rsidRPr="00DA1F5F">
        <w:rPr>
          <w:rFonts w:cstheme="minorHAnsi"/>
        </w:rPr>
        <w:t xml:space="preserve">evidence to charge correctional services officials as medical examinations are not allowed to be conducted. </w:t>
      </w:r>
    </w:p>
    <w:p w14:paraId="178A9A97" w14:textId="77777777" w:rsidR="00DC06F4" w:rsidRPr="00DA1F5F" w:rsidRDefault="00DC06F4" w:rsidP="00DA1F5F">
      <w:pPr>
        <w:pStyle w:val="ListParagraph"/>
        <w:jc w:val="both"/>
        <w:rPr>
          <w:rFonts w:cstheme="minorHAnsi"/>
        </w:rPr>
      </w:pPr>
    </w:p>
    <w:p w14:paraId="30A64543" w14:textId="38661563" w:rsidR="00635D29" w:rsidRPr="00AA7D95" w:rsidRDefault="00DC06F4" w:rsidP="00635D29">
      <w:pPr>
        <w:pStyle w:val="ListParagraph"/>
        <w:numPr>
          <w:ilvl w:val="1"/>
          <w:numId w:val="4"/>
        </w:numPr>
        <w:jc w:val="both"/>
        <w:rPr>
          <w:rFonts w:cstheme="minorHAnsi"/>
        </w:rPr>
      </w:pPr>
      <w:r w:rsidRPr="00DA1F5F">
        <w:rPr>
          <w:rFonts w:cstheme="minorHAnsi"/>
        </w:rPr>
        <w:t xml:space="preserve">One instance where LHR has seen some progress </w:t>
      </w:r>
      <w:r w:rsidR="00635D29" w:rsidRPr="00DA1F5F">
        <w:rPr>
          <w:rFonts w:cstheme="minorHAnsi"/>
        </w:rPr>
        <w:t xml:space="preserve">is </w:t>
      </w:r>
      <w:r w:rsidR="00DA2CB9" w:rsidRPr="00AA7D95">
        <w:rPr>
          <w:rFonts w:cstheme="minorHAnsi"/>
        </w:rPr>
        <w:t xml:space="preserve">in an ongoing legal matter </w:t>
      </w:r>
      <w:r w:rsidR="00635D29" w:rsidRPr="00AA7D95">
        <w:rPr>
          <w:rFonts w:cstheme="minorHAnsi"/>
        </w:rPr>
        <w:t xml:space="preserve">where LHR acts </w:t>
      </w:r>
      <w:r w:rsidR="00F3288A" w:rsidRPr="00AA7D95">
        <w:rPr>
          <w:rFonts w:cstheme="minorHAnsi"/>
        </w:rPr>
        <w:t>as co-</w:t>
      </w:r>
      <w:r w:rsidR="00635D29" w:rsidRPr="00AA7D95">
        <w:rPr>
          <w:rFonts w:cstheme="minorHAnsi"/>
        </w:rPr>
        <w:t xml:space="preserve">legal </w:t>
      </w:r>
      <w:r w:rsidR="00F3288A" w:rsidRPr="00AA7D95">
        <w:rPr>
          <w:rFonts w:cstheme="minorHAnsi"/>
        </w:rPr>
        <w:t>representatives</w:t>
      </w:r>
      <w:r w:rsidR="00371060" w:rsidRPr="00AA7D95">
        <w:rPr>
          <w:rFonts w:cstheme="minorHAnsi"/>
        </w:rPr>
        <w:t xml:space="preserve"> </w:t>
      </w:r>
      <w:r w:rsidR="008519FB" w:rsidRPr="00AA7D95">
        <w:rPr>
          <w:rFonts w:cstheme="minorHAnsi"/>
        </w:rPr>
        <w:t>for five plaintiffs who were allegedly tortured</w:t>
      </w:r>
      <w:r w:rsidR="00635D29" w:rsidRPr="00AA7D95">
        <w:rPr>
          <w:rFonts w:cstheme="minorHAnsi"/>
        </w:rPr>
        <w:t xml:space="preserve"> while incarcerated</w:t>
      </w:r>
      <w:r w:rsidR="008519FB" w:rsidRPr="00AA7D95">
        <w:rPr>
          <w:rFonts w:cstheme="minorHAnsi"/>
        </w:rPr>
        <w:t xml:space="preserve"> at the </w:t>
      </w:r>
      <w:proofErr w:type="spellStart"/>
      <w:r w:rsidR="008519FB" w:rsidRPr="00AA7D95">
        <w:rPr>
          <w:rFonts w:cstheme="minorHAnsi"/>
        </w:rPr>
        <w:t>Leeuwkop</w:t>
      </w:r>
      <w:proofErr w:type="spellEnd"/>
      <w:r w:rsidR="008519FB" w:rsidRPr="00AA7D95">
        <w:rPr>
          <w:rFonts w:cstheme="minorHAnsi"/>
        </w:rPr>
        <w:t xml:space="preserve"> Maximum Correctional Centre</w:t>
      </w:r>
      <w:r w:rsidR="00635D29" w:rsidRPr="00AA7D95">
        <w:rPr>
          <w:rFonts w:cstheme="minorHAnsi"/>
        </w:rPr>
        <w:t xml:space="preserve"> in Johannesburg</w:t>
      </w:r>
      <w:r w:rsidR="008519FB" w:rsidRPr="00AA7D95">
        <w:rPr>
          <w:rFonts w:cstheme="minorHAnsi"/>
        </w:rPr>
        <w:t xml:space="preserve">. </w:t>
      </w:r>
      <w:r w:rsidR="00635D29" w:rsidRPr="00AA7D95">
        <w:rPr>
          <w:rFonts w:cstheme="minorHAnsi"/>
        </w:rPr>
        <w:t>I</w:t>
      </w:r>
      <w:r w:rsidR="002E37FD" w:rsidRPr="00AA7D95">
        <w:rPr>
          <w:rFonts w:cstheme="minorHAnsi"/>
        </w:rPr>
        <w:t xml:space="preserve">n August 2014 the plaintiffs were brutally tortured by </w:t>
      </w:r>
      <w:r w:rsidR="00635D29" w:rsidRPr="00AA7D95">
        <w:rPr>
          <w:rFonts w:cstheme="minorHAnsi"/>
        </w:rPr>
        <w:t>c</w:t>
      </w:r>
      <w:r w:rsidR="002E37FD" w:rsidRPr="00AA7D95">
        <w:rPr>
          <w:rFonts w:cstheme="minorHAnsi"/>
        </w:rPr>
        <w:t xml:space="preserve">orrectional </w:t>
      </w:r>
      <w:r w:rsidR="00635D29" w:rsidRPr="00AA7D95">
        <w:rPr>
          <w:rFonts w:cstheme="minorHAnsi"/>
        </w:rPr>
        <w:t>s</w:t>
      </w:r>
      <w:r w:rsidR="00635D29" w:rsidRPr="00AA7D95">
        <w:rPr>
          <w:rFonts w:cstheme="minorHAnsi"/>
        </w:rPr>
        <w:t xml:space="preserve">ervices </w:t>
      </w:r>
      <w:r w:rsidR="002E37FD" w:rsidRPr="00AA7D95">
        <w:rPr>
          <w:rFonts w:cstheme="minorHAnsi"/>
        </w:rPr>
        <w:t xml:space="preserve">officials. The torture is alleged to have included being stripped naked and electrocuted under water, being forced to squat, defecate, and do handstands for prolonged periods of time. Furthermore, the plaintiffs had dogs set upon them and at one point, were instructed to lie down while an official walked on their necks and electrocuted their backs. Four of the five inmates were unlawfully placed into solitary confinement, shackled, and left without any bedding or medical treatment for the injuries they sustained. </w:t>
      </w:r>
    </w:p>
    <w:p w14:paraId="6BE5352A" w14:textId="77777777" w:rsidR="00635D29" w:rsidRPr="00AA7D95" w:rsidRDefault="00635D29" w:rsidP="00DA1F5F">
      <w:pPr>
        <w:pStyle w:val="ListParagraph"/>
        <w:ind w:left="360"/>
        <w:jc w:val="both"/>
        <w:rPr>
          <w:rFonts w:cstheme="minorHAnsi"/>
        </w:rPr>
      </w:pPr>
    </w:p>
    <w:p w14:paraId="6719F0DD" w14:textId="2D80EE8E" w:rsidR="000A5EF1" w:rsidRPr="00AA7D95" w:rsidRDefault="002E37FD" w:rsidP="00635D29">
      <w:pPr>
        <w:pStyle w:val="ListParagraph"/>
        <w:numPr>
          <w:ilvl w:val="1"/>
          <w:numId w:val="4"/>
        </w:numPr>
        <w:jc w:val="both"/>
        <w:rPr>
          <w:rFonts w:cstheme="minorHAnsi"/>
        </w:rPr>
      </w:pPr>
      <w:r w:rsidRPr="00AA7D95">
        <w:rPr>
          <w:rFonts w:cstheme="minorHAnsi"/>
        </w:rPr>
        <w:t xml:space="preserve">In 2015, the plaintiffs instituted action against the Minister of Justice and Correctional Services (the Minister), in his capacity as the employer of prison officials at </w:t>
      </w:r>
      <w:proofErr w:type="spellStart"/>
      <w:r w:rsidRPr="00AA7D95">
        <w:rPr>
          <w:rFonts w:cstheme="minorHAnsi"/>
        </w:rPr>
        <w:t>Leeuwkop</w:t>
      </w:r>
      <w:proofErr w:type="spellEnd"/>
      <w:r w:rsidRPr="00AA7D95">
        <w:rPr>
          <w:rFonts w:cstheme="minorHAnsi"/>
        </w:rPr>
        <w:t xml:space="preserve"> for the extensive physical and psychological injuries and suffering caused by the torture carried out by DCS officials. This matter involves consideration of intentional state conduct regarding the elements of the crime of torture under the </w:t>
      </w:r>
      <w:r w:rsidR="00635D29" w:rsidRPr="00AA7D95">
        <w:rPr>
          <w:rFonts w:cstheme="minorHAnsi"/>
        </w:rPr>
        <w:t xml:space="preserve">Torture Act </w:t>
      </w:r>
      <w:r w:rsidRPr="00AA7D95">
        <w:rPr>
          <w:rFonts w:cstheme="minorHAnsi"/>
        </w:rPr>
        <w:t xml:space="preserve">and is the first type of case of this nature heard in </w:t>
      </w:r>
      <w:r w:rsidR="00B52454" w:rsidRPr="00AA7D95">
        <w:rPr>
          <w:rFonts w:cstheme="minorHAnsi"/>
        </w:rPr>
        <w:t xml:space="preserve">South African </w:t>
      </w:r>
      <w:r w:rsidRPr="00AA7D95">
        <w:rPr>
          <w:rFonts w:cstheme="minorHAnsi"/>
        </w:rPr>
        <w:t>courts. A successful outcome will be precedent setting and is vital as it requires the court to consider South Africa’s clear, binding international treaty obligations th</w:t>
      </w:r>
      <w:r w:rsidR="000872F5" w:rsidRPr="00AA7D95">
        <w:rPr>
          <w:rFonts w:cstheme="minorHAnsi"/>
        </w:rPr>
        <w:t>ey</w:t>
      </w:r>
      <w:r w:rsidRPr="00AA7D95">
        <w:rPr>
          <w:rFonts w:cstheme="minorHAnsi"/>
        </w:rPr>
        <w:t xml:space="preserve"> are obliged to respect and uphold in respect of protection against torture. Most importantly, it is a case that highlights the right to human dignity, the right to freedom and security of person, and the right to redress.</w:t>
      </w:r>
      <w:r w:rsidR="00635D29" w:rsidRPr="00AA7D95">
        <w:rPr>
          <w:rStyle w:val="FootnoteReference"/>
          <w:rFonts w:cstheme="minorHAnsi"/>
        </w:rPr>
        <w:footnoteReference w:id="12"/>
      </w:r>
    </w:p>
    <w:p w14:paraId="0938AD7F" w14:textId="77777777" w:rsidR="00635D29" w:rsidRPr="00AA7D95" w:rsidRDefault="00635D29" w:rsidP="00DA1F5F">
      <w:pPr>
        <w:pStyle w:val="ListParagraph"/>
        <w:rPr>
          <w:rFonts w:cstheme="minorHAnsi"/>
        </w:rPr>
      </w:pPr>
    </w:p>
    <w:p w14:paraId="202A1372" w14:textId="1CC00F7D" w:rsidR="00635D29" w:rsidRDefault="00635D29" w:rsidP="00635D29">
      <w:pPr>
        <w:pStyle w:val="ListParagraph"/>
        <w:numPr>
          <w:ilvl w:val="1"/>
          <w:numId w:val="4"/>
        </w:numPr>
        <w:jc w:val="both"/>
        <w:rPr>
          <w:rFonts w:cstheme="minorHAnsi"/>
        </w:rPr>
      </w:pPr>
      <w:r w:rsidRPr="00AA7D95">
        <w:rPr>
          <w:rFonts w:cstheme="minorHAnsi"/>
        </w:rPr>
        <w:t xml:space="preserve">In addition </w:t>
      </w:r>
      <w:r w:rsidR="00781617" w:rsidRPr="00AA7D95">
        <w:rPr>
          <w:rFonts w:cstheme="minorHAnsi"/>
        </w:rPr>
        <w:t xml:space="preserve">to assisting the plaintiffs with </w:t>
      </w:r>
      <w:r w:rsidR="00FC14F4">
        <w:rPr>
          <w:rFonts w:cstheme="minorHAnsi"/>
        </w:rPr>
        <w:t xml:space="preserve">claiming civil damages, LHR assisted the plaintiffs with opening a criminal case against the correctional services officials. </w:t>
      </w:r>
      <w:r w:rsidR="001E3142">
        <w:rPr>
          <w:rFonts w:cstheme="minorHAnsi"/>
        </w:rPr>
        <w:t xml:space="preserve">The National </w:t>
      </w:r>
      <w:r w:rsidR="00BB072A">
        <w:rPr>
          <w:rFonts w:cstheme="minorHAnsi"/>
        </w:rPr>
        <w:t>Prosecuting Authority</w:t>
      </w:r>
      <w:r w:rsidR="001E3142">
        <w:rPr>
          <w:rFonts w:cstheme="minorHAnsi"/>
        </w:rPr>
        <w:t xml:space="preserve"> declined to prosecute the </w:t>
      </w:r>
      <w:r w:rsidR="007D0C88">
        <w:rPr>
          <w:rFonts w:cstheme="minorHAnsi"/>
        </w:rPr>
        <w:t>correctional services officials</w:t>
      </w:r>
      <w:r w:rsidR="00BB072A">
        <w:rPr>
          <w:rFonts w:cstheme="minorHAnsi"/>
        </w:rPr>
        <w:t xml:space="preserve"> initially. LHR then instituted judicial review proceedings</w:t>
      </w:r>
      <w:r w:rsidR="00E4338B">
        <w:rPr>
          <w:rFonts w:cstheme="minorHAnsi"/>
        </w:rPr>
        <w:t xml:space="preserve"> seeking to review the decision not to prosecute the </w:t>
      </w:r>
      <w:r w:rsidR="007D0C88">
        <w:rPr>
          <w:rFonts w:cstheme="minorHAnsi"/>
        </w:rPr>
        <w:t>correctional services officials</w:t>
      </w:r>
      <w:r w:rsidR="006B149D">
        <w:rPr>
          <w:rFonts w:cstheme="minorHAnsi"/>
        </w:rPr>
        <w:t xml:space="preserve">. After instituting these proceedings, the prosecuting authority decided to go ahead and prosecute the </w:t>
      </w:r>
      <w:r w:rsidR="006B149D">
        <w:rPr>
          <w:rFonts w:cstheme="minorHAnsi"/>
        </w:rPr>
        <w:t>correctional services officials</w:t>
      </w:r>
      <w:r w:rsidR="006B149D">
        <w:rPr>
          <w:rFonts w:cstheme="minorHAnsi"/>
        </w:rPr>
        <w:t>.</w:t>
      </w:r>
      <w:r w:rsidR="001F1134">
        <w:rPr>
          <w:rFonts w:cstheme="minorHAnsi"/>
        </w:rPr>
        <w:t xml:space="preserve"> Unfortunately, there has been no progress in this regard.</w:t>
      </w:r>
      <w:r w:rsidR="00BB072A">
        <w:rPr>
          <w:rFonts w:cstheme="minorHAnsi"/>
        </w:rPr>
        <w:t xml:space="preserve"> </w:t>
      </w:r>
    </w:p>
    <w:p w14:paraId="03BB2D7C" w14:textId="77777777" w:rsidR="001F1134" w:rsidRPr="001F1134" w:rsidRDefault="001F1134" w:rsidP="00DA1F5F">
      <w:pPr>
        <w:pStyle w:val="ListParagraph"/>
        <w:rPr>
          <w:rFonts w:cstheme="minorHAnsi"/>
        </w:rPr>
      </w:pPr>
    </w:p>
    <w:p w14:paraId="464D081A" w14:textId="661159A5" w:rsidR="001F1134" w:rsidRDefault="00BF4F79" w:rsidP="001F1134">
      <w:pPr>
        <w:pStyle w:val="ListParagraph"/>
        <w:numPr>
          <w:ilvl w:val="0"/>
          <w:numId w:val="4"/>
        </w:numPr>
        <w:rPr>
          <w:rFonts w:cstheme="minorHAnsi"/>
          <w:b/>
          <w:bCs/>
        </w:rPr>
      </w:pPr>
      <w:r>
        <w:rPr>
          <w:rFonts w:cstheme="minorHAnsi"/>
          <w:b/>
          <w:bCs/>
        </w:rPr>
        <w:t>Challenges and conclusion</w:t>
      </w:r>
    </w:p>
    <w:p w14:paraId="5BCB18BD" w14:textId="77777777" w:rsidR="001F1134" w:rsidRPr="00AA7D95" w:rsidRDefault="001F1134" w:rsidP="00DA1F5F">
      <w:pPr>
        <w:pStyle w:val="ListParagraph"/>
        <w:ind w:left="360"/>
        <w:rPr>
          <w:rFonts w:cstheme="minorHAnsi"/>
          <w:b/>
          <w:bCs/>
        </w:rPr>
      </w:pPr>
    </w:p>
    <w:p w14:paraId="2618ECED" w14:textId="0A15D248" w:rsidR="006531DC" w:rsidRDefault="00BF4F79" w:rsidP="00BF4F79">
      <w:pPr>
        <w:pStyle w:val="ListParagraph"/>
        <w:numPr>
          <w:ilvl w:val="1"/>
          <w:numId w:val="4"/>
        </w:numPr>
        <w:jc w:val="both"/>
        <w:rPr>
          <w:rFonts w:cstheme="minorHAnsi"/>
        </w:rPr>
      </w:pPr>
      <w:r>
        <w:rPr>
          <w:rFonts w:cstheme="minorHAnsi"/>
        </w:rPr>
        <w:t xml:space="preserve">Our experience is that </w:t>
      </w:r>
      <w:r>
        <w:rPr>
          <w:rFonts w:cstheme="minorHAnsi"/>
        </w:rPr>
        <w:t>t</w:t>
      </w:r>
      <w:r w:rsidRPr="00BF4F79">
        <w:rPr>
          <w:rFonts w:cstheme="minorHAnsi"/>
        </w:rPr>
        <w:t xml:space="preserve">orture </w:t>
      </w:r>
      <w:r>
        <w:rPr>
          <w:rFonts w:cstheme="minorHAnsi"/>
        </w:rPr>
        <w:t>often</w:t>
      </w:r>
      <w:r w:rsidRPr="00BF4F79">
        <w:rPr>
          <w:rFonts w:cstheme="minorHAnsi"/>
        </w:rPr>
        <w:t xml:space="preserve"> occurs in police cells, correctional </w:t>
      </w:r>
      <w:proofErr w:type="gramStart"/>
      <w:r w:rsidRPr="00BF4F79">
        <w:rPr>
          <w:rFonts w:cstheme="minorHAnsi"/>
        </w:rPr>
        <w:t>services</w:t>
      </w:r>
      <w:proofErr w:type="gramEnd"/>
      <w:r>
        <w:rPr>
          <w:rFonts w:cstheme="minorHAnsi"/>
        </w:rPr>
        <w:t xml:space="preserve"> and</w:t>
      </w:r>
      <w:r w:rsidRPr="00BF4F79">
        <w:rPr>
          <w:rFonts w:cstheme="minorHAnsi"/>
        </w:rPr>
        <w:t xml:space="preserve"> other places of detention where freedom of</w:t>
      </w:r>
      <w:r>
        <w:rPr>
          <w:rFonts w:cstheme="minorHAnsi"/>
        </w:rPr>
        <w:t xml:space="preserve"> liberty</w:t>
      </w:r>
      <w:r w:rsidRPr="00BF4F79">
        <w:rPr>
          <w:rFonts w:cstheme="minorHAnsi"/>
        </w:rPr>
        <w:t xml:space="preserve"> movement is restricted. </w:t>
      </w:r>
    </w:p>
    <w:p w14:paraId="4925F763" w14:textId="77777777" w:rsidR="006531DC" w:rsidRDefault="006531DC" w:rsidP="00DA1F5F">
      <w:pPr>
        <w:pStyle w:val="ListParagraph"/>
        <w:ind w:left="360"/>
        <w:jc w:val="both"/>
        <w:rPr>
          <w:rFonts w:cstheme="minorHAnsi"/>
        </w:rPr>
      </w:pPr>
    </w:p>
    <w:p w14:paraId="2D71D9BF" w14:textId="753BD50E" w:rsidR="001F1134" w:rsidRPr="006531DC" w:rsidRDefault="006531DC" w:rsidP="00DA1F5F">
      <w:pPr>
        <w:pStyle w:val="ListParagraph"/>
        <w:numPr>
          <w:ilvl w:val="1"/>
          <w:numId w:val="4"/>
        </w:numPr>
        <w:jc w:val="both"/>
        <w:rPr>
          <w:rFonts w:cstheme="minorHAnsi"/>
        </w:rPr>
      </w:pPr>
      <w:r w:rsidRPr="006531DC">
        <w:rPr>
          <w:rFonts w:cstheme="minorHAnsi"/>
        </w:rPr>
        <w:t>Often d</w:t>
      </w:r>
      <w:r w:rsidR="00BF4F79" w:rsidRPr="006531DC">
        <w:rPr>
          <w:rFonts w:cstheme="minorHAnsi"/>
        </w:rPr>
        <w:t>ue to the victims</w:t>
      </w:r>
      <w:r w:rsidRPr="006531DC">
        <w:rPr>
          <w:rFonts w:cstheme="minorHAnsi"/>
        </w:rPr>
        <w:t>’</w:t>
      </w:r>
      <w:r w:rsidR="00BF4F79" w:rsidRPr="006531DC">
        <w:rPr>
          <w:rFonts w:cstheme="minorHAnsi"/>
        </w:rPr>
        <w:t xml:space="preserve"> involvement in the criminal justice process </w:t>
      </w:r>
      <w:r w:rsidRPr="006531DC">
        <w:rPr>
          <w:rFonts w:cstheme="minorHAnsi"/>
        </w:rPr>
        <w:t>their</w:t>
      </w:r>
      <w:r w:rsidR="00BF4F79" w:rsidRPr="006531DC">
        <w:rPr>
          <w:rFonts w:cstheme="minorHAnsi"/>
        </w:rPr>
        <w:t xml:space="preserve"> suffering is usually overlooked. Places of detention are </w:t>
      </w:r>
      <w:r>
        <w:rPr>
          <w:rFonts w:cstheme="minorHAnsi"/>
        </w:rPr>
        <w:t xml:space="preserve">also shielded </w:t>
      </w:r>
      <w:r w:rsidR="00BF4F79" w:rsidRPr="006531DC">
        <w:rPr>
          <w:rFonts w:cstheme="minorHAnsi"/>
        </w:rPr>
        <w:t xml:space="preserve">from public scrutiny, and people deprived of their liberty are vulnerable to human rights violations and harm. In order to prevent violations </w:t>
      </w:r>
      <w:r>
        <w:rPr>
          <w:rFonts w:cstheme="minorHAnsi"/>
        </w:rPr>
        <w:t>in these places,</w:t>
      </w:r>
      <w:r w:rsidR="00BF4F79" w:rsidRPr="006531DC">
        <w:rPr>
          <w:rFonts w:cstheme="minorHAnsi"/>
        </w:rPr>
        <w:t xml:space="preserve"> they must function </w:t>
      </w:r>
      <w:r>
        <w:rPr>
          <w:rFonts w:cstheme="minorHAnsi"/>
        </w:rPr>
        <w:t xml:space="preserve">transparently and perpetrators </w:t>
      </w:r>
      <w:r w:rsidR="00324FEC">
        <w:rPr>
          <w:rFonts w:cstheme="minorHAnsi"/>
        </w:rPr>
        <w:t>must be held accountable</w:t>
      </w:r>
      <w:r w:rsidR="00BF4F79" w:rsidRPr="006531DC">
        <w:rPr>
          <w:rFonts w:cstheme="minorHAnsi"/>
        </w:rPr>
        <w:t xml:space="preserve">. </w:t>
      </w:r>
    </w:p>
    <w:p w14:paraId="4AFF024F" w14:textId="15A1A6FD" w:rsidR="00DB6811" w:rsidRPr="00AA7D95" w:rsidRDefault="00BD6B72" w:rsidP="00DA1F5F">
      <w:pPr>
        <w:pStyle w:val="ListParagraph"/>
        <w:rPr>
          <w:rFonts w:cstheme="minorHAnsi"/>
        </w:rPr>
      </w:pPr>
      <w:r w:rsidRPr="00AA7D95">
        <w:rPr>
          <w:rFonts w:cstheme="minorHAnsi"/>
        </w:rPr>
        <w:t xml:space="preserve"> </w:t>
      </w:r>
    </w:p>
    <w:p w14:paraId="25C5931C" w14:textId="07B49FCE" w:rsidR="00DB6811" w:rsidRPr="00AA7D95" w:rsidRDefault="00DB6811" w:rsidP="000A5EF1">
      <w:pPr>
        <w:rPr>
          <w:rFonts w:cstheme="minorHAnsi"/>
        </w:rPr>
      </w:pPr>
    </w:p>
    <w:sectPr w:rsidR="00DB6811" w:rsidRPr="00AA7D95" w:rsidSect="00DA1F5F">
      <w:footerReference w:type="default" r:id="rId1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888A" w14:textId="77777777" w:rsidR="00FA23CB" w:rsidRDefault="00FA23CB" w:rsidP="00AA641A">
      <w:pPr>
        <w:spacing w:after="0" w:line="240" w:lineRule="auto"/>
      </w:pPr>
      <w:r>
        <w:separator/>
      </w:r>
    </w:p>
  </w:endnote>
  <w:endnote w:type="continuationSeparator" w:id="0">
    <w:p w14:paraId="2AA1FF88" w14:textId="77777777" w:rsidR="00FA23CB" w:rsidRDefault="00FA23CB" w:rsidP="00AA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Avenir Next Condensed">
    <w:altName w:val="Calibri"/>
    <w:charset w:val="00"/>
    <w:family w:val="swiss"/>
    <w:pitch w:val="variable"/>
    <w:sig w:usb0="8000002F" w:usb1="5000204A" w:usb2="00000000" w:usb3="00000000" w:csb0="0000009B"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35776"/>
      <w:docPartObj>
        <w:docPartGallery w:val="Page Numbers (Bottom of Page)"/>
        <w:docPartUnique/>
      </w:docPartObj>
    </w:sdtPr>
    <w:sdtEndPr>
      <w:rPr>
        <w:noProof/>
      </w:rPr>
    </w:sdtEndPr>
    <w:sdtContent>
      <w:p w14:paraId="302860FD" w14:textId="50617675" w:rsidR="00090FE2" w:rsidRDefault="00090F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A9754" w14:textId="77777777" w:rsidR="00090FE2" w:rsidRDefault="0009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60F8" w14:textId="77777777" w:rsidR="00FA23CB" w:rsidRDefault="00FA23CB" w:rsidP="00AA641A">
      <w:pPr>
        <w:spacing w:after="0" w:line="240" w:lineRule="auto"/>
      </w:pPr>
      <w:r>
        <w:separator/>
      </w:r>
    </w:p>
  </w:footnote>
  <w:footnote w:type="continuationSeparator" w:id="0">
    <w:p w14:paraId="76BB9A11" w14:textId="77777777" w:rsidR="00FA23CB" w:rsidRDefault="00FA23CB" w:rsidP="00AA641A">
      <w:pPr>
        <w:spacing w:after="0" w:line="240" w:lineRule="auto"/>
      </w:pPr>
      <w:r>
        <w:continuationSeparator/>
      </w:r>
    </w:p>
  </w:footnote>
  <w:footnote w:id="1">
    <w:p w14:paraId="42E430DD" w14:textId="7426E2AA" w:rsidR="00F079D6" w:rsidRPr="00DB7129" w:rsidRDefault="0019771D" w:rsidP="00DB7129">
      <w:pPr>
        <w:spacing w:after="0" w:line="240" w:lineRule="auto"/>
        <w:rPr>
          <w:rFonts w:eastAsia="Times New Roman" w:cstheme="minorHAnsi"/>
          <w:sz w:val="18"/>
          <w:szCs w:val="18"/>
          <w:lang w:eastAsia="en-ZA"/>
        </w:rPr>
      </w:pPr>
      <w:r w:rsidRPr="00DB7129">
        <w:rPr>
          <w:rStyle w:val="FootnoteReference"/>
          <w:rFonts w:cstheme="minorHAnsi"/>
          <w:sz w:val="18"/>
          <w:szCs w:val="18"/>
        </w:rPr>
        <w:footnoteRef/>
      </w:r>
      <w:r w:rsidRPr="00DB7129">
        <w:rPr>
          <w:rFonts w:cstheme="minorHAnsi"/>
          <w:sz w:val="18"/>
          <w:szCs w:val="18"/>
        </w:rPr>
        <w:t xml:space="preserve"> </w:t>
      </w:r>
      <w:r w:rsidR="00F079D6" w:rsidRPr="00DB7129">
        <w:rPr>
          <w:rFonts w:eastAsia="Times New Roman" w:cstheme="minorHAnsi"/>
          <w:sz w:val="18"/>
          <w:szCs w:val="18"/>
          <w:lang w:eastAsia="en-ZA"/>
        </w:rPr>
        <w:t>UN General Assembly, </w:t>
      </w:r>
      <w:r w:rsidR="00F079D6" w:rsidRPr="00DB7129">
        <w:rPr>
          <w:rFonts w:eastAsia="Times New Roman" w:cstheme="minorHAnsi"/>
          <w:i/>
          <w:iCs/>
          <w:sz w:val="18"/>
          <w:szCs w:val="18"/>
          <w:lang w:eastAsia="en-ZA"/>
        </w:rPr>
        <w:t>Convention Against Torture and Other Cruel, Inhuman or Degrading Treatment or Punishment</w:t>
      </w:r>
      <w:r w:rsidR="00F079D6" w:rsidRPr="00DB7129">
        <w:rPr>
          <w:rFonts w:eastAsia="Times New Roman" w:cstheme="minorHAnsi"/>
          <w:sz w:val="18"/>
          <w:szCs w:val="18"/>
          <w:lang w:eastAsia="en-ZA"/>
        </w:rPr>
        <w:t>, 10 December 1984, United Nations, Treaty Series, vol. 1465, p. 85, available at: https://www.refworld.org/docid/3ae6b3a94.html [accessed 25 November 2022]</w:t>
      </w:r>
    </w:p>
    <w:p w14:paraId="4316387D" w14:textId="024425E5" w:rsidR="0019771D" w:rsidRPr="00DB7129" w:rsidRDefault="0019771D" w:rsidP="00DB7129">
      <w:pPr>
        <w:pStyle w:val="FootnoteText"/>
        <w:rPr>
          <w:rFonts w:cstheme="minorHAnsi"/>
          <w:sz w:val="18"/>
          <w:szCs w:val="18"/>
        </w:rPr>
      </w:pPr>
    </w:p>
  </w:footnote>
  <w:footnote w:id="2">
    <w:p w14:paraId="27053DFA" w14:textId="7DE8044E" w:rsidR="00D3370A" w:rsidRPr="00DB7129" w:rsidRDefault="00D3370A"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A copy of the Torture Act is attached to this submission.</w:t>
      </w:r>
    </w:p>
  </w:footnote>
  <w:footnote w:id="3">
    <w:p w14:paraId="6578C013" w14:textId="6B412A3A" w:rsidR="00AD76DA" w:rsidRPr="00DB7129" w:rsidRDefault="00AD76DA"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A copy of the CSA is attached to this submission. </w:t>
      </w:r>
    </w:p>
  </w:footnote>
  <w:footnote w:id="4">
    <w:p w14:paraId="7D2E5D43" w14:textId="3290887F" w:rsidR="00AD76DA" w:rsidRPr="00DB7129" w:rsidRDefault="00AD76DA"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Section 2(b) of the CSA.</w:t>
      </w:r>
    </w:p>
  </w:footnote>
  <w:footnote w:id="5">
    <w:p w14:paraId="2FBA9507" w14:textId="5B362868" w:rsidR="00945C3D" w:rsidRPr="00DB7129" w:rsidRDefault="00945C3D"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Pr="00DB7129">
        <w:rPr>
          <w:rFonts w:cstheme="minorHAnsi"/>
          <w:sz w:val="18"/>
          <w:szCs w:val="18"/>
        </w:rPr>
        <w:t xml:space="preserve">This submission </w:t>
      </w:r>
      <w:r w:rsidR="008834D8" w:rsidRPr="00DB7129">
        <w:rPr>
          <w:rFonts w:cstheme="minorHAnsi"/>
          <w:sz w:val="18"/>
          <w:szCs w:val="18"/>
        </w:rPr>
        <w:t>only touches on and attaches</w:t>
      </w:r>
      <w:r w:rsidRPr="00DB7129">
        <w:rPr>
          <w:rFonts w:cstheme="minorHAnsi"/>
          <w:sz w:val="18"/>
          <w:szCs w:val="18"/>
        </w:rPr>
        <w:t xml:space="preserve"> the CSA and the Regulations</w:t>
      </w:r>
      <w:r w:rsidR="008834D8" w:rsidRPr="00DB7129">
        <w:rPr>
          <w:rFonts w:cstheme="minorHAnsi"/>
          <w:sz w:val="18"/>
          <w:szCs w:val="18"/>
        </w:rPr>
        <w:t xml:space="preserve"> due to the sheer volume of the Standing Orders. The Standing Orders are however available upon request. </w:t>
      </w:r>
    </w:p>
  </w:footnote>
  <w:footnote w:id="6">
    <w:p w14:paraId="7C49EA07" w14:textId="547D469A" w:rsidR="00524AF7" w:rsidRPr="00DB7129" w:rsidRDefault="00524AF7"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00DB3036" w:rsidRPr="00DB7129">
        <w:rPr>
          <w:rFonts w:cstheme="minorHAnsi"/>
          <w:sz w:val="18"/>
          <w:szCs w:val="18"/>
        </w:rPr>
        <w:t>Part C of the</w:t>
      </w:r>
      <w:r w:rsidRPr="00DB7129">
        <w:rPr>
          <w:rFonts w:cstheme="minorHAnsi"/>
          <w:sz w:val="18"/>
          <w:szCs w:val="18"/>
        </w:rPr>
        <w:t xml:space="preserve"> CSA also regulates the use of certain equipment and</w:t>
      </w:r>
      <w:r w:rsidR="00DB3036" w:rsidRPr="00DB7129">
        <w:rPr>
          <w:rFonts w:cstheme="minorHAnsi"/>
          <w:sz w:val="18"/>
          <w:szCs w:val="18"/>
        </w:rPr>
        <w:t xml:space="preserve"> mechanical</w:t>
      </w:r>
      <w:r w:rsidRPr="00DB7129">
        <w:rPr>
          <w:rFonts w:cstheme="minorHAnsi"/>
          <w:sz w:val="18"/>
          <w:szCs w:val="18"/>
        </w:rPr>
        <w:t xml:space="preserve"> restraints</w:t>
      </w:r>
      <w:r w:rsidR="00DB3036" w:rsidRPr="00DB7129">
        <w:rPr>
          <w:rFonts w:cstheme="minorHAnsi"/>
          <w:sz w:val="18"/>
          <w:szCs w:val="18"/>
        </w:rPr>
        <w:t>.</w:t>
      </w:r>
    </w:p>
  </w:footnote>
  <w:footnote w:id="7">
    <w:p w14:paraId="0BED4506" w14:textId="68C99A90" w:rsidR="008834D8" w:rsidRPr="00DB7129" w:rsidRDefault="008834D8"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Further information on the Inspecting Judge is set out below.</w:t>
      </w:r>
    </w:p>
  </w:footnote>
  <w:footnote w:id="8">
    <w:p w14:paraId="3987A21E" w14:textId="256AA8AD" w:rsidR="00DB3036" w:rsidRPr="00DB7129" w:rsidRDefault="00DB3036"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00614720" w:rsidRPr="00DB7129">
        <w:rPr>
          <w:rFonts w:cstheme="minorHAnsi"/>
          <w:sz w:val="18"/>
          <w:szCs w:val="18"/>
        </w:rPr>
        <w:t>Section 85.</w:t>
      </w:r>
    </w:p>
  </w:footnote>
  <w:footnote w:id="9">
    <w:p w14:paraId="5616D3FF" w14:textId="5611023C" w:rsidR="00614720" w:rsidRPr="00DB7129" w:rsidRDefault="00614720"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0084486E" w:rsidRPr="00DB7129">
        <w:rPr>
          <w:rFonts w:cstheme="minorHAnsi"/>
          <w:sz w:val="18"/>
          <w:szCs w:val="18"/>
        </w:rPr>
        <w:t xml:space="preserve">Section </w:t>
      </w:r>
      <w:r w:rsidR="00884627" w:rsidRPr="00DB7129">
        <w:rPr>
          <w:rFonts w:cstheme="minorHAnsi"/>
          <w:sz w:val="18"/>
          <w:szCs w:val="18"/>
        </w:rPr>
        <w:t>90</w:t>
      </w:r>
      <w:r w:rsidR="0084486E" w:rsidRPr="00DB7129">
        <w:rPr>
          <w:rFonts w:cstheme="minorHAnsi"/>
          <w:sz w:val="18"/>
          <w:szCs w:val="18"/>
        </w:rPr>
        <w:t>.</w:t>
      </w:r>
    </w:p>
  </w:footnote>
  <w:footnote w:id="10">
    <w:p w14:paraId="67DAC635" w14:textId="4F05BFE3" w:rsidR="00971523" w:rsidRPr="00DB7129" w:rsidRDefault="00971523"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00577FBE" w:rsidRPr="00DB7129">
        <w:rPr>
          <w:rFonts w:cstheme="minorHAnsi"/>
          <w:sz w:val="18"/>
          <w:szCs w:val="18"/>
        </w:rPr>
        <w:t>Sonke Gender Justice NPC v President of the Republic of South Africa and Others (CCT307/19) [2020] ZACC 26; 2021 (3) BCLR 269 (CC)</w:t>
      </w:r>
      <w:r w:rsidR="00BF2347" w:rsidRPr="00DB7129">
        <w:rPr>
          <w:rFonts w:cstheme="minorHAnsi"/>
          <w:sz w:val="18"/>
          <w:szCs w:val="18"/>
        </w:rPr>
        <w:t xml:space="preserve"> (a copy of this judgment is attached to these submissions).</w:t>
      </w:r>
    </w:p>
  </w:footnote>
  <w:footnote w:id="11">
    <w:p w14:paraId="36935CC6" w14:textId="09DF9AE8" w:rsidR="00DD5DA5" w:rsidRPr="00DB7129" w:rsidRDefault="00DD5DA5"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r w:rsidRPr="00DB7129">
        <w:rPr>
          <w:rFonts w:cstheme="minorHAnsi"/>
          <w:sz w:val="18"/>
          <w:szCs w:val="18"/>
        </w:rPr>
        <w:t>UN General Assembly, Optional Protocol to the Convention Against Torture and other Cruel, Inhuman and Degrading Treatment or Punishment, 9 January 2003, A/RES/57/199, available at: https://www.refworld.org/docid/3de6490b9.html [accessed 25 November 2022]</w:t>
      </w:r>
      <w:r w:rsidRPr="00DB7129">
        <w:rPr>
          <w:rFonts w:cstheme="minorHAnsi"/>
          <w:sz w:val="18"/>
          <w:szCs w:val="18"/>
        </w:rPr>
        <w:t xml:space="preserve"> </w:t>
      </w:r>
    </w:p>
  </w:footnote>
  <w:footnote w:id="12">
    <w:p w14:paraId="0EEEEF9A" w14:textId="39B6F055" w:rsidR="00635D29" w:rsidRPr="00DB7129" w:rsidRDefault="00635D29" w:rsidP="00DB7129">
      <w:pPr>
        <w:pStyle w:val="FootnoteText"/>
        <w:rPr>
          <w:rFonts w:cstheme="minorHAnsi"/>
          <w:sz w:val="18"/>
          <w:szCs w:val="18"/>
        </w:rPr>
      </w:pPr>
      <w:r w:rsidRPr="00DB7129">
        <w:rPr>
          <w:rStyle w:val="FootnoteReference"/>
          <w:rFonts w:cstheme="minorHAnsi"/>
          <w:sz w:val="18"/>
          <w:szCs w:val="18"/>
        </w:rPr>
        <w:footnoteRef/>
      </w:r>
      <w:r w:rsidRPr="00DB7129">
        <w:rPr>
          <w:rFonts w:cstheme="minorHAnsi"/>
          <w:sz w:val="18"/>
          <w:szCs w:val="18"/>
        </w:rPr>
        <w:t xml:space="preserve"> </w:t>
      </w:r>
      <w:hyperlink r:id="rId1" w:history="1">
        <w:r w:rsidR="0076374D" w:rsidRPr="00DB7129">
          <w:rPr>
            <w:rStyle w:val="Hyperlink"/>
            <w:rFonts w:cstheme="minorHAnsi"/>
            <w:color w:val="auto"/>
            <w:sz w:val="18"/>
            <w:szCs w:val="18"/>
          </w:rPr>
          <w:t>https://www.lhr.org.za/lhr-news/press-statement-closing-arguments-in-prison-torture-case-in-the-johannesburg-high-court-today/</w:t>
        </w:r>
      </w:hyperlink>
      <w:r w:rsidR="0076374D" w:rsidRPr="00DB7129">
        <w:rPr>
          <w:rFonts w:cstheme="minorHAnsi"/>
          <w:sz w:val="18"/>
          <w:szCs w:val="18"/>
        </w:rPr>
        <w:t>. A copy of the plaintiffs closing arguments are attached to these submissions.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27F1"/>
    <w:multiLevelType w:val="multilevel"/>
    <w:tmpl w:val="CA2ED7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val="0"/>
        <w:bCs w:val="0"/>
        <w:i w:val="0"/>
        <w:i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E5F72C1"/>
    <w:multiLevelType w:val="multilevel"/>
    <w:tmpl w:val="3C7C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00A1"/>
    <w:multiLevelType w:val="hybridMultilevel"/>
    <w:tmpl w:val="FF68F812"/>
    <w:lvl w:ilvl="0" w:tplc="BE4612A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18D8"/>
    <w:multiLevelType w:val="multilevel"/>
    <w:tmpl w:val="1848E038"/>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44316300">
    <w:abstractNumId w:val="3"/>
  </w:num>
  <w:num w:numId="2" w16cid:durableId="141850237">
    <w:abstractNumId w:val="1"/>
  </w:num>
  <w:num w:numId="3" w16cid:durableId="854423695">
    <w:abstractNumId w:val="2"/>
  </w:num>
  <w:num w:numId="4" w16cid:durableId="211898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1A"/>
    <w:rsid w:val="00003C42"/>
    <w:rsid w:val="00005659"/>
    <w:rsid w:val="0002107B"/>
    <w:rsid w:val="00024427"/>
    <w:rsid w:val="00025B32"/>
    <w:rsid w:val="00025EE8"/>
    <w:rsid w:val="00031205"/>
    <w:rsid w:val="00036C8F"/>
    <w:rsid w:val="00047A2C"/>
    <w:rsid w:val="000572C9"/>
    <w:rsid w:val="00060888"/>
    <w:rsid w:val="00063C0B"/>
    <w:rsid w:val="00071563"/>
    <w:rsid w:val="000739F7"/>
    <w:rsid w:val="000872F5"/>
    <w:rsid w:val="000909A6"/>
    <w:rsid w:val="00090FE2"/>
    <w:rsid w:val="00093134"/>
    <w:rsid w:val="000A1C44"/>
    <w:rsid w:val="000A5EF1"/>
    <w:rsid w:val="000A69C8"/>
    <w:rsid w:val="000C1798"/>
    <w:rsid w:val="000D2A32"/>
    <w:rsid w:val="000E0E12"/>
    <w:rsid w:val="000E3096"/>
    <w:rsid w:val="000E59AE"/>
    <w:rsid w:val="00104ED1"/>
    <w:rsid w:val="001067C2"/>
    <w:rsid w:val="001135CE"/>
    <w:rsid w:val="00120D7E"/>
    <w:rsid w:val="00143806"/>
    <w:rsid w:val="00173B09"/>
    <w:rsid w:val="00181553"/>
    <w:rsid w:val="00181CFE"/>
    <w:rsid w:val="001826A1"/>
    <w:rsid w:val="00190D8B"/>
    <w:rsid w:val="00196532"/>
    <w:rsid w:val="0019771D"/>
    <w:rsid w:val="001B2AE4"/>
    <w:rsid w:val="001B455A"/>
    <w:rsid w:val="001C4B3A"/>
    <w:rsid w:val="001E3142"/>
    <w:rsid w:val="001E3468"/>
    <w:rsid w:val="001E362D"/>
    <w:rsid w:val="001F1134"/>
    <w:rsid w:val="00201FC8"/>
    <w:rsid w:val="002134AB"/>
    <w:rsid w:val="0022340A"/>
    <w:rsid w:val="002276E4"/>
    <w:rsid w:val="0023392C"/>
    <w:rsid w:val="00235FBD"/>
    <w:rsid w:val="002532BD"/>
    <w:rsid w:val="00257894"/>
    <w:rsid w:val="002609DB"/>
    <w:rsid w:val="002633F6"/>
    <w:rsid w:val="002752E6"/>
    <w:rsid w:val="0027623F"/>
    <w:rsid w:val="002818E2"/>
    <w:rsid w:val="00290376"/>
    <w:rsid w:val="00291C3E"/>
    <w:rsid w:val="002A2456"/>
    <w:rsid w:val="002A796D"/>
    <w:rsid w:val="002C1B8C"/>
    <w:rsid w:val="002C6C9B"/>
    <w:rsid w:val="002D6B1F"/>
    <w:rsid w:val="002E37FD"/>
    <w:rsid w:val="002E74C0"/>
    <w:rsid w:val="003009E5"/>
    <w:rsid w:val="00300ACF"/>
    <w:rsid w:val="00300DC2"/>
    <w:rsid w:val="003116BF"/>
    <w:rsid w:val="00324FEC"/>
    <w:rsid w:val="00326624"/>
    <w:rsid w:val="0033515A"/>
    <w:rsid w:val="00340042"/>
    <w:rsid w:val="00361249"/>
    <w:rsid w:val="00371060"/>
    <w:rsid w:val="00381766"/>
    <w:rsid w:val="003C1104"/>
    <w:rsid w:val="003F6026"/>
    <w:rsid w:val="004007D0"/>
    <w:rsid w:val="00410AC5"/>
    <w:rsid w:val="00415699"/>
    <w:rsid w:val="00421F79"/>
    <w:rsid w:val="00423003"/>
    <w:rsid w:val="004249B1"/>
    <w:rsid w:val="00436E0B"/>
    <w:rsid w:val="004505F2"/>
    <w:rsid w:val="00460131"/>
    <w:rsid w:val="004A2CAB"/>
    <w:rsid w:val="004B2B5A"/>
    <w:rsid w:val="004B48F4"/>
    <w:rsid w:val="004C28D5"/>
    <w:rsid w:val="004D3C07"/>
    <w:rsid w:val="004E4544"/>
    <w:rsid w:val="00524AF7"/>
    <w:rsid w:val="00524D1B"/>
    <w:rsid w:val="00526DBC"/>
    <w:rsid w:val="00543049"/>
    <w:rsid w:val="005543AD"/>
    <w:rsid w:val="00565378"/>
    <w:rsid w:val="00574352"/>
    <w:rsid w:val="00577FBE"/>
    <w:rsid w:val="00585322"/>
    <w:rsid w:val="005A1439"/>
    <w:rsid w:val="005A50DF"/>
    <w:rsid w:val="005B0FC1"/>
    <w:rsid w:val="005B71C7"/>
    <w:rsid w:val="005D098C"/>
    <w:rsid w:val="005E24B0"/>
    <w:rsid w:val="005F2AF7"/>
    <w:rsid w:val="006015F3"/>
    <w:rsid w:val="006031C0"/>
    <w:rsid w:val="00613B22"/>
    <w:rsid w:val="00614720"/>
    <w:rsid w:val="006176DE"/>
    <w:rsid w:val="00635D29"/>
    <w:rsid w:val="00652171"/>
    <w:rsid w:val="006531DC"/>
    <w:rsid w:val="0065710D"/>
    <w:rsid w:val="00695C00"/>
    <w:rsid w:val="006A18C3"/>
    <w:rsid w:val="006B149D"/>
    <w:rsid w:val="006B6633"/>
    <w:rsid w:val="006B6A20"/>
    <w:rsid w:val="006D05B1"/>
    <w:rsid w:val="006D6971"/>
    <w:rsid w:val="006E6E74"/>
    <w:rsid w:val="007034AE"/>
    <w:rsid w:val="00703783"/>
    <w:rsid w:val="00712EB6"/>
    <w:rsid w:val="00725E13"/>
    <w:rsid w:val="0074181F"/>
    <w:rsid w:val="00744E7D"/>
    <w:rsid w:val="00753E6B"/>
    <w:rsid w:val="0075678D"/>
    <w:rsid w:val="00756A0A"/>
    <w:rsid w:val="0076374D"/>
    <w:rsid w:val="00763D5B"/>
    <w:rsid w:val="00766B00"/>
    <w:rsid w:val="00766B54"/>
    <w:rsid w:val="00781617"/>
    <w:rsid w:val="007B15C6"/>
    <w:rsid w:val="007B37CE"/>
    <w:rsid w:val="007D0C88"/>
    <w:rsid w:val="007E207D"/>
    <w:rsid w:val="00803F1A"/>
    <w:rsid w:val="008132E8"/>
    <w:rsid w:val="0082000D"/>
    <w:rsid w:val="008209A2"/>
    <w:rsid w:val="00834643"/>
    <w:rsid w:val="00836048"/>
    <w:rsid w:val="0084363B"/>
    <w:rsid w:val="0084486E"/>
    <w:rsid w:val="008519FB"/>
    <w:rsid w:val="008523E8"/>
    <w:rsid w:val="00861A8D"/>
    <w:rsid w:val="0086265E"/>
    <w:rsid w:val="00866FD9"/>
    <w:rsid w:val="00873190"/>
    <w:rsid w:val="008834D8"/>
    <w:rsid w:val="00884627"/>
    <w:rsid w:val="00897E88"/>
    <w:rsid w:val="008D144C"/>
    <w:rsid w:val="0091095C"/>
    <w:rsid w:val="009132A4"/>
    <w:rsid w:val="00917E1F"/>
    <w:rsid w:val="00922DC5"/>
    <w:rsid w:val="00925E0F"/>
    <w:rsid w:val="009279E8"/>
    <w:rsid w:val="009400A4"/>
    <w:rsid w:val="00944284"/>
    <w:rsid w:val="00945C3D"/>
    <w:rsid w:val="009527E2"/>
    <w:rsid w:val="00957E4B"/>
    <w:rsid w:val="009668E2"/>
    <w:rsid w:val="00967A99"/>
    <w:rsid w:val="00971523"/>
    <w:rsid w:val="009922BF"/>
    <w:rsid w:val="009976C8"/>
    <w:rsid w:val="009C08BB"/>
    <w:rsid w:val="00A0164B"/>
    <w:rsid w:val="00A16413"/>
    <w:rsid w:val="00A2395D"/>
    <w:rsid w:val="00A317B9"/>
    <w:rsid w:val="00A44E8C"/>
    <w:rsid w:val="00A44F18"/>
    <w:rsid w:val="00A46EC9"/>
    <w:rsid w:val="00A47838"/>
    <w:rsid w:val="00A54A48"/>
    <w:rsid w:val="00A82B22"/>
    <w:rsid w:val="00A918F6"/>
    <w:rsid w:val="00AA641A"/>
    <w:rsid w:val="00AA7D95"/>
    <w:rsid w:val="00AC1A39"/>
    <w:rsid w:val="00AD3064"/>
    <w:rsid w:val="00AD76DA"/>
    <w:rsid w:val="00AE3A39"/>
    <w:rsid w:val="00AE4B25"/>
    <w:rsid w:val="00AF13A5"/>
    <w:rsid w:val="00AF3A93"/>
    <w:rsid w:val="00B013E1"/>
    <w:rsid w:val="00B14268"/>
    <w:rsid w:val="00B23015"/>
    <w:rsid w:val="00B2418B"/>
    <w:rsid w:val="00B37B5B"/>
    <w:rsid w:val="00B432CF"/>
    <w:rsid w:val="00B44A53"/>
    <w:rsid w:val="00B52454"/>
    <w:rsid w:val="00B5478E"/>
    <w:rsid w:val="00B61310"/>
    <w:rsid w:val="00B61F04"/>
    <w:rsid w:val="00B62A4B"/>
    <w:rsid w:val="00B75BF6"/>
    <w:rsid w:val="00B86150"/>
    <w:rsid w:val="00B902F9"/>
    <w:rsid w:val="00B929F0"/>
    <w:rsid w:val="00B97B64"/>
    <w:rsid w:val="00BA36D9"/>
    <w:rsid w:val="00BB072A"/>
    <w:rsid w:val="00BB2CAE"/>
    <w:rsid w:val="00BC1992"/>
    <w:rsid w:val="00BC5635"/>
    <w:rsid w:val="00BC6DFB"/>
    <w:rsid w:val="00BD2506"/>
    <w:rsid w:val="00BD4687"/>
    <w:rsid w:val="00BD6B72"/>
    <w:rsid w:val="00BE3703"/>
    <w:rsid w:val="00BF2347"/>
    <w:rsid w:val="00BF4F79"/>
    <w:rsid w:val="00C01071"/>
    <w:rsid w:val="00C0185E"/>
    <w:rsid w:val="00C2389C"/>
    <w:rsid w:val="00C24929"/>
    <w:rsid w:val="00C302C0"/>
    <w:rsid w:val="00C33E3C"/>
    <w:rsid w:val="00C34018"/>
    <w:rsid w:val="00C37BFD"/>
    <w:rsid w:val="00C42931"/>
    <w:rsid w:val="00C52BA2"/>
    <w:rsid w:val="00C56945"/>
    <w:rsid w:val="00C619F4"/>
    <w:rsid w:val="00C657E3"/>
    <w:rsid w:val="00C74531"/>
    <w:rsid w:val="00C83E68"/>
    <w:rsid w:val="00C851F4"/>
    <w:rsid w:val="00C87070"/>
    <w:rsid w:val="00C95328"/>
    <w:rsid w:val="00CB5BC2"/>
    <w:rsid w:val="00CB7E11"/>
    <w:rsid w:val="00CF374C"/>
    <w:rsid w:val="00D0110B"/>
    <w:rsid w:val="00D137AF"/>
    <w:rsid w:val="00D301E1"/>
    <w:rsid w:val="00D3307A"/>
    <w:rsid w:val="00D3370A"/>
    <w:rsid w:val="00D337BC"/>
    <w:rsid w:val="00D452F4"/>
    <w:rsid w:val="00D51201"/>
    <w:rsid w:val="00D5306E"/>
    <w:rsid w:val="00D57D64"/>
    <w:rsid w:val="00D652E9"/>
    <w:rsid w:val="00D6794B"/>
    <w:rsid w:val="00D71170"/>
    <w:rsid w:val="00DA1F5F"/>
    <w:rsid w:val="00DA2CB9"/>
    <w:rsid w:val="00DB3036"/>
    <w:rsid w:val="00DB6811"/>
    <w:rsid w:val="00DB6DF1"/>
    <w:rsid w:val="00DB7129"/>
    <w:rsid w:val="00DB7859"/>
    <w:rsid w:val="00DC06F4"/>
    <w:rsid w:val="00DC52EF"/>
    <w:rsid w:val="00DC7809"/>
    <w:rsid w:val="00DD0A0B"/>
    <w:rsid w:val="00DD5DA5"/>
    <w:rsid w:val="00DE0BBB"/>
    <w:rsid w:val="00DF3E45"/>
    <w:rsid w:val="00DF40D7"/>
    <w:rsid w:val="00E02294"/>
    <w:rsid w:val="00E05226"/>
    <w:rsid w:val="00E1128B"/>
    <w:rsid w:val="00E22D9B"/>
    <w:rsid w:val="00E4338B"/>
    <w:rsid w:val="00E45B22"/>
    <w:rsid w:val="00E53C42"/>
    <w:rsid w:val="00E7276F"/>
    <w:rsid w:val="00E734FC"/>
    <w:rsid w:val="00E9014A"/>
    <w:rsid w:val="00E943A5"/>
    <w:rsid w:val="00E97D93"/>
    <w:rsid w:val="00EA37C9"/>
    <w:rsid w:val="00EA78C6"/>
    <w:rsid w:val="00EC71E4"/>
    <w:rsid w:val="00ED447A"/>
    <w:rsid w:val="00ED4863"/>
    <w:rsid w:val="00EE58FB"/>
    <w:rsid w:val="00F079D6"/>
    <w:rsid w:val="00F3100B"/>
    <w:rsid w:val="00F3288A"/>
    <w:rsid w:val="00F3431D"/>
    <w:rsid w:val="00F422DB"/>
    <w:rsid w:val="00F52A3A"/>
    <w:rsid w:val="00F81005"/>
    <w:rsid w:val="00FA23CB"/>
    <w:rsid w:val="00FA6CCA"/>
    <w:rsid w:val="00FB3C3D"/>
    <w:rsid w:val="00FC0DC8"/>
    <w:rsid w:val="00FC14F4"/>
    <w:rsid w:val="00FC3960"/>
    <w:rsid w:val="00FC78E3"/>
    <w:rsid w:val="00FD0171"/>
    <w:rsid w:val="00FD52B7"/>
    <w:rsid w:val="00FE67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A7B2"/>
  <w15:chartTrackingRefBased/>
  <w15:docId w15:val="{E1BC3F47-9DB0-4B88-9835-1128EE20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41A"/>
  </w:style>
  <w:style w:type="paragraph" w:styleId="Footer">
    <w:name w:val="footer"/>
    <w:basedOn w:val="Normal"/>
    <w:link w:val="FooterChar"/>
    <w:uiPriority w:val="99"/>
    <w:unhideWhenUsed/>
    <w:rsid w:val="00AA6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41A"/>
  </w:style>
  <w:style w:type="character" w:customStyle="1" w:styleId="Heading1Char">
    <w:name w:val="Heading 1 Char"/>
    <w:basedOn w:val="DefaultParagraphFont"/>
    <w:link w:val="Heading1"/>
    <w:uiPriority w:val="9"/>
    <w:rsid w:val="00AA641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26A1"/>
    <w:pPr>
      <w:ind w:left="720"/>
      <w:contextualSpacing/>
    </w:pPr>
  </w:style>
  <w:style w:type="paragraph" w:styleId="FootnoteText">
    <w:name w:val="footnote text"/>
    <w:basedOn w:val="Normal"/>
    <w:link w:val="FootnoteTextChar"/>
    <w:uiPriority w:val="99"/>
    <w:semiHidden/>
    <w:unhideWhenUsed/>
    <w:rsid w:val="00197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71D"/>
    <w:rPr>
      <w:sz w:val="20"/>
      <w:szCs w:val="20"/>
    </w:rPr>
  </w:style>
  <w:style w:type="character" w:styleId="FootnoteReference">
    <w:name w:val="footnote reference"/>
    <w:basedOn w:val="DefaultParagraphFont"/>
    <w:uiPriority w:val="99"/>
    <w:semiHidden/>
    <w:unhideWhenUsed/>
    <w:rsid w:val="0019771D"/>
    <w:rPr>
      <w:vertAlign w:val="superscript"/>
    </w:rPr>
  </w:style>
  <w:style w:type="character" w:styleId="Hyperlink">
    <w:name w:val="Hyperlink"/>
    <w:basedOn w:val="DefaultParagraphFont"/>
    <w:uiPriority w:val="99"/>
    <w:unhideWhenUsed/>
    <w:rsid w:val="00766B00"/>
    <w:rPr>
      <w:color w:val="0563C1" w:themeColor="hyperlink"/>
      <w:u w:val="single"/>
    </w:rPr>
  </w:style>
  <w:style w:type="character" w:styleId="UnresolvedMention">
    <w:name w:val="Unresolved Mention"/>
    <w:basedOn w:val="DefaultParagraphFont"/>
    <w:uiPriority w:val="99"/>
    <w:semiHidden/>
    <w:unhideWhenUsed/>
    <w:rsid w:val="00766B00"/>
    <w:rPr>
      <w:color w:val="605E5C"/>
      <w:shd w:val="clear" w:color="auto" w:fill="E1DFDD"/>
    </w:rPr>
  </w:style>
  <w:style w:type="character" w:styleId="CommentReference">
    <w:name w:val="annotation reference"/>
    <w:basedOn w:val="DefaultParagraphFont"/>
    <w:uiPriority w:val="99"/>
    <w:semiHidden/>
    <w:unhideWhenUsed/>
    <w:rsid w:val="006B6633"/>
    <w:rPr>
      <w:sz w:val="16"/>
      <w:szCs w:val="16"/>
    </w:rPr>
  </w:style>
  <w:style w:type="paragraph" w:styleId="CommentText">
    <w:name w:val="annotation text"/>
    <w:basedOn w:val="Normal"/>
    <w:link w:val="CommentTextChar"/>
    <w:uiPriority w:val="99"/>
    <w:unhideWhenUsed/>
    <w:rsid w:val="006B6633"/>
    <w:pPr>
      <w:spacing w:line="240" w:lineRule="auto"/>
    </w:pPr>
    <w:rPr>
      <w:sz w:val="20"/>
      <w:szCs w:val="20"/>
    </w:rPr>
  </w:style>
  <w:style w:type="character" w:customStyle="1" w:styleId="CommentTextChar">
    <w:name w:val="Comment Text Char"/>
    <w:basedOn w:val="DefaultParagraphFont"/>
    <w:link w:val="CommentText"/>
    <w:uiPriority w:val="99"/>
    <w:rsid w:val="006B6633"/>
    <w:rPr>
      <w:sz w:val="20"/>
      <w:szCs w:val="20"/>
    </w:rPr>
  </w:style>
  <w:style w:type="paragraph" w:styleId="CommentSubject">
    <w:name w:val="annotation subject"/>
    <w:basedOn w:val="CommentText"/>
    <w:next w:val="CommentText"/>
    <w:link w:val="CommentSubjectChar"/>
    <w:uiPriority w:val="99"/>
    <w:semiHidden/>
    <w:unhideWhenUsed/>
    <w:rsid w:val="006B6633"/>
    <w:rPr>
      <w:b/>
      <w:bCs/>
    </w:rPr>
  </w:style>
  <w:style w:type="character" w:customStyle="1" w:styleId="CommentSubjectChar">
    <w:name w:val="Comment Subject Char"/>
    <w:basedOn w:val="CommentTextChar"/>
    <w:link w:val="CommentSubject"/>
    <w:uiPriority w:val="99"/>
    <w:semiHidden/>
    <w:rsid w:val="006B6633"/>
    <w:rPr>
      <w:b/>
      <w:bCs/>
      <w:sz w:val="20"/>
      <w:szCs w:val="20"/>
    </w:rPr>
  </w:style>
  <w:style w:type="paragraph" w:styleId="NormalWeb">
    <w:name w:val="Normal (Web)"/>
    <w:basedOn w:val="Normal"/>
    <w:uiPriority w:val="99"/>
    <w:semiHidden/>
    <w:unhideWhenUsed/>
    <w:rsid w:val="00173B09"/>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fontstyle01">
    <w:name w:val="fontstyle01"/>
    <w:basedOn w:val="DefaultParagraphFont"/>
    <w:rsid w:val="00C851F4"/>
    <w:rPr>
      <w:rFonts w:ascii="Calibri-Bold" w:hAnsi="Calibri-Bold" w:hint="default"/>
      <w:b/>
      <w:bCs/>
      <w:i w:val="0"/>
      <w:iCs w:val="0"/>
      <w:color w:val="000000"/>
      <w:sz w:val="24"/>
      <w:szCs w:val="24"/>
    </w:rPr>
  </w:style>
  <w:style w:type="paragraph" w:styleId="Revision">
    <w:name w:val="Revision"/>
    <w:hidden/>
    <w:uiPriority w:val="99"/>
    <w:semiHidden/>
    <w:rsid w:val="00AC1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529">
      <w:bodyDiv w:val="1"/>
      <w:marLeft w:val="0"/>
      <w:marRight w:val="0"/>
      <w:marTop w:val="0"/>
      <w:marBottom w:val="0"/>
      <w:divBdr>
        <w:top w:val="none" w:sz="0" w:space="0" w:color="auto"/>
        <w:left w:val="none" w:sz="0" w:space="0" w:color="auto"/>
        <w:bottom w:val="none" w:sz="0" w:space="0" w:color="auto"/>
        <w:right w:val="none" w:sz="0" w:space="0" w:color="auto"/>
      </w:divBdr>
    </w:div>
    <w:div w:id="64768468">
      <w:bodyDiv w:val="1"/>
      <w:marLeft w:val="0"/>
      <w:marRight w:val="0"/>
      <w:marTop w:val="0"/>
      <w:marBottom w:val="0"/>
      <w:divBdr>
        <w:top w:val="none" w:sz="0" w:space="0" w:color="auto"/>
        <w:left w:val="none" w:sz="0" w:space="0" w:color="auto"/>
        <w:bottom w:val="none" w:sz="0" w:space="0" w:color="auto"/>
        <w:right w:val="none" w:sz="0" w:space="0" w:color="auto"/>
      </w:divBdr>
      <w:divsChild>
        <w:div w:id="969672621">
          <w:marLeft w:val="0"/>
          <w:marRight w:val="0"/>
          <w:marTop w:val="0"/>
          <w:marBottom w:val="0"/>
          <w:divBdr>
            <w:top w:val="none" w:sz="0" w:space="0" w:color="auto"/>
            <w:left w:val="none" w:sz="0" w:space="0" w:color="auto"/>
            <w:bottom w:val="none" w:sz="0" w:space="0" w:color="auto"/>
            <w:right w:val="none" w:sz="0" w:space="0" w:color="auto"/>
          </w:divBdr>
          <w:divsChild>
            <w:div w:id="1659572974">
              <w:marLeft w:val="0"/>
              <w:marRight w:val="0"/>
              <w:marTop w:val="0"/>
              <w:marBottom w:val="0"/>
              <w:divBdr>
                <w:top w:val="none" w:sz="0" w:space="0" w:color="auto"/>
                <w:left w:val="none" w:sz="0" w:space="0" w:color="auto"/>
                <w:bottom w:val="none" w:sz="0" w:space="0" w:color="auto"/>
                <w:right w:val="none" w:sz="0" w:space="0" w:color="auto"/>
              </w:divBdr>
              <w:divsChild>
                <w:div w:id="1367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melo@lhr.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eelah@lhr.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hr.org.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hr.org.za/lhr-news/press-statement-closing-arguments-in-prison-torture-case-in-the-johannesburg-high-court-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120ED-AEE0-42DD-95CB-5A59DECF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Palesa Maloisane</dc:creator>
  <cp:keywords/>
  <dc:description/>
  <cp:lastModifiedBy>Nabeelah Mia</cp:lastModifiedBy>
  <cp:revision>171</cp:revision>
  <dcterms:created xsi:type="dcterms:W3CDTF">2022-11-25T07:37:00Z</dcterms:created>
  <dcterms:modified xsi:type="dcterms:W3CDTF">2022-11-25T17:25:00Z</dcterms:modified>
</cp:coreProperties>
</file>