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30A9" w14:textId="77777777" w:rsidR="00A97BE6" w:rsidRDefault="00A97BE6" w:rsidP="00A97BE6">
      <w:pPr>
        <w:contextualSpacing/>
        <w:jc w:val="both"/>
        <w:rPr>
          <w:rFonts w:eastAsia="Arial"/>
          <w:b/>
          <w:bCs/>
          <w:iCs/>
          <w:color w:val="0070C0"/>
          <w:sz w:val="22"/>
          <w:szCs w:val="22"/>
          <w:lang w:val="en-US"/>
        </w:rPr>
      </w:pPr>
    </w:p>
    <w:p w14:paraId="30FE8795" w14:textId="77777777" w:rsidR="00A97BE6" w:rsidRDefault="00A97BE6" w:rsidP="00A97BE6">
      <w:pPr>
        <w:contextualSpacing/>
        <w:jc w:val="both"/>
        <w:rPr>
          <w:rFonts w:eastAsia="Arial"/>
          <w:b/>
          <w:bCs/>
          <w:iCs/>
          <w:color w:val="0070C0"/>
          <w:sz w:val="22"/>
          <w:szCs w:val="22"/>
          <w:lang w:val="en-US"/>
        </w:rPr>
      </w:pPr>
    </w:p>
    <w:p w14:paraId="2FA41DD8" w14:textId="77777777" w:rsidR="00A97BE6" w:rsidRDefault="00A97BE6" w:rsidP="00A97BE6">
      <w:pPr>
        <w:contextualSpacing/>
        <w:jc w:val="both"/>
        <w:rPr>
          <w:rFonts w:eastAsia="Arial"/>
          <w:b/>
          <w:bCs/>
          <w:iCs/>
          <w:color w:val="0070C0"/>
          <w:sz w:val="22"/>
          <w:szCs w:val="22"/>
          <w:lang w:val="en-US"/>
        </w:rPr>
      </w:pPr>
    </w:p>
    <w:p w14:paraId="4619C295" w14:textId="77777777" w:rsidR="00A97BE6" w:rsidRDefault="00A97BE6" w:rsidP="00A97BE6">
      <w:pPr>
        <w:contextualSpacing/>
        <w:jc w:val="both"/>
        <w:rPr>
          <w:rFonts w:eastAsia="Arial"/>
          <w:b/>
          <w:bCs/>
          <w:iCs/>
          <w:color w:val="0070C0"/>
          <w:sz w:val="22"/>
          <w:szCs w:val="22"/>
          <w:lang w:val="en-US"/>
        </w:rPr>
      </w:pPr>
    </w:p>
    <w:p w14:paraId="654AA32C" w14:textId="77777777" w:rsidR="00A97BE6" w:rsidRDefault="00A97BE6" w:rsidP="00A97BE6">
      <w:pPr>
        <w:jc w:val="center"/>
      </w:pPr>
      <w:r>
        <w:rPr>
          <w:noProof/>
        </w:rPr>
        <w:drawing>
          <wp:inline distT="0" distB="0" distL="0" distR="0" wp14:anchorId="47A335CC" wp14:editId="5B53B4F7">
            <wp:extent cx="1397000" cy="1358900"/>
            <wp:effectExtent l="0" t="0" r="0" b="0"/>
            <wp:docPr id="5" name="Imagen 2" descr="IAHRA GENEVA on Twitter: &quot;Turkey has turned into an #OpenAirPrison under an  autocratic regime in the absence of the #RuleOfLaw: 511.000 people  detained, investigations continue for more than 250.000 people.  #TurkeyWatch @KenRoth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97000" cy="1358900"/>
                    </a:xfrm>
                    <a:prstGeom prst="rect">
                      <a:avLst/>
                    </a:prstGeom>
                    <a:noFill/>
                    <a:ln>
                      <a:noFill/>
                      <a:prstDash/>
                    </a:ln>
                  </pic:spPr>
                </pic:pic>
              </a:graphicData>
            </a:graphic>
          </wp:inline>
        </w:drawing>
      </w:r>
    </w:p>
    <w:p w14:paraId="7B62AF0A" w14:textId="77777777" w:rsidR="00A97BE6" w:rsidRDefault="00A97BE6" w:rsidP="00A97BE6"/>
    <w:p w14:paraId="13E20D98" w14:textId="4514332F" w:rsidR="00A97BE6" w:rsidRDefault="00A97BE6" w:rsidP="00A97BE6"/>
    <w:p w14:paraId="32FC604D" w14:textId="77777777" w:rsidR="00A97BE6" w:rsidRDefault="00A97BE6" w:rsidP="00A97BE6"/>
    <w:p w14:paraId="6230368A" w14:textId="77777777" w:rsidR="00A97BE6" w:rsidRPr="00D73813" w:rsidRDefault="00A97BE6" w:rsidP="00A97BE6">
      <w:pPr>
        <w:rPr>
          <w:color w:val="002060"/>
          <w:sz w:val="44"/>
          <w:szCs w:val="44"/>
        </w:rPr>
      </w:pPr>
    </w:p>
    <w:p w14:paraId="25F3CDB2" w14:textId="77777777" w:rsidR="00FB2B9E" w:rsidRPr="00FB2B9E" w:rsidRDefault="00A97BE6" w:rsidP="00FB2B9E">
      <w:pPr>
        <w:jc w:val="center"/>
        <w:rPr>
          <w:b/>
          <w:bCs/>
          <w:color w:val="002060"/>
          <w:sz w:val="40"/>
          <w:szCs w:val="40"/>
          <w:lang w:val="en-US"/>
        </w:rPr>
      </w:pPr>
      <w:r w:rsidRPr="00D73813">
        <w:rPr>
          <w:color w:val="002060"/>
          <w:sz w:val="44"/>
          <w:szCs w:val="44"/>
          <w:lang w:val="en-US"/>
        </w:rPr>
        <w:t xml:space="preserve"> </w:t>
      </w:r>
      <w:r>
        <w:rPr>
          <w:b/>
          <w:bCs/>
          <w:color w:val="002060"/>
          <w:sz w:val="40"/>
          <w:szCs w:val="40"/>
          <w:lang w:val="en-US"/>
        </w:rPr>
        <w:t xml:space="preserve">Submission to the </w:t>
      </w:r>
      <w:r w:rsidR="00FB2B9E" w:rsidRPr="00FB2B9E">
        <w:rPr>
          <w:b/>
          <w:bCs/>
          <w:color w:val="002060"/>
          <w:sz w:val="40"/>
          <w:szCs w:val="40"/>
          <w:lang w:val="en-US"/>
        </w:rPr>
        <w:t>Special Rapporteur on torture and other cruel, inhuman or degrading treatment or punishment</w:t>
      </w:r>
    </w:p>
    <w:p w14:paraId="6EA9406B" w14:textId="1526FE62" w:rsidR="00A97BE6" w:rsidRDefault="00A97BE6" w:rsidP="00A97BE6">
      <w:pPr>
        <w:jc w:val="center"/>
        <w:rPr>
          <w:b/>
          <w:bCs/>
          <w:color w:val="002060"/>
          <w:sz w:val="40"/>
          <w:szCs w:val="40"/>
          <w:lang w:val="en-US"/>
        </w:rPr>
      </w:pPr>
    </w:p>
    <w:p w14:paraId="299DF8FD" w14:textId="77777777" w:rsidR="00A97BE6" w:rsidRDefault="00A97BE6" w:rsidP="00A97BE6">
      <w:pPr>
        <w:rPr>
          <w:color w:val="002060"/>
          <w:sz w:val="44"/>
          <w:szCs w:val="44"/>
          <w:lang w:val="en-US"/>
        </w:rPr>
      </w:pPr>
    </w:p>
    <w:p w14:paraId="2C65C100" w14:textId="77777777" w:rsidR="00A97BE6" w:rsidRDefault="00A97BE6" w:rsidP="00A97BE6">
      <w:pPr>
        <w:jc w:val="center"/>
        <w:rPr>
          <w:color w:val="002060"/>
          <w:sz w:val="44"/>
          <w:szCs w:val="44"/>
          <w:lang w:val="en-US"/>
        </w:rPr>
      </w:pPr>
    </w:p>
    <w:p w14:paraId="56A9F497" w14:textId="77777777" w:rsidR="00A97BE6" w:rsidRDefault="00A97BE6" w:rsidP="00A97BE6">
      <w:pPr>
        <w:jc w:val="center"/>
        <w:rPr>
          <w:color w:val="002060"/>
          <w:sz w:val="44"/>
          <w:szCs w:val="44"/>
          <w:lang w:val="en-US"/>
        </w:rPr>
      </w:pPr>
    </w:p>
    <w:p w14:paraId="033135AC" w14:textId="71421AC9" w:rsidR="004821C1" w:rsidRPr="004821C1" w:rsidRDefault="004821C1" w:rsidP="004821C1">
      <w:pPr>
        <w:pStyle w:val="Titre2"/>
        <w:jc w:val="center"/>
        <w:rPr>
          <w:i/>
          <w:iCs/>
          <w:color w:val="3B3838" w:themeColor="background2" w:themeShade="40"/>
          <w:lang w:val="en-US"/>
        </w:rPr>
      </w:pPr>
      <w:r w:rsidRPr="004821C1">
        <w:rPr>
          <w:i/>
          <w:iCs/>
          <w:color w:val="3B3838" w:themeColor="background2" w:themeShade="40"/>
          <w:lang w:val="en-US"/>
        </w:rPr>
        <w:t>Call for input to a report: “The duty to investigate crimes of torture in national law and practice” to be presented to the 52</w:t>
      </w:r>
      <w:r w:rsidRPr="004821C1">
        <w:rPr>
          <w:i/>
          <w:iCs/>
          <w:color w:val="3B3838" w:themeColor="background2" w:themeShade="40"/>
          <w:vertAlign w:val="superscript"/>
          <w:lang w:val="en-US"/>
        </w:rPr>
        <w:t>nd</w:t>
      </w:r>
      <w:r w:rsidRPr="004821C1">
        <w:rPr>
          <w:i/>
          <w:iCs/>
          <w:color w:val="3B3838" w:themeColor="background2" w:themeShade="40"/>
          <w:lang w:val="en-US"/>
        </w:rPr>
        <w:t xml:space="preserve"> session of the Human Rights Council</w:t>
      </w:r>
    </w:p>
    <w:p w14:paraId="749A9FB7" w14:textId="170735BA" w:rsidR="00A97BE6" w:rsidRDefault="00A97BE6" w:rsidP="004821C1">
      <w:pPr>
        <w:rPr>
          <w:color w:val="002060"/>
          <w:sz w:val="44"/>
          <w:szCs w:val="44"/>
          <w:lang w:val="en-US"/>
        </w:rPr>
      </w:pPr>
    </w:p>
    <w:p w14:paraId="0AA4EC8D" w14:textId="77777777" w:rsidR="00A97BE6" w:rsidRDefault="00A97BE6" w:rsidP="00A97BE6">
      <w:pPr>
        <w:jc w:val="center"/>
        <w:rPr>
          <w:color w:val="002060"/>
          <w:sz w:val="44"/>
          <w:szCs w:val="44"/>
          <w:lang w:val="en-US"/>
        </w:rPr>
      </w:pPr>
    </w:p>
    <w:p w14:paraId="6AEE1827" w14:textId="77777777" w:rsidR="00A97BE6" w:rsidRDefault="00A97BE6" w:rsidP="00A97BE6">
      <w:pPr>
        <w:jc w:val="center"/>
        <w:rPr>
          <w:color w:val="002060"/>
          <w:sz w:val="44"/>
          <w:szCs w:val="44"/>
          <w:lang w:val="en-US"/>
        </w:rPr>
      </w:pPr>
    </w:p>
    <w:p w14:paraId="4B2186EE" w14:textId="741397BD" w:rsidR="00A97BE6" w:rsidRPr="00D20B1D" w:rsidRDefault="00A97BE6" w:rsidP="00A97BE6">
      <w:pPr>
        <w:jc w:val="center"/>
        <w:rPr>
          <w:b/>
          <w:bCs/>
          <w:color w:val="0070C0"/>
          <w:sz w:val="36"/>
          <w:szCs w:val="36"/>
          <w:lang w:val="en-US"/>
        </w:rPr>
      </w:pPr>
      <w:r w:rsidRPr="00D20B1D">
        <w:rPr>
          <w:b/>
          <w:bCs/>
          <w:color w:val="0070C0"/>
          <w:sz w:val="36"/>
          <w:szCs w:val="36"/>
          <w:lang w:val="en-US"/>
        </w:rPr>
        <w:t>International Association for Human Rights Advocacy Geneva (IAHRAG)</w:t>
      </w:r>
    </w:p>
    <w:p w14:paraId="2EB1288B" w14:textId="5D6D3223" w:rsidR="00A97BE6" w:rsidRPr="00D20B1D" w:rsidRDefault="00A97BE6" w:rsidP="00A97BE6">
      <w:pPr>
        <w:jc w:val="center"/>
        <w:rPr>
          <w:b/>
          <w:bCs/>
          <w:color w:val="002060"/>
          <w:sz w:val="36"/>
          <w:szCs w:val="36"/>
          <w:lang w:val="en-US"/>
        </w:rPr>
      </w:pPr>
    </w:p>
    <w:p w14:paraId="41295A28" w14:textId="69EB283E" w:rsidR="00A97BE6" w:rsidRPr="00D20B1D" w:rsidRDefault="00A97BE6" w:rsidP="00A97BE6">
      <w:pPr>
        <w:jc w:val="center"/>
        <w:rPr>
          <w:b/>
          <w:bCs/>
          <w:color w:val="002060"/>
          <w:sz w:val="36"/>
          <w:szCs w:val="36"/>
          <w:lang w:val="en-US"/>
        </w:rPr>
      </w:pPr>
    </w:p>
    <w:p w14:paraId="7D73C7DC" w14:textId="77777777" w:rsidR="00A97BE6" w:rsidRPr="00D20B1D" w:rsidRDefault="00A97BE6" w:rsidP="00A97BE6">
      <w:pPr>
        <w:jc w:val="center"/>
        <w:rPr>
          <w:b/>
          <w:bCs/>
          <w:color w:val="002060"/>
          <w:sz w:val="36"/>
          <w:szCs w:val="36"/>
          <w:lang w:val="en-US"/>
        </w:rPr>
      </w:pPr>
    </w:p>
    <w:p w14:paraId="60422E8D" w14:textId="77777777" w:rsidR="00A97BE6" w:rsidRPr="00D20B1D" w:rsidRDefault="00A97BE6" w:rsidP="00A97BE6">
      <w:pPr>
        <w:jc w:val="center"/>
        <w:rPr>
          <w:b/>
          <w:bCs/>
          <w:color w:val="002060"/>
          <w:sz w:val="36"/>
          <w:szCs w:val="36"/>
          <w:lang w:val="en-US"/>
        </w:rPr>
      </w:pPr>
    </w:p>
    <w:p w14:paraId="6600CC1C" w14:textId="162B3B53" w:rsidR="00A97BE6" w:rsidRPr="00D20B1D" w:rsidRDefault="00FB2B9E" w:rsidP="00A97BE6">
      <w:pPr>
        <w:jc w:val="center"/>
        <w:rPr>
          <w:b/>
          <w:bCs/>
          <w:color w:val="002060"/>
          <w:sz w:val="28"/>
          <w:szCs w:val="28"/>
          <w:lang w:val="en-US"/>
        </w:rPr>
      </w:pPr>
      <w:r>
        <w:rPr>
          <w:b/>
          <w:bCs/>
          <w:color w:val="002060"/>
          <w:sz w:val="28"/>
          <w:szCs w:val="28"/>
          <w:lang w:val="en-US"/>
        </w:rPr>
        <w:t>November</w:t>
      </w:r>
      <w:r w:rsidR="00A97BE6" w:rsidRPr="00D20B1D">
        <w:rPr>
          <w:b/>
          <w:bCs/>
          <w:color w:val="002060"/>
          <w:sz w:val="28"/>
          <w:szCs w:val="28"/>
          <w:lang w:val="en-US"/>
        </w:rPr>
        <w:t xml:space="preserve"> 2022</w:t>
      </w:r>
    </w:p>
    <w:p w14:paraId="66446380" w14:textId="68AA0854" w:rsidR="00A97BE6" w:rsidRPr="004821C1" w:rsidRDefault="00A97BE6" w:rsidP="00A97BE6">
      <w:pPr>
        <w:ind w:left="720" w:hanging="360"/>
        <w:jc w:val="both"/>
        <w:rPr>
          <w:lang w:val="en-US"/>
        </w:rPr>
      </w:pPr>
    </w:p>
    <w:p w14:paraId="6F6A52E9" w14:textId="2856F69F" w:rsidR="00785C74" w:rsidRPr="00785C74" w:rsidRDefault="00785C74" w:rsidP="00785C74">
      <w:pPr>
        <w:pBdr>
          <w:bottom w:val="single" w:sz="4" w:space="1" w:color="auto"/>
        </w:pBdr>
        <w:jc w:val="both"/>
        <w:rPr>
          <w:b/>
          <w:bCs/>
          <w:color w:val="0070C0"/>
          <w:lang w:val="en-US"/>
        </w:rPr>
      </w:pPr>
      <w:r w:rsidRPr="00785C74">
        <w:rPr>
          <w:b/>
          <w:bCs/>
          <w:color w:val="0070C0"/>
          <w:lang w:val="en-US"/>
        </w:rPr>
        <w:t xml:space="preserve">Introduction </w:t>
      </w:r>
    </w:p>
    <w:p w14:paraId="3CFA15BD" w14:textId="77777777" w:rsidR="00785C74" w:rsidRDefault="00785C74" w:rsidP="00A97BE6">
      <w:pPr>
        <w:jc w:val="both"/>
        <w:rPr>
          <w:color w:val="002060"/>
          <w:lang w:val="en-US"/>
        </w:rPr>
      </w:pPr>
    </w:p>
    <w:p w14:paraId="5CFBF61A" w14:textId="7C4DF136" w:rsidR="00A97BE6" w:rsidRDefault="004821C1" w:rsidP="00A97BE6">
      <w:pPr>
        <w:jc w:val="both"/>
        <w:rPr>
          <w:color w:val="002060"/>
          <w:lang w:val="en-GB"/>
        </w:rPr>
      </w:pPr>
      <w:r w:rsidRPr="00A847FF">
        <w:rPr>
          <w:color w:val="002060"/>
          <w:lang w:val="en-US"/>
        </w:rPr>
        <w:t>1. The International Association for Human Rights Advocacy in Geneva (</w:t>
      </w:r>
      <w:r>
        <w:rPr>
          <w:color w:val="002060"/>
          <w:lang w:val="en-US"/>
        </w:rPr>
        <w:t xml:space="preserve">hereafter </w:t>
      </w:r>
      <w:r w:rsidRPr="00A847FF">
        <w:rPr>
          <w:color w:val="002060"/>
          <w:lang w:val="en-US"/>
        </w:rPr>
        <w:t>IAHRAG)</w:t>
      </w:r>
      <w:r>
        <w:rPr>
          <w:color w:val="002060"/>
          <w:lang w:val="en-US"/>
        </w:rPr>
        <w:t xml:space="preserve"> welcomed the call for input of the new Special Rapporteur </w:t>
      </w:r>
      <w:r w:rsidRPr="004821C1">
        <w:rPr>
          <w:color w:val="002060"/>
          <w:lang w:val="en-US"/>
        </w:rPr>
        <w:t xml:space="preserve">on torture and other cruel, </w:t>
      </w:r>
      <w:proofErr w:type="gramStart"/>
      <w:r w:rsidRPr="004821C1">
        <w:rPr>
          <w:color w:val="002060"/>
          <w:lang w:val="en-US"/>
        </w:rPr>
        <w:t>inhuman</w:t>
      </w:r>
      <w:proofErr w:type="gramEnd"/>
      <w:r w:rsidRPr="004821C1">
        <w:rPr>
          <w:color w:val="002060"/>
          <w:lang w:val="en-US"/>
        </w:rPr>
        <w:t xml:space="preserve"> or degrading treatment or punishment</w:t>
      </w:r>
      <w:r>
        <w:rPr>
          <w:color w:val="002060"/>
          <w:lang w:val="en-US"/>
        </w:rPr>
        <w:t xml:space="preserve"> (hereafter the Special Rapporteur) and seize</w:t>
      </w:r>
      <w:r w:rsidR="006550C6">
        <w:rPr>
          <w:color w:val="002060"/>
          <w:lang w:val="en-US"/>
        </w:rPr>
        <w:t>s</w:t>
      </w:r>
      <w:r>
        <w:rPr>
          <w:color w:val="002060"/>
          <w:lang w:val="en-US"/>
        </w:rPr>
        <w:t xml:space="preserve"> the opportunity of this report to extend its sincere congratulations and </w:t>
      </w:r>
      <w:r w:rsidRPr="00DD14B5">
        <w:rPr>
          <w:color w:val="002060"/>
          <w:lang w:val="en-GB"/>
        </w:rPr>
        <w:t>wish</w:t>
      </w:r>
      <w:r>
        <w:rPr>
          <w:color w:val="002060"/>
          <w:lang w:val="en-GB"/>
        </w:rPr>
        <w:t>es</w:t>
      </w:r>
      <w:r w:rsidRPr="00DD14B5">
        <w:rPr>
          <w:color w:val="002060"/>
          <w:lang w:val="en-GB"/>
        </w:rPr>
        <w:t xml:space="preserve"> </w:t>
      </w:r>
      <w:r>
        <w:rPr>
          <w:color w:val="002060"/>
          <w:lang w:val="en-GB"/>
        </w:rPr>
        <w:t>for</w:t>
      </w:r>
      <w:r w:rsidRPr="00DD14B5">
        <w:rPr>
          <w:color w:val="002060"/>
          <w:lang w:val="en-GB"/>
        </w:rPr>
        <w:t xml:space="preserve"> every success in carrying out these important responsibilities.</w:t>
      </w:r>
    </w:p>
    <w:p w14:paraId="2825B2C8" w14:textId="00EE20B7" w:rsidR="004821C1" w:rsidRDefault="004821C1" w:rsidP="00A97BE6">
      <w:pPr>
        <w:jc w:val="both"/>
        <w:rPr>
          <w:lang w:val="en-GB"/>
        </w:rPr>
      </w:pPr>
    </w:p>
    <w:p w14:paraId="4A69BF48" w14:textId="05AC1A0B" w:rsidR="004821C1" w:rsidRPr="00CF7A9C" w:rsidRDefault="004821C1" w:rsidP="00A97BE6">
      <w:pPr>
        <w:jc w:val="both"/>
        <w:rPr>
          <w:color w:val="002060"/>
          <w:lang w:val="en-US"/>
        </w:rPr>
      </w:pPr>
      <w:r w:rsidRPr="004821C1">
        <w:rPr>
          <w:color w:val="002060"/>
          <w:lang w:val="en-US"/>
        </w:rPr>
        <w:t xml:space="preserve">2. </w:t>
      </w:r>
      <w:r>
        <w:rPr>
          <w:color w:val="002060"/>
          <w:lang w:val="en-US"/>
        </w:rPr>
        <w:t xml:space="preserve">IAHRAG </w:t>
      </w:r>
      <w:r w:rsidRPr="00A847FF">
        <w:rPr>
          <w:color w:val="002060"/>
          <w:lang w:val="en-US"/>
        </w:rPr>
        <w:t xml:space="preserve">is a Swiss-based NGO that has been created in 2017. The purpose of the organization is to assist, support, guide and sustain victims of human rights violations. One of its main sources of concerns as well as activities are the violations of human rights in Turkey. </w:t>
      </w:r>
      <w:r>
        <w:rPr>
          <w:color w:val="002060"/>
          <w:lang w:val="en-US"/>
        </w:rPr>
        <w:t xml:space="preserve">As such, </w:t>
      </w:r>
      <w:r w:rsidRPr="00A847FF">
        <w:rPr>
          <w:color w:val="002060"/>
          <w:lang w:val="en-US"/>
        </w:rPr>
        <w:t xml:space="preserve">IAHRAG </w:t>
      </w:r>
      <w:r w:rsidR="00DF09E7" w:rsidRPr="00DF09E7">
        <w:rPr>
          <w:color w:val="002060"/>
          <w:lang w:val="en-US"/>
        </w:rPr>
        <w:t>receives</w:t>
      </w:r>
      <w:r w:rsidR="00CF7A9C">
        <w:rPr>
          <w:color w:val="002060"/>
          <w:lang w:val="en-US"/>
        </w:rPr>
        <w:t xml:space="preserve"> requests for support</w:t>
      </w:r>
      <w:r w:rsidRPr="00A847FF">
        <w:rPr>
          <w:color w:val="002060"/>
          <w:lang w:val="en-US"/>
        </w:rPr>
        <w:t xml:space="preserve"> from various victims in Turkey.</w:t>
      </w:r>
    </w:p>
    <w:p w14:paraId="12A7D407" w14:textId="4B7DC032" w:rsidR="00A97BE6" w:rsidRPr="004821C1" w:rsidRDefault="00A97BE6" w:rsidP="00A97BE6">
      <w:pPr>
        <w:jc w:val="both"/>
        <w:rPr>
          <w:lang w:val="en-US"/>
        </w:rPr>
      </w:pPr>
    </w:p>
    <w:p w14:paraId="32432C16" w14:textId="5388F4D1" w:rsidR="00A97BE6" w:rsidRDefault="004821C1" w:rsidP="00A97BE6">
      <w:pPr>
        <w:jc w:val="both"/>
        <w:rPr>
          <w:color w:val="002060"/>
          <w:lang w:val="en-US"/>
        </w:rPr>
      </w:pPr>
      <w:r w:rsidRPr="004821C1">
        <w:rPr>
          <w:color w:val="002060"/>
          <w:lang w:val="en-US"/>
        </w:rPr>
        <w:t xml:space="preserve">3. IAHRAG is </w:t>
      </w:r>
      <w:r>
        <w:rPr>
          <w:color w:val="002060"/>
          <w:lang w:val="en-US"/>
        </w:rPr>
        <w:t>conscious o</w:t>
      </w:r>
      <w:r w:rsidR="00B00199">
        <w:rPr>
          <w:color w:val="002060"/>
          <w:lang w:val="en-US"/>
        </w:rPr>
        <w:t>f</w:t>
      </w:r>
      <w:r>
        <w:rPr>
          <w:color w:val="002060"/>
          <w:lang w:val="en-US"/>
        </w:rPr>
        <w:t xml:space="preserve"> the global character of this call for input. It will</w:t>
      </w:r>
      <w:r w:rsidR="00CF7A9C">
        <w:rPr>
          <w:color w:val="002060"/>
          <w:lang w:val="en-US"/>
        </w:rPr>
        <w:t>,</w:t>
      </w:r>
      <w:r>
        <w:rPr>
          <w:color w:val="002060"/>
          <w:lang w:val="en-US"/>
        </w:rPr>
        <w:t xml:space="preserve"> however</w:t>
      </w:r>
      <w:r w:rsidR="00CF7A9C">
        <w:rPr>
          <w:color w:val="002060"/>
          <w:lang w:val="en-US"/>
        </w:rPr>
        <w:t>,</w:t>
      </w:r>
      <w:r>
        <w:rPr>
          <w:color w:val="002060"/>
          <w:lang w:val="en-US"/>
        </w:rPr>
        <w:t xml:space="preserve"> bring to the attention of the Special Rapporteur legal and factual elements of consideration regarding Turkey. Keeping in mind the global character of this call for input, IAHRAG firmly believes that those examples </w:t>
      </w:r>
      <w:r w:rsidRPr="00DF09E7">
        <w:rPr>
          <w:color w:val="002060"/>
          <w:lang w:val="en-US"/>
        </w:rPr>
        <w:t xml:space="preserve">are </w:t>
      </w:r>
      <w:r w:rsidR="00DF09E7" w:rsidRPr="00DF09E7">
        <w:rPr>
          <w:color w:val="002060"/>
          <w:lang w:val="en-US"/>
        </w:rPr>
        <w:t xml:space="preserve">crucial </w:t>
      </w:r>
      <w:r w:rsidR="00CF7A9C" w:rsidRPr="00DF09E7">
        <w:rPr>
          <w:color w:val="002060"/>
          <w:lang w:val="en-US"/>
        </w:rPr>
        <w:t>for</w:t>
      </w:r>
      <w:r w:rsidR="00CF7A9C" w:rsidRPr="00CF7A9C">
        <w:rPr>
          <w:color w:val="002060"/>
          <w:lang w:val="en-US"/>
        </w:rPr>
        <w:t xml:space="preserve"> assessing the challenges in implementing the obligation to investigate crimes of torture in the context of authoritarian regimes</w:t>
      </w:r>
      <w:r>
        <w:rPr>
          <w:color w:val="002060"/>
          <w:lang w:val="en-US"/>
        </w:rPr>
        <w:t>. In addition, Turkey is an excellent example</w:t>
      </w:r>
      <w:r w:rsidR="00DF09E7">
        <w:rPr>
          <w:color w:val="002060"/>
          <w:lang w:val="en-US"/>
        </w:rPr>
        <w:t xml:space="preserve"> </w:t>
      </w:r>
      <w:r w:rsidR="00746D0A" w:rsidRPr="00DF09E7">
        <w:rPr>
          <w:color w:val="002060"/>
          <w:lang w:val="en-US"/>
        </w:rPr>
        <w:t>given that all relevant stakeholders have observed the return of systematic torture in the country</w:t>
      </w:r>
      <w:r>
        <w:rPr>
          <w:color w:val="002060"/>
          <w:lang w:val="en-US"/>
        </w:rPr>
        <w:t>.</w:t>
      </w:r>
      <w:r>
        <w:rPr>
          <w:rStyle w:val="Appelnotedebasdep"/>
          <w:color w:val="002060"/>
          <w:lang w:val="en-US"/>
        </w:rPr>
        <w:footnoteReference w:id="1"/>
      </w:r>
      <w:r>
        <w:rPr>
          <w:color w:val="002060"/>
          <w:lang w:val="en-US"/>
        </w:rPr>
        <w:t xml:space="preserve"> </w:t>
      </w:r>
      <w:r w:rsidR="005E4C78">
        <w:rPr>
          <w:color w:val="002060"/>
          <w:lang w:val="en-US"/>
        </w:rPr>
        <w:t xml:space="preserve">The former High Commissioner for Human Rights, Mr. </w:t>
      </w:r>
      <w:proofErr w:type="spellStart"/>
      <w:r w:rsidR="005E4C78">
        <w:rPr>
          <w:color w:val="002060"/>
          <w:lang w:val="en-US"/>
        </w:rPr>
        <w:t>Zeid</w:t>
      </w:r>
      <w:proofErr w:type="spellEnd"/>
      <w:r w:rsidR="005E4C78">
        <w:rPr>
          <w:color w:val="002060"/>
          <w:lang w:val="en-US"/>
        </w:rPr>
        <w:t xml:space="preserve"> </w:t>
      </w:r>
      <w:proofErr w:type="spellStart"/>
      <w:r w:rsidR="005E4C78">
        <w:rPr>
          <w:color w:val="002060"/>
          <w:lang w:val="en-US"/>
        </w:rPr>
        <w:t>Ra’ad</w:t>
      </w:r>
      <w:proofErr w:type="spellEnd"/>
      <w:r w:rsidR="005E4C78">
        <w:rPr>
          <w:color w:val="002060"/>
          <w:lang w:val="en-US"/>
        </w:rPr>
        <w:t xml:space="preserve"> Al Hussein, called Turkey in July 2016 to “</w:t>
      </w:r>
      <w:r w:rsidR="005E4C78" w:rsidRPr="00785C74">
        <w:rPr>
          <w:i/>
          <w:iCs/>
          <w:color w:val="002060"/>
          <w:lang w:val="en-US"/>
        </w:rPr>
        <w:t>not turn back the clock on human rights</w:t>
      </w:r>
      <w:r w:rsidR="005E4C78">
        <w:rPr>
          <w:color w:val="002060"/>
          <w:lang w:val="en-US"/>
        </w:rPr>
        <w:t>”.</w:t>
      </w:r>
      <w:r w:rsidR="005E4C78">
        <w:rPr>
          <w:rStyle w:val="Appelnotedebasdep"/>
          <w:color w:val="002060"/>
          <w:lang w:val="en-US"/>
        </w:rPr>
        <w:footnoteReference w:id="2"/>
      </w:r>
      <w:r w:rsidR="005E4C78">
        <w:rPr>
          <w:color w:val="002060"/>
          <w:lang w:val="en-US"/>
        </w:rPr>
        <w:t xml:space="preserve"> Six years after July 2016, Turkey is unfortunately showing all indicators of a major human rights setback, the withdrawal from the Istanbul Convention in March 2021 being one of the strongest evidence. </w:t>
      </w:r>
    </w:p>
    <w:p w14:paraId="77F4B204" w14:textId="015E2DC8" w:rsidR="004821C1" w:rsidRDefault="004821C1" w:rsidP="00A97BE6">
      <w:pPr>
        <w:jc w:val="both"/>
        <w:rPr>
          <w:color w:val="002060"/>
          <w:lang w:val="en-US"/>
        </w:rPr>
      </w:pPr>
    </w:p>
    <w:p w14:paraId="150EFB8B" w14:textId="18451CFD" w:rsidR="004821C1" w:rsidRDefault="004821C1" w:rsidP="00A97BE6">
      <w:pPr>
        <w:jc w:val="both"/>
        <w:rPr>
          <w:color w:val="002060"/>
          <w:lang w:val="en-US"/>
        </w:rPr>
      </w:pPr>
      <w:r>
        <w:rPr>
          <w:color w:val="002060"/>
          <w:lang w:val="en-US"/>
        </w:rPr>
        <w:t xml:space="preserve">4. On the ground of the </w:t>
      </w:r>
      <w:r w:rsidR="005E4C78">
        <w:rPr>
          <w:color w:val="002060"/>
          <w:lang w:val="en-US"/>
        </w:rPr>
        <w:t>various individual torture cases IAHRAG is following before treaty bodies or special procedures, the report will address: (a) the crucial importance of institutions to ensure independent and impartial investigations; (b)</w:t>
      </w:r>
      <w:r w:rsidR="00785C74">
        <w:rPr>
          <w:color w:val="002060"/>
          <w:lang w:val="en-US"/>
        </w:rPr>
        <w:t xml:space="preserve"> the intangibility of the duty to investigate crimes of torture, including in state of emergency context; </w:t>
      </w:r>
      <w:r w:rsidR="001C1262">
        <w:rPr>
          <w:color w:val="002060"/>
          <w:lang w:val="en-US"/>
        </w:rPr>
        <w:t xml:space="preserve">and </w:t>
      </w:r>
      <w:r w:rsidR="00785C74">
        <w:rPr>
          <w:color w:val="002060"/>
          <w:lang w:val="en-US"/>
        </w:rPr>
        <w:t>(c)</w:t>
      </w:r>
      <w:r w:rsidR="005E4C78">
        <w:rPr>
          <w:color w:val="002060"/>
          <w:lang w:val="en-US"/>
        </w:rPr>
        <w:t xml:space="preserve"> the crucial importance of repealing any legal provision providing impunities to torture perpetrators</w:t>
      </w:r>
      <w:r w:rsidR="001C1262">
        <w:rPr>
          <w:color w:val="002060"/>
          <w:lang w:val="en-US"/>
        </w:rPr>
        <w:t>.</w:t>
      </w:r>
      <w:r w:rsidR="005E4C78">
        <w:rPr>
          <w:color w:val="002060"/>
          <w:lang w:val="en-US"/>
        </w:rPr>
        <w:t xml:space="preserve"> On a more global basis, the report will address (</w:t>
      </w:r>
      <w:r w:rsidR="006550C6">
        <w:rPr>
          <w:color w:val="002060"/>
          <w:lang w:val="en-US"/>
        </w:rPr>
        <w:t>d</w:t>
      </w:r>
      <w:r w:rsidR="005E4C78">
        <w:rPr>
          <w:color w:val="002060"/>
          <w:lang w:val="en-US"/>
        </w:rPr>
        <w:t xml:space="preserve">) “innovative” options </w:t>
      </w:r>
      <w:r w:rsidR="005E4C78" w:rsidRPr="005E4C78">
        <w:rPr>
          <w:color w:val="002060"/>
          <w:lang w:val="en-US"/>
        </w:rPr>
        <w:t>when facing authoritarian regimes unwilling to provide remedies for cases of torture or situations of systematic use of torture.</w:t>
      </w:r>
    </w:p>
    <w:p w14:paraId="335CB258" w14:textId="0632A474" w:rsidR="00785C74" w:rsidRDefault="00785C74" w:rsidP="00A97BE6">
      <w:pPr>
        <w:jc w:val="both"/>
        <w:rPr>
          <w:color w:val="002060"/>
          <w:lang w:val="en-US"/>
        </w:rPr>
      </w:pPr>
    </w:p>
    <w:p w14:paraId="5FDB9862" w14:textId="2C4D010A" w:rsidR="00785C74" w:rsidRDefault="00785C74" w:rsidP="00A97BE6">
      <w:pPr>
        <w:jc w:val="both"/>
        <w:rPr>
          <w:color w:val="002060"/>
          <w:lang w:val="en-US"/>
        </w:rPr>
      </w:pPr>
      <w:r>
        <w:rPr>
          <w:color w:val="002060"/>
          <w:lang w:val="en-US"/>
        </w:rPr>
        <w:t>5. Although not directly related to the duty to investigate, IAHRAG, based on its expertise of the Turkish context, invites the Special Rapporteur to include in her next report, some elements of preventive nature such as: (a) global ratification of the Optional Protocol to the Convention against Torture and other Cruel, Inhuman or Degrading Treatment or Punishment (hereafter OPCAT); (b) full implementation of the OPCAT for States that are already parties</w:t>
      </w:r>
      <w:r>
        <w:rPr>
          <w:rStyle w:val="Appelnotedebasdep"/>
          <w:color w:val="002060"/>
          <w:lang w:val="en-US"/>
        </w:rPr>
        <w:footnoteReference w:id="3"/>
      </w:r>
      <w:r>
        <w:rPr>
          <w:color w:val="002060"/>
          <w:lang w:val="en-US"/>
        </w:rPr>
        <w:t xml:space="preserve">; (c) </w:t>
      </w:r>
      <w:r>
        <w:rPr>
          <w:color w:val="002060"/>
          <w:lang w:val="en-US"/>
        </w:rPr>
        <w:lastRenderedPageBreak/>
        <w:t>authorization of publicity of the Subcommittee on Prevention of Torture</w:t>
      </w:r>
      <w:r>
        <w:rPr>
          <w:rStyle w:val="Appelnotedebasdep"/>
          <w:color w:val="002060"/>
          <w:lang w:val="en-US"/>
        </w:rPr>
        <w:footnoteReference w:id="4"/>
      </w:r>
      <w:r>
        <w:rPr>
          <w:color w:val="002060"/>
          <w:lang w:val="en-US"/>
        </w:rPr>
        <w:t>; and (d) systematic condemnation and prosecution of public speech lauding impunity for acts of torture.</w:t>
      </w:r>
      <w:r>
        <w:rPr>
          <w:rStyle w:val="Appelnotedebasdep"/>
          <w:color w:val="002060"/>
          <w:lang w:val="en-US"/>
        </w:rPr>
        <w:footnoteReference w:id="5"/>
      </w:r>
    </w:p>
    <w:p w14:paraId="34B0FD5C" w14:textId="78565E05" w:rsidR="00A97BE6" w:rsidRDefault="00A97BE6" w:rsidP="00A97BE6">
      <w:pPr>
        <w:jc w:val="both"/>
        <w:rPr>
          <w:lang w:val="en-US"/>
        </w:rPr>
      </w:pPr>
    </w:p>
    <w:p w14:paraId="61A61A1E" w14:textId="1C2ACF1F" w:rsidR="004821C1" w:rsidRPr="00785C74" w:rsidRDefault="004821C1" w:rsidP="00785C74">
      <w:pPr>
        <w:pStyle w:val="Paragraphedeliste"/>
        <w:numPr>
          <w:ilvl w:val="0"/>
          <w:numId w:val="33"/>
        </w:numPr>
        <w:pBdr>
          <w:bottom w:val="single" w:sz="4" w:space="1" w:color="auto"/>
        </w:pBdr>
        <w:jc w:val="both"/>
        <w:rPr>
          <w:b/>
          <w:bCs/>
          <w:color w:val="0070C0"/>
          <w:lang w:val="en-US"/>
        </w:rPr>
      </w:pPr>
      <w:r w:rsidRPr="00785C74">
        <w:rPr>
          <w:b/>
          <w:bCs/>
          <w:color w:val="0070C0"/>
          <w:lang w:val="en-US"/>
        </w:rPr>
        <w:t>Crucial importance of independent and impartial institutions</w:t>
      </w:r>
    </w:p>
    <w:p w14:paraId="471BE94F" w14:textId="14D2461B" w:rsidR="005E4C78" w:rsidRDefault="005E4C78" w:rsidP="005E4C78">
      <w:pPr>
        <w:pStyle w:val="Paragraphedeliste"/>
        <w:jc w:val="both"/>
        <w:rPr>
          <w:lang w:val="en-US"/>
        </w:rPr>
      </w:pPr>
    </w:p>
    <w:p w14:paraId="61D83B72" w14:textId="543CB073" w:rsidR="005E4C78" w:rsidRPr="00785C74" w:rsidRDefault="005E4C78" w:rsidP="00785C74">
      <w:pPr>
        <w:pStyle w:val="Paragraphedeliste"/>
        <w:numPr>
          <w:ilvl w:val="0"/>
          <w:numId w:val="34"/>
        </w:numPr>
        <w:jc w:val="both"/>
        <w:rPr>
          <w:i/>
          <w:iCs/>
          <w:color w:val="0070C0"/>
          <w:lang w:val="en-US"/>
        </w:rPr>
      </w:pPr>
      <w:r w:rsidRPr="00785C74">
        <w:rPr>
          <w:i/>
          <w:iCs/>
          <w:color w:val="0070C0"/>
          <w:lang w:val="en-US"/>
        </w:rPr>
        <w:t>The role of National Human Rights Institutions</w:t>
      </w:r>
    </w:p>
    <w:p w14:paraId="038A5170" w14:textId="77777777" w:rsidR="005E4C78" w:rsidRPr="005E4C78" w:rsidRDefault="005E4C78" w:rsidP="005E4C78">
      <w:pPr>
        <w:pStyle w:val="Paragraphedeliste"/>
        <w:ind w:left="1080"/>
        <w:jc w:val="both"/>
        <w:rPr>
          <w:i/>
          <w:iCs/>
          <w:color w:val="0070C0"/>
          <w:lang w:val="en-US"/>
        </w:rPr>
      </w:pPr>
    </w:p>
    <w:p w14:paraId="75B2AAC3" w14:textId="4824E352" w:rsidR="006550C6" w:rsidRDefault="00785C74" w:rsidP="00DF09E7">
      <w:pPr>
        <w:jc w:val="both"/>
        <w:rPr>
          <w:color w:val="002060"/>
          <w:lang w:val="en-US"/>
        </w:rPr>
      </w:pPr>
      <w:r>
        <w:rPr>
          <w:color w:val="002060"/>
          <w:lang w:val="en-US"/>
        </w:rPr>
        <w:t>6</w:t>
      </w:r>
      <w:r w:rsidR="005E4C78" w:rsidRPr="005E4C78">
        <w:rPr>
          <w:color w:val="002060"/>
          <w:lang w:val="en-US"/>
        </w:rPr>
        <w:t xml:space="preserve">. </w:t>
      </w:r>
      <w:r w:rsidR="005E4C78">
        <w:rPr>
          <w:color w:val="002060"/>
          <w:lang w:val="en-US"/>
        </w:rPr>
        <w:t>In the case of Turkey, it cannot unfortunately be said that the Human Rights</w:t>
      </w:r>
      <w:r w:rsidR="00BA27F8">
        <w:rPr>
          <w:color w:val="002060"/>
          <w:lang w:val="en-US"/>
        </w:rPr>
        <w:t xml:space="preserve"> and Equality Institution meet</w:t>
      </w:r>
      <w:r w:rsidR="00B00199">
        <w:rPr>
          <w:color w:val="002060"/>
          <w:lang w:val="en-US"/>
        </w:rPr>
        <w:t>s</w:t>
      </w:r>
      <w:r w:rsidR="00BA27F8">
        <w:rPr>
          <w:color w:val="002060"/>
          <w:lang w:val="en-US"/>
        </w:rPr>
        <w:t xml:space="preserve"> the criteria of independence </w:t>
      </w:r>
      <w:r w:rsidR="006550C6">
        <w:rPr>
          <w:color w:val="002060"/>
          <w:lang w:val="en-US"/>
        </w:rPr>
        <w:t xml:space="preserve">provided in the Paris principles, </w:t>
      </w:r>
      <w:r w:rsidR="00BA27F8">
        <w:rPr>
          <w:color w:val="002060"/>
          <w:lang w:val="en-US"/>
        </w:rPr>
        <w:t>as revealed in the latest EU Commission 2022 report on Turkey.</w:t>
      </w:r>
      <w:r w:rsidR="00BA27F8">
        <w:rPr>
          <w:rStyle w:val="Appelnotedebasdep"/>
          <w:color w:val="002060"/>
          <w:lang w:val="en-US"/>
        </w:rPr>
        <w:footnoteReference w:id="6"/>
      </w:r>
      <w:r w:rsidR="00BA27F8">
        <w:rPr>
          <w:color w:val="002060"/>
          <w:lang w:val="en-US"/>
        </w:rPr>
        <w:t xml:space="preserve"> </w:t>
      </w:r>
    </w:p>
    <w:p w14:paraId="33DE9CEA" w14:textId="3E292C77" w:rsidR="00BA27F8" w:rsidRDefault="00DF09E7" w:rsidP="00BA27F8">
      <w:pPr>
        <w:spacing w:before="100" w:beforeAutospacing="1" w:after="100" w:afterAutospacing="1"/>
        <w:jc w:val="both"/>
        <w:rPr>
          <w:color w:val="002060"/>
          <w:lang w:val="en-US"/>
        </w:rPr>
      </w:pPr>
      <w:r>
        <w:rPr>
          <w:color w:val="002060"/>
          <w:lang w:val="en-US"/>
        </w:rPr>
        <w:t>7</w:t>
      </w:r>
      <w:r w:rsidR="00BA27F8">
        <w:rPr>
          <w:color w:val="002060"/>
          <w:lang w:val="en-US"/>
        </w:rPr>
        <w:t>. National Human Rights Institutions are</w:t>
      </w:r>
      <w:r w:rsidR="00746D0A">
        <w:rPr>
          <w:color w:val="002060"/>
          <w:lang w:val="en-US"/>
        </w:rPr>
        <w:t>,</w:t>
      </w:r>
      <w:r w:rsidR="00BA27F8">
        <w:rPr>
          <w:color w:val="002060"/>
          <w:lang w:val="en-US"/>
        </w:rPr>
        <w:t xml:space="preserve"> however</w:t>
      </w:r>
      <w:r w:rsidR="00746D0A">
        <w:rPr>
          <w:color w:val="002060"/>
          <w:lang w:val="en-US"/>
        </w:rPr>
        <w:t>,</w:t>
      </w:r>
      <w:r w:rsidR="00BA27F8">
        <w:rPr>
          <w:color w:val="002060"/>
          <w:lang w:val="en-US"/>
        </w:rPr>
        <w:t xml:space="preserve"> a key stakeholder to investigate allegations of torture, even more in context where the authorities are not willing to conduct effective investigations. They can notably, following instructions of the Istanbul protocol, preserve </w:t>
      </w:r>
      <w:r w:rsidR="00785C74">
        <w:rPr>
          <w:color w:val="002060"/>
          <w:lang w:val="en-US"/>
        </w:rPr>
        <w:t>evidence</w:t>
      </w:r>
      <w:r w:rsidR="00BA27F8">
        <w:rPr>
          <w:color w:val="002060"/>
          <w:lang w:val="en-US"/>
        </w:rPr>
        <w:t xml:space="preserve"> for the purpose of the future prosecution procedures.</w:t>
      </w:r>
    </w:p>
    <w:p w14:paraId="4260539C" w14:textId="25565C33" w:rsidR="0052630F" w:rsidRPr="00BA27F8" w:rsidRDefault="00DF09E7" w:rsidP="00BA27F8">
      <w:pPr>
        <w:spacing w:before="100" w:beforeAutospacing="1" w:after="100" w:afterAutospacing="1"/>
        <w:jc w:val="both"/>
        <w:rPr>
          <w:b/>
          <w:bCs/>
          <w:color w:val="767171" w:themeColor="background2" w:themeShade="80"/>
          <w:lang w:val="en-US"/>
        </w:rPr>
      </w:pPr>
      <w:r>
        <w:rPr>
          <w:b/>
          <w:bCs/>
          <w:color w:val="767171" w:themeColor="background2" w:themeShade="80"/>
          <w:lang w:val="en-US"/>
        </w:rPr>
        <w:t>8</w:t>
      </w:r>
      <w:r w:rsidR="00785C74" w:rsidRPr="00785C74">
        <w:rPr>
          <w:b/>
          <w:bCs/>
          <w:color w:val="767171" w:themeColor="background2" w:themeShade="80"/>
          <w:lang w:val="en-US"/>
        </w:rPr>
        <w:t xml:space="preserve">. IAHRAG respectfully invites the Special Rapporteur to raise the importance of independent and impartial NHRIs in her next report and to invite NHRIs to fully investigate all allegations of torture. Especially for the NHRIs operating in a context of authoritarian regimes, to train their staff to the Istanbul protocol procedures </w:t>
      </w:r>
      <w:proofErr w:type="gramStart"/>
      <w:r w:rsidR="00785C74" w:rsidRPr="00785C74">
        <w:rPr>
          <w:b/>
          <w:bCs/>
          <w:color w:val="767171" w:themeColor="background2" w:themeShade="80"/>
          <w:lang w:val="en-US"/>
        </w:rPr>
        <w:t>in order to</w:t>
      </w:r>
      <w:proofErr w:type="gramEnd"/>
      <w:r w:rsidR="00785C74" w:rsidRPr="00785C74">
        <w:rPr>
          <w:b/>
          <w:bCs/>
          <w:color w:val="767171" w:themeColor="background2" w:themeShade="80"/>
          <w:lang w:val="en-US"/>
        </w:rPr>
        <w:t xml:space="preserve"> keep </w:t>
      </w:r>
      <w:r w:rsidR="00B00199">
        <w:rPr>
          <w:b/>
          <w:bCs/>
          <w:color w:val="767171" w:themeColor="background2" w:themeShade="80"/>
          <w:lang w:val="en-US"/>
        </w:rPr>
        <w:t xml:space="preserve">record of </w:t>
      </w:r>
      <w:r w:rsidR="00785C74" w:rsidRPr="00785C74">
        <w:rPr>
          <w:b/>
          <w:bCs/>
          <w:color w:val="767171" w:themeColor="background2" w:themeShade="80"/>
          <w:lang w:val="en-US"/>
        </w:rPr>
        <w:t xml:space="preserve">all evidence available for the purpose of future prosecutions. </w:t>
      </w:r>
    </w:p>
    <w:p w14:paraId="26580001" w14:textId="6A3A4E46" w:rsidR="00BA27F8" w:rsidRPr="00785C74" w:rsidRDefault="00BA27F8" w:rsidP="00785C74">
      <w:pPr>
        <w:pStyle w:val="Paragraphedeliste"/>
        <w:numPr>
          <w:ilvl w:val="0"/>
          <w:numId w:val="34"/>
        </w:numPr>
        <w:jc w:val="both"/>
        <w:rPr>
          <w:i/>
          <w:iCs/>
          <w:color w:val="0070C0"/>
          <w:lang w:val="en-US"/>
        </w:rPr>
      </w:pPr>
      <w:r w:rsidRPr="00785C74">
        <w:rPr>
          <w:i/>
          <w:iCs/>
          <w:color w:val="0070C0"/>
          <w:lang w:val="en-US"/>
        </w:rPr>
        <w:t>The role of forensic medicine</w:t>
      </w:r>
    </w:p>
    <w:p w14:paraId="6A59B0D5" w14:textId="77777777" w:rsidR="00BA27F8" w:rsidRPr="005E4C78" w:rsidRDefault="00BA27F8" w:rsidP="005E4C78">
      <w:pPr>
        <w:jc w:val="both"/>
        <w:rPr>
          <w:color w:val="002060"/>
          <w:lang w:val="en-US"/>
        </w:rPr>
      </w:pPr>
    </w:p>
    <w:p w14:paraId="6007513F" w14:textId="08A2FE5F" w:rsidR="005E4C78" w:rsidRDefault="00DF09E7" w:rsidP="005E4C78">
      <w:pPr>
        <w:jc w:val="both"/>
        <w:rPr>
          <w:rStyle w:val="Aucun"/>
          <w:color w:val="002060"/>
          <w:u w:color="002060"/>
          <w:lang w:val="en-US"/>
        </w:rPr>
      </w:pPr>
      <w:r>
        <w:rPr>
          <w:color w:val="002060"/>
          <w:lang w:val="en-US"/>
        </w:rPr>
        <w:t>9</w:t>
      </w:r>
      <w:r w:rsidR="00785C74">
        <w:rPr>
          <w:color w:val="002060"/>
          <w:lang w:val="en-US"/>
        </w:rPr>
        <w:t>. IAHRAG would like to flag to the Special Rapporteur that there are serious concerns as to the impartiality of the medical forensic system</w:t>
      </w:r>
      <w:r w:rsidR="006550C6">
        <w:rPr>
          <w:color w:val="002060"/>
          <w:lang w:val="en-US"/>
        </w:rPr>
        <w:t xml:space="preserve"> in Turkey</w:t>
      </w:r>
      <w:r w:rsidR="00785C74">
        <w:rPr>
          <w:color w:val="002060"/>
          <w:lang w:val="en-US"/>
        </w:rPr>
        <w:t>. Based on the many interactions IAHRAG had with victims or family of victims, it appears that mandatory medical controls are far from being systematic. In addition, many victims reported the presence of police authorities when they were examined. In the case of</w:t>
      </w:r>
      <w:r w:rsidR="00785C74" w:rsidRPr="001A0DAB">
        <w:rPr>
          <w:color w:val="002060"/>
          <w:lang w:val="en-US"/>
        </w:rPr>
        <w:t xml:space="preserve"> </w:t>
      </w:r>
      <w:r w:rsidR="00785C74" w:rsidRPr="001A0DAB">
        <w:rPr>
          <w:rStyle w:val="Aucun"/>
          <w:color w:val="002060"/>
          <w:u w:color="002060"/>
          <w:lang w:val="en-US"/>
        </w:rPr>
        <w:t xml:space="preserve">Mr. </w:t>
      </w:r>
      <w:proofErr w:type="spellStart"/>
      <w:r w:rsidR="00785C74" w:rsidRPr="001A0DAB">
        <w:rPr>
          <w:rStyle w:val="Aucun"/>
          <w:color w:val="002060"/>
          <w:u w:color="002060"/>
          <w:lang w:val="en-US"/>
        </w:rPr>
        <w:t>Gökhan</w:t>
      </w:r>
      <w:proofErr w:type="spellEnd"/>
      <w:r w:rsidR="00785C74" w:rsidRPr="001A0DAB">
        <w:rPr>
          <w:rStyle w:val="Aucun"/>
          <w:color w:val="002060"/>
          <w:u w:color="002060"/>
          <w:lang w:val="en-US"/>
        </w:rPr>
        <w:t xml:space="preserve"> </w:t>
      </w:r>
      <w:proofErr w:type="spellStart"/>
      <w:r w:rsidR="00785C74" w:rsidRPr="001A0DAB">
        <w:rPr>
          <w:rStyle w:val="Aucun"/>
          <w:color w:val="002060"/>
          <w:u w:color="002060"/>
          <w:lang w:val="en-US"/>
        </w:rPr>
        <w:t>Türkmen</w:t>
      </w:r>
      <w:proofErr w:type="spellEnd"/>
      <w:r w:rsidR="00785C74" w:rsidRPr="001A0DAB">
        <w:rPr>
          <w:rStyle w:val="Aucun"/>
          <w:color w:val="002060"/>
          <w:u w:color="002060"/>
          <w:lang w:val="en-US"/>
        </w:rPr>
        <w:t xml:space="preserve">, Mr. Yasin </w:t>
      </w:r>
      <w:proofErr w:type="spellStart"/>
      <w:r w:rsidR="00785C74" w:rsidRPr="001A0DAB">
        <w:rPr>
          <w:rStyle w:val="Aucun"/>
          <w:color w:val="002060"/>
          <w:u w:color="002060"/>
          <w:lang w:val="en-US"/>
        </w:rPr>
        <w:t>Ugan</w:t>
      </w:r>
      <w:proofErr w:type="spellEnd"/>
      <w:r w:rsidR="00785C74" w:rsidRPr="001A0DAB">
        <w:rPr>
          <w:rStyle w:val="Aucun"/>
          <w:color w:val="002060"/>
          <w:u w:color="002060"/>
          <w:lang w:val="en-US"/>
        </w:rPr>
        <w:t xml:space="preserve"> and Mr. </w:t>
      </w:r>
      <w:proofErr w:type="spellStart"/>
      <w:r w:rsidR="00785C74" w:rsidRPr="001A0DAB">
        <w:rPr>
          <w:rStyle w:val="Aucun"/>
          <w:color w:val="002060"/>
          <w:u w:color="002060"/>
          <w:lang w:val="en-US"/>
        </w:rPr>
        <w:t>Hüseyin</w:t>
      </w:r>
      <w:proofErr w:type="spellEnd"/>
      <w:r w:rsidR="00785C74" w:rsidRPr="001A0DAB">
        <w:rPr>
          <w:rStyle w:val="Aucun"/>
          <w:color w:val="002060"/>
          <w:u w:color="002060"/>
          <w:lang w:val="en-US"/>
        </w:rPr>
        <w:t xml:space="preserve"> </w:t>
      </w:r>
      <w:proofErr w:type="spellStart"/>
      <w:r w:rsidR="00785C74" w:rsidRPr="001A0DAB">
        <w:rPr>
          <w:rStyle w:val="Aucun"/>
          <w:color w:val="002060"/>
          <w:u w:color="002060"/>
          <w:lang w:val="en-US"/>
        </w:rPr>
        <w:t>Kötüc</w:t>
      </w:r>
      <w:r w:rsidR="00785C74">
        <w:rPr>
          <w:rStyle w:val="Aucun"/>
          <w:color w:val="002060"/>
          <w:u w:color="002060"/>
          <w:lang w:val="en-US"/>
        </w:rPr>
        <w:t>e</w:t>
      </w:r>
      <w:proofErr w:type="spellEnd"/>
      <w:r w:rsidR="00785C74">
        <w:rPr>
          <w:rStyle w:val="Aucun"/>
          <w:color w:val="002060"/>
          <w:u w:color="002060"/>
          <w:lang w:val="en-US"/>
        </w:rPr>
        <w:t xml:space="preserve">, three victims of enforced disappearance and torture IAHRAG </w:t>
      </w:r>
      <w:proofErr w:type="gramStart"/>
      <w:r w:rsidR="00785C74">
        <w:rPr>
          <w:rStyle w:val="Aucun"/>
          <w:color w:val="002060"/>
          <w:u w:color="002060"/>
          <w:lang w:val="en-US"/>
        </w:rPr>
        <w:t>is</w:t>
      </w:r>
      <w:proofErr w:type="gramEnd"/>
      <w:r w:rsidR="00785C74">
        <w:rPr>
          <w:rStyle w:val="Aucun"/>
          <w:color w:val="002060"/>
          <w:u w:color="002060"/>
          <w:lang w:val="en-US"/>
        </w:rPr>
        <w:t xml:space="preserve"> following, they were never properly examined by a doctor and the lawyers’ request to appoint a private doctor to report on ill-treatment or torture were always denied. The victims with whom we have been in contact who received a medical examination reported that the final medical report was sloppy and superficial.</w:t>
      </w:r>
    </w:p>
    <w:p w14:paraId="2F7EE722" w14:textId="3275C464" w:rsidR="00785C74" w:rsidRDefault="00785C74" w:rsidP="005E4C78">
      <w:pPr>
        <w:jc w:val="both"/>
        <w:rPr>
          <w:rStyle w:val="Aucun"/>
          <w:color w:val="002060"/>
          <w:u w:color="002060"/>
          <w:lang w:val="en-US"/>
        </w:rPr>
      </w:pPr>
    </w:p>
    <w:p w14:paraId="6AFBFD47" w14:textId="705A4443" w:rsidR="00785C74" w:rsidRDefault="00DF09E7" w:rsidP="005E4C78">
      <w:pPr>
        <w:jc w:val="both"/>
        <w:rPr>
          <w:rStyle w:val="Aucun"/>
          <w:color w:val="002060"/>
          <w:u w:color="002060"/>
          <w:lang w:val="en-US"/>
        </w:rPr>
      </w:pPr>
      <w:r>
        <w:rPr>
          <w:rStyle w:val="Aucun"/>
          <w:color w:val="002060"/>
          <w:u w:color="002060"/>
          <w:lang w:val="en-US"/>
        </w:rPr>
        <w:t>10</w:t>
      </w:r>
      <w:r w:rsidR="00785C74">
        <w:rPr>
          <w:rStyle w:val="Aucun"/>
          <w:color w:val="002060"/>
          <w:u w:color="002060"/>
          <w:lang w:val="en-US"/>
        </w:rPr>
        <w:t xml:space="preserve">. In addition, at least for politically targeted groups, such as Kurdish or Hizmet Movement Supporter or leftists, there are more and more allegations of bias and a culture of complacency </w:t>
      </w:r>
      <w:r w:rsidR="00785C74">
        <w:rPr>
          <w:rStyle w:val="Aucun"/>
          <w:color w:val="002060"/>
          <w:u w:color="002060"/>
          <w:lang w:val="en-US"/>
        </w:rPr>
        <w:lastRenderedPageBreak/>
        <w:t>in the forensic medical system. The last public report from the CPT supports this view.</w:t>
      </w:r>
      <w:r w:rsidR="00785C74">
        <w:rPr>
          <w:rStyle w:val="Appelnotedebasdep"/>
          <w:color w:val="002060"/>
          <w:u w:color="002060"/>
          <w:lang w:val="en-US"/>
        </w:rPr>
        <w:footnoteReference w:id="7"/>
      </w:r>
      <w:r w:rsidR="00785C74">
        <w:rPr>
          <w:rStyle w:val="Aucun"/>
          <w:color w:val="002060"/>
          <w:u w:color="002060"/>
          <w:lang w:val="en-US"/>
        </w:rPr>
        <w:t xml:space="preserve"> The claims around the bias and impartiality in the system are getting more and more public.</w:t>
      </w:r>
      <w:r w:rsidR="00785C74">
        <w:rPr>
          <w:rStyle w:val="Appelnotedebasdep"/>
          <w:color w:val="002060"/>
          <w:u w:color="002060"/>
          <w:lang w:val="en-US"/>
        </w:rPr>
        <w:footnoteReference w:id="8"/>
      </w:r>
    </w:p>
    <w:p w14:paraId="4188B0C9" w14:textId="5E3E0271" w:rsidR="00785C74" w:rsidRDefault="00785C74" w:rsidP="005E4C78">
      <w:pPr>
        <w:jc w:val="both"/>
        <w:rPr>
          <w:rStyle w:val="Aucun"/>
          <w:color w:val="002060"/>
          <w:u w:color="002060"/>
          <w:lang w:val="en-US"/>
        </w:rPr>
      </w:pPr>
    </w:p>
    <w:p w14:paraId="4130F9EF" w14:textId="364B95E2" w:rsidR="00785C74" w:rsidRDefault="00DF09E7" w:rsidP="00BE6126">
      <w:pPr>
        <w:jc w:val="both"/>
        <w:rPr>
          <w:rFonts w:ascii="Arial" w:hAnsi="Arial" w:cs="Arial"/>
          <w:color w:val="404040"/>
          <w:sz w:val="30"/>
          <w:szCs w:val="30"/>
          <w:shd w:val="clear" w:color="auto" w:fill="FFFFFF"/>
          <w:lang w:val="en-US"/>
        </w:rPr>
      </w:pPr>
      <w:r>
        <w:rPr>
          <w:rStyle w:val="Aucun"/>
          <w:color w:val="002060"/>
          <w:u w:color="002060"/>
          <w:lang w:val="en-US"/>
        </w:rPr>
        <w:t>11</w:t>
      </w:r>
      <w:r w:rsidR="00785C74">
        <w:rPr>
          <w:rStyle w:val="Aucun"/>
          <w:color w:val="002060"/>
          <w:u w:color="002060"/>
          <w:lang w:val="en-US"/>
        </w:rPr>
        <w:t xml:space="preserve">. IAHRAG has been pleased that the Special Rapporteur joined the Urgent Appeal on the case of Ms. </w:t>
      </w:r>
      <w:proofErr w:type="spellStart"/>
      <w:r w:rsidR="00785C74" w:rsidRPr="00785C74">
        <w:rPr>
          <w:rStyle w:val="Aucun"/>
          <w:color w:val="002060"/>
          <w:u w:color="002060"/>
          <w:lang w:val="en-US"/>
        </w:rPr>
        <w:t>Sebnem</w:t>
      </w:r>
      <w:proofErr w:type="spellEnd"/>
      <w:r w:rsidR="00785C74" w:rsidRPr="00785C74">
        <w:rPr>
          <w:rStyle w:val="Aucun"/>
          <w:color w:val="002060"/>
          <w:u w:color="002060"/>
          <w:lang w:val="en-US"/>
        </w:rPr>
        <w:t xml:space="preserve"> </w:t>
      </w:r>
      <w:proofErr w:type="spellStart"/>
      <w:r w:rsidR="00785C74" w:rsidRPr="00785C74">
        <w:rPr>
          <w:rStyle w:val="Aucun"/>
          <w:color w:val="002060"/>
          <w:u w:color="002060"/>
          <w:lang w:val="en-US"/>
        </w:rPr>
        <w:t>Korur</w:t>
      </w:r>
      <w:proofErr w:type="spellEnd"/>
      <w:r w:rsidR="00785C74" w:rsidRPr="00785C74">
        <w:rPr>
          <w:rStyle w:val="Aucun"/>
          <w:color w:val="002060"/>
          <w:u w:color="002060"/>
          <w:lang w:val="en-US"/>
        </w:rPr>
        <w:t xml:space="preserve"> </w:t>
      </w:r>
      <w:proofErr w:type="spellStart"/>
      <w:r w:rsidR="00785C74" w:rsidRPr="00785C74">
        <w:rPr>
          <w:rStyle w:val="Aucun"/>
          <w:color w:val="002060"/>
          <w:u w:color="002060"/>
          <w:lang w:val="en-US"/>
        </w:rPr>
        <w:t>Fincancı</w:t>
      </w:r>
      <w:proofErr w:type="spellEnd"/>
      <w:r w:rsidR="00BE6126">
        <w:rPr>
          <w:rStyle w:val="Aucun"/>
          <w:color w:val="002060"/>
          <w:u w:color="002060"/>
          <w:lang w:val="en-US"/>
        </w:rPr>
        <w:t>,</w:t>
      </w:r>
      <w:r w:rsidR="00785C74">
        <w:rPr>
          <w:rStyle w:val="Appelnotedebasdep"/>
          <w:color w:val="002060"/>
          <w:u w:color="002060"/>
          <w:lang w:val="en-US"/>
        </w:rPr>
        <w:footnoteReference w:id="9"/>
      </w:r>
      <w:r w:rsidR="00785C74" w:rsidRPr="00785C74">
        <w:rPr>
          <w:rStyle w:val="Aucun"/>
          <w:color w:val="002060"/>
          <w:u w:color="002060"/>
          <w:lang w:val="en-US"/>
        </w:rPr>
        <w:t xml:space="preserve"> a </w:t>
      </w:r>
      <w:r w:rsidR="00BE6126" w:rsidRPr="00785C74">
        <w:rPr>
          <w:rStyle w:val="Aucun"/>
          <w:color w:val="002060"/>
          <w:u w:color="002060"/>
          <w:lang w:val="en-US"/>
        </w:rPr>
        <w:t>recognized</w:t>
      </w:r>
      <w:r w:rsidR="00785C74" w:rsidRPr="00785C74">
        <w:rPr>
          <w:rStyle w:val="Aucun"/>
          <w:color w:val="002060"/>
          <w:u w:color="002060"/>
          <w:lang w:val="en-US"/>
        </w:rPr>
        <w:t xml:space="preserve"> forensic medical practitioner and anti-torture expert</w:t>
      </w:r>
      <w:r w:rsidR="00785C74">
        <w:rPr>
          <w:rStyle w:val="Aucun"/>
          <w:color w:val="002060"/>
          <w:u w:color="002060"/>
          <w:lang w:val="en-US"/>
        </w:rPr>
        <w:t xml:space="preserve">, who has been arbitrarily detained following the abuse of anti-terror legislation. Ms. </w:t>
      </w:r>
      <w:proofErr w:type="spellStart"/>
      <w:r w:rsidR="00785C74" w:rsidRPr="00785C74">
        <w:rPr>
          <w:rStyle w:val="Aucun"/>
          <w:color w:val="002060"/>
          <w:u w:color="002060"/>
          <w:lang w:val="en-US"/>
        </w:rPr>
        <w:t>Sebnem</w:t>
      </w:r>
      <w:proofErr w:type="spellEnd"/>
      <w:r w:rsidR="00785C74" w:rsidRPr="00785C74">
        <w:rPr>
          <w:rStyle w:val="Aucun"/>
          <w:color w:val="002060"/>
          <w:u w:color="002060"/>
          <w:lang w:val="en-US"/>
        </w:rPr>
        <w:t xml:space="preserve"> </w:t>
      </w:r>
      <w:proofErr w:type="spellStart"/>
      <w:r w:rsidR="00785C74" w:rsidRPr="00785C74">
        <w:rPr>
          <w:rStyle w:val="Aucun"/>
          <w:color w:val="002060"/>
          <w:u w:color="002060"/>
          <w:lang w:val="en-US"/>
        </w:rPr>
        <w:t>Korur</w:t>
      </w:r>
      <w:proofErr w:type="spellEnd"/>
      <w:r w:rsidR="00785C74" w:rsidRPr="00785C74">
        <w:rPr>
          <w:rStyle w:val="Aucun"/>
          <w:color w:val="002060"/>
          <w:u w:color="002060"/>
          <w:lang w:val="en-US"/>
        </w:rPr>
        <w:t xml:space="preserve"> </w:t>
      </w:r>
      <w:proofErr w:type="spellStart"/>
      <w:r w:rsidR="00785C74" w:rsidRPr="00785C74">
        <w:rPr>
          <w:rStyle w:val="Aucun"/>
          <w:color w:val="002060"/>
          <w:u w:color="002060"/>
          <w:lang w:val="en-US"/>
        </w:rPr>
        <w:t>Fincancı</w:t>
      </w:r>
      <w:proofErr w:type="spellEnd"/>
      <w:r w:rsidR="00785C74">
        <w:rPr>
          <w:rStyle w:val="Aucun"/>
          <w:color w:val="002060"/>
          <w:u w:color="002060"/>
          <w:lang w:val="en-US"/>
        </w:rPr>
        <w:t xml:space="preserve"> was also the President of the Turkish Medical Association. She was dismissed from her position following a prosecutor request and a new leadership will be soon designated. </w:t>
      </w:r>
      <w:r w:rsidR="00785C74" w:rsidRPr="00785C74">
        <w:rPr>
          <w:rStyle w:val="Aucun"/>
          <w:color w:val="002060"/>
          <w:u w:color="002060"/>
          <w:lang w:val="en-US"/>
        </w:rPr>
        <w:t xml:space="preserve">The TMA and its president were attacked in the media in the days preceding the arrest, including by President Recep Tayyip </w:t>
      </w:r>
      <w:proofErr w:type="spellStart"/>
      <w:r w:rsidR="00785C74" w:rsidRPr="00785C74">
        <w:rPr>
          <w:rStyle w:val="Aucun"/>
          <w:color w:val="002060"/>
          <w:u w:color="002060"/>
          <w:lang w:val="en-US"/>
        </w:rPr>
        <w:t>Erdoğan</w:t>
      </w:r>
      <w:proofErr w:type="spellEnd"/>
      <w:r w:rsidR="00B00199">
        <w:rPr>
          <w:rStyle w:val="Aucun"/>
          <w:color w:val="002060"/>
          <w:u w:color="002060"/>
          <w:lang w:val="en-US"/>
        </w:rPr>
        <w:t xml:space="preserve"> </w:t>
      </w:r>
      <w:r w:rsidR="005C1650">
        <w:rPr>
          <w:rStyle w:val="Aucun"/>
          <w:color w:val="002060"/>
          <w:u w:color="002060"/>
          <w:lang w:val="en-US"/>
        </w:rPr>
        <w:t>who</w:t>
      </w:r>
      <w:r w:rsidR="00785C74" w:rsidRPr="00785C74">
        <w:rPr>
          <w:rStyle w:val="Aucun"/>
          <w:color w:val="002060"/>
          <w:u w:color="002060"/>
          <w:lang w:val="en-US"/>
        </w:rPr>
        <w:t xml:space="preserve"> stated the government was determined to accelerate the introduction of new structures in professional organizations, particularly the TMA.</w:t>
      </w:r>
      <w:r w:rsidR="00785C74" w:rsidRPr="00785C74">
        <w:rPr>
          <w:rFonts w:ascii="Arial" w:hAnsi="Arial" w:cs="Arial"/>
          <w:color w:val="404040"/>
          <w:sz w:val="30"/>
          <w:szCs w:val="30"/>
          <w:shd w:val="clear" w:color="auto" w:fill="FFFFFF"/>
          <w:lang w:val="en-US"/>
        </w:rPr>
        <w:t> </w:t>
      </w:r>
    </w:p>
    <w:p w14:paraId="3C6EBB4A" w14:textId="54507539" w:rsidR="00785C74" w:rsidRDefault="00785C74" w:rsidP="00785C74">
      <w:pPr>
        <w:jc w:val="both"/>
        <w:rPr>
          <w:rFonts w:ascii="Arial" w:hAnsi="Arial" w:cs="Arial"/>
          <w:color w:val="404040"/>
          <w:sz w:val="30"/>
          <w:szCs w:val="30"/>
          <w:shd w:val="clear" w:color="auto" w:fill="FFFFFF"/>
          <w:lang w:val="en-US"/>
        </w:rPr>
      </w:pPr>
    </w:p>
    <w:p w14:paraId="0BF08597" w14:textId="0B424A2E" w:rsidR="00785C74" w:rsidRPr="00DF09E7" w:rsidRDefault="00DF09E7" w:rsidP="005E4C78">
      <w:pPr>
        <w:jc w:val="both"/>
        <w:rPr>
          <w:rStyle w:val="Aucun"/>
          <w:b/>
          <w:bCs/>
          <w:color w:val="767171" w:themeColor="background2" w:themeShade="80"/>
          <w:u w:color="002060"/>
          <w:lang w:val="en-US"/>
        </w:rPr>
      </w:pPr>
      <w:r w:rsidRPr="00DF09E7">
        <w:rPr>
          <w:rStyle w:val="Aucun"/>
          <w:b/>
          <w:bCs/>
          <w:color w:val="767171" w:themeColor="background2" w:themeShade="80"/>
          <w:u w:color="002060"/>
          <w:lang w:val="en-US"/>
        </w:rPr>
        <w:t>12</w:t>
      </w:r>
      <w:r w:rsidR="00785C74" w:rsidRPr="00DF09E7">
        <w:rPr>
          <w:rStyle w:val="Aucun"/>
          <w:b/>
          <w:bCs/>
          <w:color w:val="767171" w:themeColor="background2" w:themeShade="80"/>
          <w:u w:color="002060"/>
          <w:lang w:val="en-US"/>
        </w:rPr>
        <w:t xml:space="preserve">. IAHRAG invites the Special Rapporteur to: (a) address the key role forensic medicine plays regarding the duty to effectively investigate crimes of torture; (b) recall the crucial importance of their independence and impartiality; and (c) to firmly condemn any attempt to sabotage their independent activities. </w:t>
      </w:r>
    </w:p>
    <w:p w14:paraId="07E1FCD9" w14:textId="77777777" w:rsidR="00785C74" w:rsidRPr="005E4C78" w:rsidRDefault="00785C74" w:rsidP="005E4C78">
      <w:pPr>
        <w:jc w:val="both"/>
        <w:rPr>
          <w:lang w:val="en-US"/>
        </w:rPr>
      </w:pPr>
    </w:p>
    <w:p w14:paraId="370545F7" w14:textId="77777777" w:rsidR="00785C74" w:rsidRPr="00785C74" w:rsidRDefault="00785C74" w:rsidP="00785C74">
      <w:pPr>
        <w:pStyle w:val="Paragraphedeliste"/>
        <w:numPr>
          <w:ilvl w:val="0"/>
          <w:numId w:val="34"/>
        </w:numPr>
        <w:jc w:val="both"/>
        <w:rPr>
          <w:i/>
          <w:iCs/>
          <w:color w:val="0070C0"/>
          <w:lang w:val="en-US"/>
        </w:rPr>
      </w:pPr>
      <w:r w:rsidRPr="00785C74">
        <w:rPr>
          <w:i/>
          <w:iCs/>
          <w:color w:val="0070C0"/>
          <w:lang w:val="en-US"/>
        </w:rPr>
        <w:t>The role of prosecutors</w:t>
      </w:r>
    </w:p>
    <w:p w14:paraId="737CC0B0" w14:textId="56041C23" w:rsidR="00785C74" w:rsidRDefault="00785C74" w:rsidP="00785C74">
      <w:pPr>
        <w:jc w:val="both"/>
      </w:pPr>
    </w:p>
    <w:p w14:paraId="4A44DF98" w14:textId="5A10F6D9" w:rsidR="001C1262" w:rsidRDefault="00DF09E7" w:rsidP="00785C74">
      <w:pPr>
        <w:jc w:val="both"/>
        <w:rPr>
          <w:color w:val="002060"/>
          <w:lang w:val="en-US"/>
        </w:rPr>
      </w:pPr>
      <w:r>
        <w:rPr>
          <w:rStyle w:val="Aucun"/>
          <w:color w:val="002060"/>
          <w:u w:color="002060"/>
          <w:lang w:val="en-US"/>
        </w:rPr>
        <w:t>13</w:t>
      </w:r>
      <w:r w:rsidR="00785C74">
        <w:rPr>
          <w:rStyle w:val="Aucun"/>
          <w:color w:val="002060"/>
          <w:u w:color="002060"/>
          <w:lang w:val="en-US"/>
        </w:rPr>
        <w:t xml:space="preserve">. It is no surprise that an independent and effective judiciary system is key to ensure proper investigation of crimes of torture. In view of the many allegations IAHRAG review regarding prosecutors refusing, delaying, or complicating cases of allegations of torture or enforced disappearances in Turkey, it strongly encourages the Special Rapporteur to devote an important part to the role of prosecutors. As per </w:t>
      </w:r>
      <w:r w:rsidR="001C1262">
        <w:rPr>
          <w:rStyle w:val="Aucun"/>
          <w:color w:val="002060"/>
          <w:u w:color="002060"/>
          <w:lang w:val="en-US"/>
        </w:rPr>
        <w:t xml:space="preserve">the jurisprudence of the Human Rights Committee regarding </w:t>
      </w:r>
      <w:r w:rsidR="00785C74">
        <w:rPr>
          <w:rStyle w:val="Aucun"/>
          <w:color w:val="002060"/>
          <w:u w:color="002060"/>
          <w:lang w:val="en-US"/>
        </w:rPr>
        <w:t xml:space="preserve">article 14 of the International Covenant on Civil and Political Rights, </w:t>
      </w:r>
      <w:r w:rsidR="001C1262">
        <w:rPr>
          <w:color w:val="002060"/>
          <w:lang w:val="en-US"/>
        </w:rPr>
        <w:t>p</w:t>
      </w:r>
      <w:r w:rsidR="001C1262" w:rsidRPr="001C1262">
        <w:rPr>
          <w:color w:val="002060"/>
          <w:lang w:val="en-US"/>
        </w:rPr>
        <w:t>rosecution services are part of the justice administration system and as such are part of the judiciary power.</w:t>
      </w:r>
    </w:p>
    <w:p w14:paraId="08197762" w14:textId="7CAA6DFB" w:rsidR="001C1262" w:rsidRDefault="00DF09E7" w:rsidP="001C1262">
      <w:pPr>
        <w:spacing w:before="100" w:beforeAutospacing="1" w:after="100" w:afterAutospacing="1"/>
        <w:jc w:val="both"/>
        <w:rPr>
          <w:color w:val="002060"/>
          <w:lang w:val="en-US"/>
        </w:rPr>
      </w:pPr>
      <w:r>
        <w:rPr>
          <w:color w:val="002060"/>
          <w:lang w:val="en-US"/>
        </w:rPr>
        <w:t>14</w:t>
      </w:r>
      <w:r w:rsidR="001C1262">
        <w:rPr>
          <w:color w:val="002060"/>
          <w:lang w:val="en-US"/>
        </w:rPr>
        <w:t>. In Turkey, a</w:t>
      </w:r>
      <w:r w:rsidR="001C1262" w:rsidRPr="001C1262">
        <w:rPr>
          <w:color w:val="002060"/>
          <w:lang w:val="en-US"/>
        </w:rPr>
        <w:t>t least since 2014, with an increase after the July 2016 coup attempt (with the arrest of thousands of judges and prosecutors</w:t>
      </w:r>
      <w:r w:rsidR="001C1262">
        <w:rPr>
          <w:color w:val="002060"/>
          <w:lang w:val="en-US"/>
        </w:rPr>
        <w:t xml:space="preserve"> and their replacement with </w:t>
      </w:r>
      <w:r w:rsidR="001C1262">
        <w:rPr>
          <w:color w:val="002060"/>
          <w:lang w:val="en-US" w:eastAsia="en-US"/>
        </w:rPr>
        <w:t>“</w:t>
      </w:r>
      <w:r w:rsidR="001C1262" w:rsidRPr="006A7FCF">
        <w:rPr>
          <w:i/>
          <w:iCs/>
          <w:color w:val="002060"/>
          <w:lang w:val="en-US" w:eastAsia="en-US"/>
        </w:rPr>
        <w:t>consistent reports that loyalty to the ruling coalition appears to have become a key criterion for selectio</w:t>
      </w:r>
      <w:r w:rsidR="001C1262">
        <w:rPr>
          <w:i/>
          <w:iCs/>
          <w:color w:val="002060"/>
          <w:lang w:val="en-US" w:eastAsia="en-US"/>
        </w:rPr>
        <w:t>n</w:t>
      </w:r>
      <w:r w:rsidR="001C1262">
        <w:rPr>
          <w:color w:val="002060"/>
          <w:lang w:val="en-US" w:eastAsia="en-US"/>
        </w:rPr>
        <w:t>”</w:t>
      </w:r>
      <w:r w:rsidR="001C1262">
        <w:rPr>
          <w:rStyle w:val="Appelnotedebasdep"/>
          <w:color w:val="002060"/>
          <w:lang w:val="en-US" w:eastAsia="en-US"/>
        </w:rPr>
        <w:footnoteReference w:id="10"/>
      </w:r>
      <w:r w:rsidR="001C1262" w:rsidRPr="001C1262">
        <w:rPr>
          <w:color w:val="002060"/>
          <w:lang w:val="en-US"/>
        </w:rPr>
        <w:t>), the independence of the judiciary system is under attack. The culmination of these attacks has been the amendments to the Constitution in 2017.</w:t>
      </w:r>
      <w:r w:rsidR="001C1262">
        <w:rPr>
          <w:rStyle w:val="Appelnotedebasdep"/>
          <w:color w:val="002060"/>
        </w:rPr>
        <w:footnoteReference w:id="11"/>
      </w:r>
    </w:p>
    <w:p w14:paraId="61F16601" w14:textId="07F57BA1" w:rsidR="004821C1" w:rsidRPr="001C1262" w:rsidRDefault="00DF09E7" w:rsidP="001C1262">
      <w:pPr>
        <w:spacing w:before="100" w:beforeAutospacing="1" w:after="100" w:afterAutospacing="1"/>
        <w:jc w:val="both"/>
        <w:rPr>
          <w:b/>
          <w:bCs/>
          <w:color w:val="767171" w:themeColor="background2" w:themeShade="80"/>
          <w:lang w:val="en-US" w:eastAsia="en-US"/>
        </w:rPr>
      </w:pPr>
      <w:r>
        <w:rPr>
          <w:b/>
          <w:bCs/>
          <w:color w:val="767171" w:themeColor="background2" w:themeShade="80"/>
          <w:lang w:val="en-US"/>
        </w:rPr>
        <w:lastRenderedPageBreak/>
        <w:t>15</w:t>
      </w:r>
      <w:r w:rsidR="001C1262" w:rsidRPr="001C1262">
        <w:rPr>
          <w:b/>
          <w:bCs/>
          <w:color w:val="767171" w:themeColor="background2" w:themeShade="80"/>
          <w:lang w:val="en-US"/>
        </w:rPr>
        <w:t xml:space="preserve">. IAHRAH invites the Special Rapporteur to include in her upcoming report an important section on the importance of the selection, processes of advancement and sanctions, security of tenure of prosecutors </w:t>
      </w:r>
      <w:proofErr w:type="gramStart"/>
      <w:r w:rsidR="001C1262" w:rsidRPr="001C1262">
        <w:rPr>
          <w:b/>
          <w:bCs/>
          <w:color w:val="767171" w:themeColor="background2" w:themeShade="80"/>
          <w:lang w:val="en-US"/>
        </w:rPr>
        <w:t>in order to</w:t>
      </w:r>
      <w:proofErr w:type="gramEnd"/>
      <w:r w:rsidR="001C1262" w:rsidRPr="001C1262">
        <w:rPr>
          <w:b/>
          <w:bCs/>
          <w:color w:val="767171" w:themeColor="background2" w:themeShade="80"/>
          <w:lang w:val="en-US"/>
        </w:rPr>
        <w:t xml:space="preserve"> ensure independent investigations of crimes of torture. </w:t>
      </w:r>
    </w:p>
    <w:p w14:paraId="52D30886" w14:textId="68123DB0" w:rsidR="00785C74" w:rsidRPr="001C1262" w:rsidRDefault="001C1262" w:rsidP="001C1262">
      <w:pPr>
        <w:pBdr>
          <w:bottom w:val="single" w:sz="4" w:space="1" w:color="auto"/>
        </w:pBdr>
        <w:jc w:val="both"/>
        <w:rPr>
          <w:b/>
          <w:bCs/>
          <w:color w:val="0070C0"/>
          <w:lang w:val="en-US"/>
        </w:rPr>
      </w:pPr>
      <w:r>
        <w:rPr>
          <w:b/>
          <w:bCs/>
          <w:color w:val="0070C0"/>
          <w:lang w:val="en-US"/>
        </w:rPr>
        <w:t xml:space="preserve">b) </w:t>
      </w:r>
      <w:r w:rsidR="00785C74" w:rsidRPr="001C1262">
        <w:rPr>
          <w:b/>
          <w:bCs/>
          <w:color w:val="0070C0"/>
          <w:lang w:val="en-US"/>
        </w:rPr>
        <w:t xml:space="preserve">The intangibility of the duty to investigate crimes of torture, including in </w:t>
      </w:r>
      <w:r>
        <w:rPr>
          <w:b/>
          <w:bCs/>
          <w:color w:val="0070C0"/>
          <w:lang w:val="en-US"/>
        </w:rPr>
        <w:t xml:space="preserve">a </w:t>
      </w:r>
      <w:r w:rsidR="00785C74" w:rsidRPr="001C1262">
        <w:rPr>
          <w:b/>
          <w:bCs/>
          <w:color w:val="0070C0"/>
          <w:lang w:val="en-US"/>
        </w:rPr>
        <w:t>state of emergency context</w:t>
      </w:r>
    </w:p>
    <w:p w14:paraId="0DFF291B" w14:textId="10D8A064" w:rsidR="001C1262" w:rsidRDefault="001C1262" w:rsidP="001C1262">
      <w:pPr>
        <w:pStyle w:val="Paragraphedeliste"/>
        <w:jc w:val="both"/>
        <w:rPr>
          <w:lang w:val="en-US"/>
        </w:rPr>
      </w:pPr>
    </w:p>
    <w:p w14:paraId="618DDCEA" w14:textId="3B3FD33D" w:rsidR="001C1262" w:rsidRDefault="00DF09E7" w:rsidP="001C1262">
      <w:pPr>
        <w:jc w:val="both"/>
        <w:rPr>
          <w:color w:val="002060"/>
          <w:lang w:val="en-US"/>
        </w:rPr>
      </w:pPr>
      <w:r>
        <w:rPr>
          <w:color w:val="002060"/>
          <w:lang w:val="en-US"/>
        </w:rPr>
        <w:t>16</w:t>
      </w:r>
      <w:r w:rsidR="001C1262" w:rsidRPr="001C1262">
        <w:rPr>
          <w:color w:val="002060"/>
          <w:lang w:val="en-US"/>
        </w:rPr>
        <w:t>. I</w:t>
      </w:r>
      <w:r w:rsidR="001C1262">
        <w:rPr>
          <w:color w:val="002060"/>
          <w:lang w:val="en-US"/>
        </w:rPr>
        <w:t xml:space="preserve">AHRAG will not come back on the </w:t>
      </w:r>
      <w:r w:rsidR="008B4757">
        <w:rPr>
          <w:color w:val="002060"/>
          <w:lang w:val="en-US"/>
        </w:rPr>
        <w:t>s</w:t>
      </w:r>
      <w:r w:rsidR="001C1262">
        <w:rPr>
          <w:color w:val="002060"/>
          <w:lang w:val="en-US"/>
        </w:rPr>
        <w:t>tate of emergency that has been declared by Turkey in July 2016 and that lasted two years. The violations, including torture (see para. 77 to 89) committed in this context are infamously discussed in the 2018 OHCHR report.</w:t>
      </w:r>
      <w:r w:rsidR="001C1262">
        <w:rPr>
          <w:rStyle w:val="Appelnotedebasdep"/>
          <w:color w:val="002060"/>
          <w:lang w:val="en-US"/>
        </w:rPr>
        <w:footnoteReference w:id="12"/>
      </w:r>
      <w:r w:rsidR="001C1262">
        <w:rPr>
          <w:color w:val="002060"/>
          <w:lang w:val="en-US"/>
        </w:rPr>
        <w:t xml:space="preserve"> </w:t>
      </w:r>
    </w:p>
    <w:p w14:paraId="57121A34" w14:textId="6C842D95" w:rsidR="001C1262" w:rsidRDefault="001C1262" w:rsidP="001C1262">
      <w:pPr>
        <w:jc w:val="both"/>
        <w:rPr>
          <w:color w:val="002060"/>
          <w:lang w:val="en-US"/>
        </w:rPr>
      </w:pPr>
    </w:p>
    <w:p w14:paraId="25D58E2A" w14:textId="2F171C9A" w:rsidR="001C1262" w:rsidRPr="001C1262" w:rsidRDefault="00DF09E7" w:rsidP="001C1262">
      <w:pPr>
        <w:jc w:val="both"/>
        <w:rPr>
          <w:b/>
          <w:bCs/>
          <w:color w:val="767171" w:themeColor="background2" w:themeShade="80"/>
          <w:lang w:val="en-US"/>
        </w:rPr>
      </w:pPr>
      <w:r>
        <w:rPr>
          <w:b/>
          <w:bCs/>
          <w:color w:val="767171" w:themeColor="background2" w:themeShade="80"/>
          <w:lang w:val="en-US"/>
        </w:rPr>
        <w:t>17</w:t>
      </w:r>
      <w:r w:rsidR="001C1262" w:rsidRPr="001C1262">
        <w:rPr>
          <w:b/>
          <w:bCs/>
          <w:color w:val="767171" w:themeColor="background2" w:themeShade="80"/>
          <w:lang w:val="en-US"/>
        </w:rPr>
        <w:t xml:space="preserve">. IAHRAG invites the Special Rapporteur to strongly recall in her next report the intangible character of the duty to investigate crimes of torture, including in the context of state of emergency. </w:t>
      </w:r>
    </w:p>
    <w:p w14:paraId="14600032" w14:textId="77777777" w:rsidR="001C1262" w:rsidRPr="001C1262" w:rsidRDefault="001C1262" w:rsidP="001C1262">
      <w:pPr>
        <w:jc w:val="both"/>
        <w:rPr>
          <w:lang w:val="en-US"/>
        </w:rPr>
      </w:pPr>
    </w:p>
    <w:p w14:paraId="55AF4458" w14:textId="7A94DF70" w:rsidR="004821C1" w:rsidRPr="001C1262" w:rsidRDefault="001C1262" w:rsidP="001C1262">
      <w:pPr>
        <w:pBdr>
          <w:bottom w:val="single" w:sz="4" w:space="1" w:color="auto"/>
        </w:pBdr>
        <w:jc w:val="both"/>
        <w:rPr>
          <w:b/>
          <w:bCs/>
          <w:color w:val="0070C0"/>
          <w:lang w:val="en-US"/>
        </w:rPr>
      </w:pPr>
      <w:r w:rsidRPr="001C1262">
        <w:rPr>
          <w:b/>
          <w:bCs/>
          <w:color w:val="0070C0"/>
          <w:lang w:val="en-US"/>
        </w:rPr>
        <w:t xml:space="preserve">c) </w:t>
      </w:r>
      <w:r w:rsidR="005E4C78" w:rsidRPr="001C1262">
        <w:rPr>
          <w:b/>
          <w:bCs/>
          <w:color w:val="0070C0"/>
          <w:lang w:val="en-US"/>
        </w:rPr>
        <w:t>Crucial importance of repealing</w:t>
      </w:r>
      <w:r w:rsidR="004821C1" w:rsidRPr="001C1262">
        <w:rPr>
          <w:b/>
          <w:bCs/>
          <w:color w:val="0070C0"/>
          <w:lang w:val="en-US"/>
        </w:rPr>
        <w:t xml:space="preserve"> legal provisions providing im</w:t>
      </w:r>
      <w:r>
        <w:rPr>
          <w:b/>
          <w:bCs/>
          <w:color w:val="0070C0"/>
          <w:lang w:val="en-US"/>
        </w:rPr>
        <w:t>punity</w:t>
      </w:r>
      <w:r w:rsidR="005E4C78" w:rsidRPr="001C1262">
        <w:rPr>
          <w:b/>
          <w:bCs/>
          <w:color w:val="0070C0"/>
          <w:lang w:val="en-US"/>
        </w:rPr>
        <w:t xml:space="preserve"> to torture perpetrators </w:t>
      </w:r>
    </w:p>
    <w:p w14:paraId="566E0F59" w14:textId="77777777" w:rsidR="005E4C78" w:rsidRPr="00785C74" w:rsidRDefault="005E4C78" w:rsidP="00785C74">
      <w:pPr>
        <w:rPr>
          <w:lang w:val="en-US"/>
        </w:rPr>
      </w:pPr>
    </w:p>
    <w:p w14:paraId="059CC862" w14:textId="26F198AE" w:rsidR="004821C1" w:rsidRDefault="00DF09E7" w:rsidP="001C1262">
      <w:pPr>
        <w:autoSpaceDE w:val="0"/>
        <w:autoSpaceDN w:val="0"/>
        <w:adjustRightInd w:val="0"/>
        <w:jc w:val="both"/>
        <w:rPr>
          <w:color w:val="002060"/>
          <w:lang w:val="en-US"/>
        </w:rPr>
      </w:pPr>
      <w:r>
        <w:rPr>
          <w:color w:val="002060"/>
          <w:lang w:val="en-US"/>
        </w:rPr>
        <w:t>18</w:t>
      </w:r>
      <w:r w:rsidR="001C1262" w:rsidRPr="001C1262">
        <w:rPr>
          <w:color w:val="002060"/>
          <w:lang w:val="en-US"/>
        </w:rPr>
        <w:t>. I</w:t>
      </w:r>
      <w:r w:rsidR="001C1262">
        <w:rPr>
          <w:color w:val="002060"/>
          <w:lang w:val="en-US"/>
        </w:rPr>
        <w:t xml:space="preserve">AHRAG hereby highlights that there are several provisions in the Turkish legal system that do lead to impunity for perpetrators of torture: </w:t>
      </w:r>
      <w:r w:rsidR="001C1262" w:rsidRPr="001C1262">
        <w:rPr>
          <w:color w:val="002060"/>
          <w:lang w:val="en-US"/>
        </w:rPr>
        <w:t>Law no. 2937 on the State Intelligence Services and the National Intelligence Agency and Laws on Senior Military Commanders and Security Forces</w:t>
      </w:r>
      <w:r w:rsidR="001C1262">
        <w:rPr>
          <w:color w:val="002060"/>
          <w:lang w:val="en-US"/>
        </w:rPr>
        <w:t xml:space="preserve"> (</w:t>
      </w:r>
      <w:r w:rsidR="001C1262" w:rsidRPr="001C1262">
        <w:rPr>
          <w:color w:val="002060"/>
          <w:lang w:val="en-US"/>
        </w:rPr>
        <w:t xml:space="preserve">Law </w:t>
      </w:r>
      <w:r w:rsidR="001C1262">
        <w:rPr>
          <w:color w:val="002060"/>
          <w:lang w:val="en-US"/>
        </w:rPr>
        <w:t xml:space="preserve">No. </w:t>
      </w:r>
      <w:r w:rsidR="001C1262" w:rsidRPr="001C1262">
        <w:rPr>
          <w:color w:val="002060"/>
          <w:lang w:val="en-US"/>
        </w:rPr>
        <w:t xml:space="preserve">353, </w:t>
      </w:r>
      <w:r w:rsidR="007C10B9" w:rsidRPr="001C1262">
        <w:rPr>
          <w:color w:val="002060"/>
          <w:lang w:val="en-US"/>
        </w:rPr>
        <w:t>February</w:t>
      </w:r>
      <w:r w:rsidR="001C1262" w:rsidRPr="001C1262">
        <w:rPr>
          <w:color w:val="002060"/>
          <w:lang w:val="en-US"/>
        </w:rPr>
        <w:t xml:space="preserve"> </w:t>
      </w:r>
      <w:r w:rsidR="007C10B9">
        <w:rPr>
          <w:color w:val="002060"/>
          <w:lang w:val="en-US"/>
        </w:rPr>
        <w:t xml:space="preserve">11, </w:t>
      </w:r>
      <w:proofErr w:type="gramStart"/>
      <w:r w:rsidR="001C1262" w:rsidRPr="001C1262">
        <w:rPr>
          <w:color w:val="002060"/>
          <w:lang w:val="en-US"/>
        </w:rPr>
        <w:t>2014</w:t>
      </w:r>
      <w:proofErr w:type="gramEnd"/>
      <w:r w:rsidR="001C1262" w:rsidRPr="001C1262">
        <w:rPr>
          <w:color w:val="002060"/>
          <w:lang w:val="en-US"/>
        </w:rPr>
        <w:t xml:space="preserve"> and Law No. 6722 </w:t>
      </w:r>
      <w:r w:rsidR="001C1262">
        <w:rPr>
          <w:color w:val="002060"/>
          <w:lang w:val="en-US"/>
        </w:rPr>
        <w:t xml:space="preserve">- </w:t>
      </w:r>
      <w:r w:rsidR="001C1262" w:rsidRPr="001C1262">
        <w:rPr>
          <w:color w:val="002060"/>
          <w:lang w:val="en-US"/>
        </w:rPr>
        <w:t>amending Law no. 5442 on Provincial Administration</w:t>
      </w:r>
      <w:r w:rsidR="001C1262">
        <w:rPr>
          <w:color w:val="002060"/>
          <w:lang w:val="en-US"/>
        </w:rPr>
        <w:t xml:space="preserve"> </w:t>
      </w:r>
      <w:r w:rsidR="008B4757">
        <w:rPr>
          <w:color w:val="002060"/>
          <w:lang w:val="en-US"/>
        </w:rPr>
        <w:t xml:space="preserve">- </w:t>
      </w:r>
      <w:r w:rsidR="008B4757" w:rsidRPr="001C1262">
        <w:rPr>
          <w:color w:val="002060"/>
          <w:lang w:val="en-US"/>
        </w:rPr>
        <w:t>June</w:t>
      </w:r>
      <w:r w:rsidR="007C10B9">
        <w:rPr>
          <w:color w:val="002060"/>
          <w:lang w:val="en-US"/>
        </w:rPr>
        <w:t xml:space="preserve"> 23</w:t>
      </w:r>
      <w:r w:rsidR="001C1262" w:rsidRPr="001C1262">
        <w:rPr>
          <w:color w:val="002060"/>
          <w:lang w:val="en-US"/>
        </w:rPr>
        <w:t>, 2016</w:t>
      </w:r>
      <w:r w:rsidR="001C1262">
        <w:rPr>
          <w:color w:val="002060"/>
          <w:lang w:val="en-US"/>
        </w:rPr>
        <w:t xml:space="preserve">). A series of decrees approved by the Grand National Assembly of Turkey and have become ordinary laws (laws no. 6749, 6755 and 7079) during the State of emergency also do prevent prosecution of torture perpetrators. </w:t>
      </w:r>
    </w:p>
    <w:p w14:paraId="1667AE2F" w14:textId="2291FF0B" w:rsidR="001C1262" w:rsidRDefault="001C1262" w:rsidP="001C1262">
      <w:pPr>
        <w:autoSpaceDE w:val="0"/>
        <w:autoSpaceDN w:val="0"/>
        <w:adjustRightInd w:val="0"/>
        <w:jc w:val="both"/>
        <w:rPr>
          <w:color w:val="002060"/>
          <w:lang w:val="en-US"/>
        </w:rPr>
      </w:pPr>
    </w:p>
    <w:p w14:paraId="55F2104A" w14:textId="12D9F3FE" w:rsidR="001C1262" w:rsidRDefault="00DF09E7" w:rsidP="001C1262">
      <w:pPr>
        <w:autoSpaceDE w:val="0"/>
        <w:autoSpaceDN w:val="0"/>
        <w:adjustRightInd w:val="0"/>
        <w:jc w:val="both"/>
        <w:rPr>
          <w:color w:val="002060"/>
          <w:lang w:val="en-US"/>
        </w:rPr>
      </w:pPr>
      <w:r>
        <w:rPr>
          <w:color w:val="002060"/>
          <w:lang w:val="en-US"/>
        </w:rPr>
        <w:t>19</w:t>
      </w:r>
      <w:r w:rsidR="001C1262">
        <w:rPr>
          <w:color w:val="002060"/>
          <w:lang w:val="en-US"/>
        </w:rPr>
        <w:t>. L</w:t>
      </w:r>
      <w:r w:rsidR="001C1262" w:rsidRPr="008B3154">
        <w:rPr>
          <w:color w:val="002060"/>
          <w:lang w:val="en-US"/>
        </w:rPr>
        <w:t>aw n° 4483</w:t>
      </w:r>
      <w:r w:rsidR="001C1262">
        <w:rPr>
          <w:color w:val="002060"/>
          <w:lang w:val="en-US"/>
        </w:rPr>
        <w:t xml:space="preserve"> of 1999</w:t>
      </w:r>
      <w:r w:rsidR="001C1262" w:rsidRPr="008B3154">
        <w:rPr>
          <w:color w:val="002060"/>
          <w:lang w:val="en-US"/>
        </w:rPr>
        <w:t xml:space="preserve"> on the Prosecution of Civil Servants and Other Public Officials (including police) exclude</w:t>
      </w:r>
      <w:r w:rsidR="001C1262">
        <w:rPr>
          <w:color w:val="002060"/>
          <w:lang w:val="en-US"/>
        </w:rPr>
        <w:t>s</w:t>
      </w:r>
      <w:r w:rsidR="001C1262" w:rsidRPr="008B3154">
        <w:rPr>
          <w:color w:val="002060"/>
          <w:lang w:val="en-US"/>
        </w:rPr>
        <w:t xml:space="preserve"> their prosecution without the permission of relevant administrative authorities for crimes that are not excluded from the scope of law and committed in the course of the civil servant’ duty. While torture is excluded from the scope of the law, in practice, there is an ambiguity due to the distinction between judicial and administrative law enforcement. The administrative and judicial practice of law </w:t>
      </w:r>
      <w:proofErr w:type="spellStart"/>
      <w:r w:rsidR="001C1262" w:rsidRPr="008B3154">
        <w:rPr>
          <w:color w:val="002060"/>
          <w:lang w:val="en-US"/>
        </w:rPr>
        <w:t>n</w:t>
      </w:r>
      <w:proofErr w:type="spellEnd"/>
      <w:r w:rsidR="001C1262" w:rsidRPr="008B3154">
        <w:rPr>
          <w:color w:val="002060"/>
          <w:lang w:val="en-US"/>
        </w:rPr>
        <w:t>°</w:t>
      </w:r>
      <w:r w:rsidR="008B4757">
        <w:rPr>
          <w:color w:val="002060"/>
          <w:lang w:val="en-US"/>
        </w:rPr>
        <w:t xml:space="preserve"> </w:t>
      </w:r>
      <w:r w:rsidR="001C1262" w:rsidRPr="008B3154">
        <w:rPr>
          <w:color w:val="002060"/>
          <w:lang w:val="en-US"/>
        </w:rPr>
        <w:t xml:space="preserve">4483 leads to </w:t>
      </w:r>
      <w:r w:rsidR="001C1262" w:rsidRPr="008B3154">
        <w:rPr>
          <w:i/>
          <w:iCs/>
          <w:color w:val="002060"/>
          <w:lang w:val="en-US"/>
        </w:rPr>
        <w:t xml:space="preserve">de facto </w:t>
      </w:r>
      <w:r w:rsidR="001C1262" w:rsidRPr="008B3154">
        <w:rPr>
          <w:color w:val="002060"/>
          <w:lang w:val="en-US"/>
        </w:rPr>
        <w:t xml:space="preserve">the requirement of authorization issued by highest ranking civil administrator for the prosecution of crimes committed by security forces </w:t>
      </w:r>
      <w:proofErr w:type="gramStart"/>
      <w:r w:rsidR="001C1262" w:rsidRPr="008B3154">
        <w:rPr>
          <w:color w:val="002060"/>
          <w:lang w:val="en-US"/>
        </w:rPr>
        <w:t>in the course of</w:t>
      </w:r>
      <w:proofErr w:type="gramEnd"/>
      <w:r w:rsidR="001C1262" w:rsidRPr="008B3154">
        <w:rPr>
          <w:color w:val="002060"/>
          <w:lang w:val="en-US"/>
        </w:rPr>
        <w:t xml:space="preserve"> their administrative law enforcement duties and activities.</w:t>
      </w:r>
    </w:p>
    <w:p w14:paraId="7ED77232" w14:textId="2A44EDD6" w:rsidR="001C1262" w:rsidRDefault="001C1262" w:rsidP="001C1262">
      <w:pPr>
        <w:autoSpaceDE w:val="0"/>
        <w:autoSpaceDN w:val="0"/>
        <w:adjustRightInd w:val="0"/>
        <w:jc w:val="both"/>
        <w:rPr>
          <w:color w:val="002060"/>
          <w:lang w:val="en-US"/>
        </w:rPr>
      </w:pPr>
    </w:p>
    <w:p w14:paraId="31650661" w14:textId="7E732555" w:rsidR="001C1262" w:rsidRPr="001C1262" w:rsidRDefault="00DF09E7" w:rsidP="001C1262">
      <w:pPr>
        <w:autoSpaceDE w:val="0"/>
        <w:autoSpaceDN w:val="0"/>
        <w:adjustRightInd w:val="0"/>
        <w:jc w:val="both"/>
        <w:rPr>
          <w:b/>
          <w:bCs/>
          <w:color w:val="767171" w:themeColor="background2" w:themeShade="80"/>
          <w:lang w:val="en-US"/>
        </w:rPr>
      </w:pPr>
      <w:r>
        <w:rPr>
          <w:b/>
          <w:bCs/>
          <w:color w:val="767171" w:themeColor="background2" w:themeShade="80"/>
          <w:lang w:val="en-US"/>
        </w:rPr>
        <w:t>20</w:t>
      </w:r>
      <w:r w:rsidR="001C1262" w:rsidRPr="001C1262">
        <w:rPr>
          <w:b/>
          <w:bCs/>
          <w:color w:val="767171" w:themeColor="background2" w:themeShade="80"/>
          <w:lang w:val="en-US"/>
        </w:rPr>
        <w:t xml:space="preserve">. IAHRAG invites the Special Rapporteur to urge all States to repeal any provision that in law or in practice might grant perpetrators of crimes of torture of immunities, hence fostering an impunity climate, in her upcoming report. </w:t>
      </w:r>
    </w:p>
    <w:p w14:paraId="4EF50C9D" w14:textId="77777777" w:rsidR="001C1262" w:rsidRPr="001C1262" w:rsidRDefault="001C1262" w:rsidP="001C1262">
      <w:pPr>
        <w:jc w:val="both"/>
        <w:rPr>
          <w:lang w:val="en-US"/>
        </w:rPr>
      </w:pPr>
    </w:p>
    <w:p w14:paraId="23EE1850" w14:textId="5BCDB770" w:rsidR="004821C1" w:rsidRPr="001C1262" w:rsidRDefault="001C1262" w:rsidP="001C1262">
      <w:pPr>
        <w:pBdr>
          <w:bottom w:val="single" w:sz="4" w:space="1" w:color="auto"/>
        </w:pBdr>
        <w:jc w:val="both"/>
        <w:rPr>
          <w:b/>
          <w:bCs/>
          <w:color w:val="0070C0"/>
          <w:lang w:val="en-US"/>
        </w:rPr>
      </w:pPr>
      <w:r w:rsidRPr="001C1262">
        <w:rPr>
          <w:b/>
          <w:bCs/>
          <w:color w:val="0070C0"/>
          <w:lang w:val="en-US"/>
        </w:rPr>
        <w:t xml:space="preserve">d) </w:t>
      </w:r>
      <w:r w:rsidR="004821C1" w:rsidRPr="001C1262">
        <w:rPr>
          <w:b/>
          <w:bCs/>
          <w:color w:val="0070C0"/>
          <w:lang w:val="en-US"/>
        </w:rPr>
        <w:t>Thinking out of the box: exploring options when facing authoritarian regimes unwilling to provide remedies for c</w:t>
      </w:r>
      <w:r>
        <w:rPr>
          <w:b/>
          <w:bCs/>
          <w:color w:val="0070C0"/>
          <w:lang w:val="en-US"/>
        </w:rPr>
        <w:t>rime</w:t>
      </w:r>
      <w:r w:rsidR="004821C1" w:rsidRPr="001C1262">
        <w:rPr>
          <w:b/>
          <w:bCs/>
          <w:color w:val="0070C0"/>
          <w:lang w:val="en-US"/>
        </w:rPr>
        <w:t>s of torture</w:t>
      </w:r>
      <w:r w:rsidR="005E4C78" w:rsidRPr="001C1262">
        <w:rPr>
          <w:b/>
          <w:bCs/>
          <w:color w:val="0070C0"/>
          <w:lang w:val="en-US"/>
        </w:rPr>
        <w:t xml:space="preserve"> </w:t>
      </w:r>
    </w:p>
    <w:p w14:paraId="54291A8F" w14:textId="77777777" w:rsidR="004821C1" w:rsidRPr="004821C1" w:rsidRDefault="004821C1" w:rsidP="004821C1">
      <w:pPr>
        <w:pStyle w:val="Paragraphedeliste"/>
        <w:rPr>
          <w:lang w:val="en-US"/>
        </w:rPr>
      </w:pPr>
    </w:p>
    <w:p w14:paraId="641CB9D7" w14:textId="15CE9AB8" w:rsidR="001C1262" w:rsidRPr="001C1262" w:rsidRDefault="00DF09E7" w:rsidP="001C1262">
      <w:pPr>
        <w:jc w:val="both"/>
        <w:rPr>
          <w:color w:val="002060"/>
          <w:lang w:val="en-US"/>
        </w:rPr>
      </w:pPr>
      <w:r>
        <w:rPr>
          <w:color w:val="002060"/>
          <w:lang w:val="en-US"/>
        </w:rPr>
        <w:t>21</w:t>
      </w:r>
      <w:r w:rsidR="001C1262" w:rsidRPr="001C1262">
        <w:rPr>
          <w:color w:val="002060"/>
          <w:lang w:val="en-US"/>
        </w:rPr>
        <w:t xml:space="preserve">. When facing authoritarian regimes unwilling to provide remedies for crimes of torture, </w:t>
      </w:r>
      <w:r w:rsidR="006550C6">
        <w:rPr>
          <w:color w:val="002060"/>
          <w:lang w:val="en-US"/>
        </w:rPr>
        <w:t>relevant stakeholders</w:t>
      </w:r>
      <w:r w:rsidR="001C1262" w:rsidRPr="001C1262">
        <w:rPr>
          <w:color w:val="002060"/>
          <w:lang w:val="en-US"/>
        </w:rPr>
        <w:t xml:space="preserve"> </w:t>
      </w:r>
      <w:r w:rsidR="008B4757" w:rsidRPr="001C1262">
        <w:rPr>
          <w:color w:val="002060"/>
          <w:lang w:val="en-US"/>
        </w:rPr>
        <w:t>must</w:t>
      </w:r>
      <w:r w:rsidR="001C1262" w:rsidRPr="001C1262">
        <w:rPr>
          <w:color w:val="002060"/>
          <w:lang w:val="en-US"/>
        </w:rPr>
        <w:t xml:space="preserve"> adopt alternative approaches.</w:t>
      </w:r>
    </w:p>
    <w:p w14:paraId="2195C510" w14:textId="2323BC80" w:rsidR="001C1262" w:rsidRDefault="00DF09E7" w:rsidP="001C1262">
      <w:pPr>
        <w:jc w:val="both"/>
        <w:rPr>
          <w:color w:val="002060"/>
          <w:lang w:val="en-US"/>
        </w:rPr>
      </w:pPr>
      <w:r>
        <w:rPr>
          <w:color w:val="002060"/>
          <w:lang w:val="en-US"/>
        </w:rPr>
        <w:lastRenderedPageBreak/>
        <w:t>22</w:t>
      </w:r>
      <w:r w:rsidR="001C1262" w:rsidRPr="001C1262">
        <w:rPr>
          <w:color w:val="002060"/>
          <w:lang w:val="en-US"/>
        </w:rPr>
        <w:t xml:space="preserve">. IAHRAG hereby flags the </w:t>
      </w:r>
      <w:r w:rsidR="001C1262">
        <w:rPr>
          <w:i/>
          <w:iCs/>
          <w:color w:val="002060"/>
          <w:lang w:val="en-US"/>
        </w:rPr>
        <w:t>Turkey Tribunal</w:t>
      </w:r>
      <w:r w:rsidR="00EA7FE9">
        <w:rPr>
          <w:i/>
          <w:iCs/>
          <w:color w:val="002060"/>
          <w:lang w:val="en-US"/>
        </w:rPr>
        <w:t xml:space="preserve"> </w:t>
      </w:r>
      <w:r w:rsidR="00EA7FE9">
        <w:rPr>
          <w:color w:val="002060"/>
          <w:lang w:val="en-US"/>
        </w:rPr>
        <w:t>initiative</w:t>
      </w:r>
      <w:r w:rsidR="001C1262">
        <w:rPr>
          <w:color w:val="002060"/>
          <w:lang w:val="en-US"/>
        </w:rPr>
        <w:t xml:space="preserve">, a People’s Tribunal composed </w:t>
      </w:r>
      <w:r w:rsidR="00EA7FE9" w:rsidRPr="00EA7FE9">
        <w:rPr>
          <w:color w:val="002060"/>
          <w:lang w:val="en-US"/>
        </w:rPr>
        <w:t xml:space="preserve">notably of former ECtHR judges as well as human rights renowned experts (among them Ms. Françoise </w:t>
      </w:r>
      <w:proofErr w:type="spellStart"/>
      <w:r w:rsidR="00EA7FE9" w:rsidRPr="00EA7FE9">
        <w:rPr>
          <w:color w:val="002060"/>
          <w:lang w:val="en-US"/>
        </w:rPr>
        <w:t>Barones</w:t>
      </w:r>
      <w:proofErr w:type="spellEnd"/>
      <w:r w:rsidR="00EA7FE9" w:rsidRPr="00EA7FE9">
        <w:rPr>
          <w:color w:val="002060"/>
          <w:lang w:val="en-US"/>
        </w:rPr>
        <w:t xml:space="preserve"> </w:t>
      </w:r>
      <w:proofErr w:type="spellStart"/>
      <w:r w:rsidR="00EA7FE9" w:rsidRPr="00EA7FE9">
        <w:rPr>
          <w:color w:val="002060"/>
          <w:lang w:val="en-US"/>
        </w:rPr>
        <w:t>Tulkens</w:t>
      </w:r>
      <w:proofErr w:type="spellEnd"/>
      <w:r w:rsidR="00EA7FE9" w:rsidRPr="00EA7FE9">
        <w:rPr>
          <w:color w:val="002060"/>
          <w:lang w:val="en-US"/>
        </w:rPr>
        <w:t xml:space="preserve">, Mr. Giorgio </w:t>
      </w:r>
      <w:proofErr w:type="spellStart"/>
      <w:r w:rsidR="00EA7FE9" w:rsidRPr="00EA7FE9">
        <w:rPr>
          <w:color w:val="002060"/>
          <w:lang w:val="en-US"/>
        </w:rPr>
        <w:t>Malinverni</w:t>
      </w:r>
      <w:proofErr w:type="spellEnd"/>
      <w:r w:rsidR="00EA7FE9" w:rsidRPr="00EA7FE9">
        <w:rPr>
          <w:color w:val="002060"/>
          <w:lang w:val="en-US"/>
        </w:rPr>
        <w:t xml:space="preserve">, Mr. </w:t>
      </w:r>
      <w:proofErr w:type="spellStart"/>
      <w:r w:rsidR="00EA7FE9" w:rsidRPr="00EA7FE9">
        <w:rPr>
          <w:color w:val="002060"/>
          <w:lang w:val="en-US"/>
        </w:rPr>
        <w:t>Ledi</w:t>
      </w:r>
      <w:proofErr w:type="spellEnd"/>
      <w:r w:rsidR="00EA7FE9" w:rsidRPr="00EA7FE9">
        <w:rPr>
          <w:color w:val="002060"/>
          <w:lang w:val="en-US"/>
        </w:rPr>
        <w:t xml:space="preserve"> </w:t>
      </w:r>
      <w:proofErr w:type="spellStart"/>
      <w:r w:rsidR="00EA7FE9" w:rsidRPr="00EA7FE9">
        <w:rPr>
          <w:color w:val="002060"/>
          <w:lang w:val="en-US"/>
        </w:rPr>
        <w:t>Bianku</w:t>
      </w:r>
      <w:proofErr w:type="spellEnd"/>
      <w:r w:rsidR="00EA7FE9" w:rsidRPr="00EA7FE9">
        <w:rPr>
          <w:color w:val="002060"/>
          <w:lang w:val="en-US"/>
        </w:rPr>
        <w:t>, former ECtHR judges, Mr. John Pace, former Secretary to the UN Commission on Human Rights, Mr. Johann van der Westhuizen, former Constitutional Court judge in South Africa)</w:t>
      </w:r>
      <w:r w:rsidR="00EA7FE9">
        <w:rPr>
          <w:color w:val="002060"/>
          <w:lang w:val="en-US"/>
        </w:rPr>
        <w:t>.</w:t>
      </w:r>
      <w:r w:rsidR="00EA7FE9">
        <w:rPr>
          <w:rStyle w:val="Appelnotedebasdep"/>
          <w:color w:val="002060"/>
          <w:lang w:val="en-US"/>
        </w:rPr>
        <w:footnoteReference w:id="13"/>
      </w:r>
      <w:r w:rsidR="00EA7FE9">
        <w:rPr>
          <w:color w:val="002060"/>
          <w:lang w:val="en-US"/>
        </w:rPr>
        <w:t xml:space="preserve"> Not only such an initiative gave hope to victims and raised an immense support including in Turkey, it also document</w:t>
      </w:r>
      <w:r w:rsidR="008B4757">
        <w:rPr>
          <w:color w:val="002060"/>
          <w:lang w:val="en-US"/>
        </w:rPr>
        <w:t>ed</w:t>
      </w:r>
      <w:r w:rsidR="00EA7FE9">
        <w:rPr>
          <w:color w:val="002060"/>
          <w:lang w:val="en-US"/>
        </w:rPr>
        <w:t xml:space="preserve"> cases of torture and might constitute the first step of further criminal processes, either before national jurisdictions or international jurisdictions.</w:t>
      </w:r>
    </w:p>
    <w:p w14:paraId="7BC2FCCD" w14:textId="02694F05" w:rsidR="00EA7FE9" w:rsidRDefault="00EA7FE9" w:rsidP="001C1262">
      <w:pPr>
        <w:jc w:val="both"/>
        <w:rPr>
          <w:color w:val="002060"/>
          <w:lang w:val="en-US"/>
        </w:rPr>
      </w:pPr>
    </w:p>
    <w:p w14:paraId="3F5BF3EA" w14:textId="41B307AC" w:rsidR="00EA7FE9" w:rsidRPr="00DF09E7" w:rsidRDefault="00DF09E7" w:rsidP="001C1262">
      <w:pPr>
        <w:jc w:val="both"/>
        <w:rPr>
          <w:color w:val="767171" w:themeColor="background2" w:themeShade="80"/>
          <w:lang w:val="en-US"/>
        </w:rPr>
      </w:pPr>
      <w:r>
        <w:rPr>
          <w:color w:val="002060"/>
          <w:lang w:val="en-US"/>
        </w:rPr>
        <w:t>23</w:t>
      </w:r>
      <w:r w:rsidR="00EA7FE9">
        <w:rPr>
          <w:color w:val="002060"/>
          <w:lang w:val="en-US"/>
        </w:rPr>
        <w:t>. On that note, IAHRAG was pleased to read mention of universal jurisdiction in the call for inputs. IAHRAG is firmly convinced that universal jurisdiction is key to tackle the lack of investigations and prosecutions in authoritarian regime</w:t>
      </w:r>
      <w:r w:rsidR="006550C6">
        <w:rPr>
          <w:color w:val="002060"/>
          <w:lang w:val="en-US"/>
        </w:rPr>
        <w:t>s</w:t>
      </w:r>
      <w:r w:rsidR="00EA7FE9">
        <w:rPr>
          <w:color w:val="002060"/>
          <w:lang w:val="en-US"/>
        </w:rPr>
        <w:t xml:space="preserve">. </w:t>
      </w:r>
      <w:r w:rsidR="00EA7FE9" w:rsidRPr="00DF09E7">
        <w:rPr>
          <w:b/>
          <w:bCs/>
          <w:color w:val="767171" w:themeColor="background2" w:themeShade="80"/>
          <w:lang w:val="en-US"/>
        </w:rPr>
        <w:t>IAHRAG expresses the hope that the Special Rapporteur will invite State to subsidiarily consider universal jurisdiction to tackle the impunity for torture perpetrators’ issue. States, when creating new mandates, should also consider the recent examples of the International, Impartial and Independent Mechanism for Syria established by the General Assembly.</w:t>
      </w:r>
      <w:r w:rsidR="007C10B9" w:rsidRPr="00DF09E7">
        <w:rPr>
          <w:b/>
          <w:bCs/>
          <w:color w:val="767171" w:themeColor="background2" w:themeShade="80"/>
          <w:lang w:val="en-US"/>
        </w:rPr>
        <w:t xml:space="preserve"> The OHCHR should also explore more avenues related to cooperation with domestic courts for the purpose of universal jurisdiction.</w:t>
      </w:r>
    </w:p>
    <w:p w14:paraId="03CB0776" w14:textId="77777777" w:rsidR="00EA7FE9" w:rsidRDefault="00EA7FE9" w:rsidP="001C1262">
      <w:pPr>
        <w:jc w:val="both"/>
        <w:rPr>
          <w:color w:val="002060"/>
          <w:lang w:val="en-US"/>
        </w:rPr>
      </w:pPr>
    </w:p>
    <w:p w14:paraId="1D0920C0" w14:textId="30FE4569" w:rsidR="00EA7FE9" w:rsidRPr="00EA7FE9" w:rsidRDefault="00DF09E7" w:rsidP="001C1262">
      <w:pPr>
        <w:jc w:val="both"/>
        <w:rPr>
          <w:color w:val="002060"/>
          <w:lang w:val="en-US"/>
        </w:rPr>
      </w:pPr>
      <w:r>
        <w:rPr>
          <w:color w:val="002060"/>
          <w:lang w:val="en-US"/>
        </w:rPr>
        <w:t>24</w:t>
      </w:r>
      <w:r w:rsidR="00EA7FE9">
        <w:rPr>
          <w:color w:val="002060"/>
          <w:lang w:val="en-US"/>
        </w:rPr>
        <w:t xml:space="preserve">.  Inspired by the recent claim of Gambia against Myanmar before the International Court of Justice, the recent claims of Qatar against Saudi Arabia and the United Arab Emirates before the Committee on the Elimination of Racial Discrimination, </w:t>
      </w:r>
      <w:r w:rsidR="00EA7FE9" w:rsidRPr="00DF09E7">
        <w:rPr>
          <w:b/>
          <w:bCs/>
          <w:color w:val="767171" w:themeColor="background2" w:themeShade="80"/>
          <w:lang w:val="en-US"/>
        </w:rPr>
        <w:t>the Special Rapporteur may also wish to invite States to consider raising inter-</w:t>
      </w:r>
      <w:r w:rsidR="00E817B6" w:rsidRPr="00DF09E7">
        <w:rPr>
          <w:b/>
          <w:bCs/>
          <w:color w:val="767171" w:themeColor="background2" w:themeShade="80"/>
          <w:lang w:val="en-US"/>
        </w:rPr>
        <w:t>s</w:t>
      </w:r>
      <w:r w:rsidR="00EA7FE9" w:rsidRPr="00DF09E7">
        <w:rPr>
          <w:b/>
          <w:bCs/>
          <w:color w:val="767171" w:themeColor="background2" w:themeShade="80"/>
          <w:lang w:val="en-US"/>
        </w:rPr>
        <w:t>tate disputes before the treaty bodies (article 41 of the International Covenant on Civil and Political Rights – article 21 of the Convention against Torture) in cases of systematic torture not addressed at the domestic level</w:t>
      </w:r>
      <w:r w:rsidR="00EA7FE9" w:rsidRPr="00DF09E7">
        <w:rPr>
          <w:color w:val="767171" w:themeColor="background2" w:themeShade="80"/>
          <w:lang w:val="en-US"/>
        </w:rPr>
        <w:t>.</w:t>
      </w:r>
    </w:p>
    <w:p w14:paraId="49DE8EB9" w14:textId="77777777" w:rsidR="00A97BE6" w:rsidRPr="004821C1" w:rsidRDefault="00A97BE6" w:rsidP="00A97BE6">
      <w:pPr>
        <w:jc w:val="both"/>
        <w:rPr>
          <w:lang w:val="en-US"/>
        </w:rPr>
      </w:pPr>
    </w:p>
    <w:p w14:paraId="0193F084" w14:textId="237E9BB2" w:rsidR="00A85A03" w:rsidRDefault="00A85A03" w:rsidP="00A85A03">
      <w:pPr>
        <w:ind w:firstLine="708"/>
        <w:jc w:val="right"/>
        <w:rPr>
          <w:color w:val="002060"/>
          <w:lang w:val="en-US"/>
        </w:rPr>
      </w:pPr>
    </w:p>
    <w:p w14:paraId="4B27C7CB" w14:textId="39918E37" w:rsidR="00A85A03" w:rsidRDefault="00A85A03" w:rsidP="00A85A03">
      <w:pPr>
        <w:ind w:firstLine="708"/>
        <w:jc w:val="right"/>
        <w:rPr>
          <w:color w:val="002060"/>
          <w:lang w:val="en-US"/>
        </w:rPr>
      </w:pPr>
      <w:r>
        <w:rPr>
          <w:color w:val="002060"/>
          <w:lang w:val="en-US"/>
        </w:rPr>
        <w:t>Yours sincerely,</w:t>
      </w:r>
    </w:p>
    <w:p w14:paraId="02A04B92" w14:textId="25B988DD" w:rsidR="00A85A03" w:rsidRDefault="00A85A03" w:rsidP="007C10B9">
      <w:pPr>
        <w:ind w:firstLine="708"/>
        <w:jc w:val="right"/>
        <w:rPr>
          <w:color w:val="002060"/>
          <w:lang w:val="en-US"/>
        </w:rPr>
      </w:pPr>
      <w:r>
        <w:rPr>
          <w:color w:val="002060"/>
          <w:lang w:val="en-US"/>
        </w:rPr>
        <w:t xml:space="preserve">Ali </w:t>
      </w:r>
      <w:proofErr w:type="spellStart"/>
      <w:r>
        <w:rPr>
          <w:color w:val="002060"/>
          <w:lang w:val="en-US"/>
        </w:rPr>
        <w:t>Furat</w:t>
      </w:r>
      <w:proofErr w:type="spellEnd"/>
      <w:r w:rsidR="005B1B8D">
        <w:rPr>
          <w:color w:val="002060"/>
          <w:lang w:val="en-US"/>
        </w:rPr>
        <w:t xml:space="preserve">, </w:t>
      </w:r>
      <w:r>
        <w:rPr>
          <w:color w:val="002060"/>
          <w:lang w:val="en-US"/>
        </w:rPr>
        <w:t>President of IAHRAG</w:t>
      </w:r>
    </w:p>
    <w:p w14:paraId="59C45735" w14:textId="1A93FC2B" w:rsidR="00DF09E7" w:rsidRDefault="00DF09E7" w:rsidP="007C10B9">
      <w:pPr>
        <w:ind w:firstLine="708"/>
        <w:jc w:val="right"/>
        <w:rPr>
          <w:color w:val="002060"/>
          <w:lang w:val="en-US"/>
        </w:rPr>
      </w:pPr>
      <w:r>
        <w:rPr>
          <w:color w:val="002060"/>
          <w:lang w:val="en-US"/>
        </w:rPr>
        <w:t>November 25, 2022</w:t>
      </w:r>
    </w:p>
    <w:sectPr w:rsidR="00DF09E7" w:rsidSect="00D20B1D">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F406" w14:textId="77777777" w:rsidR="00DD54D7" w:rsidRDefault="00DD54D7" w:rsidP="00EE2974">
      <w:r>
        <w:separator/>
      </w:r>
    </w:p>
  </w:endnote>
  <w:endnote w:type="continuationSeparator" w:id="0">
    <w:p w14:paraId="67FC3D7C" w14:textId="77777777" w:rsidR="00DD54D7" w:rsidRDefault="00DD54D7" w:rsidP="00EE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21620654"/>
      <w:docPartObj>
        <w:docPartGallery w:val="Page Numbers (Bottom of Page)"/>
        <w:docPartUnique/>
      </w:docPartObj>
    </w:sdtPr>
    <w:sdtEndPr>
      <w:rPr>
        <w:rStyle w:val="Numrodepage"/>
      </w:rPr>
    </w:sdtEndPr>
    <w:sdtContent>
      <w:p w14:paraId="4CEFBBB5" w14:textId="554085D1" w:rsidR="00EF6842" w:rsidRDefault="00EF6842" w:rsidP="006E0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0EADB67" w14:textId="77777777" w:rsidR="00EF6842" w:rsidRDefault="00EF6842" w:rsidP="00EF68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01217836"/>
      <w:docPartObj>
        <w:docPartGallery w:val="Page Numbers (Bottom of Page)"/>
        <w:docPartUnique/>
      </w:docPartObj>
    </w:sdtPr>
    <w:sdtEndPr>
      <w:rPr>
        <w:rStyle w:val="Numrodepage"/>
      </w:rPr>
    </w:sdtEndPr>
    <w:sdtContent>
      <w:p w14:paraId="54C019A0" w14:textId="1455719F" w:rsidR="00EF6842" w:rsidRDefault="00EF6842" w:rsidP="006E0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7F608E6" w14:textId="77777777" w:rsidR="00EF6842" w:rsidRDefault="00EF6842" w:rsidP="00EF684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4C90" w14:textId="77777777" w:rsidR="00DD54D7" w:rsidRDefault="00DD54D7" w:rsidP="00EE2974">
      <w:r>
        <w:separator/>
      </w:r>
    </w:p>
  </w:footnote>
  <w:footnote w:type="continuationSeparator" w:id="0">
    <w:p w14:paraId="44ED2A90" w14:textId="77777777" w:rsidR="00DD54D7" w:rsidRDefault="00DD54D7" w:rsidP="00EE2974">
      <w:r>
        <w:continuationSeparator/>
      </w:r>
    </w:p>
  </w:footnote>
  <w:footnote w:id="1">
    <w:p w14:paraId="41A7621A" w14:textId="656CF4F7" w:rsidR="004821C1" w:rsidRPr="007C10B9" w:rsidRDefault="004821C1"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for instance OMCT, </w:t>
      </w:r>
      <w:r w:rsidRPr="007C10B9">
        <w:rPr>
          <w:i/>
          <w:iCs/>
          <w:color w:val="002060"/>
          <w:sz w:val="20"/>
          <w:szCs w:val="20"/>
          <w:lang w:val="en-US"/>
        </w:rPr>
        <w:t>Five years into visit by united Nations Special Rapporteur, torture remains widespread</w:t>
      </w:r>
      <w:r w:rsidRPr="007C10B9">
        <w:rPr>
          <w:color w:val="002060"/>
          <w:sz w:val="20"/>
          <w:szCs w:val="20"/>
          <w:lang w:val="en-US"/>
        </w:rPr>
        <w:t xml:space="preserve">, December 2021, </w:t>
      </w:r>
      <w:hyperlink r:id="rId1" w:history="1">
        <w:r w:rsidRPr="007C10B9">
          <w:rPr>
            <w:rStyle w:val="Lienhypertexte"/>
            <w:color w:val="002060"/>
            <w:sz w:val="20"/>
            <w:szCs w:val="20"/>
            <w:lang w:val="en-US"/>
          </w:rPr>
          <w:t>here</w:t>
        </w:r>
      </w:hyperlink>
      <w:r w:rsidRPr="007C10B9">
        <w:rPr>
          <w:color w:val="002060"/>
          <w:sz w:val="20"/>
          <w:szCs w:val="20"/>
          <w:lang w:val="en-US"/>
        </w:rPr>
        <w:t>.</w:t>
      </w:r>
    </w:p>
  </w:footnote>
  <w:footnote w:id="2">
    <w:p w14:paraId="00C2EC3F" w14:textId="52C7D2D1" w:rsidR="005E4C78" w:rsidRPr="007C10B9" w:rsidRDefault="005E4C78"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w:t>
      </w:r>
      <w:hyperlink r:id="rId2" w:history="1">
        <w:r w:rsidRPr="007C10B9">
          <w:rPr>
            <w:rStyle w:val="Lienhypertexte"/>
            <w:color w:val="002060"/>
            <w:sz w:val="20"/>
            <w:szCs w:val="20"/>
            <w:lang w:val="en-US"/>
          </w:rPr>
          <w:t>here</w:t>
        </w:r>
      </w:hyperlink>
      <w:r w:rsidRPr="007C10B9">
        <w:rPr>
          <w:color w:val="002060"/>
          <w:sz w:val="20"/>
          <w:szCs w:val="20"/>
          <w:lang w:val="en-US"/>
        </w:rPr>
        <w:t xml:space="preserve">. </w:t>
      </w:r>
    </w:p>
  </w:footnote>
  <w:footnote w:id="3">
    <w:p w14:paraId="667078EF" w14:textId="28F71B11"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Although party to the OPCAT, Turkey did not fully implement the OPCAT. There is unfortunately no efficient NPM although the Government claims that the NHRI, the Human Rights and Equality Institution, also functions as such. See the 2019 SPT report on Turkey, CAT/OP/TUR/1, para. 18 and f.</w:t>
      </w:r>
    </w:p>
  </w:footnote>
  <w:footnote w:id="4">
    <w:p w14:paraId="05EE15CC" w14:textId="1BD73F21"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Turkey did not authorize the latest report of the European Committee for the Prevention of Torture and Inhuman or Degrading Treatment or Punishment following its 2019 visit. The SPT recently visited Turkey (4 to 15 of September) and the civil society fears that the Government this time will not authorize the publicity of the report.</w:t>
      </w:r>
    </w:p>
  </w:footnote>
  <w:footnote w:id="5">
    <w:p w14:paraId="5A20BA02" w14:textId="0888E4A3"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In August 2016, Mr. Mehmet </w:t>
      </w:r>
      <w:proofErr w:type="spellStart"/>
      <w:r w:rsidRPr="007C10B9">
        <w:rPr>
          <w:color w:val="002060"/>
          <w:sz w:val="20"/>
          <w:szCs w:val="20"/>
          <w:lang w:val="en-US"/>
        </w:rPr>
        <w:t>Metiner</w:t>
      </w:r>
      <w:proofErr w:type="spellEnd"/>
      <w:r w:rsidRPr="007C10B9">
        <w:rPr>
          <w:color w:val="002060"/>
          <w:sz w:val="20"/>
          <w:szCs w:val="20"/>
          <w:lang w:val="en-US"/>
        </w:rPr>
        <w:t>, AKP Parliamentarian and Chairman of the Parliamentary Prisoners and Convicts Rights Sub-Committee, publicly stated “</w:t>
      </w:r>
      <w:r w:rsidRPr="007C10B9">
        <w:rPr>
          <w:i/>
          <w:iCs/>
          <w:color w:val="002060"/>
          <w:sz w:val="20"/>
          <w:szCs w:val="20"/>
          <w:lang w:val="en-US"/>
        </w:rPr>
        <w:t xml:space="preserve">We will not examine the allegations of torture against those who attempted the July 15 Coup attempt just because they threw a slap or two during the arrest </w:t>
      </w:r>
      <w:r w:rsidRPr="007C10B9">
        <w:rPr>
          <w:color w:val="002060"/>
          <w:sz w:val="20"/>
          <w:szCs w:val="20"/>
          <w:lang w:val="en-US"/>
        </w:rPr>
        <w:t xml:space="preserve">(allegations of torture are) </w:t>
      </w:r>
      <w:r w:rsidRPr="007C10B9">
        <w:rPr>
          <w:i/>
          <w:iCs/>
          <w:color w:val="002060"/>
          <w:sz w:val="20"/>
          <w:szCs w:val="20"/>
          <w:lang w:val="en-US"/>
        </w:rPr>
        <w:t>black propaganda carried out by Pennsylvania and some circles</w:t>
      </w:r>
      <w:r w:rsidRPr="007C10B9">
        <w:rPr>
          <w:color w:val="002060"/>
          <w:sz w:val="20"/>
          <w:szCs w:val="20"/>
          <w:lang w:val="en-US"/>
        </w:rPr>
        <w:t xml:space="preserve">”, see </w:t>
      </w:r>
      <w:hyperlink r:id="rId3" w:history="1">
        <w:r w:rsidRPr="007C10B9">
          <w:rPr>
            <w:rStyle w:val="Lienhypertexte"/>
            <w:color w:val="002060"/>
            <w:sz w:val="20"/>
            <w:szCs w:val="20"/>
            <w:lang w:val="en-US"/>
          </w:rPr>
          <w:t>here</w:t>
        </w:r>
      </w:hyperlink>
      <w:r w:rsidRPr="007C10B9">
        <w:rPr>
          <w:color w:val="002060"/>
          <w:sz w:val="20"/>
          <w:szCs w:val="20"/>
          <w:lang w:val="en-US"/>
        </w:rPr>
        <w:t>.</w:t>
      </w:r>
      <w:r w:rsidR="0052630F">
        <w:rPr>
          <w:color w:val="002060"/>
          <w:sz w:val="20"/>
          <w:szCs w:val="20"/>
          <w:lang w:val="en-US"/>
        </w:rPr>
        <w:t xml:space="preserve"> </w:t>
      </w:r>
      <w:r w:rsidRPr="007C10B9">
        <w:rPr>
          <w:color w:val="002060"/>
          <w:sz w:val="20"/>
          <w:szCs w:val="20"/>
          <w:lang w:val="en-US"/>
        </w:rPr>
        <w:t xml:space="preserve">The former Economy Minister, Mr.  Nihat </w:t>
      </w:r>
      <w:proofErr w:type="spellStart"/>
      <w:r w:rsidRPr="007C10B9">
        <w:rPr>
          <w:color w:val="002060"/>
          <w:sz w:val="20"/>
          <w:szCs w:val="20"/>
          <w:lang w:val="en-US"/>
        </w:rPr>
        <w:t>Zeybecki</w:t>
      </w:r>
      <w:proofErr w:type="spellEnd"/>
      <w:r w:rsidRPr="007C10B9">
        <w:rPr>
          <w:color w:val="002060"/>
          <w:sz w:val="20"/>
          <w:szCs w:val="20"/>
          <w:lang w:val="en-US"/>
        </w:rPr>
        <w:t xml:space="preserve">, also publicly stated, mentioning Gülen/Hizmet Movement supporters The then Economy Minister, Mr.  Nihat </w:t>
      </w:r>
      <w:proofErr w:type="spellStart"/>
      <w:r w:rsidRPr="007C10B9">
        <w:rPr>
          <w:color w:val="002060"/>
          <w:sz w:val="20"/>
          <w:szCs w:val="20"/>
          <w:lang w:val="en-US"/>
        </w:rPr>
        <w:t>Zeybecki</w:t>
      </w:r>
      <w:proofErr w:type="spellEnd"/>
      <w:r w:rsidRPr="007C10B9">
        <w:rPr>
          <w:color w:val="002060"/>
          <w:sz w:val="20"/>
          <w:szCs w:val="20"/>
          <w:lang w:val="en-US"/>
        </w:rPr>
        <w:t>, also publicly stated “</w:t>
      </w:r>
      <w:r w:rsidRPr="007C10B9">
        <w:rPr>
          <w:i/>
          <w:iCs/>
          <w:color w:val="002060"/>
          <w:sz w:val="20"/>
          <w:szCs w:val="20"/>
          <w:lang w:val="en-US"/>
        </w:rPr>
        <w:t>We will put them into such holes for punishment that they won’t even be able to see the sun of God as long as they breathe. They will not see the light of day. They will not hear a human voice. They will beg for death, saying ‘just kill us’</w:t>
      </w:r>
      <w:r w:rsidRPr="007C10B9">
        <w:rPr>
          <w:color w:val="002060"/>
          <w:sz w:val="20"/>
          <w:szCs w:val="20"/>
          <w:lang w:val="en-US"/>
        </w:rPr>
        <w:t xml:space="preserve">”, see </w:t>
      </w:r>
      <w:hyperlink r:id="rId4" w:history="1">
        <w:r w:rsidRPr="007C10B9">
          <w:rPr>
            <w:rStyle w:val="Lienhypertexte"/>
            <w:color w:val="002060"/>
            <w:sz w:val="20"/>
            <w:szCs w:val="20"/>
            <w:lang w:val="en-US"/>
          </w:rPr>
          <w:t>here</w:t>
        </w:r>
      </w:hyperlink>
      <w:r w:rsidRPr="007C10B9">
        <w:rPr>
          <w:color w:val="002060"/>
          <w:sz w:val="20"/>
          <w:szCs w:val="20"/>
          <w:lang w:val="en-US"/>
        </w:rPr>
        <w:t>.</w:t>
      </w:r>
    </w:p>
  </w:footnote>
  <w:footnote w:id="6">
    <w:p w14:paraId="12D31464" w14:textId="13481874" w:rsidR="00BA27F8" w:rsidRPr="007C10B9" w:rsidRDefault="00BA27F8"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w:t>
      </w:r>
      <w:r w:rsidRPr="007C10B9">
        <w:rPr>
          <w:i/>
          <w:iCs/>
          <w:color w:val="002060"/>
          <w:sz w:val="20"/>
          <w:szCs w:val="20"/>
          <w:lang w:val="en-US"/>
        </w:rPr>
        <w:t>Türkiye 2022</w:t>
      </w:r>
      <w:r w:rsidRPr="007C10B9">
        <w:rPr>
          <w:color w:val="002060"/>
          <w:sz w:val="20"/>
          <w:szCs w:val="20"/>
          <w:lang w:val="en-US"/>
        </w:rPr>
        <w:t xml:space="preserve"> </w:t>
      </w:r>
      <w:r w:rsidRPr="007C10B9">
        <w:rPr>
          <w:i/>
          <w:iCs/>
          <w:color w:val="002060"/>
          <w:sz w:val="20"/>
          <w:szCs w:val="20"/>
          <w:lang w:val="en-US"/>
        </w:rPr>
        <w:t>Report</w:t>
      </w:r>
      <w:r w:rsidRPr="007C10B9">
        <w:rPr>
          <w:color w:val="002060"/>
          <w:sz w:val="20"/>
          <w:szCs w:val="20"/>
          <w:lang w:val="en-US"/>
        </w:rPr>
        <w:t xml:space="preserve">, available </w:t>
      </w:r>
      <w:hyperlink r:id="rId5" w:history="1">
        <w:r w:rsidRPr="007C10B9">
          <w:rPr>
            <w:rStyle w:val="Lienhypertexte"/>
            <w:color w:val="002060"/>
            <w:sz w:val="20"/>
            <w:szCs w:val="20"/>
            <w:lang w:val="en-US"/>
          </w:rPr>
          <w:t>here</w:t>
        </w:r>
      </w:hyperlink>
      <w:r w:rsidRPr="007C10B9">
        <w:rPr>
          <w:color w:val="002060"/>
          <w:sz w:val="20"/>
          <w:szCs w:val="20"/>
          <w:lang w:val="en-US"/>
        </w:rPr>
        <w:t xml:space="preserve">. </w:t>
      </w:r>
    </w:p>
  </w:footnote>
  <w:footnote w:id="7">
    <w:p w14:paraId="4F84C599" w14:textId="77777777"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CPT report, Visit from 6 to 17 May 2019, </w:t>
      </w:r>
      <w:hyperlink r:id="rId6" w:history="1">
        <w:r w:rsidRPr="007C10B9">
          <w:rPr>
            <w:rStyle w:val="Lienhypertexte"/>
            <w:color w:val="002060"/>
            <w:sz w:val="20"/>
            <w:szCs w:val="20"/>
            <w:lang w:val="en-US"/>
          </w:rPr>
          <w:t>here.</w:t>
        </w:r>
      </w:hyperlink>
      <w:r w:rsidRPr="007C10B9">
        <w:rPr>
          <w:color w:val="002060"/>
          <w:sz w:val="20"/>
          <w:szCs w:val="20"/>
          <w:lang w:val="en-US"/>
        </w:rPr>
        <w:t xml:space="preserve"> </w:t>
      </w:r>
    </w:p>
  </w:footnote>
  <w:footnote w:id="8">
    <w:p w14:paraId="339D6037" w14:textId="77777777"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for instance Turkey’s Forensic Medicine Institute is biased against Kurdish or political prisoners, 22 December 2021, </w:t>
      </w:r>
      <w:hyperlink r:id="rId7" w:history="1">
        <w:r w:rsidRPr="007C10B9">
          <w:rPr>
            <w:rStyle w:val="Lienhypertexte"/>
            <w:color w:val="002060"/>
            <w:sz w:val="20"/>
            <w:szCs w:val="20"/>
            <w:lang w:val="en-US"/>
          </w:rPr>
          <w:t>here</w:t>
        </w:r>
      </w:hyperlink>
      <w:r w:rsidRPr="007C10B9">
        <w:rPr>
          <w:color w:val="002060"/>
          <w:sz w:val="20"/>
          <w:szCs w:val="20"/>
          <w:lang w:val="en-US"/>
        </w:rPr>
        <w:t xml:space="preserve">. </w:t>
      </w:r>
    </w:p>
  </w:footnote>
  <w:footnote w:id="9">
    <w:p w14:paraId="27884CB8" w14:textId="61C5B052" w:rsidR="00785C74" w:rsidRPr="007C10B9" w:rsidRDefault="00785C74"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w:t>
      </w:r>
      <w:hyperlink r:id="rId8" w:history="1">
        <w:r w:rsidRPr="007C10B9">
          <w:rPr>
            <w:rStyle w:val="Lienhypertexte"/>
            <w:color w:val="002060"/>
            <w:sz w:val="20"/>
            <w:szCs w:val="20"/>
            <w:lang w:val="en-US"/>
          </w:rPr>
          <w:t>here</w:t>
        </w:r>
      </w:hyperlink>
      <w:r w:rsidRPr="007C10B9">
        <w:rPr>
          <w:color w:val="002060"/>
          <w:sz w:val="20"/>
          <w:szCs w:val="20"/>
          <w:lang w:val="en-US"/>
        </w:rPr>
        <w:t xml:space="preserve">. </w:t>
      </w:r>
    </w:p>
  </w:footnote>
  <w:footnote w:id="10">
    <w:p w14:paraId="4E682E6A" w14:textId="77777777" w:rsidR="001C1262" w:rsidRPr="007C10B9" w:rsidRDefault="001C1262"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w:t>
      </w:r>
      <w:hyperlink r:id="rId9" w:history="1">
        <w:r w:rsidRPr="007C10B9">
          <w:rPr>
            <w:rStyle w:val="Lienhypertexte"/>
            <w:color w:val="002060"/>
            <w:sz w:val="20"/>
            <w:szCs w:val="20"/>
            <w:lang w:val="en-US"/>
          </w:rPr>
          <w:t>here</w:t>
        </w:r>
      </w:hyperlink>
      <w:r w:rsidRPr="007C10B9">
        <w:rPr>
          <w:color w:val="002060"/>
          <w:sz w:val="20"/>
          <w:szCs w:val="20"/>
          <w:lang w:val="en-US"/>
        </w:rPr>
        <w:t xml:space="preserve">, para. 23. </w:t>
      </w:r>
    </w:p>
  </w:footnote>
  <w:footnote w:id="11">
    <w:p w14:paraId="74B6CC25" w14:textId="77777777" w:rsidR="001C1262" w:rsidRPr="007C10B9" w:rsidRDefault="001C1262"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Commissioner for Human Rights of the Council of Europe’ report “</w:t>
      </w:r>
      <w:r w:rsidRPr="007C10B9">
        <w:rPr>
          <w:i/>
          <w:iCs/>
          <w:color w:val="002060"/>
          <w:sz w:val="20"/>
          <w:szCs w:val="20"/>
          <w:lang w:val="en-US"/>
        </w:rPr>
        <w:t>these concerns have been largely overshadowed by far more serious ones as a result of new constitutional changes introduced in 2017. The Commissioner observes that the new composition of the HSK allows for all the members of the HSK to be appointed either by the President of the Republic or the Parliament, without a procedure guaranteeing the involvement of all political parties and interests. This means that no member of the HSK is elected by their peers, in clear contradiction with European standards which foresee that at least half of the members of judicial councils that are in charge of overseeing the professional conduct of judges and prosecutors (including appointments, promotions, transfers, disciplinary measures and dismissals of judges and public prosecutors) should be elected by judges among their peers from all levels of the judiciary and with respect for pluralism inside the judiciary</w:t>
      </w:r>
      <w:r w:rsidRPr="007C10B9">
        <w:rPr>
          <w:color w:val="002060"/>
          <w:sz w:val="20"/>
          <w:szCs w:val="20"/>
          <w:lang w:val="en-US"/>
        </w:rPr>
        <w:t xml:space="preserve">”, </w:t>
      </w:r>
      <w:hyperlink r:id="rId10" w:history="1">
        <w:r w:rsidRPr="007C10B9">
          <w:rPr>
            <w:rStyle w:val="Lienhypertexte"/>
            <w:color w:val="002060"/>
            <w:sz w:val="20"/>
            <w:szCs w:val="20"/>
            <w:lang w:val="en-US"/>
          </w:rPr>
          <w:t>here</w:t>
        </w:r>
      </w:hyperlink>
      <w:r w:rsidRPr="007C10B9">
        <w:rPr>
          <w:color w:val="002060"/>
          <w:sz w:val="20"/>
          <w:szCs w:val="20"/>
          <w:lang w:val="en-US"/>
        </w:rPr>
        <w:t xml:space="preserve">, para. 14. Similarly the 2018 OHCHR report mentions that </w:t>
      </w:r>
      <w:r w:rsidRPr="007C10B9">
        <w:rPr>
          <w:rStyle w:val="Policepardfaut1"/>
          <w:rFonts w:eastAsia="Calibri"/>
          <w:iCs/>
          <w:color w:val="002060"/>
          <w:sz w:val="20"/>
          <w:szCs w:val="20"/>
          <w:lang w:val="en-US"/>
        </w:rPr>
        <w:t>“</w:t>
      </w:r>
      <w:r w:rsidRPr="007C10B9">
        <w:rPr>
          <w:rStyle w:val="Policepardfaut1"/>
          <w:rFonts w:eastAsia="Calibri"/>
          <w:i/>
          <w:iCs/>
          <w:color w:val="002060"/>
          <w:sz w:val="20"/>
          <w:szCs w:val="20"/>
          <w:lang w:val="en-US"/>
        </w:rPr>
        <w:t>the new appointment system for the members of the Council of Judges and Prosecutors (formerly High Council of Judges and Prosecutors), introduced through amendments to the Constitution, does not abide by international standards</w:t>
      </w:r>
      <w:r w:rsidRPr="007C10B9">
        <w:rPr>
          <w:rStyle w:val="Policepardfaut1"/>
          <w:rFonts w:eastAsia="Calibri"/>
          <w:iCs/>
          <w:color w:val="002060"/>
          <w:sz w:val="20"/>
          <w:szCs w:val="20"/>
          <w:lang w:val="en-US"/>
        </w:rPr>
        <w:t>.</w:t>
      </w:r>
      <w:r w:rsidRPr="007C10B9">
        <w:rPr>
          <w:rStyle w:val="Policepardfaut1"/>
          <w:rFonts w:eastAsia="Calibri"/>
          <w:i/>
          <w:iCs/>
          <w:color w:val="002060"/>
          <w:sz w:val="20"/>
          <w:szCs w:val="20"/>
          <w:lang w:val="en-US"/>
        </w:rPr>
        <w:t xml:space="preserve"> </w:t>
      </w:r>
      <w:r w:rsidRPr="007C10B9">
        <w:rPr>
          <w:rStyle w:val="Policepardfaut1"/>
          <w:rFonts w:eastAsia="Calibri"/>
          <w:iCs/>
          <w:color w:val="002060"/>
          <w:sz w:val="20"/>
          <w:szCs w:val="20"/>
          <w:lang w:val="en-US"/>
        </w:rPr>
        <w:t xml:space="preserve">(…) </w:t>
      </w:r>
      <w:r w:rsidRPr="007C10B9">
        <w:rPr>
          <w:rStyle w:val="Policepardfaut1"/>
          <w:rFonts w:eastAsia="Calibri"/>
          <w:i/>
          <w:iCs/>
          <w:color w:val="002060"/>
          <w:sz w:val="20"/>
          <w:szCs w:val="20"/>
          <w:lang w:val="en-US"/>
        </w:rPr>
        <w:t>Because of the Council’s key role of overseeing the appointment, promotion and dismissal of judges and public prosecutors, the President’s control over it effectively extends to the whole judiciary branch</w:t>
      </w:r>
      <w:r w:rsidRPr="007C10B9">
        <w:rPr>
          <w:rStyle w:val="Policepardfaut1"/>
          <w:rFonts w:eastAsia="Calibri"/>
          <w:color w:val="002060"/>
          <w:sz w:val="20"/>
          <w:szCs w:val="20"/>
          <w:lang w:val="en-US"/>
        </w:rPr>
        <w:t xml:space="preserve">”, </w:t>
      </w:r>
      <w:hyperlink r:id="rId11" w:history="1">
        <w:proofErr w:type="spellStart"/>
        <w:r w:rsidRPr="007C10B9">
          <w:rPr>
            <w:rStyle w:val="Lienhypertexte"/>
            <w:color w:val="002060"/>
            <w:sz w:val="20"/>
            <w:szCs w:val="20"/>
            <w:lang w:val="es-ES"/>
          </w:rPr>
          <w:t>here</w:t>
        </w:r>
        <w:proofErr w:type="spellEnd"/>
      </w:hyperlink>
      <w:r w:rsidRPr="007C10B9">
        <w:rPr>
          <w:rStyle w:val="Policepardfaut1"/>
          <w:rFonts w:eastAsia="Calibri"/>
          <w:color w:val="002060"/>
          <w:sz w:val="20"/>
          <w:szCs w:val="20"/>
          <w:lang w:val="es-ES"/>
        </w:rPr>
        <w:t xml:space="preserve">, </w:t>
      </w:r>
      <w:r w:rsidRPr="007C10B9">
        <w:rPr>
          <w:rStyle w:val="Policepardfaut1"/>
          <w:rFonts w:eastAsia="Calibri"/>
          <w:color w:val="002060"/>
          <w:sz w:val="20"/>
          <w:szCs w:val="20"/>
          <w:lang w:val="en-US"/>
        </w:rPr>
        <w:t>para. 121.</w:t>
      </w:r>
    </w:p>
  </w:footnote>
  <w:footnote w:id="12">
    <w:p w14:paraId="14E0BDDA" w14:textId="1FDF5015" w:rsidR="001C1262" w:rsidRPr="007C10B9" w:rsidRDefault="001C1262"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w:t>
      </w:r>
      <w:r w:rsidRPr="007C10B9">
        <w:rPr>
          <w:bCs/>
          <w:color w:val="002060"/>
          <w:sz w:val="20"/>
          <w:szCs w:val="20"/>
          <w:lang w:val="en-US"/>
        </w:rPr>
        <w:t>March 2018, Report on the impact of the state of emergency on human rights in Turkey, including an update on the South-East (</w:t>
      </w:r>
      <w:hyperlink r:id="rId12" w:history="1">
        <w:r w:rsidRPr="007C10B9">
          <w:rPr>
            <w:rStyle w:val="Lienhypertexte"/>
            <w:bCs/>
            <w:color w:val="002060"/>
            <w:sz w:val="20"/>
            <w:szCs w:val="20"/>
            <w:lang w:val="en-US"/>
          </w:rPr>
          <w:t>here</w:t>
        </w:r>
      </w:hyperlink>
      <w:r w:rsidRPr="007C10B9">
        <w:rPr>
          <w:bCs/>
          <w:color w:val="002060"/>
          <w:sz w:val="20"/>
          <w:szCs w:val="20"/>
          <w:lang w:val="en-US"/>
        </w:rPr>
        <w:t>)</w:t>
      </w:r>
      <w:r w:rsidRPr="007C10B9">
        <w:rPr>
          <w:b/>
          <w:color w:val="002060"/>
          <w:sz w:val="20"/>
          <w:szCs w:val="20"/>
          <w:lang w:val="en-US"/>
        </w:rPr>
        <w:t>.</w:t>
      </w:r>
    </w:p>
  </w:footnote>
  <w:footnote w:id="13">
    <w:p w14:paraId="1F76B07F" w14:textId="4229A62D" w:rsidR="00EA7FE9" w:rsidRPr="007C10B9" w:rsidRDefault="00EA7FE9" w:rsidP="007C10B9">
      <w:pPr>
        <w:jc w:val="both"/>
        <w:rPr>
          <w:color w:val="002060"/>
          <w:sz w:val="20"/>
          <w:szCs w:val="20"/>
          <w:lang w:val="en-US"/>
        </w:rPr>
      </w:pPr>
      <w:r w:rsidRPr="007C10B9">
        <w:rPr>
          <w:rStyle w:val="Appelnotedebasdep"/>
          <w:color w:val="002060"/>
          <w:sz w:val="20"/>
          <w:szCs w:val="20"/>
        </w:rPr>
        <w:footnoteRef/>
      </w:r>
      <w:r w:rsidRPr="007C10B9">
        <w:rPr>
          <w:color w:val="002060"/>
          <w:sz w:val="20"/>
          <w:szCs w:val="20"/>
          <w:lang w:val="en-US"/>
        </w:rPr>
        <w:t xml:space="preserve"> See motivated opinion of the Tribunal </w:t>
      </w:r>
      <w:hyperlink r:id="rId13" w:history="1">
        <w:r w:rsidRPr="007C10B9">
          <w:rPr>
            <w:rStyle w:val="Lienhypertexte"/>
            <w:color w:val="002060"/>
            <w:sz w:val="20"/>
            <w:szCs w:val="20"/>
            <w:lang w:val="en-US"/>
          </w:rPr>
          <w:t>here</w:t>
        </w:r>
      </w:hyperlink>
      <w:r w:rsidRPr="007C10B9">
        <w:rPr>
          <w:color w:val="002060"/>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C186" w14:textId="2CC2E2BA" w:rsidR="00D20B1D" w:rsidRDefault="00D20B1D">
    <w:pPr>
      <w:pStyle w:val="En-tte"/>
    </w:pPr>
    <w:r>
      <w:rPr>
        <w:noProof/>
        <w:lang w:val="fr-FR"/>
      </w:rPr>
      <w:drawing>
        <wp:anchor distT="0" distB="0" distL="114300" distR="114300" simplePos="0" relativeHeight="251659264" behindDoc="0" locked="0" layoutInCell="1" allowOverlap="1" wp14:anchorId="4B80C506" wp14:editId="34EF8D2C">
          <wp:simplePos x="0" y="0"/>
          <wp:positionH relativeFrom="column">
            <wp:posOffset>2330824</wp:posOffset>
          </wp:positionH>
          <wp:positionV relativeFrom="paragraph">
            <wp:posOffset>-341294</wp:posOffset>
          </wp:positionV>
          <wp:extent cx="761996" cy="764548"/>
          <wp:effectExtent l="0" t="0" r="4" b="0"/>
          <wp:wrapNone/>
          <wp:docPr id="6" name="Imagen 2" descr="IAHRA GENEVA on Twitter: &quot;Turkey has turned into an #OpenAirPrison under an  autocratic regime in the absence of the #RuleOfLaw: 511.000 people  detained, investigations continue for more than 250.000 people.  #TurkeyWatch @KenRoth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1996" cy="76454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40"/>
    <w:multiLevelType w:val="hybridMultilevel"/>
    <w:tmpl w:val="91FA8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D05BC"/>
    <w:multiLevelType w:val="hybridMultilevel"/>
    <w:tmpl w:val="96FA9A96"/>
    <w:lvl w:ilvl="0" w:tplc="0F30F2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6C63"/>
    <w:multiLevelType w:val="hybridMultilevel"/>
    <w:tmpl w:val="9D5E9DC8"/>
    <w:lvl w:ilvl="0" w:tplc="783C1360">
      <w:start w:val="1"/>
      <w:numFmt w:val="bullet"/>
      <w:lvlText w:val="-"/>
      <w:lvlJc w:val="left"/>
      <w:pPr>
        <w:ind w:left="1060" w:hanging="360"/>
      </w:pPr>
      <w:rPr>
        <w:rFonts w:ascii="Times New Roman" w:eastAsiaTheme="minorHAnsi"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0CF12E11"/>
    <w:multiLevelType w:val="multilevel"/>
    <w:tmpl w:val="002E30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D2577"/>
    <w:multiLevelType w:val="hybridMultilevel"/>
    <w:tmpl w:val="FB9E9A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046DE2"/>
    <w:multiLevelType w:val="hybridMultilevel"/>
    <w:tmpl w:val="BE5432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F02953"/>
    <w:multiLevelType w:val="hybridMultilevel"/>
    <w:tmpl w:val="2CDE8988"/>
    <w:lvl w:ilvl="0" w:tplc="8242BCA2">
      <w:start w:val="1"/>
      <w:numFmt w:val="lowerLetter"/>
      <w:lvlText w:val="(%1)"/>
      <w:lvlJc w:val="left"/>
      <w:pPr>
        <w:ind w:left="6480" w:hanging="360"/>
      </w:pPr>
      <w:rPr>
        <w:rFonts w:hint="default"/>
      </w:rPr>
    </w:lvl>
    <w:lvl w:ilvl="1" w:tplc="040C0019" w:tentative="1">
      <w:start w:val="1"/>
      <w:numFmt w:val="lowerLetter"/>
      <w:lvlText w:val="%2."/>
      <w:lvlJc w:val="left"/>
      <w:pPr>
        <w:ind w:left="7200" w:hanging="360"/>
      </w:pPr>
    </w:lvl>
    <w:lvl w:ilvl="2" w:tplc="040C001B" w:tentative="1">
      <w:start w:val="1"/>
      <w:numFmt w:val="lowerRoman"/>
      <w:lvlText w:val="%3."/>
      <w:lvlJc w:val="right"/>
      <w:pPr>
        <w:ind w:left="7920" w:hanging="180"/>
      </w:pPr>
    </w:lvl>
    <w:lvl w:ilvl="3" w:tplc="040C000F" w:tentative="1">
      <w:start w:val="1"/>
      <w:numFmt w:val="decimal"/>
      <w:lvlText w:val="%4."/>
      <w:lvlJc w:val="left"/>
      <w:pPr>
        <w:ind w:left="8640" w:hanging="360"/>
      </w:pPr>
    </w:lvl>
    <w:lvl w:ilvl="4" w:tplc="040C0019" w:tentative="1">
      <w:start w:val="1"/>
      <w:numFmt w:val="lowerLetter"/>
      <w:lvlText w:val="%5."/>
      <w:lvlJc w:val="left"/>
      <w:pPr>
        <w:ind w:left="9360" w:hanging="360"/>
      </w:pPr>
    </w:lvl>
    <w:lvl w:ilvl="5" w:tplc="040C001B" w:tentative="1">
      <w:start w:val="1"/>
      <w:numFmt w:val="lowerRoman"/>
      <w:lvlText w:val="%6."/>
      <w:lvlJc w:val="right"/>
      <w:pPr>
        <w:ind w:left="10080" w:hanging="180"/>
      </w:pPr>
    </w:lvl>
    <w:lvl w:ilvl="6" w:tplc="040C000F" w:tentative="1">
      <w:start w:val="1"/>
      <w:numFmt w:val="decimal"/>
      <w:lvlText w:val="%7."/>
      <w:lvlJc w:val="left"/>
      <w:pPr>
        <w:ind w:left="10800" w:hanging="360"/>
      </w:pPr>
    </w:lvl>
    <w:lvl w:ilvl="7" w:tplc="040C0019" w:tentative="1">
      <w:start w:val="1"/>
      <w:numFmt w:val="lowerLetter"/>
      <w:lvlText w:val="%8."/>
      <w:lvlJc w:val="left"/>
      <w:pPr>
        <w:ind w:left="11520" w:hanging="360"/>
      </w:pPr>
    </w:lvl>
    <w:lvl w:ilvl="8" w:tplc="040C001B" w:tentative="1">
      <w:start w:val="1"/>
      <w:numFmt w:val="lowerRoman"/>
      <w:lvlText w:val="%9."/>
      <w:lvlJc w:val="right"/>
      <w:pPr>
        <w:ind w:left="12240" w:hanging="180"/>
      </w:pPr>
    </w:lvl>
  </w:abstractNum>
  <w:abstractNum w:abstractNumId="7" w15:restartNumberingAfterBreak="0">
    <w:nsid w:val="1F3E485D"/>
    <w:multiLevelType w:val="multilevel"/>
    <w:tmpl w:val="A7FAC8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F0C92"/>
    <w:multiLevelType w:val="hybridMultilevel"/>
    <w:tmpl w:val="E40C1BC8"/>
    <w:lvl w:ilvl="0" w:tplc="9CA86A20">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4AA39A3"/>
    <w:multiLevelType w:val="hybridMultilevel"/>
    <w:tmpl w:val="20C6A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717BE"/>
    <w:multiLevelType w:val="hybridMultilevel"/>
    <w:tmpl w:val="1D9C69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C0001">
      <w:start w:val="1"/>
      <w:numFmt w:val="bullet"/>
      <w:lvlText w:val=""/>
      <w:lvlJc w:val="left"/>
      <w:pPr>
        <w:ind w:left="1980" w:hanging="360"/>
      </w:pPr>
      <w:rPr>
        <w:rFonts w:ascii="Symbol" w:hAnsi="Symbol" w:hint="default"/>
      </w:rPr>
    </w:lvl>
    <w:lvl w:ilvl="3" w:tplc="FFFFFFFF">
      <w:start w:val="1"/>
      <w:numFmt w:val="lowerLetter"/>
      <w:lvlText w:val="(%4)"/>
      <w:lvlJc w:val="left"/>
      <w:pPr>
        <w:ind w:left="2520" w:hanging="360"/>
      </w:pPr>
      <w:rPr>
        <w:rFonts w:hint="default"/>
      </w:rPr>
    </w:lvl>
    <w:lvl w:ilvl="4" w:tplc="FFFFFFFF">
      <w:start w:val="82"/>
      <w:numFmt w:val="bullet"/>
      <w:lvlText w:val="-"/>
      <w:lvlJc w:val="left"/>
      <w:pPr>
        <w:ind w:left="3240" w:hanging="360"/>
      </w:pPr>
      <w:rPr>
        <w:rFonts w:ascii="Times New Roman" w:eastAsia="Times New Roman"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CC23AE"/>
    <w:multiLevelType w:val="multilevel"/>
    <w:tmpl w:val="15B6472E"/>
    <w:lvl w:ilvl="0">
      <w:start w:val="1"/>
      <w:numFmt w:val="decimal"/>
      <w:lvlText w:val="%1."/>
      <w:lvlJc w:val="left"/>
      <w:pPr>
        <w:ind w:left="643"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55EF7"/>
    <w:multiLevelType w:val="hybridMultilevel"/>
    <w:tmpl w:val="C02CD69A"/>
    <w:lvl w:ilvl="0" w:tplc="0436E12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3" w15:restartNumberingAfterBreak="0">
    <w:nsid w:val="2D5F4913"/>
    <w:multiLevelType w:val="hybridMultilevel"/>
    <w:tmpl w:val="EB941B72"/>
    <w:lvl w:ilvl="0" w:tplc="329E2E3A">
      <w:start w:val="3"/>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CF6DB7"/>
    <w:multiLevelType w:val="hybridMultilevel"/>
    <w:tmpl w:val="91FA88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582CD8"/>
    <w:multiLevelType w:val="hybridMultilevel"/>
    <w:tmpl w:val="AB5C6CD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C60753"/>
    <w:multiLevelType w:val="hybridMultilevel"/>
    <w:tmpl w:val="9E9894A6"/>
    <w:lvl w:ilvl="0" w:tplc="EE5A78CC">
      <w:start w:val="3"/>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6D305C2"/>
    <w:multiLevelType w:val="hybridMultilevel"/>
    <w:tmpl w:val="44CCD664"/>
    <w:lvl w:ilvl="0" w:tplc="B9CC533A">
      <w:start w:val="1"/>
      <w:numFmt w:val="lowerRoman"/>
      <w:lvlText w:val="(%1)"/>
      <w:lvlJc w:val="left"/>
      <w:pPr>
        <w:ind w:left="2140" w:hanging="720"/>
      </w:pPr>
      <w:rPr>
        <w:rFonts w:hint="default"/>
        <w:b w:val="0"/>
        <w:i w:val="0"/>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8" w15:restartNumberingAfterBreak="0">
    <w:nsid w:val="37492E58"/>
    <w:multiLevelType w:val="hybridMultilevel"/>
    <w:tmpl w:val="1DB650D4"/>
    <w:lvl w:ilvl="0" w:tplc="619E89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F126025"/>
    <w:multiLevelType w:val="hybridMultilevel"/>
    <w:tmpl w:val="26A01C80"/>
    <w:lvl w:ilvl="0" w:tplc="A9BC45B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64B61D3"/>
    <w:multiLevelType w:val="hybridMultilevel"/>
    <w:tmpl w:val="63D693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B623B5A"/>
    <w:multiLevelType w:val="hybridMultilevel"/>
    <w:tmpl w:val="1256AB08"/>
    <w:lvl w:ilvl="0" w:tplc="F07C6F6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03A0C02"/>
    <w:multiLevelType w:val="hybridMultilevel"/>
    <w:tmpl w:val="392241C0"/>
    <w:lvl w:ilvl="0" w:tplc="8B8CDC94">
      <w:start w:val="1"/>
      <w:numFmt w:val="decimal"/>
      <w:lvlText w:val="%1."/>
      <w:lvlJc w:val="left"/>
      <w:pPr>
        <w:ind w:left="360" w:hanging="360"/>
      </w:pPr>
      <w:rPr>
        <w:rFonts w:hint="default"/>
        <w:b w:val="0"/>
        <w:bCs w:val="0"/>
        <w:i w:val="0"/>
        <w:iCs/>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908DE56">
      <w:start w:val="2"/>
      <w:numFmt w:val="lowerLetter"/>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3D83CBC"/>
    <w:multiLevelType w:val="hybridMultilevel"/>
    <w:tmpl w:val="7FFC689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697151A"/>
    <w:multiLevelType w:val="multilevel"/>
    <w:tmpl w:val="7B7604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64285A"/>
    <w:multiLevelType w:val="hybridMultilevel"/>
    <w:tmpl w:val="FCF87192"/>
    <w:lvl w:ilvl="0" w:tplc="854A0444">
      <w:start w:val="4"/>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15:restartNumberingAfterBreak="0">
    <w:nsid w:val="5E3E3C11"/>
    <w:multiLevelType w:val="hybridMultilevel"/>
    <w:tmpl w:val="5D90E7B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03">
      <w:start w:val="1"/>
      <w:numFmt w:val="bullet"/>
      <w:lvlText w:val="o"/>
      <w:lvlJc w:val="left"/>
      <w:pPr>
        <w:ind w:left="1980" w:hanging="360"/>
      </w:pPr>
      <w:rPr>
        <w:rFonts w:ascii="Courier New" w:hAnsi="Courier New" w:hint="default"/>
      </w:rPr>
    </w:lvl>
    <w:lvl w:ilvl="3" w:tplc="E41204BC">
      <w:start w:val="1"/>
      <w:numFmt w:val="lowerLetter"/>
      <w:lvlText w:val="(%4)"/>
      <w:lvlJc w:val="left"/>
      <w:pPr>
        <w:ind w:left="2540" w:hanging="38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0EA2D66"/>
    <w:multiLevelType w:val="hybridMultilevel"/>
    <w:tmpl w:val="7F80EDA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636CE6"/>
    <w:multiLevelType w:val="hybridMultilevel"/>
    <w:tmpl w:val="94C23E4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03">
      <w:start w:val="1"/>
      <w:numFmt w:val="bullet"/>
      <w:lvlText w:val="o"/>
      <w:lvlJc w:val="left"/>
      <w:pPr>
        <w:ind w:left="1980" w:hanging="360"/>
      </w:pPr>
      <w:rPr>
        <w:rFonts w:ascii="Courier New" w:hAnsi="Courier New" w:hint="default"/>
      </w:rPr>
    </w:lvl>
    <w:lvl w:ilvl="3" w:tplc="272C2B5A">
      <w:start w:val="1"/>
      <w:numFmt w:val="lowerLetter"/>
      <w:lvlText w:val="(%4)"/>
      <w:lvlJc w:val="left"/>
      <w:pPr>
        <w:ind w:left="2520" w:hanging="360"/>
      </w:pPr>
      <w:rPr>
        <w:rFonts w:hint="default"/>
      </w:rPr>
    </w:lvl>
    <w:lvl w:ilvl="4" w:tplc="A08A772A">
      <w:start w:val="82"/>
      <w:numFmt w:val="bullet"/>
      <w:lvlText w:val="-"/>
      <w:lvlJc w:val="left"/>
      <w:pPr>
        <w:ind w:left="3240" w:hanging="360"/>
      </w:pPr>
      <w:rPr>
        <w:rFonts w:ascii="Times New Roman" w:eastAsia="Times New Roman" w:hAnsi="Times New Roman" w:cs="Times New Roman" w:hint="default"/>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75624D6"/>
    <w:multiLevelType w:val="hybridMultilevel"/>
    <w:tmpl w:val="DDAA4AEE"/>
    <w:lvl w:ilvl="0" w:tplc="040C0005">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30" w15:restartNumberingAfterBreak="0">
    <w:nsid w:val="676676A3"/>
    <w:multiLevelType w:val="hybridMultilevel"/>
    <w:tmpl w:val="91FA8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B35813"/>
    <w:multiLevelType w:val="hybridMultilevel"/>
    <w:tmpl w:val="1C80AB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270AA0"/>
    <w:multiLevelType w:val="hybridMultilevel"/>
    <w:tmpl w:val="9B2A0366"/>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7DB6FF8"/>
    <w:multiLevelType w:val="hybridMultilevel"/>
    <w:tmpl w:val="BE5432FC"/>
    <w:lvl w:ilvl="0" w:tplc="9E8E52D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ABE123A"/>
    <w:multiLevelType w:val="multilevel"/>
    <w:tmpl w:val="F5429B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19"/>
  </w:num>
  <w:num w:numId="4">
    <w:abstractNumId w:val="13"/>
  </w:num>
  <w:num w:numId="5">
    <w:abstractNumId w:val="26"/>
  </w:num>
  <w:num w:numId="6">
    <w:abstractNumId w:val="28"/>
  </w:num>
  <w:num w:numId="7">
    <w:abstractNumId w:val="8"/>
  </w:num>
  <w:num w:numId="8">
    <w:abstractNumId w:val="14"/>
  </w:num>
  <w:num w:numId="9">
    <w:abstractNumId w:val="21"/>
  </w:num>
  <w:num w:numId="10">
    <w:abstractNumId w:val="17"/>
  </w:num>
  <w:num w:numId="11">
    <w:abstractNumId w:val="24"/>
  </w:num>
  <w:num w:numId="12">
    <w:abstractNumId w:val="7"/>
  </w:num>
  <w:num w:numId="13">
    <w:abstractNumId w:val="3"/>
  </w:num>
  <w:num w:numId="14">
    <w:abstractNumId w:val="34"/>
  </w:num>
  <w:num w:numId="15">
    <w:abstractNumId w:val="16"/>
  </w:num>
  <w:num w:numId="16">
    <w:abstractNumId w:val="6"/>
  </w:num>
  <w:num w:numId="17">
    <w:abstractNumId w:val="1"/>
  </w:num>
  <w:num w:numId="18">
    <w:abstractNumId w:val="10"/>
  </w:num>
  <w:num w:numId="19">
    <w:abstractNumId w:val="4"/>
  </w:num>
  <w:num w:numId="20">
    <w:abstractNumId w:val="20"/>
  </w:num>
  <w:num w:numId="21">
    <w:abstractNumId w:val="11"/>
  </w:num>
  <w:num w:numId="22">
    <w:abstractNumId w:val="30"/>
  </w:num>
  <w:num w:numId="23">
    <w:abstractNumId w:val="0"/>
  </w:num>
  <w:num w:numId="24">
    <w:abstractNumId w:val="31"/>
  </w:num>
  <w:num w:numId="25">
    <w:abstractNumId w:val="29"/>
  </w:num>
  <w:num w:numId="26">
    <w:abstractNumId w:val="23"/>
  </w:num>
  <w:num w:numId="27">
    <w:abstractNumId w:val="25"/>
  </w:num>
  <w:num w:numId="28">
    <w:abstractNumId w:val="12"/>
  </w:num>
  <w:num w:numId="29">
    <w:abstractNumId w:val="9"/>
  </w:num>
  <w:num w:numId="30">
    <w:abstractNumId w:val="27"/>
  </w:num>
  <w:num w:numId="31">
    <w:abstractNumId w:val="33"/>
  </w:num>
  <w:num w:numId="32">
    <w:abstractNumId w:val="5"/>
  </w:num>
  <w:num w:numId="33">
    <w:abstractNumId w:val="15"/>
  </w:num>
  <w:num w:numId="34">
    <w:abstractNumId w:val="1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74"/>
    <w:rsid w:val="000243ED"/>
    <w:rsid w:val="000403ED"/>
    <w:rsid w:val="000446E5"/>
    <w:rsid w:val="00055AB9"/>
    <w:rsid w:val="000658C6"/>
    <w:rsid w:val="000950F4"/>
    <w:rsid w:val="000E1468"/>
    <w:rsid w:val="000E7017"/>
    <w:rsid w:val="000F0714"/>
    <w:rsid w:val="000F2ABB"/>
    <w:rsid w:val="000F698E"/>
    <w:rsid w:val="001204A8"/>
    <w:rsid w:val="00124F81"/>
    <w:rsid w:val="00142831"/>
    <w:rsid w:val="0018237D"/>
    <w:rsid w:val="0018405D"/>
    <w:rsid w:val="001A0DAB"/>
    <w:rsid w:val="001B0254"/>
    <w:rsid w:val="001C104D"/>
    <w:rsid w:val="001C1262"/>
    <w:rsid w:val="001F3E62"/>
    <w:rsid w:val="002137D0"/>
    <w:rsid w:val="00217D06"/>
    <w:rsid w:val="00230F2E"/>
    <w:rsid w:val="00244D46"/>
    <w:rsid w:val="0025159D"/>
    <w:rsid w:val="00254667"/>
    <w:rsid w:val="0025497D"/>
    <w:rsid w:val="00276125"/>
    <w:rsid w:val="002C79AC"/>
    <w:rsid w:val="002E3771"/>
    <w:rsid w:val="002E5165"/>
    <w:rsid w:val="002F17B4"/>
    <w:rsid w:val="002F3F68"/>
    <w:rsid w:val="00346202"/>
    <w:rsid w:val="00364D15"/>
    <w:rsid w:val="003B4FD5"/>
    <w:rsid w:val="003B658F"/>
    <w:rsid w:val="003B7D9A"/>
    <w:rsid w:val="003C5571"/>
    <w:rsid w:val="003C63A4"/>
    <w:rsid w:val="003E703B"/>
    <w:rsid w:val="00412C17"/>
    <w:rsid w:val="0041457D"/>
    <w:rsid w:val="00454E39"/>
    <w:rsid w:val="00463691"/>
    <w:rsid w:val="00472B1C"/>
    <w:rsid w:val="00480937"/>
    <w:rsid w:val="004821C1"/>
    <w:rsid w:val="004A0710"/>
    <w:rsid w:val="004A3A62"/>
    <w:rsid w:val="004A3FF2"/>
    <w:rsid w:val="004A42C5"/>
    <w:rsid w:val="004C119B"/>
    <w:rsid w:val="004D4A48"/>
    <w:rsid w:val="004D5058"/>
    <w:rsid w:val="005125E2"/>
    <w:rsid w:val="00517EAA"/>
    <w:rsid w:val="0052630F"/>
    <w:rsid w:val="00537C98"/>
    <w:rsid w:val="00546A84"/>
    <w:rsid w:val="00561DB5"/>
    <w:rsid w:val="00563FF5"/>
    <w:rsid w:val="00567F96"/>
    <w:rsid w:val="00596FB9"/>
    <w:rsid w:val="005A052B"/>
    <w:rsid w:val="005B1B8D"/>
    <w:rsid w:val="005B40CB"/>
    <w:rsid w:val="005C06B9"/>
    <w:rsid w:val="005C1650"/>
    <w:rsid w:val="005C53B3"/>
    <w:rsid w:val="005C55DB"/>
    <w:rsid w:val="005E4C78"/>
    <w:rsid w:val="006122F8"/>
    <w:rsid w:val="006131DA"/>
    <w:rsid w:val="0062351F"/>
    <w:rsid w:val="0062703F"/>
    <w:rsid w:val="006424E5"/>
    <w:rsid w:val="006550C6"/>
    <w:rsid w:val="006615B5"/>
    <w:rsid w:val="00694035"/>
    <w:rsid w:val="006A6331"/>
    <w:rsid w:val="006B10B0"/>
    <w:rsid w:val="006E701B"/>
    <w:rsid w:val="006F5A64"/>
    <w:rsid w:val="0072654B"/>
    <w:rsid w:val="00740089"/>
    <w:rsid w:val="00740531"/>
    <w:rsid w:val="007451DC"/>
    <w:rsid w:val="00746D0A"/>
    <w:rsid w:val="0075628B"/>
    <w:rsid w:val="00784F20"/>
    <w:rsid w:val="00785C74"/>
    <w:rsid w:val="007A60AF"/>
    <w:rsid w:val="007C10B9"/>
    <w:rsid w:val="007C480D"/>
    <w:rsid w:val="007C4AD8"/>
    <w:rsid w:val="007D4950"/>
    <w:rsid w:val="007E0388"/>
    <w:rsid w:val="007E5977"/>
    <w:rsid w:val="00800DE6"/>
    <w:rsid w:val="00807608"/>
    <w:rsid w:val="00812BD6"/>
    <w:rsid w:val="00815B01"/>
    <w:rsid w:val="008305AC"/>
    <w:rsid w:val="00837A39"/>
    <w:rsid w:val="008669B8"/>
    <w:rsid w:val="00870203"/>
    <w:rsid w:val="008843FA"/>
    <w:rsid w:val="008B3154"/>
    <w:rsid w:val="008B3988"/>
    <w:rsid w:val="008B4757"/>
    <w:rsid w:val="008D034E"/>
    <w:rsid w:val="008D1F31"/>
    <w:rsid w:val="008D2A8F"/>
    <w:rsid w:val="008D30D6"/>
    <w:rsid w:val="008E2B77"/>
    <w:rsid w:val="008F0664"/>
    <w:rsid w:val="00914E8E"/>
    <w:rsid w:val="00916CF2"/>
    <w:rsid w:val="00926FC7"/>
    <w:rsid w:val="009307C5"/>
    <w:rsid w:val="00933755"/>
    <w:rsid w:val="00952955"/>
    <w:rsid w:val="00981721"/>
    <w:rsid w:val="009A5527"/>
    <w:rsid w:val="009B40FA"/>
    <w:rsid w:val="009C3A86"/>
    <w:rsid w:val="009D38E8"/>
    <w:rsid w:val="009D675C"/>
    <w:rsid w:val="00A17362"/>
    <w:rsid w:val="00A2087B"/>
    <w:rsid w:val="00A3291A"/>
    <w:rsid w:val="00A4490F"/>
    <w:rsid w:val="00A46D3C"/>
    <w:rsid w:val="00A60881"/>
    <w:rsid w:val="00A80839"/>
    <w:rsid w:val="00A847FF"/>
    <w:rsid w:val="00A85A03"/>
    <w:rsid w:val="00A97BE6"/>
    <w:rsid w:val="00AA644E"/>
    <w:rsid w:val="00AC3A02"/>
    <w:rsid w:val="00AC7BB0"/>
    <w:rsid w:val="00AE2EDE"/>
    <w:rsid w:val="00B00199"/>
    <w:rsid w:val="00B03404"/>
    <w:rsid w:val="00B112F8"/>
    <w:rsid w:val="00B6746D"/>
    <w:rsid w:val="00B93102"/>
    <w:rsid w:val="00BA27F8"/>
    <w:rsid w:val="00BB22FD"/>
    <w:rsid w:val="00BD1E62"/>
    <w:rsid w:val="00BE6126"/>
    <w:rsid w:val="00C01DD9"/>
    <w:rsid w:val="00C06912"/>
    <w:rsid w:val="00C204AB"/>
    <w:rsid w:val="00C30E8A"/>
    <w:rsid w:val="00C43AFD"/>
    <w:rsid w:val="00C627DB"/>
    <w:rsid w:val="00C87BC3"/>
    <w:rsid w:val="00C95345"/>
    <w:rsid w:val="00C9639A"/>
    <w:rsid w:val="00C97AB7"/>
    <w:rsid w:val="00CA4C3B"/>
    <w:rsid w:val="00CB466A"/>
    <w:rsid w:val="00CC6219"/>
    <w:rsid w:val="00CD5DBA"/>
    <w:rsid w:val="00CD6D48"/>
    <w:rsid w:val="00CE36CD"/>
    <w:rsid w:val="00CE608F"/>
    <w:rsid w:val="00CF7A9C"/>
    <w:rsid w:val="00D20B1D"/>
    <w:rsid w:val="00D20F21"/>
    <w:rsid w:val="00D34EA0"/>
    <w:rsid w:val="00D34F38"/>
    <w:rsid w:val="00D5582F"/>
    <w:rsid w:val="00D5752D"/>
    <w:rsid w:val="00D6143A"/>
    <w:rsid w:val="00D63C20"/>
    <w:rsid w:val="00D66DB7"/>
    <w:rsid w:val="00D6728F"/>
    <w:rsid w:val="00D91A6B"/>
    <w:rsid w:val="00DA3821"/>
    <w:rsid w:val="00DA4A0F"/>
    <w:rsid w:val="00DA7B26"/>
    <w:rsid w:val="00DB1515"/>
    <w:rsid w:val="00DB7040"/>
    <w:rsid w:val="00DD54D7"/>
    <w:rsid w:val="00DE6B82"/>
    <w:rsid w:val="00DE7B8E"/>
    <w:rsid w:val="00DF09E7"/>
    <w:rsid w:val="00DF1DDC"/>
    <w:rsid w:val="00DF631C"/>
    <w:rsid w:val="00E01BE8"/>
    <w:rsid w:val="00E106CF"/>
    <w:rsid w:val="00E1080C"/>
    <w:rsid w:val="00E16052"/>
    <w:rsid w:val="00E32CBF"/>
    <w:rsid w:val="00E41969"/>
    <w:rsid w:val="00E4487C"/>
    <w:rsid w:val="00E5419F"/>
    <w:rsid w:val="00E67D7C"/>
    <w:rsid w:val="00E817B6"/>
    <w:rsid w:val="00E86789"/>
    <w:rsid w:val="00E97D7F"/>
    <w:rsid w:val="00EA7FE9"/>
    <w:rsid w:val="00EB03F2"/>
    <w:rsid w:val="00EB7CD6"/>
    <w:rsid w:val="00EC0A61"/>
    <w:rsid w:val="00EE0649"/>
    <w:rsid w:val="00EE2974"/>
    <w:rsid w:val="00EF4CB6"/>
    <w:rsid w:val="00EF6842"/>
    <w:rsid w:val="00F019E6"/>
    <w:rsid w:val="00F171DC"/>
    <w:rsid w:val="00F613D8"/>
    <w:rsid w:val="00F90ADC"/>
    <w:rsid w:val="00F95FD6"/>
    <w:rsid w:val="00F97633"/>
    <w:rsid w:val="00FB2B9E"/>
    <w:rsid w:val="00FB4D83"/>
    <w:rsid w:val="00FC3231"/>
    <w:rsid w:val="00FD6F6C"/>
    <w:rsid w:val="00FE39FC"/>
    <w:rsid w:val="00FE61E0"/>
    <w:rsid w:val="00FF31C3"/>
    <w:rsid w:val="00FF3F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E819"/>
  <w15:chartTrackingRefBased/>
  <w15:docId w15:val="{4B4844C8-5A59-D747-87C4-9D2D3A19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62"/>
    <w:rPr>
      <w:rFonts w:ascii="Times New Roman" w:eastAsia="Times New Roman" w:hAnsi="Times New Roman" w:cs="Times New Roman"/>
      <w:lang w:eastAsia="fr-FR"/>
    </w:rPr>
  </w:style>
  <w:style w:type="paragraph" w:styleId="Titre2">
    <w:name w:val="heading 2"/>
    <w:basedOn w:val="Normal"/>
    <w:link w:val="Titre2Car"/>
    <w:uiPriority w:val="9"/>
    <w:qFormat/>
    <w:rsid w:val="004A3FF2"/>
    <w:pPr>
      <w:spacing w:before="100" w:beforeAutospacing="1" w:after="100" w:afterAutospacing="1"/>
      <w:outlineLvl w:val="1"/>
    </w:pPr>
    <w:rPr>
      <w:rFonts w:eastAsia="Calibri"/>
      <w:b/>
      <w:bCs/>
      <w:sz w:val="36"/>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974"/>
    <w:pPr>
      <w:ind w:left="720"/>
      <w:contextualSpacing/>
    </w:pPr>
  </w:style>
  <w:style w:type="paragraph" w:styleId="En-tte">
    <w:name w:val="header"/>
    <w:basedOn w:val="Normal"/>
    <w:link w:val="En-tteCar"/>
    <w:uiPriority w:val="99"/>
    <w:unhideWhenUsed/>
    <w:rsid w:val="00EE2974"/>
    <w:pPr>
      <w:tabs>
        <w:tab w:val="center" w:pos="4536"/>
        <w:tab w:val="right" w:pos="9072"/>
      </w:tabs>
    </w:pPr>
  </w:style>
  <w:style w:type="character" w:customStyle="1" w:styleId="En-tteCar">
    <w:name w:val="En-tête Car"/>
    <w:basedOn w:val="Policepardfaut"/>
    <w:link w:val="En-tte"/>
    <w:uiPriority w:val="99"/>
    <w:rsid w:val="00EE2974"/>
  </w:style>
  <w:style w:type="paragraph" w:styleId="Pieddepage">
    <w:name w:val="footer"/>
    <w:basedOn w:val="Normal"/>
    <w:link w:val="PieddepageCar"/>
    <w:uiPriority w:val="99"/>
    <w:unhideWhenUsed/>
    <w:rsid w:val="00EE2974"/>
    <w:pPr>
      <w:tabs>
        <w:tab w:val="center" w:pos="4536"/>
        <w:tab w:val="right" w:pos="9072"/>
      </w:tabs>
    </w:pPr>
  </w:style>
  <w:style w:type="character" w:customStyle="1" w:styleId="PieddepageCar">
    <w:name w:val="Pied de page Car"/>
    <w:basedOn w:val="Policepardfaut"/>
    <w:link w:val="Pieddepage"/>
    <w:uiPriority w:val="99"/>
    <w:rsid w:val="00EE2974"/>
  </w:style>
  <w:style w:type="paragraph" w:styleId="Notedebasdepage">
    <w:name w:val="footnote text"/>
    <w:aliases w:val=" Carattere,Carattere,Dipnot Metni Char Char Char Char,Dipnot Metni Char Char Char,5_G,Footnote Text Char1,Footnote Text Char Char,Footnote Text Char1 Char Char,Footnote Text Char Char Char Char,Footnote Text Char1 Char Char Char Char"/>
    <w:basedOn w:val="Normal"/>
    <w:link w:val="NotedebasdepageCar"/>
    <w:uiPriority w:val="99"/>
    <w:unhideWhenUsed/>
    <w:qFormat/>
    <w:rsid w:val="007E5977"/>
    <w:rPr>
      <w:sz w:val="20"/>
      <w:szCs w:val="20"/>
      <w:lang w:val="fr-FR"/>
    </w:rPr>
  </w:style>
  <w:style w:type="character" w:customStyle="1" w:styleId="NotedebasdepageCar">
    <w:name w:val="Note de bas de page Car"/>
    <w:aliases w:val=" Carattere Car,Carattere Car,Dipnot Metni Char Char Char Char Car,Dipnot Metni Char Char Char Car,5_G Car,Footnote Text Char1 Car,Footnote Text Char Char Car,Footnote Text Char1 Char Char Car,Footnote Text Char Char Char Char Car"/>
    <w:basedOn w:val="Policepardfaut"/>
    <w:link w:val="Notedebasdepage"/>
    <w:uiPriority w:val="99"/>
    <w:qFormat/>
    <w:rsid w:val="007E5977"/>
    <w:rPr>
      <w:sz w:val="20"/>
      <w:szCs w:val="20"/>
      <w:lang w:val="fr-FR" w:eastAsia="fr-FR"/>
    </w:rPr>
  </w:style>
  <w:style w:type="character" w:styleId="Appelnotedebasdep">
    <w:name w:val="footnote reference"/>
    <w:aliases w:val="4_G,Footnote number,a Footnote Reference,FZ,Appel note de bas de page,Footnotes refss,Footnote Ref,16 Point,Superscript 6 Point,Footnote Refernece,Footnote text,BVI fnr,ftref,BVI fnr Char1,BVI fnr Car Car Char1,Style 10,callout,f"/>
    <w:basedOn w:val="Policepardfaut"/>
    <w:link w:val="4GCharChar"/>
    <w:uiPriority w:val="99"/>
    <w:unhideWhenUsed/>
    <w:qFormat/>
    <w:rsid w:val="007E5977"/>
    <w:rPr>
      <w:vertAlign w:val="superscript"/>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Appelnotedebasdep"/>
    <w:uiPriority w:val="99"/>
    <w:rsid w:val="007E5977"/>
    <w:pPr>
      <w:autoSpaceDE w:val="0"/>
      <w:autoSpaceDN w:val="0"/>
      <w:spacing w:line="240" w:lineRule="exact"/>
      <w:jc w:val="both"/>
    </w:pPr>
    <w:rPr>
      <w:vertAlign w:val="superscript"/>
    </w:rPr>
  </w:style>
  <w:style w:type="character" w:styleId="Lienhypertexte">
    <w:name w:val="Hyperlink"/>
    <w:basedOn w:val="Policepardfaut"/>
    <w:uiPriority w:val="99"/>
    <w:unhideWhenUsed/>
    <w:rsid w:val="00D34F38"/>
    <w:rPr>
      <w:color w:val="0563C1" w:themeColor="hyperlink"/>
      <w:u w:val="single"/>
    </w:rPr>
  </w:style>
  <w:style w:type="character" w:styleId="Mentionnonrsolue">
    <w:name w:val="Unresolved Mention"/>
    <w:basedOn w:val="Policepardfaut"/>
    <w:uiPriority w:val="99"/>
    <w:semiHidden/>
    <w:unhideWhenUsed/>
    <w:rsid w:val="00D34F38"/>
    <w:rPr>
      <w:color w:val="605E5C"/>
      <w:shd w:val="clear" w:color="auto" w:fill="E1DFDD"/>
    </w:rPr>
  </w:style>
  <w:style w:type="character" w:styleId="Lienhypertextesuivivisit">
    <w:name w:val="FollowedHyperlink"/>
    <w:basedOn w:val="Policepardfaut"/>
    <w:uiPriority w:val="99"/>
    <w:semiHidden/>
    <w:unhideWhenUsed/>
    <w:rsid w:val="00DF1DDC"/>
    <w:rPr>
      <w:color w:val="954F72" w:themeColor="followedHyperlink"/>
      <w:u w:val="single"/>
    </w:rPr>
  </w:style>
  <w:style w:type="paragraph" w:styleId="NormalWeb">
    <w:name w:val="Normal (Web)"/>
    <w:basedOn w:val="Normal"/>
    <w:uiPriority w:val="99"/>
    <w:unhideWhenUsed/>
    <w:rsid w:val="007C480D"/>
    <w:pPr>
      <w:spacing w:before="100" w:beforeAutospacing="1" w:after="100" w:afterAutospacing="1"/>
    </w:pPr>
  </w:style>
  <w:style w:type="character" w:customStyle="1" w:styleId="Aucun">
    <w:name w:val="Aucun"/>
    <w:rsid w:val="006E701B"/>
    <w:rPr>
      <w:lang w:val="fr-FR"/>
    </w:rPr>
  </w:style>
  <w:style w:type="paragraph" w:customStyle="1" w:styleId="Corps">
    <w:name w:val="Corps"/>
    <w:rsid w:val="009307C5"/>
    <w:pPr>
      <w:pBdr>
        <w:top w:val="nil"/>
        <w:left w:val="nil"/>
        <w:bottom w:val="nil"/>
        <w:right w:val="nil"/>
        <w:between w:val="nil"/>
        <w:bar w:val="nil"/>
      </w:pBdr>
    </w:pPr>
    <w:rPr>
      <w:rFonts w:ascii="Calibri" w:eastAsia="Calibri" w:hAnsi="Calibri" w:cs="Calibri"/>
      <w:color w:val="000000"/>
      <w:u w:color="000000"/>
      <w:bdr w:val="nil"/>
      <w:lang w:eastAsia="fr-FR"/>
      <w14:textOutline w14:w="0" w14:cap="flat" w14:cmpd="sng" w14:algn="ctr">
        <w14:noFill/>
        <w14:prstDash w14:val="solid"/>
        <w14:bevel/>
      </w14:textOutline>
    </w:rPr>
  </w:style>
  <w:style w:type="character" w:customStyle="1" w:styleId="apple-converted-space">
    <w:name w:val="apple-converted-space"/>
    <w:basedOn w:val="Policepardfaut"/>
    <w:rsid w:val="00EF4CB6"/>
  </w:style>
  <w:style w:type="character" w:customStyle="1" w:styleId="Titre2Car">
    <w:name w:val="Titre 2 Car"/>
    <w:basedOn w:val="Policepardfaut"/>
    <w:link w:val="Titre2"/>
    <w:uiPriority w:val="9"/>
    <w:rsid w:val="004A3FF2"/>
    <w:rPr>
      <w:rFonts w:ascii="Times New Roman" w:eastAsia="Calibri" w:hAnsi="Times New Roman" w:cs="Times New Roman"/>
      <w:b/>
      <w:bCs/>
      <w:sz w:val="36"/>
      <w:szCs w:val="36"/>
      <w:lang w:val="fr-FR" w:eastAsia="fr-FR"/>
    </w:rPr>
  </w:style>
  <w:style w:type="character" w:styleId="Numrodepage">
    <w:name w:val="page number"/>
    <w:basedOn w:val="Policepardfaut"/>
    <w:uiPriority w:val="99"/>
    <w:semiHidden/>
    <w:unhideWhenUsed/>
    <w:rsid w:val="00EF6842"/>
  </w:style>
  <w:style w:type="paragraph" w:customStyle="1" w:styleId="Textbody">
    <w:name w:val="Text body"/>
    <w:basedOn w:val="Normal"/>
    <w:rsid w:val="00480937"/>
    <w:pPr>
      <w:suppressAutoHyphens/>
      <w:overflowPunct w:val="0"/>
      <w:autoSpaceDN w:val="0"/>
      <w:spacing w:after="140" w:line="276" w:lineRule="auto"/>
      <w:textAlignment w:val="baseline"/>
    </w:pPr>
    <w:rPr>
      <w:rFonts w:ascii="Calibri" w:eastAsia="Segoe UI" w:hAnsi="Calibri" w:cs="Tahoma"/>
      <w:sz w:val="20"/>
      <w:szCs w:val="20"/>
      <w:lang w:val="tr-TR" w:eastAsia="en-US"/>
    </w:rPr>
  </w:style>
  <w:style w:type="paragraph" w:customStyle="1" w:styleId="Footnote">
    <w:name w:val="Footnote"/>
    <w:basedOn w:val="Normal"/>
    <w:rsid w:val="00480937"/>
    <w:pPr>
      <w:suppressLineNumbers/>
      <w:suppressAutoHyphens/>
      <w:overflowPunct w:val="0"/>
      <w:autoSpaceDN w:val="0"/>
      <w:spacing w:before="200" w:after="200" w:line="276" w:lineRule="auto"/>
      <w:ind w:left="339" w:hanging="339"/>
      <w:textAlignment w:val="baseline"/>
    </w:pPr>
    <w:rPr>
      <w:rFonts w:ascii="Calibri" w:eastAsia="Segoe UI" w:hAnsi="Calibri" w:cs="Tahoma"/>
      <w:sz w:val="20"/>
      <w:szCs w:val="20"/>
      <w:lang w:val="tr-TR" w:eastAsia="en-US"/>
    </w:rPr>
  </w:style>
  <w:style w:type="character" w:customStyle="1" w:styleId="Internetlink">
    <w:name w:val="Internet link"/>
    <w:basedOn w:val="Policepardfaut"/>
    <w:rsid w:val="00480937"/>
    <w:rPr>
      <w:color w:val="0000FF"/>
      <w:u w:val="single"/>
    </w:rPr>
  </w:style>
  <w:style w:type="paragraph" w:customStyle="1" w:styleId="Default">
    <w:name w:val="Default"/>
    <w:rsid w:val="00784F20"/>
    <w:pPr>
      <w:autoSpaceDE w:val="0"/>
      <w:autoSpaceDN w:val="0"/>
      <w:adjustRightInd w:val="0"/>
    </w:pPr>
    <w:rPr>
      <w:rFonts w:ascii="Times New Roman" w:hAnsi="Times New Roman" w:cs="Times New Roman"/>
      <w:color w:val="000000"/>
      <w:lang w:val="en-US"/>
    </w:rPr>
  </w:style>
  <w:style w:type="character" w:customStyle="1" w:styleId="Policepardfaut1">
    <w:name w:val="Police par défaut1"/>
    <w:rsid w:val="001C1262"/>
  </w:style>
  <w:style w:type="paragraph" w:styleId="Rvision">
    <w:name w:val="Revision"/>
    <w:hidden/>
    <w:uiPriority w:val="99"/>
    <w:semiHidden/>
    <w:rsid w:val="00CF7A9C"/>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305">
      <w:bodyDiv w:val="1"/>
      <w:marLeft w:val="0"/>
      <w:marRight w:val="0"/>
      <w:marTop w:val="0"/>
      <w:marBottom w:val="0"/>
      <w:divBdr>
        <w:top w:val="none" w:sz="0" w:space="0" w:color="auto"/>
        <w:left w:val="none" w:sz="0" w:space="0" w:color="auto"/>
        <w:bottom w:val="none" w:sz="0" w:space="0" w:color="auto"/>
        <w:right w:val="none" w:sz="0" w:space="0" w:color="auto"/>
      </w:divBdr>
    </w:div>
    <w:div w:id="132603124">
      <w:bodyDiv w:val="1"/>
      <w:marLeft w:val="0"/>
      <w:marRight w:val="0"/>
      <w:marTop w:val="0"/>
      <w:marBottom w:val="0"/>
      <w:divBdr>
        <w:top w:val="none" w:sz="0" w:space="0" w:color="auto"/>
        <w:left w:val="none" w:sz="0" w:space="0" w:color="auto"/>
        <w:bottom w:val="none" w:sz="0" w:space="0" w:color="auto"/>
        <w:right w:val="none" w:sz="0" w:space="0" w:color="auto"/>
      </w:divBdr>
    </w:div>
    <w:div w:id="144127214">
      <w:bodyDiv w:val="1"/>
      <w:marLeft w:val="0"/>
      <w:marRight w:val="0"/>
      <w:marTop w:val="0"/>
      <w:marBottom w:val="0"/>
      <w:divBdr>
        <w:top w:val="none" w:sz="0" w:space="0" w:color="auto"/>
        <w:left w:val="none" w:sz="0" w:space="0" w:color="auto"/>
        <w:bottom w:val="none" w:sz="0" w:space="0" w:color="auto"/>
        <w:right w:val="none" w:sz="0" w:space="0" w:color="auto"/>
      </w:divBdr>
    </w:div>
    <w:div w:id="187254848">
      <w:bodyDiv w:val="1"/>
      <w:marLeft w:val="0"/>
      <w:marRight w:val="0"/>
      <w:marTop w:val="0"/>
      <w:marBottom w:val="0"/>
      <w:divBdr>
        <w:top w:val="none" w:sz="0" w:space="0" w:color="auto"/>
        <w:left w:val="none" w:sz="0" w:space="0" w:color="auto"/>
        <w:bottom w:val="none" w:sz="0" w:space="0" w:color="auto"/>
        <w:right w:val="none" w:sz="0" w:space="0" w:color="auto"/>
      </w:divBdr>
    </w:div>
    <w:div w:id="195587612">
      <w:bodyDiv w:val="1"/>
      <w:marLeft w:val="0"/>
      <w:marRight w:val="0"/>
      <w:marTop w:val="0"/>
      <w:marBottom w:val="0"/>
      <w:divBdr>
        <w:top w:val="none" w:sz="0" w:space="0" w:color="auto"/>
        <w:left w:val="none" w:sz="0" w:space="0" w:color="auto"/>
        <w:bottom w:val="none" w:sz="0" w:space="0" w:color="auto"/>
        <w:right w:val="none" w:sz="0" w:space="0" w:color="auto"/>
      </w:divBdr>
    </w:div>
    <w:div w:id="205610648">
      <w:bodyDiv w:val="1"/>
      <w:marLeft w:val="0"/>
      <w:marRight w:val="0"/>
      <w:marTop w:val="0"/>
      <w:marBottom w:val="0"/>
      <w:divBdr>
        <w:top w:val="none" w:sz="0" w:space="0" w:color="auto"/>
        <w:left w:val="none" w:sz="0" w:space="0" w:color="auto"/>
        <w:bottom w:val="none" w:sz="0" w:space="0" w:color="auto"/>
        <w:right w:val="none" w:sz="0" w:space="0" w:color="auto"/>
      </w:divBdr>
      <w:divsChild>
        <w:div w:id="1660887973">
          <w:marLeft w:val="0"/>
          <w:marRight w:val="0"/>
          <w:marTop w:val="0"/>
          <w:marBottom w:val="0"/>
          <w:divBdr>
            <w:top w:val="none" w:sz="0" w:space="0" w:color="auto"/>
            <w:left w:val="none" w:sz="0" w:space="0" w:color="auto"/>
            <w:bottom w:val="none" w:sz="0" w:space="0" w:color="auto"/>
            <w:right w:val="none" w:sz="0" w:space="0" w:color="auto"/>
          </w:divBdr>
          <w:divsChild>
            <w:div w:id="524440641">
              <w:marLeft w:val="0"/>
              <w:marRight w:val="0"/>
              <w:marTop w:val="0"/>
              <w:marBottom w:val="0"/>
              <w:divBdr>
                <w:top w:val="none" w:sz="0" w:space="0" w:color="auto"/>
                <w:left w:val="none" w:sz="0" w:space="0" w:color="auto"/>
                <w:bottom w:val="none" w:sz="0" w:space="0" w:color="auto"/>
                <w:right w:val="none" w:sz="0" w:space="0" w:color="auto"/>
              </w:divBdr>
              <w:divsChild>
                <w:div w:id="15457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0614">
      <w:bodyDiv w:val="1"/>
      <w:marLeft w:val="0"/>
      <w:marRight w:val="0"/>
      <w:marTop w:val="0"/>
      <w:marBottom w:val="0"/>
      <w:divBdr>
        <w:top w:val="none" w:sz="0" w:space="0" w:color="auto"/>
        <w:left w:val="none" w:sz="0" w:space="0" w:color="auto"/>
        <w:bottom w:val="none" w:sz="0" w:space="0" w:color="auto"/>
        <w:right w:val="none" w:sz="0" w:space="0" w:color="auto"/>
      </w:divBdr>
      <w:divsChild>
        <w:div w:id="756097300">
          <w:marLeft w:val="0"/>
          <w:marRight w:val="0"/>
          <w:marTop w:val="0"/>
          <w:marBottom w:val="0"/>
          <w:divBdr>
            <w:top w:val="none" w:sz="0" w:space="0" w:color="auto"/>
            <w:left w:val="none" w:sz="0" w:space="0" w:color="auto"/>
            <w:bottom w:val="none" w:sz="0" w:space="0" w:color="auto"/>
            <w:right w:val="none" w:sz="0" w:space="0" w:color="auto"/>
          </w:divBdr>
          <w:divsChild>
            <w:div w:id="231473573">
              <w:marLeft w:val="0"/>
              <w:marRight w:val="0"/>
              <w:marTop w:val="0"/>
              <w:marBottom w:val="0"/>
              <w:divBdr>
                <w:top w:val="none" w:sz="0" w:space="0" w:color="auto"/>
                <w:left w:val="none" w:sz="0" w:space="0" w:color="auto"/>
                <w:bottom w:val="none" w:sz="0" w:space="0" w:color="auto"/>
                <w:right w:val="none" w:sz="0" w:space="0" w:color="auto"/>
              </w:divBdr>
              <w:divsChild>
                <w:div w:id="674381433">
                  <w:marLeft w:val="0"/>
                  <w:marRight w:val="0"/>
                  <w:marTop w:val="0"/>
                  <w:marBottom w:val="0"/>
                  <w:divBdr>
                    <w:top w:val="none" w:sz="0" w:space="0" w:color="auto"/>
                    <w:left w:val="none" w:sz="0" w:space="0" w:color="auto"/>
                    <w:bottom w:val="none" w:sz="0" w:space="0" w:color="auto"/>
                    <w:right w:val="none" w:sz="0" w:space="0" w:color="auto"/>
                  </w:divBdr>
                  <w:divsChild>
                    <w:div w:id="977421721">
                      <w:marLeft w:val="0"/>
                      <w:marRight w:val="0"/>
                      <w:marTop w:val="0"/>
                      <w:marBottom w:val="0"/>
                      <w:divBdr>
                        <w:top w:val="none" w:sz="0" w:space="0" w:color="auto"/>
                        <w:left w:val="none" w:sz="0" w:space="0" w:color="auto"/>
                        <w:bottom w:val="none" w:sz="0" w:space="0" w:color="auto"/>
                        <w:right w:val="none" w:sz="0" w:space="0" w:color="auto"/>
                      </w:divBdr>
                    </w:div>
                  </w:divsChild>
                </w:div>
                <w:div w:id="2111389634">
                  <w:marLeft w:val="0"/>
                  <w:marRight w:val="0"/>
                  <w:marTop w:val="0"/>
                  <w:marBottom w:val="0"/>
                  <w:divBdr>
                    <w:top w:val="none" w:sz="0" w:space="0" w:color="auto"/>
                    <w:left w:val="none" w:sz="0" w:space="0" w:color="auto"/>
                    <w:bottom w:val="none" w:sz="0" w:space="0" w:color="auto"/>
                    <w:right w:val="none" w:sz="0" w:space="0" w:color="auto"/>
                  </w:divBdr>
                  <w:divsChild>
                    <w:div w:id="906064467">
                      <w:marLeft w:val="0"/>
                      <w:marRight w:val="0"/>
                      <w:marTop w:val="0"/>
                      <w:marBottom w:val="0"/>
                      <w:divBdr>
                        <w:top w:val="none" w:sz="0" w:space="0" w:color="auto"/>
                        <w:left w:val="none" w:sz="0" w:space="0" w:color="auto"/>
                        <w:bottom w:val="none" w:sz="0" w:space="0" w:color="auto"/>
                        <w:right w:val="none" w:sz="0" w:space="0" w:color="auto"/>
                      </w:divBdr>
                    </w:div>
                  </w:divsChild>
                </w:div>
                <w:div w:id="1981229089">
                  <w:marLeft w:val="0"/>
                  <w:marRight w:val="0"/>
                  <w:marTop w:val="0"/>
                  <w:marBottom w:val="0"/>
                  <w:divBdr>
                    <w:top w:val="none" w:sz="0" w:space="0" w:color="auto"/>
                    <w:left w:val="none" w:sz="0" w:space="0" w:color="auto"/>
                    <w:bottom w:val="none" w:sz="0" w:space="0" w:color="auto"/>
                    <w:right w:val="none" w:sz="0" w:space="0" w:color="auto"/>
                  </w:divBdr>
                  <w:divsChild>
                    <w:div w:id="2073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4504">
      <w:bodyDiv w:val="1"/>
      <w:marLeft w:val="0"/>
      <w:marRight w:val="0"/>
      <w:marTop w:val="0"/>
      <w:marBottom w:val="0"/>
      <w:divBdr>
        <w:top w:val="none" w:sz="0" w:space="0" w:color="auto"/>
        <w:left w:val="none" w:sz="0" w:space="0" w:color="auto"/>
        <w:bottom w:val="none" w:sz="0" w:space="0" w:color="auto"/>
        <w:right w:val="none" w:sz="0" w:space="0" w:color="auto"/>
      </w:divBdr>
    </w:div>
    <w:div w:id="427426440">
      <w:bodyDiv w:val="1"/>
      <w:marLeft w:val="0"/>
      <w:marRight w:val="0"/>
      <w:marTop w:val="0"/>
      <w:marBottom w:val="0"/>
      <w:divBdr>
        <w:top w:val="none" w:sz="0" w:space="0" w:color="auto"/>
        <w:left w:val="none" w:sz="0" w:space="0" w:color="auto"/>
        <w:bottom w:val="none" w:sz="0" w:space="0" w:color="auto"/>
        <w:right w:val="none" w:sz="0" w:space="0" w:color="auto"/>
      </w:divBdr>
    </w:div>
    <w:div w:id="475805795">
      <w:bodyDiv w:val="1"/>
      <w:marLeft w:val="0"/>
      <w:marRight w:val="0"/>
      <w:marTop w:val="0"/>
      <w:marBottom w:val="0"/>
      <w:divBdr>
        <w:top w:val="none" w:sz="0" w:space="0" w:color="auto"/>
        <w:left w:val="none" w:sz="0" w:space="0" w:color="auto"/>
        <w:bottom w:val="none" w:sz="0" w:space="0" w:color="auto"/>
        <w:right w:val="none" w:sz="0" w:space="0" w:color="auto"/>
      </w:divBdr>
    </w:div>
    <w:div w:id="544832108">
      <w:bodyDiv w:val="1"/>
      <w:marLeft w:val="0"/>
      <w:marRight w:val="0"/>
      <w:marTop w:val="0"/>
      <w:marBottom w:val="0"/>
      <w:divBdr>
        <w:top w:val="none" w:sz="0" w:space="0" w:color="auto"/>
        <w:left w:val="none" w:sz="0" w:space="0" w:color="auto"/>
        <w:bottom w:val="none" w:sz="0" w:space="0" w:color="auto"/>
        <w:right w:val="none" w:sz="0" w:space="0" w:color="auto"/>
      </w:divBdr>
    </w:div>
    <w:div w:id="580531261">
      <w:bodyDiv w:val="1"/>
      <w:marLeft w:val="0"/>
      <w:marRight w:val="0"/>
      <w:marTop w:val="0"/>
      <w:marBottom w:val="0"/>
      <w:divBdr>
        <w:top w:val="none" w:sz="0" w:space="0" w:color="auto"/>
        <w:left w:val="none" w:sz="0" w:space="0" w:color="auto"/>
        <w:bottom w:val="none" w:sz="0" w:space="0" w:color="auto"/>
        <w:right w:val="none" w:sz="0" w:space="0" w:color="auto"/>
      </w:divBdr>
    </w:div>
    <w:div w:id="656109542">
      <w:bodyDiv w:val="1"/>
      <w:marLeft w:val="0"/>
      <w:marRight w:val="0"/>
      <w:marTop w:val="0"/>
      <w:marBottom w:val="0"/>
      <w:divBdr>
        <w:top w:val="none" w:sz="0" w:space="0" w:color="auto"/>
        <w:left w:val="none" w:sz="0" w:space="0" w:color="auto"/>
        <w:bottom w:val="none" w:sz="0" w:space="0" w:color="auto"/>
        <w:right w:val="none" w:sz="0" w:space="0" w:color="auto"/>
      </w:divBdr>
    </w:div>
    <w:div w:id="663119728">
      <w:bodyDiv w:val="1"/>
      <w:marLeft w:val="0"/>
      <w:marRight w:val="0"/>
      <w:marTop w:val="0"/>
      <w:marBottom w:val="0"/>
      <w:divBdr>
        <w:top w:val="none" w:sz="0" w:space="0" w:color="auto"/>
        <w:left w:val="none" w:sz="0" w:space="0" w:color="auto"/>
        <w:bottom w:val="none" w:sz="0" w:space="0" w:color="auto"/>
        <w:right w:val="none" w:sz="0" w:space="0" w:color="auto"/>
      </w:divBdr>
      <w:divsChild>
        <w:div w:id="269509903">
          <w:marLeft w:val="0"/>
          <w:marRight w:val="0"/>
          <w:marTop w:val="0"/>
          <w:marBottom w:val="0"/>
          <w:divBdr>
            <w:top w:val="none" w:sz="0" w:space="0" w:color="auto"/>
            <w:left w:val="none" w:sz="0" w:space="0" w:color="auto"/>
            <w:bottom w:val="none" w:sz="0" w:space="0" w:color="auto"/>
            <w:right w:val="none" w:sz="0" w:space="0" w:color="auto"/>
          </w:divBdr>
          <w:divsChild>
            <w:div w:id="910625650">
              <w:marLeft w:val="0"/>
              <w:marRight w:val="0"/>
              <w:marTop w:val="0"/>
              <w:marBottom w:val="0"/>
              <w:divBdr>
                <w:top w:val="none" w:sz="0" w:space="0" w:color="auto"/>
                <w:left w:val="none" w:sz="0" w:space="0" w:color="auto"/>
                <w:bottom w:val="none" w:sz="0" w:space="0" w:color="auto"/>
                <w:right w:val="none" w:sz="0" w:space="0" w:color="auto"/>
              </w:divBdr>
              <w:divsChild>
                <w:div w:id="20092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2518">
      <w:bodyDiv w:val="1"/>
      <w:marLeft w:val="0"/>
      <w:marRight w:val="0"/>
      <w:marTop w:val="0"/>
      <w:marBottom w:val="0"/>
      <w:divBdr>
        <w:top w:val="none" w:sz="0" w:space="0" w:color="auto"/>
        <w:left w:val="none" w:sz="0" w:space="0" w:color="auto"/>
        <w:bottom w:val="none" w:sz="0" w:space="0" w:color="auto"/>
        <w:right w:val="none" w:sz="0" w:space="0" w:color="auto"/>
      </w:divBdr>
      <w:divsChild>
        <w:div w:id="34158850">
          <w:marLeft w:val="0"/>
          <w:marRight w:val="0"/>
          <w:marTop w:val="0"/>
          <w:marBottom w:val="0"/>
          <w:divBdr>
            <w:top w:val="none" w:sz="0" w:space="0" w:color="auto"/>
            <w:left w:val="none" w:sz="0" w:space="0" w:color="auto"/>
            <w:bottom w:val="none" w:sz="0" w:space="0" w:color="auto"/>
            <w:right w:val="none" w:sz="0" w:space="0" w:color="auto"/>
          </w:divBdr>
          <w:divsChild>
            <w:div w:id="975337791">
              <w:marLeft w:val="0"/>
              <w:marRight w:val="0"/>
              <w:marTop w:val="0"/>
              <w:marBottom w:val="0"/>
              <w:divBdr>
                <w:top w:val="none" w:sz="0" w:space="0" w:color="auto"/>
                <w:left w:val="none" w:sz="0" w:space="0" w:color="auto"/>
                <w:bottom w:val="none" w:sz="0" w:space="0" w:color="auto"/>
                <w:right w:val="none" w:sz="0" w:space="0" w:color="auto"/>
              </w:divBdr>
              <w:divsChild>
                <w:div w:id="2607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5789">
      <w:bodyDiv w:val="1"/>
      <w:marLeft w:val="0"/>
      <w:marRight w:val="0"/>
      <w:marTop w:val="0"/>
      <w:marBottom w:val="0"/>
      <w:divBdr>
        <w:top w:val="none" w:sz="0" w:space="0" w:color="auto"/>
        <w:left w:val="none" w:sz="0" w:space="0" w:color="auto"/>
        <w:bottom w:val="none" w:sz="0" w:space="0" w:color="auto"/>
        <w:right w:val="none" w:sz="0" w:space="0" w:color="auto"/>
      </w:divBdr>
    </w:div>
    <w:div w:id="747118763">
      <w:bodyDiv w:val="1"/>
      <w:marLeft w:val="0"/>
      <w:marRight w:val="0"/>
      <w:marTop w:val="0"/>
      <w:marBottom w:val="0"/>
      <w:divBdr>
        <w:top w:val="none" w:sz="0" w:space="0" w:color="auto"/>
        <w:left w:val="none" w:sz="0" w:space="0" w:color="auto"/>
        <w:bottom w:val="none" w:sz="0" w:space="0" w:color="auto"/>
        <w:right w:val="none" w:sz="0" w:space="0" w:color="auto"/>
      </w:divBdr>
    </w:div>
    <w:div w:id="802507139">
      <w:bodyDiv w:val="1"/>
      <w:marLeft w:val="0"/>
      <w:marRight w:val="0"/>
      <w:marTop w:val="0"/>
      <w:marBottom w:val="0"/>
      <w:divBdr>
        <w:top w:val="none" w:sz="0" w:space="0" w:color="auto"/>
        <w:left w:val="none" w:sz="0" w:space="0" w:color="auto"/>
        <w:bottom w:val="none" w:sz="0" w:space="0" w:color="auto"/>
        <w:right w:val="none" w:sz="0" w:space="0" w:color="auto"/>
      </w:divBdr>
      <w:divsChild>
        <w:div w:id="747196222">
          <w:marLeft w:val="0"/>
          <w:marRight w:val="0"/>
          <w:marTop w:val="0"/>
          <w:marBottom w:val="0"/>
          <w:divBdr>
            <w:top w:val="none" w:sz="0" w:space="0" w:color="auto"/>
            <w:left w:val="none" w:sz="0" w:space="0" w:color="auto"/>
            <w:bottom w:val="none" w:sz="0" w:space="0" w:color="auto"/>
            <w:right w:val="none" w:sz="0" w:space="0" w:color="auto"/>
          </w:divBdr>
          <w:divsChild>
            <w:div w:id="1723022872">
              <w:marLeft w:val="0"/>
              <w:marRight w:val="0"/>
              <w:marTop w:val="0"/>
              <w:marBottom w:val="0"/>
              <w:divBdr>
                <w:top w:val="none" w:sz="0" w:space="0" w:color="auto"/>
                <w:left w:val="none" w:sz="0" w:space="0" w:color="auto"/>
                <w:bottom w:val="none" w:sz="0" w:space="0" w:color="auto"/>
                <w:right w:val="none" w:sz="0" w:space="0" w:color="auto"/>
              </w:divBdr>
              <w:divsChild>
                <w:div w:id="9310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1001">
      <w:bodyDiv w:val="1"/>
      <w:marLeft w:val="0"/>
      <w:marRight w:val="0"/>
      <w:marTop w:val="0"/>
      <w:marBottom w:val="0"/>
      <w:divBdr>
        <w:top w:val="none" w:sz="0" w:space="0" w:color="auto"/>
        <w:left w:val="none" w:sz="0" w:space="0" w:color="auto"/>
        <w:bottom w:val="none" w:sz="0" w:space="0" w:color="auto"/>
        <w:right w:val="none" w:sz="0" w:space="0" w:color="auto"/>
      </w:divBdr>
    </w:div>
    <w:div w:id="842401214">
      <w:bodyDiv w:val="1"/>
      <w:marLeft w:val="0"/>
      <w:marRight w:val="0"/>
      <w:marTop w:val="0"/>
      <w:marBottom w:val="0"/>
      <w:divBdr>
        <w:top w:val="none" w:sz="0" w:space="0" w:color="auto"/>
        <w:left w:val="none" w:sz="0" w:space="0" w:color="auto"/>
        <w:bottom w:val="none" w:sz="0" w:space="0" w:color="auto"/>
        <w:right w:val="none" w:sz="0" w:space="0" w:color="auto"/>
      </w:divBdr>
    </w:div>
    <w:div w:id="954171154">
      <w:bodyDiv w:val="1"/>
      <w:marLeft w:val="0"/>
      <w:marRight w:val="0"/>
      <w:marTop w:val="0"/>
      <w:marBottom w:val="0"/>
      <w:divBdr>
        <w:top w:val="none" w:sz="0" w:space="0" w:color="auto"/>
        <w:left w:val="none" w:sz="0" w:space="0" w:color="auto"/>
        <w:bottom w:val="none" w:sz="0" w:space="0" w:color="auto"/>
        <w:right w:val="none" w:sz="0" w:space="0" w:color="auto"/>
      </w:divBdr>
      <w:divsChild>
        <w:div w:id="398791276">
          <w:marLeft w:val="0"/>
          <w:marRight w:val="0"/>
          <w:marTop w:val="0"/>
          <w:marBottom w:val="0"/>
          <w:divBdr>
            <w:top w:val="none" w:sz="0" w:space="0" w:color="auto"/>
            <w:left w:val="none" w:sz="0" w:space="0" w:color="auto"/>
            <w:bottom w:val="none" w:sz="0" w:space="0" w:color="auto"/>
            <w:right w:val="none" w:sz="0" w:space="0" w:color="auto"/>
          </w:divBdr>
          <w:divsChild>
            <w:div w:id="1632326956">
              <w:marLeft w:val="0"/>
              <w:marRight w:val="0"/>
              <w:marTop w:val="0"/>
              <w:marBottom w:val="0"/>
              <w:divBdr>
                <w:top w:val="none" w:sz="0" w:space="0" w:color="auto"/>
                <w:left w:val="none" w:sz="0" w:space="0" w:color="auto"/>
                <w:bottom w:val="none" w:sz="0" w:space="0" w:color="auto"/>
                <w:right w:val="none" w:sz="0" w:space="0" w:color="auto"/>
              </w:divBdr>
              <w:divsChild>
                <w:div w:id="11938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5885">
      <w:bodyDiv w:val="1"/>
      <w:marLeft w:val="0"/>
      <w:marRight w:val="0"/>
      <w:marTop w:val="0"/>
      <w:marBottom w:val="0"/>
      <w:divBdr>
        <w:top w:val="none" w:sz="0" w:space="0" w:color="auto"/>
        <w:left w:val="none" w:sz="0" w:space="0" w:color="auto"/>
        <w:bottom w:val="none" w:sz="0" w:space="0" w:color="auto"/>
        <w:right w:val="none" w:sz="0" w:space="0" w:color="auto"/>
      </w:divBdr>
    </w:div>
    <w:div w:id="1127118597">
      <w:bodyDiv w:val="1"/>
      <w:marLeft w:val="0"/>
      <w:marRight w:val="0"/>
      <w:marTop w:val="0"/>
      <w:marBottom w:val="0"/>
      <w:divBdr>
        <w:top w:val="none" w:sz="0" w:space="0" w:color="auto"/>
        <w:left w:val="none" w:sz="0" w:space="0" w:color="auto"/>
        <w:bottom w:val="none" w:sz="0" w:space="0" w:color="auto"/>
        <w:right w:val="none" w:sz="0" w:space="0" w:color="auto"/>
      </w:divBdr>
      <w:divsChild>
        <w:div w:id="1929463341">
          <w:marLeft w:val="0"/>
          <w:marRight w:val="0"/>
          <w:marTop w:val="0"/>
          <w:marBottom w:val="0"/>
          <w:divBdr>
            <w:top w:val="none" w:sz="0" w:space="0" w:color="auto"/>
            <w:left w:val="none" w:sz="0" w:space="0" w:color="auto"/>
            <w:bottom w:val="none" w:sz="0" w:space="0" w:color="auto"/>
            <w:right w:val="none" w:sz="0" w:space="0" w:color="auto"/>
          </w:divBdr>
          <w:divsChild>
            <w:div w:id="1628733415">
              <w:marLeft w:val="0"/>
              <w:marRight w:val="0"/>
              <w:marTop w:val="0"/>
              <w:marBottom w:val="0"/>
              <w:divBdr>
                <w:top w:val="none" w:sz="0" w:space="0" w:color="auto"/>
                <w:left w:val="none" w:sz="0" w:space="0" w:color="auto"/>
                <w:bottom w:val="none" w:sz="0" w:space="0" w:color="auto"/>
                <w:right w:val="none" w:sz="0" w:space="0" w:color="auto"/>
              </w:divBdr>
              <w:divsChild>
                <w:div w:id="1093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1896">
      <w:bodyDiv w:val="1"/>
      <w:marLeft w:val="0"/>
      <w:marRight w:val="0"/>
      <w:marTop w:val="0"/>
      <w:marBottom w:val="0"/>
      <w:divBdr>
        <w:top w:val="none" w:sz="0" w:space="0" w:color="auto"/>
        <w:left w:val="none" w:sz="0" w:space="0" w:color="auto"/>
        <w:bottom w:val="none" w:sz="0" w:space="0" w:color="auto"/>
        <w:right w:val="none" w:sz="0" w:space="0" w:color="auto"/>
      </w:divBdr>
      <w:divsChild>
        <w:div w:id="1135373341">
          <w:marLeft w:val="0"/>
          <w:marRight w:val="0"/>
          <w:marTop w:val="0"/>
          <w:marBottom w:val="0"/>
          <w:divBdr>
            <w:top w:val="none" w:sz="0" w:space="0" w:color="auto"/>
            <w:left w:val="none" w:sz="0" w:space="0" w:color="auto"/>
            <w:bottom w:val="none" w:sz="0" w:space="0" w:color="auto"/>
            <w:right w:val="none" w:sz="0" w:space="0" w:color="auto"/>
          </w:divBdr>
          <w:divsChild>
            <w:div w:id="1584414396">
              <w:marLeft w:val="0"/>
              <w:marRight w:val="0"/>
              <w:marTop w:val="0"/>
              <w:marBottom w:val="0"/>
              <w:divBdr>
                <w:top w:val="none" w:sz="0" w:space="0" w:color="auto"/>
                <w:left w:val="none" w:sz="0" w:space="0" w:color="auto"/>
                <w:bottom w:val="none" w:sz="0" w:space="0" w:color="auto"/>
                <w:right w:val="none" w:sz="0" w:space="0" w:color="auto"/>
              </w:divBdr>
              <w:divsChild>
                <w:div w:id="20875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9603">
      <w:bodyDiv w:val="1"/>
      <w:marLeft w:val="0"/>
      <w:marRight w:val="0"/>
      <w:marTop w:val="0"/>
      <w:marBottom w:val="0"/>
      <w:divBdr>
        <w:top w:val="none" w:sz="0" w:space="0" w:color="auto"/>
        <w:left w:val="none" w:sz="0" w:space="0" w:color="auto"/>
        <w:bottom w:val="none" w:sz="0" w:space="0" w:color="auto"/>
        <w:right w:val="none" w:sz="0" w:space="0" w:color="auto"/>
      </w:divBdr>
      <w:divsChild>
        <w:div w:id="1603343620">
          <w:marLeft w:val="0"/>
          <w:marRight w:val="0"/>
          <w:marTop w:val="0"/>
          <w:marBottom w:val="0"/>
          <w:divBdr>
            <w:top w:val="none" w:sz="0" w:space="0" w:color="auto"/>
            <w:left w:val="none" w:sz="0" w:space="0" w:color="auto"/>
            <w:bottom w:val="none" w:sz="0" w:space="0" w:color="auto"/>
            <w:right w:val="none" w:sz="0" w:space="0" w:color="auto"/>
          </w:divBdr>
          <w:divsChild>
            <w:div w:id="1202061625">
              <w:marLeft w:val="0"/>
              <w:marRight w:val="0"/>
              <w:marTop w:val="0"/>
              <w:marBottom w:val="0"/>
              <w:divBdr>
                <w:top w:val="none" w:sz="0" w:space="0" w:color="auto"/>
                <w:left w:val="none" w:sz="0" w:space="0" w:color="auto"/>
                <w:bottom w:val="none" w:sz="0" w:space="0" w:color="auto"/>
                <w:right w:val="none" w:sz="0" w:space="0" w:color="auto"/>
              </w:divBdr>
              <w:divsChild>
                <w:div w:id="19251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1246">
      <w:bodyDiv w:val="1"/>
      <w:marLeft w:val="0"/>
      <w:marRight w:val="0"/>
      <w:marTop w:val="0"/>
      <w:marBottom w:val="0"/>
      <w:divBdr>
        <w:top w:val="none" w:sz="0" w:space="0" w:color="auto"/>
        <w:left w:val="none" w:sz="0" w:space="0" w:color="auto"/>
        <w:bottom w:val="none" w:sz="0" w:space="0" w:color="auto"/>
        <w:right w:val="none" w:sz="0" w:space="0" w:color="auto"/>
      </w:divBdr>
    </w:div>
    <w:div w:id="1410352003">
      <w:bodyDiv w:val="1"/>
      <w:marLeft w:val="0"/>
      <w:marRight w:val="0"/>
      <w:marTop w:val="0"/>
      <w:marBottom w:val="0"/>
      <w:divBdr>
        <w:top w:val="none" w:sz="0" w:space="0" w:color="auto"/>
        <w:left w:val="none" w:sz="0" w:space="0" w:color="auto"/>
        <w:bottom w:val="none" w:sz="0" w:space="0" w:color="auto"/>
        <w:right w:val="none" w:sz="0" w:space="0" w:color="auto"/>
      </w:divBdr>
      <w:divsChild>
        <w:div w:id="1889414202">
          <w:marLeft w:val="0"/>
          <w:marRight w:val="0"/>
          <w:marTop w:val="0"/>
          <w:marBottom w:val="0"/>
          <w:divBdr>
            <w:top w:val="none" w:sz="0" w:space="0" w:color="auto"/>
            <w:left w:val="none" w:sz="0" w:space="0" w:color="auto"/>
            <w:bottom w:val="none" w:sz="0" w:space="0" w:color="auto"/>
            <w:right w:val="none" w:sz="0" w:space="0" w:color="auto"/>
          </w:divBdr>
          <w:divsChild>
            <w:div w:id="1024012237">
              <w:marLeft w:val="0"/>
              <w:marRight w:val="0"/>
              <w:marTop w:val="0"/>
              <w:marBottom w:val="0"/>
              <w:divBdr>
                <w:top w:val="none" w:sz="0" w:space="0" w:color="auto"/>
                <w:left w:val="none" w:sz="0" w:space="0" w:color="auto"/>
                <w:bottom w:val="none" w:sz="0" w:space="0" w:color="auto"/>
                <w:right w:val="none" w:sz="0" w:space="0" w:color="auto"/>
              </w:divBdr>
              <w:divsChild>
                <w:div w:id="18082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792">
      <w:bodyDiv w:val="1"/>
      <w:marLeft w:val="0"/>
      <w:marRight w:val="0"/>
      <w:marTop w:val="0"/>
      <w:marBottom w:val="0"/>
      <w:divBdr>
        <w:top w:val="none" w:sz="0" w:space="0" w:color="auto"/>
        <w:left w:val="none" w:sz="0" w:space="0" w:color="auto"/>
        <w:bottom w:val="none" w:sz="0" w:space="0" w:color="auto"/>
        <w:right w:val="none" w:sz="0" w:space="0" w:color="auto"/>
      </w:divBdr>
      <w:divsChild>
        <w:div w:id="736510449">
          <w:marLeft w:val="0"/>
          <w:marRight w:val="0"/>
          <w:marTop w:val="0"/>
          <w:marBottom w:val="0"/>
          <w:divBdr>
            <w:top w:val="none" w:sz="0" w:space="0" w:color="auto"/>
            <w:left w:val="none" w:sz="0" w:space="0" w:color="auto"/>
            <w:bottom w:val="none" w:sz="0" w:space="0" w:color="auto"/>
            <w:right w:val="none" w:sz="0" w:space="0" w:color="auto"/>
          </w:divBdr>
          <w:divsChild>
            <w:div w:id="376665694">
              <w:marLeft w:val="0"/>
              <w:marRight w:val="0"/>
              <w:marTop w:val="0"/>
              <w:marBottom w:val="0"/>
              <w:divBdr>
                <w:top w:val="none" w:sz="0" w:space="0" w:color="auto"/>
                <w:left w:val="none" w:sz="0" w:space="0" w:color="auto"/>
                <w:bottom w:val="none" w:sz="0" w:space="0" w:color="auto"/>
                <w:right w:val="none" w:sz="0" w:space="0" w:color="auto"/>
              </w:divBdr>
              <w:divsChild>
                <w:div w:id="13765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9692">
      <w:bodyDiv w:val="1"/>
      <w:marLeft w:val="0"/>
      <w:marRight w:val="0"/>
      <w:marTop w:val="0"/>
      <w:marBottom w:val="0"/>
      <w:divBdr>
        <w:top w:val="none" w:sz="0" w:space="0" w:color="auto"/>
        <w:left w:val="none" w:sz="0" w:space="0" w:color="auto"/>
        <w:bottom w:val="none" w:sz="0" w:space="0" w:color="auto"/>
        <w:right w:val="none" w:sz="0" w:space="0" w:color="auto"/>
      </w:divBdr>
    </w:div>
    <w:div w:id="1645046480">
      <w:bodyDiv w:val="1"/>
      <w:marLeft w:val="0"/>
      <w:marRight w:val="0"/>
      <w:marTop w:val="0"/>
      <w:marBottom w:val="0"/>
      <w:divBdr>
        <w:top w:val="none" w:sz="0" w:space="0" w:color="auto"/>
        <w:left w:val="none" w:sz="0" w:space="0" w:color="auto"/>
        <w:bottom w:val="none" w:sz="0" w:space="0" w:color="auto"/>
        <w:right w:val="none" w:sz="0" w:space="0" w:color="auto"/>
      </w:divBdr>
    </w:div>
    <w:div w:id="1819418615">
      <w:bodyDiv w:val="1"/>
      <w:marLeft w:val="0"/>
      <w:marRight w:val="0"/>
      <w:marTop w:val="0"/>
      <w:marBottom w:val="0"/>
      <w:divBdr>
        <w:top w:val="none" w:sz="0" w:space="0" w:color="auto"/>
        <w:left w:val="none" w:sz="0" w:space="0" w:color="auto"/>
        <w:bottom w:val="none" w:sz="0" w:space="0" w:color="auto"/>
        <w:right w:val="none" w:sz="0" w:space="0" w:color="auto"/>
      </w:divBdr>
    </w:div>
    <w:div w:id="1822653561">
      <w:bodyDiv w:val="1"/>
      <w:marLeft w:val="0"/>
      <w:marRight w:val="0"/>
      <w:marTop w:val="0"/>
      <w:marBottom w:val="0"/>
      <w:divBdr>
        <w:top w:val="none" w:sz="0" w:space="0" w:color="auto"/>
        <w:left w:val="none" w:sz="0" w:space="0" w:color="auto"/>
        <w:bottom w:val="none" w:sz="0" w:space="0" w:color="auto"/>
        <w:right w:val="none" w:sz="0" w:space="0" w:color="auto"/>
      </w:divBdr>
    </w:div>
    <w:div w:id="1834642890">
      <w:bodyDiv w:val="1"/>
      <w:marLeft w:val="0"/>
      <w:marRight w:val="0"/>
      <w:marTop w:val="0"/>
      <w:marBottom w:val="0"/>
      <w:divBdr>
        <w:top w:val="none" w:sz="0" w:space="0" w:color="auto"/>
        <w:left w:val="none" w:sz="0" w:space="0" w:color="auto"/>
        <w:bottom w:val="none" w:sz="0" w:space="0" w:color="auto"/>
        <w:right w:val="none" w:sz="0" w:space="0" w:color="auto"/>
      </w:divBdr>
    </w:div>
    <w:div w:id="1867986699">
      <w:bodyDiv w:val="1"/>
      <w:marLeft w:val="0"/>
      <w:marRight w:val="0"/>
      <w:marTop w:val="0"/>
      <w:marBottom w:val="0"/>
      <w:divBdr>
        <w:top w:val="none" w:sz="0" w:space="0" w:color="auto"/>
        <w:left w:val="none" w:sz="0" w:space="0" w:color="auto"/>
        <w:bottom w:val="none" w:sz="0" w:space="0" w:color="auto"/>
        <w:right w:val="none" w:sz="0" w:space="0" w:color="auto"/>
      </w:divBdr>
    </w:div>
    <w:div w:id="1885479302">
      <w:bodyDiv w:val="1"/>
      <w:marLeft w:val="0"/>
      <w:marRight w:val="0"/>
      <w:marTop w:val="0"/>
      <w:marBottom w:val="0"/>
      <w:divBdr>
        <w:top w:val="none" w:sz="0" w:space="0" w:color="auto"/>
        <w:left w:val="none" w:sz="0" w:space="0" w:color="auto"/>
        <w:bottom w:val="none" w:sz="0" w:space="0" w:color="auto"/>
        <w:right w:val="none" w:sz="0" w:space="0" w:color="auto"/>
      </w:divBdr>
    </w:div>
    <w:div w:id="1893612514">
      <w:bodyDiv w:val="1"/>
      <w:marLeft w:val="0"/>
      <w:marRight w:val="0"/>
      <w:marTop w:val="0"/>
      <w:marBottom w:val="0"/>
      <w:divBdr>
        <w:top w:val="none" w:sz="0" w:space="0" w:color="auto"/>
        <w:left w:val="none" w:sz="0" w:space="0" w:color="auto"/>
        <w:bottom w:val="none" w:sz="0" w:space="0" w:color="auto"/>
        <w:right w:val="none" w:sz="0" w:space="0" w:color="auto"/>
      </w:divBdr>
    </w:div>
    <w:div w:id="1933077426">
      <w:bodyDiv w:val="1"/>
      <w:marLeft w:val="0"/>
      <w:marRight w:val="0"/>
      <w:marTop w:val="0"/>
      <w:marBottom w:val="0"/>
      <w:divBdr>
        <w:top w:val="none" w:sz="0" w:space="0" w:color="auto"/>
        <w:left w:val="none" w:sz="0" w:space="0" w:color="auto"/>
        <w:bottom w:val="none" w:sz="0" w:space="0" w:color="auto"/>
        <w:right w:val="none" w:sz="0" w:space="0" w:color="auto"/>
      </w:divBdr>
    </w:div>
    <w:div w:id="1976447638">
      <w:bodyDiv w:val="1"/>
      <w:marLeft w:val="0"/>
      <w:marRight w:val="0"/>
      <w:marTop w:val="0"/>
      <w:marBottom w:val="0"/>
      <w:divBdr>
        <w:top w:val="none" w:sz="0" w:space="0" w:color="auto"/>
        <w:left w:val="none" w:sz="0" w:space="0" w:color="auto"/>
        <w:bottom w:val="none" w:sz="0" w:space="0" w:color="auto"/>
        <w:right w:val="none" w:sz="0" w:space="0" w:color="auto"/>
      </w:divBdr>
      <w:divsChild>
        <w:div w:id="815757243">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sChild>
                <w:div w:id="18645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331">
      <w:bodyDiv w:val="1"/>
      <w:marLeft w:val="0"/>
      <w:marRight w:val="0"/>
      <w:marTop w:val="0"/>
      <w:marBottom w:val="0"/>
      <w:divBdr>
        <w:top w:val="none" w:sz="0" w:space="0" w:color="auto"/>
        <w:left w:val="none" w:sz="0" w:space="0" w:color="auto"/>
        <w:bottom w:val="none" w:sz="0" w:space="0" w:color="auto"/>
        <w:right w:val="none" w:sz="0" w:space="0" w:color="auto"/>
      </w:divBdr>
      <w:divsChild>
        <w:div w:id="1785421403">
          <w:marLeft w:val="0"/>
          <w:marRight w:val="0"/>
          <w:marTop w:val="0"/>
          <w:marBottom w:val="0"/>
          <w:divBdr>
            <w:top w:val="none" w:sz="0" w:space="0" w:color="auto"/>
            <w:left w:val="none" w:sz="0" w:space="0" w:color="auto"/>
            <w:bottom w:val="none" w:sz="0" w:space="0" w:color="auto"/>
            <w:right w:val="none" w:sz="0" w:space="0" w:color="auto"/>
          </w:divBdr>
          <w:divsChild>
            <w:div w:id="241455122">
              <w:marLeft w:val="0"/>
              <w:marRight w:val="0"/>
              <w:marTop w:val="0"/>
              <w:marBottom w:val="0"/>
              <w:divBdr>
                <w:top w:val="none" w:sz="0" w:space="0" w:color="auto"/>
                <w:left w:val="none" w:sz="0" w:space="0" w:color="auto"/>
                <w:bottom w:val="none" w:sz="0" w:space="0" w:color="auto"/>
                <w:right w:val="none" w:sz="0" w:space="0" w:color="auto"/>
              </w:divBdr>
              <w:divsChild>
                <w:div w:id="6460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8287">
      <w:bodyDiv w:val="1"/>
      <w:marLeft w:val="0"/>
      <w:marRight w:val="0"/>
      <w:marTop w:val="0"/>
      <w:marBottom w:val="0"/>
      <w:divBdr>
        <w:top w:val="none" w:sz="0" w:space="0" w:color="auto"/>
        <w:left w:val="none" w:sz="0" w:space="0" w:color="auto"/>
        <w:bottom w:val="none" w:sz="0" w:space="0" w:color="auto"/>
        <w:right w:val="none" w:sz="0" w:space="0" w:color="auto"/>
      </w:divBdr>
    </w:div>
    <w:div w:id="20957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ess-releases/2022/11/turkiye-un-experts-call-release-and-end-judicial-harassment-anti-torture" TargetMode="External"/><Relationship Id="rId13" Type="http://schemas.openxmlformats.org/officeDocument/2006/relationships/hyperlink" Target="https://turkeytribunal.org/wp-content/uploads/2021/11/MOTIVATED-FINAL-OPINION-TURKEY-TRIBUNAL_07102021.pdf" TargetMode="External"/><Relationship Id="rId3" Type="http://schemas.openxmlformats.org/officeDocument/2006/relationships/hyperlink" Target="https://www.omedyam.com/akpli-mehmet-metiner-iki-tokat-attilar-diye-inceleyemeyiz-62965/" TargetMode="External"/><Relationship Id="rId7" Type="http://schemas.openxmlformats.org/officeDocument/2006/relationships/hyperlink" Target="https://medyanews.net/turkeys-forensic-medicine-institute-is-biased-against-kurdish-or-political-prisoners/" TargetMode="External"/><Relationship Id="rId12" Type="http://schemas.openxmlformats.org/officeDocument/2006/relationships/hyperlink" Target="https://www.ohchr.org/sites/default/files/Documents/Countries/TR/2018-03-19_Second_OHCHR_Turkey_Report.pdf" TargetMode="External"/><Relationship Id="rId2" Type="http://schemas.openxmlformats.org/officeDocument/2006/relationships/hyperlink" Target="https://www.ohchr.org/en/stories/2016/07/turkey-do-not-turn-back-clock-human-rights" TargetMode="External"/><Relationship Id="rId1" Type="http://schemas.openxmlformats.org/officeDocument/2006/relationships/hyperlink" Target="https://www.omct.org/en/resources/statements/turkey-five-years-into-visit-by-united-nations-special-rapporteur-torture-remains-widespread" TargetMode="External"/><Relationship Id="rId6" Type="http://schemas.openxmlformats.org/officeDocument/2006/relationships/hyperlink" Target="https://rm.coe.int/16809f20a1" TargetMode="External"/><Relationship Id="rId11" Type="http://schemas.openxmlformats.org/officeDocument/2006/relationships/hyperlink" Target="https://www.ohchr.org/Documents/Countries/TR/2018-03-19_Second_OHCHR_Turkey_Report.pdf" TargetMode="External"/><Relationship Id="rId5" Type="http://schemas.openxmlformats.org/officeDocument/2006/relationships/hyperlink" Target="https://www.ab.gov.tr/siteimages/birimler/kpb/trkiye_report_2022.pdf" TargetMode="External"/><Relationship Id="rId10" Type="http://schemas.openxmlformats.org/officeDocument/2006/relationships/hyperlink" Target="https://rm.coe.int/report-on-the-visit-to-turkey-by-dunja-mijatovic-council-of-europe-com/168099823e" TargetMode="External"/><Relationship Id="rId4" Type="http://schemas.openxmlformats.org/officeDocument/2006/relationships/hyperlink" Target="https://www.turkishminute.com/2016/08/01/economy-minister-says-govt-will-make-coup-plotters-beg-for-death/" TargetMode="External"/><Relationship Id="rId9" Type="http://schemas.openxmlformats.org/officeDocument/2006/relationships/hyperlink" Target="https://rm.coe.int/report-on-the-visit-to-turkey-by-dunja-mijatovic-council-of-europe-com/168099823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C611-56E5-2840-ACAC-D7DDBAA8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1978</Words>
  <Characters>10882</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Iahra Geneva</dc:creator>
  <cp:keywords/>
  <dc:description/>
  <cp:lastModifiedBy>Iahra Geneva</cp:lastModifiedBy>
  <cp:revision>3</cp:revision>
  <dcterms:created xsi:type="dcterms:W3CDTF">2022-11-25T09:11:00Z</dcterms:created>
  <dcterms:modified xsi:type="dcterms:W3CDTF">2022-11-25T09:33:00Z</dcterms:modified>
</cp:coreProperties>
</file>