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59B5" w14:textId="51F0FA5D" w:rsidR="009658A7" w:rsidRDefault="009658A7" w:rsidP="00AF684C">
      <w:pPr>
        <w:jc w:val="center"/>
        <w:rPr>
          <w:rFonts w:asciiTheme="minorHAnsi" w:hAnsiTheme="minorHAnsi" w:cstheme="minorHAnsi"/>
          <w:b/>
          <w:sz w:val="22"/>
          <w:szCs w:val="22"/>
          <w:lang w:eastAsia="en-US"/>
        </w:rPr>
      </w:pPr>
      <w:r w:rsidRPr="009658A7">
        <w:rPr>
          <w:rFonts w:asciiTheme="minorHAnsi" w:hAnsiTheme="minorHAnsi" w:cstheme="minorHAnsi"/>
          <w:b/>
          <w:sz w:val="22"/>
          <w:szCs w:val="22"/>
          <w:lang w:eastAsia="en-US"/>
        </w:rPr>
        <w:t>Contribution to the initiative of UN Special Rapporteur on torture</w:t>
      </w:r>
    </w:p>
    <w:p w14:paraId="4AA1FCE4" w14:textId="416C313A" w:rsidR="009658A7" w:rsidRPr="009658A7" w:rsidRDefault="009658A7" w:rsidP="00AF684C">
      <w:pPr>
        <w:jc w:val="center"/>
        <w:rPr>
          <w:rFonts w:asciiTheme="minorHAnsi" w:hAnsiTheme="minorHAnsi" w:cstheme="minorHAnsi"/>
          <w:sz w:val="22"/>
          <w:szCs w:val="22"/>
          <w:lang w:eastAsia="en-US"/>
        </w:rPr>
      </w:pPr>
      <w:r w:rsidRPr="009658A7">
        <w:rPr>
          <w:rFonts w:asciiTheme="minorHAnsi" w:hAnsiTheme="minorHAnsi" w:cstheme="minorHAnsi"/>
          <w:sz w:val="22"/>
          <w:szCs w:val="22"/>
          <w:lang w:eastAsia="en-US"/>
        </w:rPr>
        <w:t>28 April 2023</w:t>
      </w:r>
    </w:p>
    <w:p w14:paraId="7EB3BF57" w14:textId="77777777" w:rsidR="009658A7" w:rsidRPr="009658A7" w:rsidRDefault="009658A7" w:rsidP="00AF684C">
      <w:pPr>
        <w:jc w:val="both"/>
        <w:rPr>
          <w:rFonts w:asciiTheme="minorHAnsi" w:hAnsiTheme="minorHAnsi" w:cstheme="minorHAnsi"/>
          <w:b/>
          <w:sz w:val="22"/>
          <w:szCs w:val="22"/>
          <w:lang w:eastAsia="en-US"/>
        </w:rPr>
      </w:pPr>
    </w:p>
    <w:p w14:paraId="4E10D048" w14:textId="2669B19E" w:rsidR="00B048F6" w:rsidRDefault="00F25BB9" w:rsidP="00AF684C">
      <w:pPr>
        <w:jc w:val="both"/>
        <w:rPr>
          <w:rFonts w:asciiTheme="minorHAnsi" w:hAnsiTheme="minorHAnsi" w:cstheme="minorHAnsi"/>
          <w:sz w:val="22"/>
          <w:szCs w:val="22"/>
          <w:lang w:eastAsia="en-US"/>
        </w:rPr>
      </w:pPr>
      <w:r w:rsidRPr="00F25BB9">
        <w:rPr>
          <w:rFonts w:asciiTheme="minorHAnsi" w:hAnsiTheme="minorHAnsi" w:cstheme="minorHAnsi"/>
          <w:sz w:val="22"/>
          <w:szCs w:val="22"/>
          <w:lang w:eastAsia="en-US"/>
        </w:rPr>
        <w:t>The Service for Foreign Policy Instruments (FPI)</w:t>
      </w:r>
      <w:r w:rsidR="00DB2113">
        <w:rPr>
          <w:rFonts w:asciiTheme="minorHAnsi" w:hAnsiTheme="minorHAnsi" w:cstheme="minorHAnsi"/>
          <w:sz w:val="22"/>
          <w:szCs w:val="22"/>
          <w:lang w:eastAsia="en-US"/>
        </w:rPr>
        <w:t xml:space="preserve"> of the European Commission/EU</w:t>
      </w:r>
      <w:r w:rsidRPr="00F25BB9">
        <w:rPr>
          <w:rFonts w:asciiTheme="minorHAnsi" w:hAnsiTheme="minorHAnsi" w:cstheme="minorHAnsi"/>
          <w:sz w:val="22"/>
          <w:szCs w:val="22"/>
          <w:lang w:eastAsia="en-US"/>
        </w:rPr>
        <w:t xml:space="preserve"> welcomes this initiative of UN Special Rapporteur on torture to</w:t>
      </w:r>
      <w:r w:rsidR="000F3578">
        <w:rPr>
          <w:rFonts w:asciiTheme="minorHAnsi" w:hAnsiTheme="minorHAnsi" w:cstheme="minorHAnsi"/>
          <w:sz w:val="22"/>
          <w:szCs w:val="22"/>
          <w:lang w:eastAsia="en-US"/>
        </w:rPr>
        <w:t xml:space="preserve"> issue a call for input t</w:t>
      </w:r>
      <w:r w:rsidR="000F3578" w:rsidRPr="000F3578">
        <w:rPr>
          <w:rFonts w:asciiTheme="minorHAnsi" w:hAnsiTheme="minorHAnsi" w:cstheme="minorHAnsi"/>
          <w:sz w:val="22"/>
          <w:szCs w:val="22"/>
          <w:lang w:eastAsia="en-US"/>
        </w:rPr>
        <w:t>o inform</w:t>
      </w:r>
      <w:r w:rsidR="000F5919">
        <w:rPr>
          <w:rFonts w:asciiTheme="minorHAnsi" w:hAnsiTheme="minorHAnsi" w:cstheme="minorHAnsi"/>
          <w:sz w:val="22"/>
          <w:szCs w:val="22"/>
          <w:lang w:eastAsia="en-US"/>
        </w:rPr>
        <w:t xml:space="preserve"> t</w:t>
      </w:r>
      <w:r w:rsidR="000F5919" w:rsidRPr="000F5919">
        <w:rPr>
          <w:rFonts w:asciiTheme="minorHAnsi" w:hAnsiTheme="minorHAnsi" w:cstheme="minorHAnsi"/>
          <w:sz w:val="22"/>
          <w:szCs w:val="22"/>
          <w:lang w:eastAsia="en-US"/>
        </w:rPr>
        <w:t>he Special Rapporteur’s annual interim report to be presented to the General Assembly at its 78th Session in October 2023</w:t>
      </w:r>
      <w:r w:rsidR="000F3578">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DB2113">
        <w:rPr>
          <w:rFonts w:asciiTheme="minorHAnsi" w:hAnsiTheme="minorHAnsi" w:cstheme="minorHAnsi"/>
          <w:sz w:val="22"/>
          <w:szCs w:val="22"/>
          <w:lang w:eastAsia="en-US"/>
        </w:rPr>
        <w:t>FPI is</w:t>
      </w:r>
      <w:r w:rsidR="008735D8" w:rsidRPr="00F25BB9">
        <w:rPr>
          <w:rFonts w:asciiTheme="minorHAnsi" w:hAnsiTheme="minorHAnsi" w:cstheme="minorHAnsi"/>
          <w:sz w:val="22"/>
          <w:szCs w:val="22"/>
          <w:lang w:eastAsia="en-US"/>
        </w:rPr>
        <w:t xml:space="preserve"> the </w:t>
      </w:r>
      <w:r w:rsidR="00DB2113">
        <w:rPr>
          <w:rFonts w:asciiTheme="minorHAnsi" w:hAnsiTheme="minorHAnsi" w:cstheme="minorHAnsi"/>
          <w:sz w:val="22"/>
          <w:szCs w:val="22"/>
          <w:lang w:eastAsia="en-US"/>
        </w:rPr>
        <w:t>S</w:t>
      </w:r>
      <w:r w:rsidR="008735D8" w:rsidRPr="00F25BB9">
        <w:rPr>
          <w:rFonts w:asciiTheme="minorHAnsi" w:hAnsiTheme="minorHAnsi" w:cstheme="minorHAnsi"/>
          <w:sz w:val="22"/>
          <w:szCs w:val="22"/>
          <w:lang w:eastAsia="en-US"/>
        </w:rPr>
        <w:t>ervice within the European Commission responsible for</w:t>
      </w:r>
      <w:r w:rsidR="00190890" w:rsidRPr="00F25BB9">
        <w:rPr>
          <w:rFonts w:asciiTheme="minorHAnsi" w:hAnsiTheme="minorHAnsi" w:cstheme="minorHAnsi"/>
          <w:color w:val="1F497D"/>
          <w:sz w:val="22"/>
          <w:szCs w:val="22"/>
          <w:lang w:eastAsia="en-US"/>
        </w:rPr>
        <w:t xml:space="preserve"> </w:t>
      </w:r>
      <w:hyperlink r:id="rId8" w:history="1">
        <w:r w:rsidR="00190890" w:rsidRPr="00F25BB9">
          <w:rPr>
            <w:rStyle w:val="Hyperlink"/>
            <w:rFonts w:asciiTheme="minorHAnsi" w:hAnsiTheme="minorHAnsi" w:cstheme="minorHAnsi"/>
            <w:sz w:val="22"/>
            <w:szCs w:val="22"/>
          </w:rPr>
          <w:t>Regulation (EU) 2019/125 of 16 January 2019</w:t>
        </w:r>
      </w:hyperlink>
      <w:r w:rsidR="000F3578">
        <w:rPr>
          <w:rStyle w:val="Hyperlink"/>
          <w:rFonts w:asciiTheme="minorHAnsi" w:hAnsiTheme="minorHAnsi" w:cstheme="minorHAnsi"/>
          <w:sz w:val="22"/>
          <w:szCs w:val="22"/>
        </w:rPr>
        <w:t>,</w:t>
      </w:r>
      <w:r w:rsidR="00190890" w:rsidRPr="00F25BB9">
        <w:rPr>
          <w:rFonts w:asciiTheme="minorHAnsi" w:hAnsiTheme="minorHAnsi" w:cstheme="minorHAnsi"/>
          <w:sz w:val="22"/>
          <w:szCs w:val="22"/>
        </w:rPr>
        <w:t xml:space="preserve"> </w:t>
      </w:r>
      <w:r w:rsidR="00B048F6">
        <w:rPr>
          <w:rFonts w:asciiTheme="minorHAnsi" w:hAnsiTheme="minorHAnsi" w:cstheme="minorHAnsi"/>
          <w:sz w:val="22"/>
          <w:szCs w:val="22"/>
        </w:rPr>
        <w:t>also referred to as the “Anti-Torture Regulation”</w:t>
      </w:r>
      <w:r w:rsidR="000F3578">
        <w:rPr>
          <w:rFonts w:asciiTheme="minorHAnsi" w:hAnsiTheme="minorHAnsi" w:cstheme="minorHAnsi"/>
          <w:sz w:val="22"/>
          <w:szCs w:val="22"/>
        </w:rPr>
        <w:t>,</w:t>
      </w:r>
      <w:r w:rsidR="00B048F6">
        <w:rPr>
          <w:rFonts w:asciiTheme="minorHAnsi" w:hAnsiTheme="minorHAnsi" w:cstheme="minorHAnsi"/>
          <w:sz w:val="22"/>
          <w:szCs w:val="22"/>
        </w:rPr>
        <w:t xml:space="preserve"> </w:t>
      </w:r>
      <w:r>
        <w:rPr>
          <w:rFonts w:asciiTheme="minorHAnsi" w:hAnsiTheme="minorHAnsi" w:cstheme="minorHAnsi"/>
          <w:sz w:val="22"/>
          <w:szCs w:val="22"/>
        </w:rPr>
        <w:t xml:space="preserve">which </w:t>
      </w:r>
      <w:r w:rsidR="00190890" w:rsidRPr="00F25BB9">
        <w:rPr>
          <w:rFonts w:asciiTheme="minorHAnsi" w:hAnsiTheme="minorHAnsi" w:cstheme="minorHAnsi"/>
          <w:sz w:val="22"/>
          <w:szCs w:val="22"/>
          <w:lang w:eastAsia="en-US"/>
        </w:rPr>
        <w:t>has</w:t>
      </w:r>
      <w:r>
        <w:rPr>
          <w:rFonts w:asciiTheme="minorHAnsi" w:hAnsiTheme="minorHAnsi" w:cstheme="minorHAnsi"/>
          <w:sz w:val="22"/>
          <w:szCs w:val="22"/>
          <w:lang w:eastAsia="en-US"/>
        </w:rPr>
        <w:t>,</w:t>
      </w:r>
      <w:r w:rsidR="00190890" w:rsidRPr="00F25BB9">
        <w:rPr>
          <w:rFonts w:asciiTheme="minorHAnsi" w:hAnsiTheme="minorHAnsi" w:cstheme="minorHAnsi"/>
          <w:sz w:val="22"/>
          <w:szCs w:val="22"/>
          <w:lang w:eastAsia="en-US"/>
        </w:rPr>
        <w:t xml:space="preserve"> since its adoption in 2005</w:t>
      </w:r>
      <w:r>
        <w:rPr>
          <w:rFonts w:asciiTheme="minorHAnsi" w:hAnsiTheme="minorHAnsi" w:cstheme="minorHAnsi"/>
          <w:sz w:val="22"/>
          <w:szCs w:val="22"/>
          <w:lang w:eastAsia="en-US"/>
        </w:rPr>
        <w:t>,</w:t>
      </w:r>
      <w:r w:rsidR="00190890" w:rsidRPr="00F25BB9">
        <w:rPr>
          <w:rFonts w:asciiTheme="minorHAnsi" w:hAnsiTheme="minorHAnsi" w:cstheme="minorHAnsi"/>
          <w:sz w:val="22"/>
          <w:szCs w:val="22"/>
          <w:lang w:eastAsia="en-US"/>
        </w:rPr>
        <w:t xml:space="preserve"> served to help align </w:t>
      </w:r>
      <w:r>
        <w:rPr>
          <w:rFonts w:asciiTheme="minorHAnsi" w:hAnsiTheme="minorHAnsi" w:cstheme="minorHAnsi"/>
          <w:sz w:val="22"/>
          <w:szCs w:val="22"/>
          <w:lang w:eastAsia="en-US"/>
        </w:rPr>
        <w:t xml:space="preserve">EU </w:t>
      </w:r>
      <w:r w:rsidRPr="00F25BB9">
        <w:rPr>
          <w:rFonts w:asciiTheme="minorHAnsi" w:hAnsiTheme="minorHAnsi" w:cstheme="minorHAnsi"/>
          <w:sz w:val="22"/>
          <w:szCs w:val="22"/>
          <w:lang w:eastAsia="en-US"/>
        </w:rPr>
        <w:t>trade</w:t>
      </w:r>
      <w:r w:rsidR="00190890" w:rsidRPr="00F25BB9">
        <w:rPr>
          <w:rFonts w:asciiTheme="minorHAnsi" w:hAnsiTheme="minorHAnsi" w:cstheme="minorHAnsi"/>
          <w:sz w:val="22"/>
          <w:szCs w:val="22"/>
          <w:lang w:eastAsia="en-US"/>
        </w:rPr>
        <w:t xml:space="preserve"> to our </w:t>
      </w:r>
      <w:r w:rsidRPr="00F25BB9">
        <w:rPr>
          <w:rFonts w:asciiTheme="minorHAnsi" w:hAnsiTheme="minorHAnsi" w:cstheme="minorHAnsi"/>
          <w:sz w:val="22"/>
          <w:szCs w:val="22"/>
          <w:lang w:eastAsia="en-US"/>
        </w:rPr>
        <w:t>values</w:t>
      </w:r>
      <w:r>
        <w:rPr>
          <w:rFonts w:asciiTheme="minorHAnsi" w:hAnsiTheme="minorHAnsi" w:cstheme="minorHAnsi"/>
          <w:sz w:val="22"/>
          <w:szCs w:val="22"/>
          <w:lang w:eastAsia="en-US"/>
        </w:rPr>
        <w:t xml:space="preserve">. </w:t>
      </w:r>
      <w:r w:rsidR="00DB2113">
        <w:rPr>
          <w:rFonts w:asciiTheme="minorHAnsi" w:hAnsiTheme="minorHAnsi" w:cstheme="minorHAnsi"/>
          <w:sz w:val="22"/>
          <w:szCs w:val="22"/>
          <w:lang w:eastAsia="en-US"/>
        </w:rPr>
        <w:t>Th</w:t>
      </w:r>
      <w:r w:rsidR="000F3578">
        <w:rPr>
          <w:rFonts w:asciiTheme="minorHAnsi" w:hAnsiTheme="minorHAnsi" w:cstheme="minorHAnsi"/>
          <w:sz w:val="22"/>
          <w:szCs w:val="22"/>
          <w:lang w:eastAsia="en-US"/>
        </w:rPr>
        <w:t>e below</w:t>
      </w:r>
      <w:r w:rsidR="00DB2113">
        <w:rPr>
          <w:rFonts w:asciiTheme="minorHAnsi" w:hAnsiTheme="minorHAnsi" w:cstheme="minorHAnsi"/>
          <w:sz w:val="22"/>
          <w:szCs w:val="22"/>
          <w:lang w:eastAsia="en-US"/>
        </w:rPr>
        <w:t xml:space="preserve"> contribution, while based on </w:t>
      </w:r>
      <w:proofErr w:type="gramStart"/>
      <w:r w:rsidR="00DB2113">
        <w:rPr>
          <w:rFonts w:asciiTheme="minorHAnsi" w:hAnsiTheme="minorHAnsi" w:cstheme="minorHAnsi"/>
          <w:sz w:val="22"/>
          <w:szCs w:val="22"/>
          <w:lang w:eastAsia="en-US"/>
        </w:rPr>
        <w:t>a number of</w:t>
      </w:r>
      <w:proofErr w:type="gramEnd"/>
      <w:r w:rsidR="00DB2113">
        <w:rPr>
          <w:rFonts w:asciiTheme="minorHAnsi" w:hAnsiTheme="minorHAnsi" w:cstheme="minorHAnsi"/>
          <w:sz w:val="22"/>
          <w:szCs w:val="22"/>
          <w:lang w:eastAsia="en-US"/>
        </w:rPr>
        <w:t xml:space="preserve"> official documents, should be considered as indicative</w:t>
      </w:r>
      <w:r w:rsidR="000F3578">
        <w:rPr>
          <w:rFonts w:asciiTheme="minorHAnsi" w:hAnsiTheme="minorHAnsi" w:cstheme="minorHAnsi"/>
          <w:sz w:val="22"/>
          <w:szCs w:val="22"/>
          <w:lang w:eastAsia="en-US"/>
        </w:rPr>
        <w:t xml:space="preserve"> input</w:t>
      </w:r>
      <w:r w:rsidR="00DB2113">
        <w:rPr>
          <w:rFonts w:asciiTheme="minorHAnsi" w:hAnsiTheme="minorHAnsi" w:cstheme="minorHAnsi"/>
          <w:sz w:val="22"/>
          <w:szCs w:val="22"/>
          <w:lang w:eastAsia="en-US"/>
        </w:rPr>
        <w:t>, given that within the timing available it has not been possible to ensure appropriate consultations.</w:t>
      </w:r>
    </w:p>
    <w:p w14:paraId="5A28EA86" w14:textId="77777777" w:rsidR="00B048F6" w:rsidRDefault="00B048F6" w:rsidP="00AF684C">
      <w:pPr>
        <w:jc w:val="both"/>
        <w:rPr>
          <w:rFonts w:asciiTheme="minorHAnsi" w:hAnsiTheme="minorHAnsi" w:cstheme="minorHAnsi"/>
          <w:sz w:val="22"/>
          <w:szCs w:val="22"/>
          <w:lang w:eastAsia="en-US"/>
        </w:rPr>
      </w:pPr>
    </w:p>
    <w:p w14:paraId="6ECD4B7B" w14:textId="1FE91E0C" w:rsidR="00F25BB9" w:rsidRPr="00F25BB9" w:rsidRDefault="00F25BB9" w:rsidP="00AF684C">
      <w:pPr>
        <w:jc w:val="both"/>
        <w:rPr>
          <w:rFonts w:asciiTheme="minorHAnsi" w:hAnsiTheme="minorHAnsi" w:cstheme="minorHAnsi"/>
          <w:sz w:val="22"/>
          <w:szCs w:val="22"/>
          <w:lang w:eastAsia="en-US"/>
        </w:rPr>
      </w:pPr>
      <w:r>
        <w:rPr>
          <w:rFonts w:asciiTheme="minorHAnsi" w:hAnsiTheme="minorHAnsi" w:cstheme="minorHAnsi"/>
          <w:sz w:val="22"/>
          <w:szCs w:val="22"/>
          <w:lang w:eastAsia="en-US"/>
        </w:rPr>
        <w:t>As a contribution to the UN SR’s upcoming report</w:t>
      </w:r>
      <w:r w:rsidR="00B048F6">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the FPI </w:t>
      </w:r>
      <w:r w:rsidR="00B048F6">
        <w:rPr>
          <w:rFonts w:asciiTheme="minorHAnsi" w:hAnsiTheme="minorHAnsi" w:cstheme="minorHAnsi"/>
          <w:sz w:val="22"/>
          <w:szCs w:val="22"/>
          <w:lang w:eastAsia="en-US"/>
        </w:rPr>
        <w:t>s</w:t>
      </w:r>
      <w:r>
        <w:rPr>
          <w:rFonts w:asciiTheme="minorHAnsi" w:hAnsiTheme="minorHAnsi" w:cstheme="minorHAnsi"/>
          <w:sz w:val="22"/>
          <w:szCs w:val="22"/>
          <w:lang w:eastAsia="en-US"/>
        </w:rPr>
        <w:t xml:space="preserve">hares </w:t>
      </w:r>
      <w:r w:rsidR="00B048F6">
        <w:rPr>
          <w:rFonts w:asciiTheme="minorHAnsi" w:hAnsiTheme="minorHAnsi" w:cstheme="minorHAnsi"/>
          <w:sz w:val="22"/>
          <w:szCs w:val="22"/>
          <w:lang w:eastAsia="en-US"/>
        </w:rPr>
        <w:t xml:space="preserve">here below key </w:t>
      </w:r>
      <w:r>
        <w:rPr>
          <w:rFonts w:asciiTheme="minorHAnsi" w:hAnsiTheme="minorHAnsi" w:cstheme="minorHAnsi"/>
          <w:sz w:val="22"/>
          <w:szCs w:val="22"/>
          <w:lang w:eastAsia="en-US"/>
        </w:rPr>
        <w:t>points</w:t>
      </w:r>
      <w:r w:rsidR="00B048F6">
        <w:rPr>
          <w:rFonts w:asciiTheme="minorHAnsi" w:hAnsiTheme="minorHAnsi" w:cstheme="minorHAnsi"/>
          <w:sz w:val="22"/>
          <w:szCs w:val="22"/>
          <w:lang w:eastAsia="en-US"/>
        </w:rPr>
        <w:t>, essential information</w:t>
      </w:r>
      <w:r>
        <w:rPr>
          <w:rFonts w:asciiTheme="minorHAnsi" w:hAnsiTheme="minorHAnsi" w:cstheme="minorHAnsi"/>
          <w:sz w:val="22"/>
          <w:szCs w:val="22"/>
          <w:lang w:eastAsia="en-US"/>
        </w:rPr>
        <w:t xml:space="preserve"> and lessons learned </w:t>
      </w:r>
      <w:r w:rsidR="00DB2113">
        <w:rPr>
          <w:rFonts w:asciiTheme="minorHAnsi" w:hAnsiTheme="minorHAnsi" w:cstheme="minorHAnsi"/>
          <w:sz w:val="22"/>
          <w:szCs w:val="22"/>
          <w:lang w:eastAsia="en-US"/>
        </w:rPr>
        <w:t>based on the implementation of</w:t>
      </w:r>
      <w:r>
        <w:rPr>
          <w:rFonts w:asciiTheme="minorHAnsi" w:hAnsiTheme="minorHAnsi" w:cstheme="minorHAnsi"/>
          <w:sz w:val="22"/>
          <w:szCs w:val="22"/>
          <w:lang w:eastAsia="en-US"/>
        </w:rPr>
        <w:t xml:space="preserve"> the EU </w:t>
      </w:r>
      <w:r w:rsidR="002F3233" w:rsidRPr="002F3233">
        <w:rPr>
          <w:rFonts w:asciiTheme="minorHAnsi" w:hAnsiTheme="minorHAnsi" w:cstheme="minorHAnsi"/>
          <w:sz w:val="22"/>
          <w:szCs w:val="22"/>
          <w:lang w:eastAsia="en-US"/>
        </w:rPr>
        <w:t xml:space="preserve">“Anti-Torture </w:t>
      </w:r>
      <w:r>
        <w:rPr>
          <w:rFonts w:asciiTheme="minorHAnsi" w:hAnsiTheme="minorHAnsi" w:cstheme="minorHAnsi"/>
          <w:sz w:val="22"/>
          <w:szCs w:val="22"/>
          <w:lang w:eastAsia="en-US"/>
        </w:rPr>
        <w:t>Regulation</w:t>
      </w:r>
      <w:r w:rsidR="002F3233">
        <w:rPr>
          <w:rFonts w:asciiTheme="minorHAnsi" w:hAnsiTheme="minorHAnsi" w:cstheme="minorHAnsi"/>
          <w:sz w:val="22"/>
          <w:szCs w:val="22"/>
          <w:lang w:eastAsia="en-US"/>
        </w:rPr>
        <w:t xml:space="preserve">” </w:t>
      </w:r>
      <w:r w:rsidR="00DB2113">
        <w:rPr>
          <w:rFonts w:asciiTheme="minorHAnsi" w:hAnsiTheme="minorHAnsi" w:cstheme="minorHAnsi"/>
          <w:sz w:val="22"/>
          <w:szCs w:val="22"/>
          <w:lang w:eastAsia="en-US"/>
        </w:rPr>
        <w:t>(ATR)</w:t>
      </w:r>
      <w:r w:rsidR="00B048F6">
        <w:rPr>
          <w:rFonts w:asciiTheme="minorHAnsi" w:hAnsiTheme="minorHAnsi" w:cstheme="minorHAnsi"/>
          <w:sz w:val="22"/>
          <w:szCs w:val="22"/>
          <w:lang w:eastAsia="en-US"/>
        </w:rPr>
        <w:t>.</w:t>
      </w:r>
    </w:p>
    <w:p w14:paraId="7E9D3638" w14:textId="045B1111" w:rsidR="008735D8" w:rsidRPr="00F25BB9" w:rsidRDefault="008735D8" w:rsidP="00AF684C">
      <w:pPr>
        <w:jc w:val="both"/>
        <w:rPr>
          <w:rFonts w:asciiTheme="minorHAnsi" w:hAnsiTheme="minorHAnsi" w:cstheme="minorHAnsi"/>
          <w:sz w:val="22"/>
          <w:szCs w:val="22"/>
          <w:lang w:eastAsia="en-US"/>
        </w:rPr>
      </w:pPr>
    </w:p>
    <w:p w14:paraId="1D678F89" w14:textId="4D326862" w:rsidR="00D53A1F" w:rsidRPr="000F5919" w:rsidRDefault="00D53A1F" w:rsidP="00AF684C">
      <w:pPr>
        <w:jc w:val="both"/>
        <w:rPr>
          <w:rFonts w:asciiTheme="minorHAnsi" w:hAnsiTheme="minorHAnsi" w:cstheme="minorHAnsi"/>
          <w:sz w:val="22"/>
          <w:szCs w:val="22"/>
          <w:lang w:eastAsia="en-US"/>
        </w:rPr>
      </w:pPr>
      <w:r w:rsidRPr="00F25BB9">
        <w:rPr>
          <w:rFonts w:asciiTheme="minorHAnsi" w:hAnsiTheme="minorHAnsi" w:cstheme="minorHAnsi"/>
          <w:sz w:val="22"/>
          <w:szCs w:val="22"/>
          <w:lang w:eastAsia="en-US"/>
        </w:rPr>
        <w:t xml:space="preserve">Torture and other ill-treatment are among the most abhorrent violations of human rights and are prohibited under international </w:t>
      </w:r>
      <w:r w:rsidRPr="000F5919">
        <w:rPr>
          <w:rFonts w:asciiTheme="minorHAnsi" w:hAnsiTheme="minorHAnsi" w:cstheme="minorHAnsi"/>
          <w:sz w:val="22"/>
          <w:szCs w:val="22"/>
          <w:lang w:eastAsia="en-US"/>
        </w:rPr>
        <w:t>law. The fight against torture and other ill-treatment is enshrined within the EU legal and political framework.</w:t>
      </w:r>
    </w:p>
    <w:p w14:paraId="21E6ABE3" w14:textId="77777777" w:rsidR="00D53A1F" w:rsidRPr="000F5919" w:rsidRDefault="00D53A1F" w:rsidP="00AF684C">
      <w:pPr>
        <w:jc w:val="both"/>
        <w:rPr>
          <w:rFonts w:asciiTheme="minorHAnsi" w:hAnsiTheme="minorHAnsi" w:cstheme="minorHAnsi"/>
          <w:sz w:val="22"/>
          <w:szCs w:val="22"/>
          <w:lang w:eastAsia="en-US"/>
        </w:rPr>
      </w:pPr>
    </w:p>
    <w:p w14:paraId="1C9392D9" w14:textId="7599902D" w:rsidR="000F5919" w:rsidRDefault="00D53A1F" w:rsidP="00AF684C">
      <w:pPr>
        <w:spacing w:after="120"/>
        <w:jc w:val="both"/>
        <w:rPr>
          <w:rFonts w:asciiTheme="minorHAnsi" w:hAnsiTheme="minorHAnsi" w:cstheme="minorHAnsi"/>
          <w:sz w:val="22"/>
          <w:szCs w:val="22"/>
          <w:lang w:eastAsia="en-US"/>
        </w:rPr>
      </w:pPr>
      <w:r w:rsidRPr="00F25BB9">
        <w:rPr>
          <w:rFonts w:asciiTheme="minorHAnsi" w:hAnsiTheme="minorHAnsi" w:cstheme="minorHAnsi"/>
          <w:sz w:val="22"/>
          <w:szCs w:val="22"/>
          <w:lang w:eastAsia="en-US"/>
        </w:rPr>
        <w:t>Despite States’ obligations under international law, acts of torture and other ill treatment continue to occur. In recent years, there has been a growing recognition by the international community of the need to regulate and restrict trade in certain law enforcement equipment to ensure that such goods are not employed for torture or other ill treatment.</w:t>
      </w:r>
    </w:p>
    <w:p w14:paraId="6F0BA644" w14:textId="1F3D0FAD" w:rsidR="000F5919" w:rsidRDefault="00D53A1F" w:rsidP="00AF684C">
      <w:pPr>
        <w:jc w:val="both"/>
        <w:rPr>
          <w:rFonts w:asciiTheme="minorHAnsi" w:hAnsiTheme="minorHAnsi" w:cstheme="minorHAnsi"/>
          <w:sz w:val="22"/>
          <w:szCs w:val="22"/>
          <w:lang w:eastAsia="en-US"/>
        </w:rPr>
      </w:pPr>
      <w:r w:rsidRPr="00F25BB9">
        <w:rPr>
          <w:rFonts w:asciiTheme="minorHAnsi" w:hAnsiTheme="minorHAnsi" w:cstheme="minorHAnsi"/>
          <w:sz w:val="22"/>
          <w:szCs w:val="22"/>
          <w:lang w:eastAsia="en-US"/>
        </w:rPr>
        <w:t>There is still no global regulation of the trade in goods used to inflict those abuses.</w:t>
      </w:r>
      <w:r w:rsidR="002F3233">
        <w:rPr>
          <w:rFonts w:asciiTheme="minorHAnsi" w:hAnsiTheme="minorHAnsi" w:cstheme="minorHAnsi"/>
          <w:sz w:val="22"/>
          <w:szCs w:val="22"/>
          <w:lang w:eastAsia="en-US"/>
        </w:rPr>
        <w:t xml:space="preserve"> At global level, </w:t>
      </w:r>
      <w:r w:rsidR="00FD2136">
        <w:rPr>
          <w:rFonts w:asciiTheme="minorHAnsi" w:hAnsiTheme="minorHAnsi" w:cstheme="minorHAnsi"/>
          <w:sz w:val="22"/>
          <w:szCs w:val="22"/>
          <w:lang w:eastAsia="en-US"/>
        </w:rPr>
        <w:t>g</w:t>
      </w:r>
      <w:r w:rsidRPr="00F25BB9">
        <w:rPr>
          <w:rFonts w:asciiTheme="minorHAnsi" w:hAnsiTheme="minorHAnsi" w:cstheme="minorHAnsi"/>
          <w:sz w:val="22"/>
          <w:szCs w:val="22"/>
          <w:lang w:eastAsia="en-US"/>
        </w:rPr>
        <w:t xml:space="preserve">oods that serve no other purpose than to inflict pain </w:t>
      </w:r>
      <w:r w:rsidR="002F3233">
        <w:rPr>
          <w:rFonts w:asciiTheme="minorHAnsi" w:hAnsiTheme="minorHAnsi" w:cstheme="minorHAnsi"/>
          <w:sz w:val="22"/>
          <w:szCs w:val="22"/>
          <w:lang w:eastAsia="en-US"/>
        </w:rPr>
        <w:t xml:space="preserve">are </w:t>
      </w:r>
      <w:r w:rsidRPr="00F25BB9">
        <w:rPr>
          <w:rFonts w:asciiTheme="minorHAnsi" w:hAnsiTheme="minorHAnsi" w:cstheme="minorHAnsi"/>
          <w:b/>
          <w:sz w:val="22"/>
          <w:szCs w:val="22"/>
          <w:lang w:eastAsia="en-US"/>
        </w:rPr>
        <w:t>being traded freely across borders undermining the international ban on torture and other ill-treatment.</w:t>
      </w:r>
      <w:r w:rsidRPr="00F25BB9">
        <w:rPr>
          <w:rFonts w:asciiTheme="minorHAnsi" w:hAnsiTheme="minorHAnsi" w:cstheme="minorHAnsi"/>
          <w:sz w:val="22"/>
          <w:szCs w:val="22"/>
          <w:lang w:eastAsia="en-US"/>
        </w:rPr>
        <w:t xml:space="preserve"> Trade can play an important role in promoting human rights. Regulating the trade in goods that can be used for torture or the death penalty can strengthen global efforts towards the eradication of torture and other ill treatment</w:t>
      </w:r>
      <w:r w:rsidR="000F5919">
        <w:rPr>
          <w:rFonts w:asciiTheme="minorHAnsi" w:hAnsiTheme="minorHAnsi" w:cstheme="minorHAnsi"/>
          <w:sz w:val="22"/>
          <w:szCs w:val="22"/>
          <w:lang w:eastAsia="en-US"/>
        </w:rPr>
        <w:t>.</w:t>
      </w:r>
    </w:p>
    <w:p w14:paraId="317F9B44" w14:textId="77777777" w:rsidR="000F5919" w:rsidRPr="00F25BB9" w:rsidRDefault="000F5919" w:rsidP="00AF684C">
      <w:pPr>
        <w:jc w:val="both"/>
        <w:rPr>
          <w:rFonts w:asciiTheme="minorHAnsi" w:hAnsiTheme="minorHAnsi" w:cstheme="minorHAnsi"/>
          <w:sz w:val="22"/>
          <w:szCs w:val="22"/>
          <w:lang w:eastAsia="en-US"/>
        </w:rPr>
      </w:pPr>
    </w:p>
    <w:p w14:paraId="7E7B0B3B" w14:textId="77777777" w:rsidR="000F5919" w:rsidRDefault="008735D8" w:rsidP="00AF684C">
      <w:pPr>
        <w:jc w:val="both"/>
        <w:rPr>
          <w:rFonts w:asciiTheme="minorHAnsi" w:hAnsiTheme="minorHAnsi" w:cstheme="minorHAnsi"/>
          <w:sz w:val="22"/>
          <w:szCs w:val="22"/>
          <w:lang w:eastAsia="en-US"/>
        </w:rPr>
      </w:pPr>
      <w:r w:rsidRPr="00F25BB9">
        <w:rPr>
          <w:rFonts w:asciiTheme="minorHAnsi" w:hAnsiTheme="minorHAnsi" w:cstheme="minorHAnsi"/>
          <w:sz w:val="22"/>
          <w:szCs w:val="22"/>
          <w:lang w:eastAsia="en-US"/>
        </w:rPr>
        <w:t xml:space="preserve">Within the EU, the trade in goods which could be used for (a) capital punishment and (b) torture or other cruel, </w:t>
      </w:r>
      <w:proofErr w:type="gramStart"/>
      <w:r w:rsidRPr="00F25BB9">
        <w:rPr>
          <w:rFonts w:asciiTheme="minorHAnsi" w:hAnsiTheme="minorHAnsi" w:cstheme="minorHAnsi"/>
          <w:sz w:val="22"/>
          <w:szCs w:val="22"/>
          <w:lang w:eastAsia="en-US"/>
        </w:rPr>
        <w:t>inhuman</w:t>
      </w:r>
      <w:proofErr w:type="gramEnd"/>
      <w:r w:rsidRPr="00F25BB9">
        <w:rPr>
          <w:rFonts w:asciiTheme="minorHAnsi" w:hAnsiTheme="minorHAnsi" w:cstheme="minorHAnsi"/>
          <w:sz w:val="22"/>
          <w:szCs w:val="22"/>
          <w:lang w:eastAsia="en-US"/>
        </w:rPr>
        <w:t xml:space="preserve"> or degrading treatment or punishment is regulated by Regulation (EU) 2019/125</w:t>
      </w:r>
    </w:p>
    <w:p w14:paraId="58FA1855" w14:textId="76B5F7D0" w:rsidR="00110EA1" w:rsidRDefault="008735D8" w:rsidP="00AF684C">
      <w:pPr>
        <w:jc w:val="both"/>
        <w:rPr>
          <w:rFonts w:asciiTheme="minorHAnsi" w:hAnsiTheme="minorHAnsi" w:cstheme="minorHAnsi"/>
          <w:sz w:val="22"/>
          <w:szCs w:val="22"/>
          <w:lang w:eastAsia="en-US"/>
        </w:rPr>
      </w:pPr>
      <w:r w:rsidRPr="00F25BB9">
        <w:rPr>
          <w:rFonts w:asciiTheme="minorHAnsi" w:hAnsiTheme="minorHAnsi" w:cstheme="minorHAnsi"/>
          <w:sz w:val="22"/>
          <w:szCs w:val="22"/>
          <w:lang w:eastAsia="en-US"/>
        </w:rPr>
        <w:t xml:space="preserve">(‘the Regulation’). Adopted in 2005, </w:t>
      </w:r>
      <w:r w:rsidRPr="0006451C">
        <w:rPr>
          <w:rFonts w:asciiTheme="minorHAnsi" w:hAnsiTheme="minorHAnsi" w:cstheme="minorHAnsi"/>
          <w:b/>
          <w:sz w:val="22"/>
          <w:szCs w:val="22"/>
          <w:lang w:eastAsia="en-US"/>
        </w:rPr>
        <w:t xml:space="preserve">the Regulation </w:t>
      </w:r>
      <w:proofErr w:type="gramStart"/>
      <w:r w:rsidRPr="0006451C">
        <w:rPr>
          <w:rFonts w:asciiTheme="minorHAnsi" w:hAnsiTheme="minorHAnsi" w:cstheme="minorHAnsi"/>
          <w:b/>
          <w:sz w:val="22"/>
          <w:szCs w:val="22"/>
          <w:lang w:eastAsia="en-US"/>
        </w:rPr>
        <w:t>is a reflection of</w:t>
      </w:r>
      <w:proofErr w:type="gramEnd"/>
      <w:r w:rsidRPr="0006451C">
        <w:rPr>
          <w:rFonts w:asciiTheme="minorHAnsi" w:hAnsiTheme="minorHAnsi" w:cstheme="minorHAnsi"/>
          <w:b/>
          <w:sz w:val="22"/>
          <w:szCs w:val="22"/>
          <w:lang w:eastAsia="en-US"/>
        </w:rPr>
        <w:t xml:space="preserve"> the EU’s strong commitment to eradicating torture and the death penalty</w:t>
      </w:r>
      <w:r w:rsidRPr="00F25BB9">
        <w:rPr>
          <w:rFonts w:asciiTheme="minorHAnsi" w:hAnsiTheme="minorHAnsi" w:cstheme="minorHAnsi"/>
          <w:sz w:val="22"/>
          <w:szCs w:val="22"/>
          <w:lang w:eastAsia="en-US"/>
        </w:rPr>
        <w:t>. The EU Anti-Torture Regulation has helped close a major gap in human rights-based trade controls. It introduced unprecedented,</w:t>
      </w:r>
      <w:r w:rsidRPr="00F25BB9">
        <w:rPr>
          <w:rFonts w:asciiTheme="minorHAnsi" w:hAnsiTheme="minorHAnsi" w:cstheme="minorHAnsi"/>
          <w:noProof/>
          <w:sz w:val="22"/>
          <w:szCs w:val="22"/>
        </w:rPr>
        <w:t xml:space="preserve"> binding trade </w:t>
      </w:r>
      <w:r w:rsidRPr="00F25BB9">
        <w:rPr>
          <w:rFonts w:asciiTheme="minorHAnsi" w:hAnsiTheme="minorHAnsi" w:cstheme="minorHAnsi"/>
          <w:sz w:val="22"/>
          <w:szCs w:val="22"/>
          <w:lang w:eastAsia="en-US"/>
        </w:rPr>
        <w:t>restrictions on a range of goods often absent from military, dual-</w:t>
      </w:r>
      <w:r w:rsidR="00AF684C" w:rsidRPr="00F25BB9">
        <w:rPr>
          <w:rFonts w:asciiTheme="minorHAnsi" w:hAnsiTheme="minorHAnsi" w:cstheme="minorHAnsi"/>
          <w:sz w:val="22"/>
          <w:szCs w:val="22"/>
          <w:lang w:eastAsia="en-US"/>
        </w:rPr>
        <w:t>use,</w:t>
      </w:r>
      <w:r w:rsidRPr="00F25BB9">
        <w:rPr>
          <w:rFonts w:asciiTheme="minorHAnsi" w:hAnsiTheme="minorHAnsi" w:cstheme="minorHAnsi"/>
          <w:sz w:val="22"/>
          <w:szCs w:val="22"/>
          <w:lang w:eastAsia="en-US"/>
        </w:rPr>
        <w:t xml:space="preserve"> or other strategic export control lists.</w:t>
      </w:r>
      <w:r w:rsidR="00110EA1" w:rsidRPr="00F25BB9">
        <w:rPr>
          <w:rFonts w:asciiTheme="minorHAnsi" w:hAnsiTheme="minorHAnsi" w:cstheme="minorHAnsi"/>
          <w:sz w:val="22"/>
          <w:szCs w:val="22"/>
          <w:lang w:eastAsia="en-US"/>
        </w:rPr>
        <w:t xml:space="preserve"> </w:t>
      </w:r>
    </w:p>
    <w:p w14:paraId="14F5F37D" w14:textId="77777777" w:rsidR="000F5919" w:rsidRPr="00F25BB9" w:rsidRDefault="000F5919" w:rsidP="00AF684C">
      <w:pPr>
        <w:jc w:val="both"/>
        <w:rPr>
          <w:rFonts w:asciiTheme="minorHAnsi" w:hAnsiTheme="minorHAnsi" w:cstheme="minorHAnsi"/>
          <w:sz w:val="22"/>
          <w:szCs w:val="22"/>
          <w:lang w:eastAsia="en-US"/>
        </w:rPr>
      </w:pPr>
    </w:p>
    <w:p w14:paraId="1E9FB7C7" w14:textId="17BABE80" w:rsidR="000F5919" w:rsidRDefault="00110EA1" w:rsidP="00AF684C">
      <w:pPr>
        <w:spacing w:after="120"/>
        <w:jc w:val="both"/>
        <w:rPr>
          <w:rFonts w:asciiTheme="minorHAnsi" w:hAnsiTheme="minorHAnsi" w:cstheme="minorHAnsi"/>
          <w:sz w:val="22"/>
          <w:szCs w:val="22"/>
          <w:lang w:eastAsia="en-US"/>
        </w:rPr>
      </w:pPr>
      <w:r w:rsidRPr="00F25BB9">
        <w:rPr>
          <w:rFonts w:asciiTheme="minorHAnsi" w:hAnsiTheme="minorHAnsi" w:cstheme="minorHAnsi"/>
          <w:sz w:val="22"/>
          <w:szCs w:val="22"/>
          <w:lang w:eastAsia="en-US"/>
        </w:rPr>
        <w:t xml:space="preserve">It constituted the world’s first binding instrument specifically addressing the issue and </w:t>
      </w:r>
      <w:r w:rsidR="00AF684C">
        <w:rPr>
          <w:rFonts w:asciiTheme="minorHAnsi" w:hAnsiTheme="minorHAnsi" w:cstheme="minorHAnsi"/>
          <w:sz w:val="22"/>
          <w:szCs w:val="22"/>
          <w:lang w:eastAsia="en-US"/>
        </w:rPr>
        <w:t>i</w:t>
      </w:r>
      <w:r w:rsidRPr="00F25BB9">
        <w:rPr>
          <w:rFonts w:asciiTheme="minorHAnsi" w:hAnsiTheme="minorHAnsi" w:cstheme="minorHAnsi"/>
          <w:sz w:val="22"/>
          <w:szCs w:val="22"/>
          <w:lang w:eastAsia="en-US"/>
        </w:rPr>
        <w:t>t has played a role as a source of inspiration for work in this area by other countries and organisations.</w:t>
      </w:r>
    </w:p>
    <w:p w14:paraId="6AC2BAEC" w14:textId="529750A2" w:rsidR="008735D8" w:rsidRPr="00F25BB9" w:rsidRDefault="008735D8" w:rsidP="00AF684C">
      <w:pPr>
        <w:jc w:val="both"/>
        <w:rPr>
          <w:rFonts w:asciiTheme="minorHAnsi" w:hAnsiTheme="minorHAnsi" w:cstheme="minorHAnsi"/>
          <w:sz w:val="22"/>
          <w:szCs w:val="22"/>
        </w:rPr>
      </w:pPr>
      <w:r w:rsidRPr="0006451C">
        <w:rPr>
          <w:rFonts w:asciiTheme="minorHAnsi" w:hAnsiTheme="minorHAnsi" w:cstheme="minorHAnsi"/>
          <w:b/>
          <w:sz w:val="22"/>
          <w:szCs w:val="22"/>
        </w:rPr>
        <w:t>The Regulation’s objective</w:t>
      </w:r>
      <w:r w:rsidRPr="00F25BB9">
        <w:rPr>
          <w:rFonts w:asciiTheme="minorHAnsi" w:hAnsiTheme="minorHAnsi" w:cstheme="minorHAnsi"/>
          <w:sz w:val="22"/>
          <w:szCs w:val="22"/>
        </w:rPr>
        <w:t xml:space="preserve"> is to prevent capital punishment, on the one hand, and torture and other cruel, </w:t>
      </w:r>
      <w:r w:rsidR="00AF684C" w:rsidRPr="00F25BB9">
        <w:rPr>
          <w:rFonts w:asciiTheme="minorHAnsi" w:hAnsiTheme="minorHAnsi" w:cstheme="minorHAnsi"/>
          <w:sz w:val="22"/>
          <w:szCs w:val="22"/>
        </w:rPr>
        <w:t>inhuman,</w:t>
      </w:r>
      <w:r w:rsidRPr="00F25BB9">
        <w:rPr>
          <w:rFonts w:asciiTheme="minorHAnsi" w:hAnsiTheme="minorHAnsi" w:cstheme="minorHAnsi"/>
          <w:sz w:val="22"/>
          <w:szCs w:val="22"/>
        </w:rPr>
        <w:t xml:space="preserve"> or degrading treatment or punishment in third countries, on the other. It distinguishes goods according to: </w:t>
      </w:r>
    </w:p>
    <w:p w14:paraId="4B89E4FF" w14:textId="77777777" w:rsidR="008735D8" w:rsidRPr="00F25BB9" w:rsidRDefault="008735D8" w:rsidP="00AF684C">
      <w:pPr>
        <w:pStyle w:val="Body"/>
        <w:numPr>
          <w:ilvl w:val="0"/>
          <w:numId w:val="2"/>
        </w:numPr>
        <w:spacing w:before="0"/>
        <w:rPr>
          <w:rFonts w:asciiTheme="minorHAnsi" w:eastAsiaTheme="minorHAnsi" w:hAnsiTheme="minorHAnsi" w:cstheme="minorHAnsi"/>
          <w:sz w:val="22"/>
          <w:szCs w:val="22"/>
          <w:lang w:val="en-IE"/>
        </w:rPr>
      </w:pPr>
      <w:r w:rsidRPr="00F25BB9">
        <w:rPr>
          <w:rFonts w:asciiTheme="minorHAnsi" w:eastAsiaTheme="minorHAnsi" w:hAnsiTheme="minorHAnsi" w:cstheme="minorHAnsi"/>
          <w:sz w:val="22"/>
          <w:szCs w:val="22"/>
          <w:lang w:val="en-IE"/>
        </w:rPr>
        <w:t xml:space="preserve">whether they are inherently abusive and should not be traded at all (Annex II), or </w:t>
      </w:r>
    </w:p>
    <w:p w14:paraId="0422EEBF" w14:textId="77777777" w:rsidR="008735D8" w:rsidRPr="00F25BB9" w:rsidRDefault="008735D8" w:rsidP="00AF684C">
      <w:pPr>
        <w:pStyle w:val="Body"/>
        <w:numPr>
          <w:ilvl w:val="0"/>
          <w:numId w:val="2"/>
        </w:numPr>
        <w:spacing w:before="0"/>
        <w:rPr>
          <w:rFonts w:asciiTheme="minorHAnsi" w:eastAsiaTheme="minorHAnsi" w:hAnsiTheme="minorHAnsi" w:cstheme="minorHAnsi"/>
          <w:sz w:val="22"/>
          <w:szCs w:val="22"/>
          <w:lang w:val="en-IE"/>
        </w:rPr>
      </w:pPr>
      <w:r w:rsidRPr="00F25BB9">
        <w:rPr>
          <w:rFonts w:asciiTheme="minorHAnsi" w:eastAsiaTheme="minorHAnsi" w:hAnsiTheme="minorHAnsi" w:cstheme="minorHAnsi"/>
          <w:sz w:val="22"/>
          <w:szCs w:val="22"/>
          <w:lang w:val="en-IE"/>
        </w:rPr>
        <w:t>whether they can have legitimate uses, such as law enforcement equipment (Annex III) as well as certain pharmaceutical chemicals (Annex IV), in which case trade in these goods is subject to certain restrictions.</w:t>
      </w:r>
    </w:p>
    <w:p w14:paraId="4B2DBC46" w14:textId="77777777" w:rsidR="008735D8" w:rsidRPr="00F25BB9" w:rsidRDefault="008735D8" w:rsidP="00AF684C">
      <w:pPr>
        <w:pStyle w:val="Body"/>
        <w:spacing w:before="0"/>
        <w:rPr>
          <w:rFonts w:asciiTheme="minorHAnsi" w:eastAsiaTheme="minorHAnsi" w:hAnsiTheme="minorHAnsi" w:cstheme="minorHAnsi"/>
          <w:sz w:val="22"/>
          <w:szCs w:val="22"/>
          <w:lang w:val="en-IE"/>
        </w:rPr>
      </w:pPr>
      <w:r w:rsidRPr="00F25BB9">
        <w:rPr>
          <w:rFonts w:asciiTheme="minorHAnsi" w:eastAsiaTheme="minorHAnsi" w:hAnsiTheme="minorHAnsi" w:cstheme="minorHAnsi"/>
          <w:sz w:val="22"/>
          <w:szCs w:val="22"/>
          <w:lang w:val="en-IE"/>
        </w:rPr>
        <w:t xml:space="preserve">To that end, the Regulation introduces </w:t>
      </w:r>
      <w:r w:rsidRPr="00F25BB9">
        <w:rPr>
          <w:rFonts w:asciiTheme="minorHAnsi" w:eastAsiaTheme="minorHAnsi" w:hAnsiTheme="minorHAnsi" w:cstheme="minorHAnsi"/>
          <w:b/>
          <w:sz w:val="22"/>
          <w:szCs w:val="22"/>
          <w:lang w:val="en-IE"/>
        </w:rPr>
        <w:t>restrictions on trade</w:t>
      </w:r>
      <w:r w:rsidRPr="00F25BB9">
        <w:rPr>
          <w:rFonts w:asciiTheme="minorHAnsi" w:eastAsiaTheme="minorHAnsi" w:hAnsiTheme="minorHAnsi" w:cstheme="minorHAnsi"/>
          <w:sz w:val="22"/>
          <w:szCs w:val="22"/>
          <w:lang w:val="en-IE"/>
        </w:rPr>
        <w:t xml:space="preserve"> with non-EU countries. The Regulation, in particular:</w:t>
      </w:r>
    </w:p>
    <w:p w14:paraId="349CADAF" w14:textId="42B25FD4" w:rsidR="008735D8" w:rsidRPr="00F25BB9" w:rsidRDefault="008735D8" w:rsidP="00AF684C">
      <w:pPr>
        <w:pStyle w:val="Body"/>
        <w:numPr>
          <w:ilvl w:val="0"/>
          <w:numId w:val="1"/>
        </w:numPr>
        <w:spacing w:before="0"/>
        <w:rPr>
          <w:rFonts w:asciiTheme="minorHAnsi" w:eastAsiaTheme="minorHAnsi" w:hAnsiTheme="minorHAnsi" w:cstheme="minorHAnsi"/>
          <w:sz w:val="22"/>
          <w:szCs w:val="22"/>
          <w:lang w:val="en-IE"/>
        </w:rPr>
      </w:pPr>
      <w:r w:rsidRPr="00F25BB9">
        <w:rPr>
          <w:rFonts w:asciiTheme="minorHAnsi" w:eastAsiaTheme="minorHAnsi" w:hAnsiTheme="minorHAnsi" w:cstheme="minorHAnsi"/>
          <w:sz w:val="22"/>
          <w:szCs w:val="22"/>
          <w:lang w:val="en-IE"/>
        </w:rPr>
        <w:lastRenderedPageBreak/>
        <w:t xml:space="preserve">prohibits imports, </w:t>
      </w:r>
      <w:r w:rsidR="00AF684C" w:rsidRPr="00F25BB9">
        <w:rPr>
          <w:rFonts w:asciiTheme="minorHAnsi" w:eastAsiaTheme="minorHAnsi" w:hAnsiTheme="minorHAnsi" w:cstheme="minorHAnsi"/>
          <w:sz w:val="22"/>
          <w:szCs w:val="22"/>
          <w:lang w:val="en-IE"/>
        </w:rPr>
        <w:t>exports,</w:t>
      </w:r>
      <w:r w:rsidRPr="00F25BB9">
        <w:rPr>
          <w:rFonts w:asciiTheme="minorHAnsi" w:eastAsiaTheme="minorHAnsi" w:hAnsiTheme="minorHAnsi" w:cstheme="minorHAnsi"/>
          <w:sz w:val="22"/>
          <w:szCs w:val="22"/>
          <w:lang w:val="en-IE"/>
        </w:rPr>
        <w:t xml:space="preserve"> and transit into, from or through the EU of goods (listed in Annex II) that have no practical use other than for the purposes of capital punishment or torture. The provision of any technical assistance related to such goods, specifically including training in their use, is also prohibited. In addition, the advertising of such goods on the internet, TV, radio, or at trade fairs is </w:t>
      </w:r>
      <w:proofErr w:type="gramStart"/>
      <w:r w:rsidRPr="00F25BB9">
        <w:rPr>
          <w:rFonts w:asciiTheme="minorHAnsi" w:eastAsiaTheme="minorHAnsi" w:hAnsiTheme="minorHAnsi" w:cstheme="minorHAnsi"/>
          <w:sz w:val="22"/>
          <w:szCs w:val="22"/>
          <w:lang w:val="en-IE"/>
        </w:rPr>
        <w:t>prohibited;</w:t>
      </w:r>
      <w:proofErr w:type="gramEnd"/>
    </w:p>
    <w:p w14:paraId="79BFEDC2" w14:textId="377B404E" w:rsidR="008735D8" w:rsidRPr="00F25BB9" w:rsidRDefault="008735D8" w:rsidP="00AF684C">
      <w:pPr>
        <w:pStyle w:val="Body"/>
        <w:numPr>
          <w:ilvl w:val="0"/>
          <w:numId w:val="1"/>
        </w:numPr>
        <w:spacing w:before="0" w:after="240"/>
        <w:rPr>
          <w:rFonts w:asciiTheme="minorHAnsi" w:eastAsiaTheme="minorHAnsi" w:hAnsiTheme="minorHAnsi" w:cstheme="minorHAnsi"/>
          <w:sz w:val="22"/>
          <w:szCs w:val="22"/>
          <w:lang w:val="en-IE"/>
        </w:rPr>
      </w:pPr>
      <w:proofErr w:type="gramStart"/>
      <w:r w:rsidRPr="00F25BB9">
        <w:rPr>
          <w:rFonts w:asciiTheme="minorHAnsi" w:eastAsiaTheme="minorHAnsi" w:hAnsiTheme="minorHAnsi" w:cstheme="minorHAnsi"/>
          <w:sz w:val="22"/>
          <w:szCs w:val="22"/>
          <w:lang w:val="en-IE"/>
        </w:rPr>
        <w:t>subjects</w:t>
      </w:r>
      <w:proofErr w:type="gramEnd"/>
      <w:r w:rsidRPr="00F25BB9">
        <w:rPr>
          <w:rFonts w:asciiTheme="minorHAnsi" w:eastAsiaTheme="minorHAnsi" w:hAnsiTheme="minorHAnsi" w:cstheme="minorHAnsi"/>
          <w:sz w:val="22"/>
          <w:szCs w:val="22"/>
          <w:lang w:val="en-IE"/>
        </w:rPr>
        <w:t xml:space="preserve"> goods (listed in Annex III) that could be used for such purposes but that may also have other legitimate uses (law enforcement) to a prior export authorisation, granted on a case-by-case basis; such authorisation is also required for supplying technical assistance or brokering services related to this category of goods. Annex III does not include: (a) firearms controlled by Regulation (EU) No 258/2012</w:t>
      </w:r>
      <w:r w:rsidR="000F5919">
        <w:rPr>
          <w:rStyle w:val="FootnoteReference"/>
          <w:rFonts w:asciiTheme="minorHAnsi" w:eastAsiaTheme="minorHAnsi" w:hAnsiTheme="minorHAnsi" w:cstheme="minorHAnsi"/>
          <w:sz w:val="22"/>
          <w:szCs w:val="22"/>
          <w:lang w:val="en-IE"/>
        </w:rPr>
        <w:footnoteReference w:id="1"/>
      </w:r>
      <w:r w:rsidRPr="00F25BB9">
        <w:rPr>
          <w:rFonts w:asciiTheme="minorHAnsi" w:eastAsiaTheme="minorHAnsi" w:hAnsiTheme="minorHAnsi" w:cstheme="minorHAnsi"/>
          <w:sz w:val="22"/>
          <w:szCs w:val="22"/>
          <w:lang w:val="en-IE"/>
        </w:rPr>
        <w:t>; (b) dual-use items controlled by Regulation (EC) No 428/2009</w:t>
      </w:r>
      <w:r w:rsidR="000F5919">
        <w:rPr>
          <w:rStyle w:val="FootnoteReference"/>
          <w:rFonts w:asciiTheme="minorHAnsi" w:eastAsiaTheme="minorHAnsi" w:hAnsiTheme="minorHAnsi" w:cstheme="minorHAnsi"/>
          <w:sz w:val="22"/>
          <w:szCs w:val="22"/>
          <w:lang w:val="en-IE"/>
        </w:rPr>
        <w:footnoteReference w:id="2"/>
      </w:r>
      <w:r w:rsidRPr="00F25BB9">
        <w:rPr>
          <w:rFonts w:asciiTheme="minorHAnsi" w:eastAsiaTheme="minorHAnsi" w:hAnsiTheme="minorHAnsi" w:cstheme="minorHAnsi"/>
          <w:sz w:val="22"/>
          <w:szCs w:val="22"/>
          <w:lang w:val="en-IE"/>
        </w:rPr>
        <w:t>; (c) goods controlled in accordance with Common Position 2008/944/CFSP</w:t>
      </w:r>
      <w:r w:rsidR="000F5919">
        <w:rPr>
          <w:rStyle w:val="FootnoteReference"/>
          <w:rFonts w:asciiTheme="minorHAnsi" w:eastAsiaTheme="minorHAnsi" w:hAnsiTheme="minorHAnsi" w:cstheme="minorHAnsi"/>
          <w:sz w:val="22"/>
          <w:szCs w:val="22"/>
          <w:lang w:val="en-IE"/>
        </w:rPr>
        <w:footnoteReference w:id="3"/>
      </w:r>
      <w:r w:rsidRPr="00F25BB9">
        <w:rPr>
          <w:rFonts w:asciiTheme="minorHAnsi" w:eastAsiaTheme="minorHAnsi" w:hAnsiTheme="minorHAnsi" w:cstheme="minorHAnsi"/>
          <w:sz w:val="22"/>
          <w:szCs w:val="22"/>
          <w:lang w:val="en-IE"/>
        </w:rPr>
        <w:t>;</w:t>
      </w:r>
    </w:p>
    <w:p w14:paraId="45526C95" w14:textId="77777777" w:rsidR="00D53A1F" w:rsidRPr="00F25BB9" w:rsidRDefault="008735D8" w:rsidP="00AF684C">
      <w:pPr>
        <w:pStyle w:val="Body"/>
        <w:numPr>
          <w:ilvl w:val="0"/>
          <w:numId w:val="1"/>
        </w:numPr>
        <w:spacing w:before="0"/>
        <w:rPr>
          <w:rFonts w:asciiTheme="minorHAnsi" w:eastAsiaTheme="minorHAnsi" w:hAnsiTheme="minorHAnsi" w:cstheme="minorHAnsi"/>
          <w:sz w:val="22"/>
          <w:szCs w:val="22"/>
          <w:lang w:val="en-IE"/>
        </w:rPr>
      </w:pPr>
      <w:r w:rsidRPr="00F25BB9">
        <w:rPr>
          <w:rFonts w:asciiTheme="minorHAnsi" w:eastAsiaTheme="minorHAnsi" w:hAnsiTheme="minorHAnsi" w:cstheme="minorHAnsi"/>
          <w:sz w:val="22"/>
          <w:szCs w:val="22"/>
          <w:lang w:val="en-IE"/>
        </w:rPr>
        <w:t>regulates the trade in goods – chemicals or pharmaceutical substances (Annex IV) – that could be used for capital punishment (</w:t>
      </w:r>
      <w:proofErr w:type="gramStart"/>
      <w:r w:rsidRPr="00F25BB9">
        <w:rPr>
          <w:rFonts w:asciiTheme="minorHAnsi" w:eastAsiaTheme="minorHAnsi" w:hAnsiTheme="minorHAnsi" w:cstheme="minorHAnsi"/>
          <w:sz w:val="22"/>
          <w:szCs w:val="22"/>
          <w:lang w:val="en-IE"/>
        </w:rPr>
        <w:t>e.g.</w:t>
      </w:r>
      <w:proofErr w:type="gramEnd"/>
      <w:r w:rsidRPr="00F25BB9">
        <w:rPr>
          <w:rFonts w:asciiTheme="minorHAnsi" w:eastAsiaTheme="minorHAnsi" w:hAnsiTheme="minorHAnsi" w:cstheme="minorHAnsi"/>
          <w:sz w:val="22"/>
          <w:szCs w:val="22"/>
          <w:lang w:val="en-IE"/>
        </w:rPr>
        <w:t xml:space="preserve"> products which could be used to execute human beings by lethal injection). </w:t>
      </w:r>
    </w:p>
    <w:p w14:paraId="5518E022" w14:textId="742EDFF3" w:rsidR="008735D8" w:rsidRPr="00F25BB9" w:rsidRDefault="008735D8" w:rsidP="00AF684C">
      <w:pPr>
        <w:pStyle w:val="Body"/>
        <w:spacing w:before="0"/>
        <w:rPr>
          <w:rFonts w:asciiTheme="minorHAnsi" w:eastAsiaTheme="minorHAnsi" w:hAnsiTheme="minorHAnsi" w:cstheme="minorHAnsi"/>
          <w:sz w:val="22"/>
          <w:szCs w:val="22"/>
          <w:lang w:val="en-IE"/>
        </w:rPr>
      </w:pPr>
      <w:r w:rsidRPr="00F25BB9">
        <w:rPr>
          <w:rFonts w:asciiTheme="minorHAnsi" w:eastAsiaTheme="minorHAnsi" w:hAnsiTheme="minorHAnsi" w:cstheme="minorHAnsi"/>
          <w:sz w:val="22"/>
          <w:szCs w:val="22"/>
          <w:lang w:val="en-IE"/>
        </w:rPr>
        <w:t xml:space="preserve">The Regulation includes detailed </w:t>
      </w:r>
      <w:r w:rsidRPr="00F25BB9">
        <w:rPr>
          <w:rFonts w:asciiTheme="minorHAnsi" w:eastAsiaTheme="minorHAnsi" w:hAnsiTheme="minorHAnsi" w:cstheme="minorHAnsi"/>
          <w:b/>
          <w:sz w:val="22"/>
          <w:szCs w:val="22"/>
          <w:lang w:val="en-IE"/>
        </w:rPr>
        <w:t>lists of goods</w:t>
      </w:r>
      <w:r w:rsidRPr="00F25BB9">
        <w:rPr>
          <w:rFonts w:asciiTheme="minorHAnsi" w:eastAsiaTheme="minorHAnsi" w:hAnsiTheme="minorHAnsi" w:cstheme="minorHAnsi"/>
          <w:sz w:val="22"/>
          <w:szCs w:val="22"/>
          <w:lang w:val="en-IE"/>
        </w:rPr>
        <w:t xml:space="preserve"> referred to under (</w:t>
      </w:r>
      <w:proofErr w:type="spellStart"/>
      <w:r w:rsidRPr="00F25BB9">
        <w:rPr>
          <w:rFonts w:asciiTheme="minorHAnsi" w:eastAsiaTheme="minorHAnsi" w:hAnsiTheme="minorHAnsi" w:cstheme="minorHAnsi"/>
          <w:sz w:val="22"/>
          <w:szCs w:val="22"/>
          <w:lang w:val="en-IE"/>
        </w:rPr>
        <w:t>i</w:t>
      </w:r>
      <w:proofErr w:type="spellEnd"/>
      <w:r w:rsidRPr="00F25BB9">
        <w:rPr>
          <w:rFonts w:asciiTheme="minorHAnsi" w:eastAsiaTheme="minorHAnsi" w:hAnsiTheme="minorHAnsi" w:cstheme="minorHAnsi"/>
          <w:sz w:val="22"/>
          <w:szCs w:val="22"/>
          <w:lang w:val="en-IE"/>
        </w:rPr>
        <w:t xml:space="preserve">) above with the following headings: </w:t>
      </w:r>
    </w:p>
    <w:p w14:paraId="365B4D52" w14:textId="77777777" w:rsidR="008735D8" w:rsidRPr="00F25BB9" w:rsidRDefault="008735D8" w:rsidP="00AF684C">
      <w:pPr>
        <w:pStyle w:val="Body"/>
        <w:numPr>
          <w:ilvl w:val="0"/>
          <w:numId w:val="2"/>
        </w:numPr>
        <w:spacing w:before="0"/>
        <w:rPr>
          <w:rFonts w:asciiTheme="minorHAnsi" w:eastAsiaTheme="minorHAnsi" w:hAnsiTheme="minorHAnsi" w:cstheme="minorHAnsi"/>
          <w:sz w:val="22"/>
          <w:szCs w:val="22"/>
          <w:lang w:val="en-IE"/>
        </w:rPr>
      </w:pPr>
      <w:r w:rsidRPr="00F25BB9">
        <w:rPr>
          <w:rFonts w:asciiTheme="minorHAnsi" w:eastAsiaTheme="minorHAnsi" w:hAnsiTheme="minorHAnsi" w:cstheme="minorHAnsi"/>
          <w:sz w:val="22"/>
          <w:szCs w:val="22"/>
          <w:lang w:val="en-IE"/>
        </w:rPr>
        <w:t xml:space="preserve">goods and their components designed for the execution of human </w:t>
      </w:r>
      <w:proofErr w:type="gramStart"/>
      <w:r w:rsidRPr="00F25BB9">
        <w:rPr>
          <w:rFonts w:asciiTheme="minorHAnsi" w:eastAsiaTheme="minorHAnsi" w:hAnsiTheme="minorHAnsi" w:cstheme="minorHAnsi"/>
          <w:sz w:val="22"/>
          <w:szCs w:val="22"/>
          <w:lang w:val="en-IE"/>
        </w:rPr>
        <w:t>beings;</w:t>
      </w:r>
      <w:proofErr w:type="gramEnd"/>
      <w:r w:rsidRPr="00F25BB9">
        <w:rPr>
          <w:rFonts w:asciiTheme="minorHAnsi" w:eastAsiaTheme="minorHAnsi" w:hAnsiTheme="minorHAnsi" w:cstheme="minorHAnsi"/>
          <w:sz w:val="22"/>
          <w:szCs w:val="22"/>
          <w:lang w:val="en-IE"/>
        </w:rPr>
        <w:t xml:space="preserve"> </w:t>
      </w:r>
    </w:p>
    <w:p w14:paraId="67B21BE0" w14:textId="77777777" w:rsidR="008735D8" w:rsidRPr="00F25BB9" w:rsidRDefault="008735D8" w:rsidP="00AF684C">
      <w:pPr>
        <w:pStyle w:val="Body"/>
        <w:numPr>
          <w:ilvl w:val="0"/>
          <w:numId w:val="2"/>
        </w:numPr>
        <w:spacing w:before="0"/>
        <w:rPr>
          <w:rFonts w:asciiTheme="minorHAnsi" w:eastAsiaTheme="minorHAnsi" w:hAnsiTheme="minorHAnsi" w:cstheme="minorHAnsi"/>
          <w:sz w:val="22"/>
          <w:szCs w:val="22"/>
          <w:lang w:val="en-IE"/>
        </w:rPr>
      </w:pPr>
      <w:r w:rsidRPr="00F25BB9">
        <w:rPr>
          <w:rFonts w:asciiTheme="minorHAnsi" w:eastAsiaTheme="minorHAnsi" w:hAnsiTheme="minorHAnsi" w:cstheme="minorHAnsi"/>
          <w:sz w:val="22"/>
          <w:szCs w:val="22"/>
          <w:lang w:val="en-IE"/>
        </w:rPr>
        <w:t xml:space="preserve">goods which are not suitable for use by law enforcement authorities to restrain human </w:t>
      </w:r>
      <w:proofErr w:type="gramStart"/>
      <w:r w:rsidRPr="00F25BB9">
        <w:rPr>
          <w:rFonts w:asciiTheme="minorHAnsi" w:eastAsiaTheme="minorHAnsi" w:hAnsiTheme="minorHAnsi" w:cstheme="minorHAnsi"/>
          <w:sz w:val="22"/>
          <w:szCs w:val="22"/>
          <w:lang w:val="en-IE"/>
        </w:rPr>
        <w:t>beings;</w:t>
      </w:r>
      <w:proofErr w:type="gramEnd"/>
      <w:r w:rsidRPr="00F25BB9">
        <w:rPr>
          <w:rFonts w:asciiTheme="minorHAnsi" w:eastAsiaTheme="minorHAnsi" w:hAnsiTheme="minorHAnsi" w:cstheme="minorHAnsi"/>
          <w:sz w:val="22"/>
          <w:szCs w:val="22"/>
          <w:lang w:val="en-IE"/>
        </w:rPr>
        <w:t xml:space="preserve"> </w:t>
      </w:r>
    </w:p>
    <w:p w14:paraId="36E45F74" w14:textId="77777777" w:rsidR="008735D8" w:rsidRPr="00F25BB9" w:rsidRDefault="008735D8" w:rsidP="00AF684C">
      <w:pPr>
        <w:pStyle w:val="Body"/>
        <w:numPr>
          <w:ilvl w:val="0"/>
          <w:numId w:val="2"/>
        </w:numPr>
        <w:spacing w:before="0"/>
        <w:rPr>
          <w:rFonts w:asciiTheme="minorHAnsi" w:eastAsiaTheme="minorHAnsi" w:hAnsiTheme="minorHAnsi" w:cstheme="minorHAnsi"/>
          <w:sz w:val="22"/>
          <w:szCs w:val="22"/>
          <w:lang w:val="en-IE"/>
        </w:rPr>
      </w:pPr>
      <w:r w:rsidRPr="00F25BB9">
        <w:rPr>
          <w:rFonts w:asciiTheme="minorHAnsi" w:eastAsiaTheme="minorHAnsi" w:hAnsiTheme="minorHAnsi" w:cstheme="minorHAnsi"/>
          <w:sz w:val="22"/>
          <w:szCs w:val="22"/>
          <w:lang w:val="en-IE"/>
        </w:rPr>
        <w:t>portable devices, as well as certain types of whips, which are not suitable for use by law enforcement authorities for the purpose of riot control or self-protection.</w:t>
      </w:r>
    </w:p>
    <w:p w14:paraId="722EC160" w14:textId="77777777" w:rsidR="008735D8" w:rsidRPr="00F25BB9" w:rsidRDefault="008735D8" w:rsidP="00AF684C">
      <w:pPr>
        <w:pStyle w:val="Body"/>
        <w:spacing w:before="0"/>
        <w:rPr>
          <w:rFonts w:asciiTheme="minorHAnsi" w:hAnsiTheme="minorHAnsi" w:cstheme="minorHAnsi"/>
          <w:noProof/>
          <w:sz w:val="22"/>
          <w:szCs w:val="22"/>
        </w:rPr>
      </w:pPr>
      <w:r w:rsidRPr="00F25BB9">
        <w:rPr>
          <w:rFonts w:asciiTheme="minorHAnsi" w:hAnsiTheme="minorHAnsi" w:cstheme="minorHAnsi"/>
          <w:noProof/>
          <w:sz w:val="22"/>
          <w:szCs w:val="22"/>
        </w:rPr>
        <w:t xml:space="preserve">Goods in category (ii) currently fall under the following headings: </w:t>
      </w:r>
    </w:p>
    <w:p w14:paraId="06BD70B9" w14:textId="77777777" w:rsidR="008735D8" w:rsidRPr="00F25BB9" w:rsidRDefault="008735D8" w:rsidP="00AF684C">
      <w:pPr>
        <w:pStyle w:val="Body"/>
        <w:numPr>
          <w:ilvl w:val="0"/>
          <w:numId w:val="2"/>
        </w:numPr>
        <w:spacing w:before="0"/>
        <w:rPr>
          <w:rFonts w:asciiTheme="minorHAnsi" w:hAnsiTheme="minorHAnsi" w:cstheme="minorHAnsi"/>
          <w:noProof/>
          <w:sz w:val="22"/>
          <w:szCs w:val="22"/>
        </w:rPr>
      </w:pPr>
      <w:r w:rsidRPr="00F25BB9">
        <w:rPr>
          <w:rFonts w:asciiTheme="minorHAnsi" w:hAnsiTheme="minorHAnsi" w:cstheme="minorHAnsi"/>
          <w:noProof/>
          <w:sz w:val="22"/>
          <w:szCs w:val="22"/>
        </w:rPr>
        <w:t xml:space="preserve">goods designed for restraining human beings; </w:t>
      </w:r>
    </w:p>
    <w:p w14:paraId="2C9A0B9A" w14:textId="77777777" w:rsidR="008735D8" w:rsidRPr="00F25BB9" w:rsidRDefault="008735D8" w:rsidP="00AF684C">
      <w:pPr>
        <w:pStyle w:val="Body"/>
        <w:numPr>
          <w:ilvl w:val="0"/>
          <w:numId w:val="2"/>
        </w:numPr>
        <w:spacing w:before="0"/>
        <w:rPr>
          <w:rFonts w:asciiTheme="minorHAnsi" w:hAnsiTheme="minorHAnsi" w:cstheme="minorHAnsi"/>
          <w:noProof/>
          <w:sz w:val="22"/>
          <w:szCs w:val="22"/>
        </w:rPr>
      </w:pPr>
      <w:r w:rsidRPr="00F25BB9">
        <w:rPr>
          <w:rFonts w:asciiTheme="minorHAnsi" w:hAnsiTheme="minorHAnsi" w:cstheme="minorHAnsi"/>
          <w:noProof/>
          <w:sz w:val="22"/>
          <w:szCs w:val="22"/>
        </w:rPr>
        <w:t>weapons and devices designed for the purpose of riot control or self-protection;</w:t>
      </w:r>
    </w:p>
    <w:p w14:paraId="2CBBD4BC" w14:textId="77777777" w:rsidR="008735D8" w:rsidRPr="00F25BB9" w:rsidRDefault="008735D8" w:rsidP="00AF684C">
      <w:pPr>
        <w:pStyle w:val="Body"/>
        <w:numPr>
          <w:ilvl w:val="0"/>
          <w:numId w:val="2"/>
        </w:numPr>
        <w:spacing w:before="0"/>
        <w:rPr>
          <w:rFonts w:asciiTheme="minorHAnsi" w:hAnsiTheme="minorHAnsi" w:cstheme="minorHAnsi"/>
          <w:noProof/>
          <w:sz w:val="22"/>
          <w:szCs w:val="22"/>
        </w:rPr>
      </w:pPr>
      <w:r w:rsidRPr="00F25BB9">
        <w:rPr>
          <w:rFonts w:asciiTheme="minorHAnsi" w:hAnsiTheme="minorHAnsi" w:cstheme="minorHAnsi"/>
          <w:noProof/>
          <w:sz w:val="22"/>
          <w:szCs w:val="22"/>
        </w:rPr>
        <w:t>weapons and equipment disseminating incapacitating or irritating chemical substances for the purpose of riot control or self-protection and certain related substances.</w:t>
      </w:r>
    </w:p>
    <w:p w14:paraId="5C9AD9A6" w14:textId="061C5AFC" w:rsidR="008735D8" w:rsidRPr="00F25BB9" w:rsidRDefault="008735D8" w:rsidP="00AF684C">
      <w:pPr>
        <w:pStyle w:val="Body"/>
        <w:spacing w:before="0" w:after="0"/>
        <w:rPr>
          <w:rFonts w:asciiTheme="minorHAnsi" w:hAnsiTheme="minorHAnsi" w:cstheme="minorHAnsi"/>
          <w:color w:val="1F497D"/>
          <w:sz w:val="22"/>
          <w:szCs w:val="22"/>
        </w:rPr>
      </w:pPr>
      <w:r w:rsidRPr="00F25BB9">
        <w:rPr>
          <w:rFonts w:asciiTheme="minorHAnsi" w:hAnsiTheme="minorHAnsi" w:cstheme="minorHAnsi"/>
          <w:noProof/>
          <w:sz w:val="22"/>
          <w:szCs w:val="22"/>
        </w:rPr>
        <w:t xml:space="preserve">Goods in category (iii) include in particular medicines which are particularly prone to being used in lethal injections. </w:t>
      </w:r>
    </w:p>
    <w:p w14:paraId="53C94535" w14:textId="067C44DA" w:rsidR="008735D8" w:rsidRPr="00F25BB9" w:rsidRDefault="008735D8" w:rsidP="00AF684C">
      <w:pPr>
        <w:jc w:val="both"/>
        <w:rPr>
          <w:rFonts w:asciiTheme="minorHAnsi" w:hAnsiTheme="minorHAnsi" w:cstheme="minorHAnsi"/>
          <w:color w:val="1F497D"/>
          <w:sz w:val="22"/>
          <w:szCs w:val="22"/>
          <w:lang w:eastAsia="en-US"/>
        </w:rPr>
      </w:pPr>
    </w:p>
    <w:p w14:paraId="7805993E" w14:textId="5013144B" w:rsidR="00442DFA" w:rsidRDefault="00442DFA" w:rsidP="00AF684C">
      <w:pPr>
        <w:jc w:val="both"/>
        <w:rPr>
          <w:rFonts w:asciiTheme="minorHAnsi" w:hAnsiTheme="minorHAnsi" w:cstheme="minorHAnsi"/>
          <w:noProof/>
          <w:sz w:val="22"/>
          <w:szCs w:val="22"/>
        </w:rPr>
      </w:pPr>
      <w:r w:rsidRPr="00F25BB9">
        <w:rPr>
          <w:rFonts w:asciiTheme="minorHAnsi" w:hAnsiTheme="minorHAnsi" w:cstheme="minorHAnsi"/>
          <w:noProof/>
          <w:sz w:val="22"/>
          <w:szCs w:val="22"/>
        </w:rPr>
        <w:t xml:space="preserve">The Regulation is binding in its entirety and directly applicable in all Member States. The competent authorities in the Member States are responsible for its implementation. Member States have the responsibility to decide, on a case-by-case basis, whether to grant an authorisation to export or dismiss an application for the regulated goods listed in Annex III and IV to the Regulation. </w:t>
      </w:r>
    </w:p>
    <w:p w14:paraId="06FE57A4" w14:textId="77777777" w:rsidR="00AF684C" w:rsidRPr="00F25BB9" w:rsidRDefault="00AF684C" w:rsidP="00AF684C">
      <w:pPr>
        <w:jc w:val="both"/>
        <w:rPr>
          <w:rFonts w:asciiTheme="minorHAnsi" w:hAnsiTheme="minorHAnsi" w:cstheme="minorHAnsi"/>
          <w:noProof/>
          <w:sz w:val="22"/>
          <w:szCs w:val="22"/>
        </w:rPr>
      </w:pPr>
    </w:p>
    <w:p w14:paraId="09D4EABE" w14:textId="77777777" w:rsidR="00442DFA" w:rsidRPr="00F25BB9" w:rsidRDefault="00442DFA" w:rsidP="00AF684C">
      <w:pPr>
        <w:spacing w:after="120"/>
        <w:jc w:val="both"/>
        <w:rPr>
          <w:rFonts w:asciiTheme="minorHAnsi" w:hAnsiTheme="minorHAnsi" w:cstheme="minorHAnsi"/>
          <w:noProof/>
          <w:sz w:val="22"/>
          <w:szCs w:val="22"/>
        </w:rPr>
      </w:pPr>
      <w:r w:rsidRPr="00F25BB9">
        <w:rPr>
          <w:rFonts w:asciiTheme="minorHAnsi" w:hAnsiTheme="minorHAnsi" w:cstheme="minorHAnsi"/>
          <w:noProof/>
          <w:sz w:val="22"/>
          <w:szCs w:val="22"/>
        </w:rPr>
        <w:t xml:space="preserve">In order to prevent circumvention, the Regulation requires the competent authorities in the Member States to notify all other Member State authorities and the Commission if they are refusing to issue an authorisation or are annulling an existing authorisation. Consequently, any EU Member State considering authorising </w:t>
      </w:r>
      <w:r w:rsidRPr="00F25BB9">
        <w:rPr>
          <w:rFonts w:asciiTheme="minorHAnsi" w:hAnsiTheme="minorHAnsi" w:cstheme="minorHAnsi"/>
          <w:noProof/>
          <w:color w:val="444444"/>
          <w:sz w:val="22"/>
          <w:szCs w:val="22"/>
        </w:rPr>
        <w:t>a</w:t>
      </w:r>
      <w:r w:rsidRPr="00F25BB9">
        <w:rPr>
          <w:rFonts w:asciiTheme="minorHAnsi" w:hAnsiTheme="minorHAnsi" w:cstheme="minorHAnsi"/>
          <w:noProof/>
          <w:sz w:val="22"/>
          <w:szCs w:val="22"/>
        </w:rPr>
        <w:t xml:space="preserve"> transaction ‘essentially identical’ to one rejected by a Member State in the </w:t>
      </w:r>
      <w:r w:rsidRPr="00F25BB9">
        <w:rPr>
          <w:rFonts w:asciiTheme="minorHAnsi" w:hAnsiTheme="minorHAnsi" w:cstheme="minorHAnsi"/>
          <w:noProof/>
          <w:sz w:val="22"/>
          <w:szCs w:val="22"/>
        </w:rPr>
        <w:lastRenderedPageBreak/>
        <w:t xml:space="preserve">3 years following the rejection is to consult the Member State having decided on the rejection. If an authorisation is granted nonetheless, the authorising Member State must provide a detailed explanation of its reasoning to the Commission and all Member States. When assessing an application, the authorities are to take into account considerations about intended end-use and the risk of diversion for illegitimate purposes. </w:t>
      </w:r>
    </w:p>
    <w:p w14:paraId="483E4162" w14:textId="77777777" w:rsidR="00442DFA" w:rsidRPr="00F25BB9" w:rsidRDefault="00442DFA" w:rsidP="00AF684C">
      <w:pPr>
        <w:spacing w:after="120"/>
        <w:jc w:val="both"/>
        <w:rPr>
          <w:rFonts w:asciiTheme="minorHAnsi" w:hAnsiTheme="minorHAnsi" w:cstheme="minorHAnsi"/>
          <w:noProof/>
          <w:sz w:val="22"/>
          <w:szCs w:val="22"/>
        </w:rPr>
      </w:pPr>
      <w:r w:rsidRPr="00F25BB9">
        <w:rPr>
          <w:rFonts w:asciiTheme="minorHAnsi" w:hAnsiTheme="minorHAnsi" w:cstheme="minorHAnsi"/>
          <w:noProof/>
          <w:sz w:val="22"/>
          <w:szCs w:val="22"/>
        </w:rPr>
        <w:t xml:space="preserve">Member States ‘shall not grant an authorisation when there are reasonable grounds to believe that the goods listed in Annex III might be used for torture or other cruel, inhuman or degrading treatment or punishment, including judicial corporal punishment, by a law enforcement authority or any natural or legal person, or used for capital punishment in a third country’. </w:t>
      </w:r>
    </w:p>
    <w:p w14:paraId="175F1596" w14:textId="77777777" w:rsidR="00442DFA" w:rsidRPr="00F25BB9" w:rsidRDefault="00442DFA" w:rsidP="00AF684C">
      <w:pPr>
        <w:spacing w:after="240"/>
        <w:jc w:val="both"/>
        <w:rPr>
          <w:rFonts w:asciiTheme="minorHAnsi" w:hAnsiTheme="minorHAnsi" w:cstheme="minorHAnsi"/>
          <w:noProof/>
          <w:sz w:val="22"/>
          <w:szCs w:val="22"/>
        </w:rPr>
      </w:pPr>
      <w:r w:rsidRPr="00F25BB9">
        <w:rPr>
          <w:rFonts w:asciiTheme="minorHAnsi" w:hAnsiTheme="minorHAnsi" w:cstheme="minorHAnsi"/>
          <w:noProof/>
          <w:sz w:val="22"/>
          <w:szCs w:val="22"/>
        </w:rPr>
        <w:t xml:space="preserve">The Regulation lists the following </w:t>
      </w:r>
      <w:r w:rsidRPr="00F25BB9">
        <w:rPr>
          <w:rFonts w:asciiTheme="minorHAnsi" w:hAnsiTheme="minorHAnsi" w:cstheme="minorHAnsi"/>
          <w:b/>
          <w:bCs/>
          <w:noProof/>
          <w:sz w:val="22"/>
          <w:szCs w:val="22"/>
        </w:rPr>
        <w:t>sources of information</w:t>
      </w:r>
      <w:r w:rsidRPr="00F25BB9">
        <w:rPr>
          <w:rFonts w:asciiTheme="minorHAnsi" w:hAnsiTheme="minorHAnsi" w:cstheme="minorHAnsi"/>
          <w:noProof/>
          <w:sz w:val="22"/>
          <w:szCs w:val="22"/>
        </w:rPr>
        <w:t xml:space="preserve"> to guide the authorities’ decisions: </w:t>
      </w:r>
    </w:p>
    <w:p w14:paraId="35CBCBD2" w14:textId="77777777" w:rsidR="00442DFA" w:rsidRPr="00F25BB9" w:rsidRDefault="00442DFA" w:rsidP="00AF684C">
      <w:pPr>
        <w:pStyle w:val="ListParagraph"/>
        <w:numPr>
          <w:ilvl w:val="0"/>
          <w:numId w:val="3"/>
        </w:numPr>
        <w:spacing w:after="120" w:line="240" w:lineRule="auto"/>
        <w:jc w:val="both"/>
        <w:rPr>
          <w:rFonts w:cstheme="minorHAnsi"/>
          <w:noProof/>
        </w:rPr>
      </w:pPr>
      <w:r w:rsidRPr="00F25BB9">
        <w:rPr>
          <w:rFonts w:cstheme="minorHAnsi"/>
          <w:noProof/>
        </w:rPr>
        <w:t xml:space="preserve">available </w:t>
      </w:r>
      <w:r w:rsidRPr="00F25BB9">
        <w:rPr>
          <w:rFonts w:eastAsia="Times New Roman" w:cstheme="minorHAnsi"/>
          <w:noProof/>
        </w:rPr>
        <w:t>international</w:t>
      </w:r>
      <w:r w:rsidRPr="00F25BB9">
        <w:rPr>
          <w:rFonts w:cstheme="minorHAnsi"/>
          <w:noProof/>
        </w:rPr>
        <w:t xml:space="preserve"> court judgements; </w:t>
      </w:r>
    </w:p>
    <w:p w14:paraId="66571732" w14:textId="77777777" w:rsidR="00442DFA" w:rsidRPr="00F25BB9" w:rsidRDefault="00442DFA" w:rsidP="00AF684C">
      <w:pPr>
        <w:pStyle w:val="ListParagraph"/>
        <w:numPr>
          <w:ilvl w:val="0"/>
          <w:numId w:val="3"/>
        </w:numPr>
        <w:spacing w:after="120" w:line="240" w:lineRule="auto"/>
        <w:jc w:val="both"/>
        <w:rPr>
          <w:rFonts w:cstheme="minorHAnsi"/>
          <w:noProof/>
        </w:rPr>
      </w:pPr>
      <w:r w:rsidRPr="00F25BB9">
        <w:rPr>
          <w:rFonts w:cstheme="minorHAnsi"/>
          <w:noProof/>
        </w:rPr>
        <w:t>findings of the competent bodies of the UN, the Council of Europe and the EU;</w:t>
      </w:r>
    </w:p>
    <w:p w14:paraId="3621C630" w14:textId="77777777" w:rsidR="00442DFA" w:rsidRPr="00F25BB9" w:rsidRDefault="00442DFA" w:rsidP="00AF684C">
      <w:pPr>
        <w:pStyle w:val="ListParagraph"/>
        <w:numPr>
          <w:ilvl w:val="0"/>
          <w:numId w:val="3"/>
        </w:numPr>
        <w:spacing w:after="120" w:line="240" w:lineRule="auto"/>
        <w:jc w:val="both"/>
        <w:rPr>
          <w:rFonts w:cstheme="minorHAnsi"/>
          <w:noProof/>
        </w:rPr>
      </w:pPr>
      <w:r w:rsidRPr="00F25BB9">
        <w:rPr>
          <w:rFonts w:cstheme="minorHAnsi"/>
          <w:noProof/>
        </w:rPr>
        <w:t xml:space="preserve">reports of the Council of Europe's European Committee for the Prevention of Torture and Inhuman or Degrading Treatment and Punishment, and the UN Special Rapporteur on Torture and other cruel, inhuman or degrading treatment or punishment. </w:t>
      </w:r>
    </w:p>
    <w:p w14:paraId="48BCDDED" w14:textId="77777777" w:rsidR="00442DFA" w:rsidRPr="00F25BB9" w:rsidRDefault="00442DFA" w:rsidP="00AF684C">
      <w:pPr>
        <w:spacing w:after="120"/>
        <w:jc w:val="both"/>
        <w:rPr>
          <w:rFonts w:asciiTheme="minorHAnsi" w:hAnsiTheme="minorHAnsi" w:cstheme="minorHAnsi"/>
          <w:noProof/>
          <w:sz w:val="22"/>
          <w:szCs w:val="22"/>
        </w:rPr>
      </w:pPr>
      <w:r w:rsidRPr="00F25BB9">
        <w:rPr>
          <w:rFonts w:asciiTheme="minorHAnsi" w:hAnsiTheme="minorHAnsi" w:cstheme="minorHAnsi"/>
          <w:noProof/>
          <w:sz w:val="22"/>
          <w:szCs w:val="22"/>
        </w:rPr>
        <w:t xml:space="preserve">Other information that the authorities may use when taking decisions include: </w:t>
      </w:r>
    </w:p>
    <w:p w14:paraId="109AB9AC" w14:textId="77777777" w:rsidR="00442DFA" w:rsidRPr="00F25BB9" w:rsidRDefault="00442DFA" w:rsidP="00AF684C">
      <w:pPr>
        <w:pStyle w:val="ListParagraph"/>
        <w:numPr>
          <w:ilvl w:val="0"/>
          <w:numId w:val="3"/>
        </w:numPr>
        <w:spacing w:after="120" w:line="240" w:lineRule="auto"/>
        <w:jc w:val="both"/>
        <w:rPr>
          <w:rFonts w:cstheme="minorHAnsi"/>
          <w:noProof/>
        </w:rPr>
      </w:pPr>
      <w:r w:rsidRPr="00F25BB9">
        <w:rPr>
          <w:rFonts w:cstheme="minorHAnsi"/>
          <w:noProof/>
        </w:rPr>
        <w:t xml:space="preserve">available national court judgements; </w:t>
      </w:r>
    </w:p>
    <w:p w14:paraId="1AD1B688" w14:textId="77777777" w:rsidR="00442DFA" w:rsidRPr="00F25BB9" w:rsidRDefault="00442DFA" w:rsidP="00AF684C">
      <w:pPr>
        <w:pStyle w:val="ListParagraph"/>
        <w:numPr>
          <w:ilvl w:val="0"/>
          <w:numId w:val="3"/>
        </w:numPr>
        <w:spacing w:after="120" w:line="240" w:lineRule="auto"/>
        <w:jc w:val="both"/>
        <w:rPr>
          <w:rFonts w:cstheme="minorHAnsi"/>
          <w:noProof/>
        </w:rPr>
      </w:pPr>
      <w:r w:rsidRPr="00F25BB9">
        <w:rPr>
          <w:rFonts w:cstheme="minorHAnsi"/>
          <w:noProof/>
        </w:rPr>
        <w:t xml:space="preserve">reports by civil society organisations; and </w:t>
      </w:r>
    </w:p>
    <w:p w14:paraId="7A5437F9" w14:textId="77777777" w:rsidR="00442DFA" w:rsidRPr="00F25BB9" w:rsidRDefault="00442DFA" w:rsidP="00AF684C">
      <w:pPr>
        <w:pStyle w:val="ListParagraph"/>
        <w:numPr>
          <w:ilvl w:val="0"/>
          <w:numId w:val="3"/>
        </w:numPr>
        <w:spacing w:after="120" w:line="240" w:lineRule="auto"/>
        <w:jc w:val="both"/>
        <w:rPr>
          <w:rFonts w:cstheme="minorHAnsi"/>
          <w:noProof/>
        </w:rPr>
      </w:pPr>
      <w:r w:rsidRPr="00F25BB9">
        <w:rPr>
          <w:rFonts w:cstheme="minorHAnsi"/>
          <w:noProof/>
        </w:rPr>
        <w:t xml:space="preserve">information on restrictions on exports of goods listed in Annexes II and III applied by the country of destination. </w:t>
      </w:r>
    </w:p>
    <w:p w14:paraId="6A23D78B" w14:textId="088B5D78" w:rsidR="00442DFA" w:rsidRPr="00F25BB9" w:rsidRDefault="00442DFA" w:rsidP="00AF684C">
      <w:pPr>
        <w:spacing w:after="120"/>
        <w:jc w:val="both"/>
        <w:rPr>
          <w:rFonts w:asciiTheme="minorHAnsi" w:eastAsia="Times New Roman" w:hAnsiTheme="minorHAnsi" w:cstheme="minorHAnsi"/>
          <w:noProof/>
          <w:sz w:val="22"/>
          <w:szCs w:val="22"/>
        </w:rPr>
      </w:pPr>
      <w:r w:rsidRPr="00F25BB9">
        <w:rPr>
          <w:rFonts w:asciiTheme="minorHAnsi" w:hAnsiTheme="minorHAnsi" w:cstheme="minorHAnsi"/>
          <w:noProof/>
          <w:sz w:val="22"/>
          <w:szCs w:val="22"/>
        </w:rPr>
        <w:t>The same criteria apply when deciding on applications related to the supply of brokering services or technical assistance. The competent authorities in the Member States are also requested to register in a Commission database all data concerning</w:t>
      </w:r>
      <w:r w:rsidRPr="00F25BB9">
        <w:rPr>
          <w:rFonts w:asciiTheme="minorHAnsi" w:eastAsia="Times New Roman" w:hAnsiTheme="minorHAnsi" w:cstheme="minorHAnsi"/>
          <w:noProof/>
          <w:sz w:val="22"/>
          <w:szCs w:val="22"/>
        </w:rPr>
        <w:t xml:space="preserve"> refusals of applications for an authorisation to export. The database identifies the relevant EU competent authority, final destination, item concerned, description of the item, and the name of the consignee as well as of the end user. </w:t>
      </w:r>
    </w:p>
    <w:p w14:paraId="1F35713B" w14:textId="1F0C45F8" w:rsidR="00442DFA" w:rsidRPr="00F25BB9" w:rsidRDefault="00442DFA" w:rsidP="00AF684C">
      <w:pPr>
        <w:spacing w:after="120"/>
        <w:jc w:val="both"/>
        <w:rPr>
          <w:rFonts w:asciiTheme="minorHAnsi" w:eastAsia="Times New Roman" w:hAnsiTheme="minorHAnsi" w:cstheme="minorHAnsi"/>
          <w:b/>
          <w:bCs/>
          <w:noProof/>
          <w:sz w:val="22"/>
          <w:szCs w:val="22"/>
        </w:rPr>
      </w:pPr>
      <w:r w:rsidRPr="00F25BB9">
        <w:rPr>
          <w:rFonts w:asciiTheme="minorHAnsi" w:eastAsia="Times New Roman" w:hAnsiTheme="minorHAnsi" w:cstheme="minorHAnsi"/>
          <w:noProof/>
          <w:sz w:val="22"/>
          <w:szCs w:val="22"/>
        </w:rPr>
        <w:t>The</w:t>
      </w:r>
      <w:r w:rsidR="00FD2136">
        <w:rPr>
          <w:rFonts w:asciiTheme="minorHAnsi" w:eastAsia="Times New Roman" w:hAnsiTheme="minorHAnsi" w:cstheme="minorHAnsi"/>
          <w:noProof/>
          <w:sz w:val="22"/>
          <w:szCs w:val="22"/>
        </w:rPr>
        <w:t xml:space="preserve"> ATR Regulation </w:t>
      </w:r>
      <w:r w:rsidRPr="00F25BB9">
        <w:rPr>
          <w:rFonts w:asciiTheme="minorHAnsi" w:eastAsia="Times New Roman" w:hAnsiTheme="minorHAnsi" w:cstheme="minorHAnsi"/>
          <w:noProof/>
          <w:sz w:val="22"/>
          <w:szCs w:val="22"/>
        </w:rPr>
        <w:t xml:space="preserve"> includes also </w:t>
      </w:r>
      <w:r w:rsidRPr="00F25BB9">
        <w:rPr>
          <w:rFonts w:asciiTheme="minorHAnsi" w:eastAsia="Times New Roman" w:hAnsiTheme="minorHAnsi" w:cstheme="minorHAnsi"/>
          <w:b/>
          <w:bCs/>
          <w:noProof/>
          <w:sz w:val="22"/>
          <w:szCs w:val="22"/>
        </w:rPr>
        <w:t>reporting requirements.</w:t>
      </w:r>
    </w:p>
    <w:p w14:paraId="797BD2AF" w14:textId="5AACBCB2" w:rsidR="00AF684C" w:rsidRDefault="00442DFA" w:rsidP="00AF684C">
      <w:pPr>
        <w:jc w:val="both"/>
        <w:rPr>
          <w:rFonts w:asciiTheme="minorHAnsi" w:hAnsiTheme="minorHAnsi" w:cstheme="minorHAnsi"/>
          <w:sz w:val="22"/>
          <w:szCs w:val="22"/>
          <w:lang w:eastAsia="en-US"/>
        </w:rPr>
      </w:pPr>
      <w:r w:rsidRPr="00F25BB9">
        <w:rPr>
          <w:rFonts w:asciiTheme="minorHAnsi" w:eastAsia="Times New Roman" w:hAnsiTheme="minorHAnsi" w:cstheme="minorHAnsi"/>
          <w:noProof/>
          <w:sz w:val="22"/>
          <w:szCs w:val="22"/>
        </w:rPr>
        <w:t>The Regulation requires that EU Member States prepare a public, annual activity report, providing information on the number of applications received, on the goods and countries concerned by these applications, and on the decisions taken on these applications.</w:t>
      </w:r>
      <w:r w:rsidR="00AF684C">
        <w:rPr>
          <w:rFonts w:asciiTheme="minorHAnsi" w:eastAsia="Times New Roman" w:hAnsiTheme="minorHAnsi" w:cstheme="minorHAnsi"/>
          <w:noProof/>
          <w:sz w:val="22"/>
          <w:szCs w:val="22"/>
        </w:rPr>
        <w:t xml:space="preserve"> </w:t>
      </w:r>
      <w:r w:rsidRPr="00F25BB9">
        <w:rPr>
          <w:rFonts w:asciiTheme="minorHAnsi" w:hAnsiTheme="minorHAnsi" w:cstheme="minorHAnsi"/>
          <w:sz w:val="22"/>
          <w:szCs w:val="22"/>
          <w:lang w:eastAsia="en-US"/>
        </w:rPr>
        <w:t>The European Commission furthermore issues annually a report based on data/information gathered from the competent authorities in the EU Member States.</w:t>
      </w:r>
    </w:p>
    <w:p w14:paraId="2FCFCCCF" w14:textId="77777777" w:rsidR="00AF684C" w:rsidRPr="00F25BB9" w:rsidRDefault="00AF684C" w:rsidP="00AF684C">
      <w:pPr>
        <w:jc w:val="both"/>
        <w:rPr>
          <w:rFonts w:asciiTheme="minorHAnsi" w:hAnsiTheme="minorHAnsi" w:cstheme="minorHAnsi"/>
          <w:sz w:val="22"/>
          <w:szCs w:val="22"/>
          <w:lang w:eastAsia="en-US"/>
        </w:rPr>
      </w:pPr>
    </w:p>
    <w:p w14:paraId="6EA2DA81" w14:textId="4FE2331C" w:rsidR="00110EA1" w:rsidRPr="00F25BB9" w:rsidRDefault="001F5E35" w:rsidP="00AF684C">
      <w:pPr>
        <w:jc w:val="both"/>
        <w:rPr>
          <w:rFonts w:asciiTheme="minorHAnsi" w:hAnsiTheme="minorHAnsi" w:cstheme="minorHAnsi"/>
          <w:noProof/>
          <w:sz w:val="22"/>
          <w:szCs w:val="22"/>
        </w:rPr>
      </w:pPr>
      <w:r w:rsidRPr="00F25BB9">
        <w:rPr>
          <w:rFonts w:asciiTheme="minorHAnsi" w:hAnsiTheme="minorHAnsi" w:cstheme="minorHAnsi"/>
          <w:sz w:val="22"/>
          <w:szCs w:val="22"/>
          <w:lang w:eastAsia="en-US"/>
        </w:rPr>
        <w:t>I</w:t>
      </w:r>
      <w:r w:rsidR="00110EA1" w:rsidRPr="00F25BB9">
        <w:rPr>
          <w:rFonts w:asciiTheme="minorHAnsi" w:hAnsiTheme="minorHAnsi" w:cstheme="minorHAnsi"/>
          <w:sz w:val="22"/>
          <w:szCs w:val="22"/>
          <w:lang w:eastAsia="en-US"/>
        </w:rPr>
        <w:t xml:space="preserve">n terms of the scope, </w:t>
      </w:r>
      <w:r w:rsidR="00110EA1" w:rsidRPr="00F25BB9">
        <w:rPr>
          <w:rFonts w:asciiTheme="minorHAnsi" w:hAnsiTheme="minorHAnsi" w:cstheme="minorHAnsi"/>
          <w:noProof/>
          <w:sz w:val="22"/>
          <w:szCs w:val="22"/>
        </w:rPr>
        <w:t>the Regulation currently covers a broad range of goods related to capital punishment and torture</w:t>
      </w:r>
      <w:r w:rsidRPr="00F25BB9">
        <w:rPr>
          <w:rFonts w:asciiTheme="minorHAnsi" w:hAnsiTheme="minorHAnsi" w:cstheme="minorHAnsi"/>
          <w:noProof/>
          <w:sz w:val="22"/>
          <w:szCs w:val="22"/>
        </w:rPr>
        <w:t>.</w:t>
      </w:r>
      <w:r w:rsidR="00110EA1" w:rsidRPr="00F25BB9">
        <w:rPr>
          <w:rFonts w:asciiTheme="minorHAnsi" w:hAnsiTheme="minorHAnsi" w:cstheme="minorHAnsi"/>
          <w:noProof/>
          <w:sz w:val="22"/>
          <w:szCs w:val="22"/>
        </w:rPr>
        <w:t xml:space="preserve"> </w:t>
      </w:r>
      <w:r w:rsidRPr="00F25BB9">
        <w:rPr>
          <w:rFonts w:asciiTheme="minorHAnsi" w:hAnsiTheme="minorHAnsi" w:cstheme="minorHAnsi"/>
          <w:noProof/>
          <w:sz w:val="22"/>
          <w:szCs w:val="22"/>
        </w:rPr>
        <w:t>T</w:t>
      </w:r>
      <w:r w:rsidR="00110EA1" w:rsidRPr="00F25BB9">
        <w:rPr>
          <w:rFonts w:asciiTheme="minorHAnsi" w:hAnsiTheme="minorHAnsi" w:cstheme="minorHAnsi"/>
          <w:noProof/>
          <w:sz w:val="22"/>
          <w:szCs w:val="22"/>
        </w:rPr>
        <w:t xml:space="preserve">he </w:t>
      </w:r>
      <w:r w:rsidRPr="00F25BB9">
        <w:rPr>
          <w:rFonts w:asciiTheme="minorHAnsi" w:hAnsiTheme="minorHAnsi" w:cstheme="minorHAnsi"/>
          <w:noProof/>
          <w:sz w:val="22"/>
          <w:szCs w:val="22"/>
        </w:rPr>
        <w:t>R</w:t>
      </w:r>
      <w:r w:rsidR="00110EA1" w:rsidRPr="00F25BB9">
        <w:rPr>
          <w:rFonts w:asciiTheme="minorHAnsi" w:hAnsiTheme="minorHAnsi" w:cstheme="minorHAnsi"/>
          <w:noProof/>
          <w:sz w:val="22"/>
          <w:szCs w:val="22"/>
        </w:rPr>
        <w:t>egul</w:t>
      </w:r>
      <w:r w:rsidR="00FD2136">
        <w:rPr>
          <w:rFonts w:asciiTheme="minorHAnsi" w:hAnsiTheme="minorHAnsi" w:cstheme="minorHAnsi"/>
          <w:noProof/>
          <w:sz w:val="22"/>
          <w:szCs w:val="22"/>
        </w:rPr>
        <w:t>a</w:t>
      </w:r>
      <w:r w:rsidR="00110EA1" w:rsidRPr="00F25BB9">
        <w:rPr>
          <w:rFonts w:asciiTheme="minorHAnsi" w:hAnsiTheme="minorHAnsi" w:cstheme="minorHAnsi"/>
          <w:noProof/>
          <w:sz w:val="22"/>
          <w:szCs w:val="22"/>
        </w:rPr>
        <w:t xml:space="preserve">tion furthermore </w:t>
      </w:r>
      <w:r w:rsidRPr="00F25BB9">
        <w:rPr>
          <w:rFonts w:asciiTheme="minorHAnsi" w:hAnsiTheme="minorHAnsi" w:cstheme="minorHAnsi"/>
          <w:noProof/>
          <w:sz w:val="22"/>
          <w:szCs w:val="22"/>
        </w:rPr>
        <w:t xml:space="preserve">includes </w:t>
      </w:r>
      <w:r w:rsidR="00110EA1" w:rsidRPr="00F25BB9">
        <w:rPr>
          <w:rFonts w:asciiTheme="minorHAnsi" w:hAnsiTheme="minorHAnsi" w:cstheme="minorHAnsi"/>
          <w:noProof/>
          <w:sz w:val="22"/>
          <w:szCs w:val="22"/>
        </w:rPr>
        <w:t xml:space="preserve">provisions facilitating the </w:t>
      </w:r>
      <w:r w:rsidR="00110EA1" w:rsidRPr="00F25BB9">
        <w:rPr>
          <w:rFonts w:asciiTheme="minorHAnsi" w:hAnsiTheme="minorHAnsi" w:cstheme="minorHAnsi"/>
          <w:b/>
          <w:bCs/>
          <w:noProof/>
          <w:sz w:val="22"/>
          <w:szCs w:val="22"/>
        </w:rPr>
        <w:t>regular review and amendment of lists of prohibited and regulated goods</w:t>
      </w:r>
      <w:r w:rsidRPr="00F25BB9">
        <w:rPr>
          <w:rFonts w:asciiTheme="minorHAnsi" w:hAnsiTheme="minorHAnsi" w:cstheme="minorHAnsi"/>
          <w:sz w:val="22"/>
          <w:szCs w:val="22"/>
        </w:rPr>
        <w:t xml:space="preserve"> </w:t>
      </w:r>
      <w:r w:rsidRPr="00F25BB9">
        <w:rPr>
          <w:rFonts w:asciiTheme="minorHAnsi" w:hAnsiTheme="minorHAnsi" w:cstheme="minorHAnsi"/>
          <w:noProof/>
          <w:sz w:val="22"/>
          <w:szCs w:val="22"/>
        </w:rPr>
        <w:t>to respond to changes in the international security market where technological and market developments are occurring frequently and take account also of changes in the nature of use, and misuse, of law enforcement equipment.</w:t>
      </w:r>
    </w:p>
    <w:sectPr w:rsidR="00110EA1" w:rsidRPr="00F25BB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07F5" w14:textId="77777777" w:rsidR="002B6B06" w:rsidRDefault="002B6B06" w:rsidP="008735D8">
      <w:r>
        <w:separator/>
      </w:r>
    </w:p>
  </w:endnote>
  <w:endnote w:type="continuationSeparator" w:id="0">
    <w:p w14:paraId="494912CC" w14:textId="77777777" w:rsidR="002B6B06" w:rsidRDefault="002B6B06" w:rsidP="0087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altName w:val="Calibri"/>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BF39" w14:textId="77777777" w:rsidR="00AF684C" w:rsidRDefault="00AF6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371946"/>
      <w:docPartObj>
        <w:docPartGallery w:val="Page Numbers (Bottom of Page)"/>
        <w:docPartUnique/>
      </w:docPartObj>
    </w:sdtPr>
    <w:sdtEndPr>
      <w:rPr>
        <w:noProof/>
      </w:rPr>
    </w:sdtEndPr>
    <w:sdtContent>
      <w:p w14:paraId="1C0A68F7" w14:textId="3B7C09CF" w:rsidR="00AF684C" w:rsidRDefault="00AF68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65CEF1" w14:textId="77777777" w:rsidR="00AF684C" w:rsidRDefault="00AF6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338C" w14:textId="77777777" w:rsidR="00AF684C" w:rsidRDefault="00AF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0E5E" w14:textId="77777777" w:rsidR="002B6B06" w:rsidRDefault="002B6B06" w:rsidP="008735D8">
      <w:r>
        <w:separator/>
      </w:r>
    </w:p>
  </w:footnote>
  <w:footnote w:type="continuationSeparator" w:id="0">
    <w:p w14:paraId="40603150" w14:textId="77777777" w:rsidR="002B6B06" w:rsidRDefault="002B6B06" w:rsidP="008735D8">
      <w:r>
        <w:continuationSeparator/>
      </w:r>
    </w:p>
  </w:footnote>
  <w:footnote w:id="1">
    <w:p w14:paraId="7B61E077" w14:textId="78746DBD" w:rsidR="000F5919" w:rsidRPr="000F5919" w:rsidRDefault="000F5919">
      <w:pPr>
        <w:pStyle w:val="FootnoteText"/>
        <w:rPr>
          <w:rFonts w:cstheme="minorHAnsi"/>
          <w:lang w:val="en-IE"/>
        </w:rPr>
      </w:pPr>
      <w:r>
        <w:rPr>
          <w:rStyle w:val="FootnoteReference"/>
        </w:rPr>
        <w:footnoteRef/>
      </w:r>
      <w:r>
        <w:t xml:space="preserve"> </w:t>
      </w:r>
      <w:r w:rsidRPr="000F5919">
        <w:rPr>
          <w:rFonts w:cstheme="minorHAnsi"/>
        </w:rPr>
        <w:t>REGULATION (EU) No 258/2012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 OJ L 94, 30.3.2012, p. 1.</w:t>
      </w:r>
    </w:p>
  </w:footnote>
  <w:footnote w:id="2">
    <w:p w14:paraId="3CAA1BC7" w14:textId="0624B59C" w:rsidR="000F5919" w:rsidRPr="000F5919" w:rsidRDefault="000F5919">
      <w:pPr>
        <w:pStyle w:val="FootnoteText"/>
        <w:rPr>
          <w:rFonts w:cstheme="minorHAnsi"/>
        </w:rPr>
      </w:pPr>
      <w:r w:rsidRPr="000F5919">
        <w:rPr>
          <w:rStyle w:val="FootnoteReference"/>
          <w:rFonts w:cstheme="minorHAnsi"/>
        </w:rPr>
        <w:footnoteRef/>
      </w:r>
      <w:r w:rsidRPr="000F5919">
        <w:rPr>
          <w:rFonts w:cstheme="minorHAnsi"/>
        </w:rPr>
        <w:t xml:space="preserve"> Council Regulation (EC) No 428/2009 of 5 May 2009 setting up a </w:t>
      </w:r>
      <w:r w:rsidRPr="000F5919">
        <w:rPr>
          <w:rFonts w:cstheme="minorHAnsi"/>
        </w:rPr>
        <w:t>Community regime for the control of exports, transfer, brokering and transit of dual-use items, OJ L 134, 29.5.2009, p.1.</w:t>
      </w:r>
    </w:p>
  </w:footnote>
  <w:footnote w:id="3">
    <w:p w14:paraId="567D2E72" w14:textId="77777777" w:rsidR="000F5919" w:rsidRPr="000F5919" w:rsidRDefault="000F5919" w:rsidP="000F5919">
      <w:pPr>
        <w:pStyle w:val="FootnoteText"/>
        <w:jc w:val="both"/>
        <w:rPr>
          <w:rFonts w:cstheme="minorHAnsi"/>
        </w:rPr>
      </w:pPr>
      <w:r w:rsidRPr="000F5919">
        <w:rPr>
          <w:rStyle w:val="FootnoteReference"/>
          <w:rFonts w:cstheme="minorHAnsi"/>
        </w:rPr>
        <w:footnoteRef/>
      </w:r>
      <w:r w:rsidRPr="000F5919">
        <w:rPr>
          <w:rFonts w:cstheme="minorHAnsi"/>
        </w:rPr>
        <w:t xml:space="preserve"> Council Common Position 2008/944/CFSP defining common rules governing the control of exports of military technology and equipment (CFSP) (2020/C 85/01), OJ, C 85-1, 13.3.2020.</w:t>
      </w:r>
    </w:p>
    <w:p w14:paraId="61B9D86D" w14:textId="1B6BC09B" w:rsidR="000F5919" w:rsidRPr="000F5919" w:rsidRDefault="000F5919">
      <w:pPr>
        <w:pStyle w:val="FootnoteText"/>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B484" w14:textId="77777777" w:rsidR="00AF684C" w:rsidRDefault="00AF6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9830" w14:textId="77777777" w:rsidR="00AF684C" w:rsidRDefault="00AF6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CCA3" w14:textId="77777777" w:rsidR="00AF684C" w:rsidRDefault="00AF6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7E9C"/>
    <w:multiLevelType w:val="hybridMultilevel"/>
    <w:tmpl w:val="5F90AD2E"/>
    <w:lvl w:ilvl="0" w:tplc="67FA56EE">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E1094"/>
    <w:multiLevelType w:val="hybridMultilevel"/>
    <w:tmpl w:val="ACB41A52"/>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235FC"/>
    <w:multiLevelType w:val="hybridMultilevel"/>
    <w:tmpl w:val="28709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759099">
    <w:abstractNumId w:val="2"/>
  </w:num>
  <w:num w:numId="2" w16cid:durableId="824857104">
    <w:abstractNumId w:val="1"/>
  </w:num>
  <w:num w:numId="3" w16cid:durableId="104648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735D8"/>
    <w:rsid w:val="00000E05"/>
    <w:rsid w:val="0006451C"/>
    <w:rsid w:val="000B6B10"/>
    <w:rsid w:val="000F3578"/>
    <w:rsid w:val="000F5919"/>
    <w:rsid w:val="00110EA1"/>
    <w:rsid w:val="00190890"/>
    <w:rsid w:val="001F5E35"/>
    <w:rsid w:val="002B6B06"/>
    <w:rsid w:val="002F3233"/>
    <w:rsid w:val="00300D26"/>
    <w:rsid w:val="00442DFA"/>
    <w:rsid w:val="0053675F"/>
    <w:rsid w:val="008735D8"/>
    <w:rsid w:val="008E789C"/>
    <w:rsid w:val="009658A7"/>
    <w:rsid w:val="009C2F83"/>
    <w:rsid w:val="00AF684C"/>
    <w:rsid w:val="00B048F6"/>
    <w:rsid w:val="00BC30F2"/>
    <w:rsid w:val="00CC4478"/>
    <w:rsid w:val="00D53A1F"/>
    <w:rsid w:val="00DB2113"/>
    <w:rsid w:val="00E517B8"/>
    <w:rsid w:val="00E92B8C"/>
    <w:rsid w:val="00F25BB9"/>
    <w:rsid w:val="00FD21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1857"/>
  <w15:chartTrackingRefBased/>
  <w15:docId w15:val="{A35164D7-ED4E-4A1E-A892-A1E72D27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D8"/>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5D8"/>
    <w:rPr>
      <w:color w:val="0000FF"/>
      <w:u w:val="single"/>
    </w:rPr>
  </w:style>
  <w:style w:type="character" w:styleId="CommentReference">
    <w:name w:val="annotation reference"/>
    <w:basedOn w:val="DefaultParagraphFont"/>
    <w:uiPriority w:val="99"/>
    <w:semiHidden/>
    <w:unhideWhenUsed/>
    <w:rsid w:val="008735D8"/>
    <w:rPr>
      <w:sz w:val="16"/>
      <w:szCs w:val="16"/>
    </w:rPr>
  </w:style>
  <w:style w:type="paragraph" w:styleId="CommentText">
    <w:name w:val="annotation text"/>
    <w:basedOn w:val="Normal"/>
    <w:link w:val="CommentTextChar"/>
    <w:uiPriority w:val="99"/>
    <w:semiHidden/>
    <w:unhideWhenUsed/>
    <w:rsid w:val="008735D8"/>
    <w:rPr>
      <w:sz w:val="20"/>
      <w:szCs w:val="20"/>
    </w:rPr>
  </w:style>
  <w:style w:type="character" w:customStyle="1" w:styleId="CommentTextChar">
    <w:name w:val="Comment Text Char"/>
    <w:basedOn w:val="DefaultParagraphFont"/>
    <w:link w:val="CommentText"/>
    <w:uiPriority w:val="99"/>
    <w:semiHidden/>
    <w:rsid w:val="008735D8"/>
    <w:rPr>
      <w:rFonts w:ascii="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8735D8"/>
    <w:rPr>
      <w:b/>
      <w:bCs/>
    </w:rPr>
  </w:style>
  <w:style w:type="character" w:customStyle="1" w:styleId="CommentSubjectChar">
    <w:name w:val="Comment Subject Char"/>
    <w:basedOn w:val="CommentTextChar"/>
    <w:link w:val="CommentSubject"/>
    <w:uiPriority w:val="99"/>
    <w:semiHidden/>
    <w:rsid w:val="008735D8"/>
    <w:rPr>
      <w:rFonts w:ascii="Times New Roman" w:hAnsi="Times New Roman" w:cs="Times New Roman"/>
      <w:b/>
      <w:bCs/>
      <w:sz w:val="20"/>
      <w:szCs w:val="20"/>
      <w:lang w:eastAsia="en-IE"/>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sid w:val="008735D8"/>
    <w:rPr>
      <w:rFonts w:asciiTheme="minorHAnsi" w:hAnsiTheme="minorHAnsi" w:cstheme="minorBidi"/>
      <w:sz w:val="20"/>
      <w:szCs w:val="20"/>
      <w:lang w:val="en-GB" w:eastAsia="en-US"/>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sid w:val="008735D8"/>
    <w:rPr>
      <w:sz w:val="20"/>
      <w:szCs w:val="20"/>
      <w:lang w:val="en-GB"/>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fr,o"/>
    <w:basedOn w:val="DefaultParagraphFont"/>
    <w:link w:val="calloutCharCharCharChar"/>
    <w:unhideWhenUsed/>
    <w:rsid w:val="008735D8"/>
    <w:rPr>
      <w:vertAlign w:val="superscript"/>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8735D8"/>
    <w:pPr>
      <w:spacing w:after="160" w:line="240" w:lineRule="exact"/>
    </w:pPr>
    <w:rPr>
      <w:rFonts w:asciiTheme="minorHAnsi" w:hAnsiTheme="minorHAnsi" w:cstheme="minorBidi"/>
      <w:sz w:val="22"/>
      <w:szCs w:val="22"/>
      <w:vertAlign w:val="superscript"/>
      <w:lang w:eastAsia="en-US"/>
    </w:rPr>
  </w:style>
  <w:style w:type="paragraph" w:customStyle="1" w:styleId="Body">
    <w:name w:val="Body"/>
    <w:basedOn w:val="Normal"/>
    <w:link w:val="BodyChar"/>
    <w:qFormat/>
    <w:rsid w:val="008735D8"/>
    <w:pPr>
      <w:spacing w:before="120" w:after="120"/>
      <w:jc w:val="both"/>
    </w:pPr>
    <w:rPr>
      <w:rFonts w:ascii="EC Square Sans Pro" w:eastAsia="Times New Roman" w:hAnsi="EC Square Sans Pro"/>
      <w:lang w:val="en-GB" w:eastAsia="en-US"/>
    </w:rPr>
  </w:style>
  <w:style w:type="character" w:customStyle="1" w:styleId="BodyChar">
    <w:name w:val="Body Char"/>
    <w:link w:val="Body"/>
    <w:rsid w:val="008735D8"/>
    <w:rPr>
      <w:rFonts w:ascii="EC Square Sans Pro" w:eastAsia="Times New Roman" w:hAnsi="EC Square Sans Pro" w:cs="Times New Roman"/>
      <w:sz w:val="24"/>
      <w:szCs w:val="24"/>
      <w:lang w:val="en-GB"/>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Listaszerű bekezdés1"/>
    <w:basedOn w:val="Normal"/>
    <w:link w:val="ListParagraphChar"/>
    <w:uiPriority w:val="34"/>
    <w:qFormat/>
    <w:rsid w:val="00442DFA"/>
    <w:pPr>
      <w:spacing w:after="160" w:line="259" w:lineRule="auto"/>
      <w:ind w:left="720"/>
      <w:contextualSpacing/>
    </w:pPr>
    <w:rPr>
      <w:rFonts w:asciiTheme="minorHAnsi" w:hAnsiTheme="minorHAnsi" w:cstheme="minorBidi"/>
      <w:sz w:val="22"/>
      <w:szCs w:val="22"/>
      <w:lang w:val="en-GB" w:eastAsia="en-US"/>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sid w:val="00442DFA"/>
    <w:rPr>
      <w:lang w:val="en-GB"/>
    </w:rPr>
  </w:style>
  <w:style w:type="paragraph" w:styleId="BalloonText">
    <w:name w:val="Balloon Text"/>
    <w:basedOn w:val="Normal"/>
    <w:link w:val="BalloonTextChar"/>
    <w:uiPriority w:val="99"/>
    <w:semiHidden/>
    <w:unhideWhenUsed/>
    <w:rsid w:val="00BC3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0F2"/>
    <w:rPr>
      <w:rFonts w:ascii="Segoe UI" w:hAnsi="Segoe UI" w:cs="Segoe UI"/>
      <w:sz w:val="18"/>
      <w:szCs w:val="18"/>
      <w:lang w:eastAsia="en-IE"/>
    </w:rPr>
  </w:style>
  <w:style w:type="paragraph" w:styleId="Revision">
    <w:name w:val="Revision"/>
    <w:hidden/>
    <w:uiPriority w:val="99"/>
    <w:semiHidden/>
    <w:rsid w:val="00DB2113"/>
    <w:pPr>
      <w:spacing w:after="0" w:line="240" w:lineRule="auto"/>
    </w:pPr>
    <w:rPr>
      <w:rFonts w:ascii="Times New Roman" w:hAnsi="Times New Roman" w:cs="Times New Roman"/>
      <w:sz w:val="24"/>
      <w:szCs w:val="24"/>
      <w:lang w:eastAsia="en-IE"/>
    </w:rPr>
  </w:style>
  <w:style w:type="paragraph" w:styleId="Header">
    <w:name w:val="header"/>
    <w:basedOn w:val="Normal"/>
    <w:link w:val="HeaderChar"/>
    <w:uiPriority w:val="99"/>
    <w:unhideWhenUsed/>
    <w:rsid w:val="00AF684C"/>
    <w:pPr>
      <w:tabs>
        <w:tab w:val="center" w:pos="4513"/>
        <w:tab w:val="right" w:pos="9026"/>
      </w:tabs>
    </w:pPr>
  </w:style>
  <w:style w:type="character" w:customStyle="1" w:styleId="HeaderChar">
    <w:name w:val="Header Char"/>
    <w:basedOn w:val="DefaultParagraphFont"/>
    <w:link w:val="Header"/>
    <w:uiPriority w:val="99"/>
    <w:rsid w:val="00AF684C"/>
    <w:rPr>
      <w:rFonts w:ascii="Times New Roman" w:hAnsi="Times New Roman" w:cs="Times New Roman"/>
      <w:sz w:val="24"/>
      <w:szCs w:val="24"/>
      <w:lang w:eastAsia="en-IE"/>
    </w:rPr>
  </w:style>
  <w:style w:type="paragraph" w:styleId="Footer">
    <w:name w:val="footer"/>
    <w:basedOn w:val="Normal"/>
    <w:link w:val="FooterChar"/>
    <w:uiPriority w:val="99"/>
    <w:unhideWhenUsed/>
    <w:rsid w:val="00AF684C"/>
    <w:pPr>
      <w:tabs>
        <w:tab w:val="center" w:pos="4513"/>
        <w:tab w:val="right" w:pos="9026"/>
      </w:tabs>
    </w:pPr>
  </w:style>
  <w:style w:type="character" w:customStyle="1" w:styleId="FooterChar">
    <w:name w:val="Footer Char"/>
    <w:basedOn w:val="DefaultParagraphFont"/>
    <w:link w:val="Footer"/>
    <w:uiPriority w:val="99"/>
    <w:rsid w:val="00AF684C"/>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95803">
      <w:bodyDiv w:val="1"/>
      <w:marLeft w:val="0"/>
      <w:marRight w:val="0"/>
      <w:marTop w:val="0"/>
      <w:marBottom w:val="0"/>
      <w:divBdr>
        <w:top w:val="none" w:sz="0" w:space="0" w:color="auto"/>
        <w:left w:val="none" w:sz="0" w:space="0" w:color="auto"/>
        <w:bottom w:val="none" w:sz="0" w:space="0" w:color="auto"/>
        <w:right w:val="none" w:sz="0" w:space="0" w:color="auto"/>
      </w:divBdr>
    </w:div>
    <w:div w:id="1428848213">
      <w:bodyDiv w:val="1"/>
      <w:marLeft w:val="0"/>
      <w:marRight w:val="0"/>
      <w:marTop w:val="0"/>
      <w:marBottom w:val="0"/>
      <w:divBdr>
        <w:top w:val="none" w:sz="0" w:space="0" w:color="auto"/>
        <w:left w:val="none" w:sz="0" w:space="0" w:color="auto"/>
        <w:bottom w:val="none" w:sz="0" w:space="0" w:color="auto"/>
        <w:right w:val="none" w:sz="0" w:space="0" w:color="auto"/>
      </w:divBdr>
    </w:div>
    <w:div w:id="21127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19R01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4DDE-DCA0-4589-9F36-9A2A0812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1486</Words>
  <Characters>8041</Characters>
  <Application>Microsoft Office Word</Application>
  <DocSecurity>4</DocSecurity>
  <Lines>123</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PEREZ Laura (FPI)</dc:creator>
  <cp:keywords/>
  <dc:description/>
  <cp:lastModifiedBy>Alessandro</cp:lastModifiedBy>
  <cp:revision>2</cp:revision>
  <dcterms:created xsi:type="dcterms:W3CDTF">2023-04-28T16:21:00Z</dcterms:created>
  <dcterms:modified xsi:type="dcterms:W3CDTF">2023-04-28T16:21:00Z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2023-04-27T07:06:29Z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a0c08349-bf33-48fd-9a59-5389c190d914</vt:lpwstr>
  </property>
  <property fmtid="{D5CDD505-2E9C-101B-9397-08002B2CF9AE}" pid="8" name="MSIP_Label_6bd9ddd1-4d20-43f6-abfa-fc3c07406f94_ContentBits">
    <vt:lpwstr>0</vt:lpwstr>
  </property>
</Properties>
</file>