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FCDD" w14:textId="77777777" w:rsidR="00E87AC9" w:rsidRDefault="00E87AC9" w:rsidP="000B73B1">
      <w:pPr>
        <w:jc w:val="center"/>
        <w:rPr>
          <w:b/>
          <w:sz w:val="26"/>
          <w:szCs w:val="26"/>
        </w:rPr>
      </w:pPr>
    </w:p>
    <w:p w14:paraId="13FD3C59" w14:textId="77777777" w:rsidR="00E87AC9" w:rsidRDefault="00E87AC9" w:rsidP="000B73B1">
      <w:pPr>
        <w:jc w:val="center"/>
        <w:rPr>
          <w:b/>
          <w:sz w:val="26"/>
          <w:szCs w:val="26"/>
        </w:rPr>
      </w:pPr>
    </w:p>
    <w:p w14:paraId="1D19553C" w14:textId="577A9043" w:rsidR="000B73B1" w:rsidRPr="00A220EA" w:rsidRDefault="000B73B1" w:rsidP="000B73B1">
      <w:pPr>
        <w:jc w:val="center"/>
        <w:rPr>
          <w:b/>
          <w:sz w:val="26"/>
          <w:szCs w:val="26"/>
        </w:rPr>
      </w:pPr>
      <w:r w:rsidRPr="00A220EA">
        <w:rPr>
          <w:b/>
          <w:sz w:val="26"/>
          <w:szCs w:val="26"/>
        </w:rPr>
        <w:t>Regional Expert Workshop in Central Asia on the</w:t>
      </w:r>
    </w:p>
    <w:p w14:paraId="18A40F61" w14:textId="07CA18E4" w:rsidR="00BB2A84" w:rsidRDefault="000B73B1" w:rsidP="000B73B1">
      <w:pPr>
        <w:jc w:val="center"/>
        <w:rPr>
          <w:b/>
          <w:sz w:val="26"/>
          <w:szCs w:val="26"/>
        </w:rPr>
      </w:pPr>
      <w:r w:rsidRPr="00A220EA">
        <w:rPr>
          <w:b/>
          <w:sz w:val="26"/>
          <w:szCs w:val="26"/>
        </w:rPr>
        <w:t>Protection of Vulnerable Targets Against Terrorist Attacks</w:t>
      </w:r>
    </w:p>
    <w:p w14:paraId="397CDA5C" w14:textId="77777777" w:rsidR="00AB1754" w:rsidRDefault="00AB1754" w:rsidP="000B73B1">
      <w:pPr>
        <w:jc w:val="center"/>
        <w:rPr>
          <w:b/>
          <w:sz w:val="26"/>
          <w:szCs w:val="26"/>
        </w:rPr>
      </w:pPr>
    </w:p>
    <w:p w14:paraId="6F298CB6" w14:textId="7A80C7C5" w:rsidR="00AB1754" w:rsidRPr="00A220EA" w:rsidRDefault="00AB1754" w:rsidP="000B73B1">
      <w:pPr>
        <w:jc w:val="center"/>
        <w:rPr>
          <w:b/>
          <w:sz w:val="26"/>
          <w:szCs w:val="26"/>
        </w:rPr>
      </w:pPr>
      <w:r>
        <w:rPr>
          <w:b/>
          <w:sz w:val="26"/>
          <w:szCs w:val="26"/>
        </w:rPr>
        <w:t>Tashkent, 16-18 November 2022</w:t>
      </w:r>
    </w:p>
    <w:p w14:paraId="21A9DBB1" w14:textId="0C5DCE2D" w:rsidR="000B73B1" w:rsidRPr="00A220EA" w:rsidRDefault="000B73B1" w:rsidP="000B73B1">
      <w:pPr>
        <w:jc w:val="center"/>
        <w:rPr>
          <w:b/>
          <w:sz w:val="26"/>
          <w:szCs w:val="26"/>
        </w:rPr>
      </w:pPr>
    </w:p>
    <w:p w14:paraId="05BB42A8" w14:textId="5480E36C" w:rsidR="000B73B1" w:rsidRPr="00A220EA" w:rsidRDefault="000B73B1" w:rsidP="000B73B1">
      <w:pPr>
        <w:jc w:val="center"/>
        <w:rPr>
          <w:bCs/>
          <w:sz w:val="26"/>
          <w:szCs w:val="26"/>
        </w:rPr>
      </w:pPr>
      <w:r w:rsidRPr="00A220EA">
        <w:rPr>
          <w:b/>
          <w:sz w:val="26"/>
          <w:szCs w:val="26"/>
        </w:rPr>
        <w:t>Session II: The International Legal Framework to Protect Vulnerable Targets</w:t>
      </w:r>
    </w:p>
    <w:p w14:paraId="6FA18D2F" w14:textId="23B233F2" w:rsidR="000B73B1" w:rsidRPr="00A220EA" w:rsidRDefault="000B73B1" w:rsidP="000B73B1">
      <w:pPr>
        <w:jc w:val="center"/>
        <w:rPr>
          <w:bCs/>
          <w:sz w:val="26"/>
          <w:szCs w:val="26"/>
        </w:rPr>
      </w:pPr>
    </w:p>
    <w:p w14:paraId="623AEE6D" w14:textId="3C558B36" w:rsidR="000B73B1" w:rsidRPr="00A220EA" w:rsidRDefault="00E12591" w:rsidP="00A220EA">
      <w:pPr>
        <w:jc w:val="center"/>
        <w:rPr>
          <w:b/>
          <w:sz w:val="26"/>
          <w:szCs w:val="26"/>
        </w:rPr>
      </w:pPr>
      <w:r>
        <w:rPr>
          <w:b/>
          <w:sz w:val="26"/>
          <w:szCs w:val="26"/>
        </w:rPr>
        <w:t xml:space="preserve">Statement of the </w:t>
      </w:r>
      <w:r w:rsidR="00277AD3">
        <w:rPr>
          <w:b/>
          <w:sz w:val="26"/>
          <w:szCs w:val="26"/>
        </w:rPr>
        <w:t>m</w:t>
      </w:r>
      <w:r>
        <w:rPr>
          <w:b/>
          <w:sz w:val="26"/>
          <w:szCs w:val="26"/>
        </w:rPr>
        <w:t xml:space="preserve">andate of the </w:t>
      </w:r>
      <w:r w:rsidR="000B73B1" w:rsidRPr="00A220EA">
        <w:rPr>
          <w:b/>
          <w:sz w:val="26"/>
          <w:szCs w:val="26"/>
        </w:rPr>
        <w:t>UN Special Rapporteur</w:t>
      </w:r>
      <w:r w:rsidR="00A220EA">
        <w:rPr>
          <w:sz w:val="26"/>
          <w:szCs w:val="26"/>
        </w:rPr>
        <w:t xml:space="preserve"> </w:t>
      </w:r>
      <w:r w:rsidR="000B73B1" w:rsidRPr="00A220EA">
        <w:rPr>
          <w:b/>
          <w:sz w:val="26"/>
          <w:szCs w:val="26"/>
        </w:rPr>
        <w:t>on the Promotion and Protection of Human Rights and Fundamental Freedoms While Countering Terrorism</w:t>
      </w:r>
      <w:r>
        <w:rPr>
          <w:rStyle w:val="FootnoteReference"/>
          <w:b/>
          <w:sz w:val="26"/>
          <w:szCs w:val="26"/>
        </w:rPr>
        <w:footnoteReference w:customMarkFollows="1" w:id="1"/>
        <w:t>*</w:t>
      </w:r>
    </w:p>
    <w:p w14:paraId="0B0921BD" w14:textId="786006F4" w:rsidR="000B73B1" w:rsidRPr="00A220EA" w:rsidRDefault="000B73B1" w:rsidP="000B73B1">
      <w:pPr>
        <w:jc w:val="center"/>
        <w:rPr>
          <w:b/>
          <w:sz w:val="22"/>
          <w:szCs w:val="22"/>
        </w:rPr>
      </w:pPr>
    </w:p>
    <w:p w14:paraId="16F7C0CB" w14:textId="237D8E5F" w:rsidR="000B73B1" w:rsidRPr="00A220EA" w:rsidRDefault="000B73B1" w:rsidP="000B73B1">
      <w:pPr>
        <w:rPr>
          <w:bCs/>
          <w:sz w:val="22"/>
          <w:szCs w:val="22"/>
        </w:rPr>
      </w:pPr>
      <w:r w:rsidRPr="00A220EA">
        <w:rPr>
          <w:b/>
          <w:sz w:val="22"/>
          <w:szCs w:val="22"/>
        </w:rPr>
        <w:t>Introduction</w:t>
      </w:r>
    </w:p>
    <w:p w14:paraId="22CB8C22" w14:textId="1E1B5630" w:rsidR="000B73B1" w:rsidRPr="00A220EA" w:rsidRDefault="000B73B1" w:rsidP="000B73B1">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I wish to thank the Organization for Security and Co-Operation in Europe for the invitation to address the regional expert workshop today here in Tashkent on behalf of the Mandate of the UN Special Rapporteur on the Promotion and Protection of Human Rights and Fundamental Freedoms while Countering Terrorism, and on behalf of the Mandate holder, Professor Fionnuala Ní Aoláin. This workshop addresses a key international priority, and I commend all who have facilitated it</w:t>
      </w:r>
      <w:r w:rsidR="00C02636" w:rsidRPr="00A220EA">
        <w:rPr>
          <w:rFonts w:ascii="Times New Roman" w:hAnsi="Times New Roman" w:cs="Times New Roman"/>
          <w:bCs/>
          <w:sz w:val="22"/>
          <w:szCs w:val="22"/>
        </w:rPr>
        <w:t xml:space="preserve"> </w:t>
      </w:r>
      <w:r w:rsidRPr="00A220EA">
        <w:rPr>
          <w:rFonts w:ascii="Times New Roman" w:hAnsi="Times New Roman" w:cs="Times New Roman"/>
          <w:bCs/>
          <w:sz w:val="22"/>
          <w:szCs w:val="22"/>
        </w:rPr>
        <w:t>for their hard work to bring us here today</w:t>
      </w:r>
      <w:r w:rsidR="004F1CB3" w:rsidRPr="00A220EA">
        <w:rPr>
          <w:rFonts w:ascii="Times New Roman" w:hAnsi="Times New Roman" w:cs="Times New Roman"/>
          <w:bCs/>
          <w:sz w:val="22"/>
          <w:szCs w:val="22"/>
        </w:rPr>
        <w:t xml:space="preserve"> </w:t>
      </w:r>
      <w:r w:rsidR="000B014E" w:rsidRPr="00A220EA">
        <w:rPr>
          <w:rFonts w:ascii="Times New Roman" w:hAnsi="Times New Roman" w:cs="Times New Roman"/>
          <w:bCs/>
          <w:sz w:val="22"/>
          <w:szCs w:val="22"/>
        </w:rPr>
        <w:t xml:space="preserve">– and I extend my </w:t>
      </w:r>
      <w:r w:rsidR="00F46F89" w:rsidRPr="00A220EA">
        <w:rPr>
          <w:rFonts w:ascii="Times New Roman" w:hAnsi="Times New Roman" w:cs="Times New Roman"/>
          <w:bCs/>
          <w:sz w:val="22"/>
          <w:szCs w:val="22"/>
        </w:rPr>
        <w:t>gratitude</w:t>
      </w:r>
      <w:r w:rsidR="000B014E" w:rsidRPr="00A220EA">
        <w:rPr>
          <w:rFonts w:ascii="Times New Roman" w:hAnsi="Times New Roman" w:cs="Times New Roman"/>
          <w:bCs/>
          <w:sz w:val="22"/>
          <w:szCs w:val="22"/>
        </w:rPr>
        <w:t xml:space="preserve"> to Uzbekistan for hosting us today.</w:t>
      </w:r>
    </w:p>
    <w:p w14:paraId="01404A1A" w14:textId="77777777" w:rsidR="000B73B1" w:rsidRPr="00A220EA" w:rsidRDefault="000B73B1" w:rsidP="000B73B1">
      <w:pPr>
        <w:pStyle w:val="ListParagraph"/>
        <w:ind w:left="360"/>
        <w:rPr>
          <w:rFonts w:ascii="Times New Roman" w:hAnsi="Times New Roman" w:cs="Times New Roman"/>
          <w:bCs/>
          <w:sz w:val="22"/>
          <w:szCs w:val="22"/>
        </w:rPr>
      </w:pPr>
    </w:p>
    <w:p w14:paraId="228B93DC" w14:textId="18C333F0" w:rsidR="000B73B1" w:rsidRPr="00A220EA" w:rsidRDefault="002241C3" w:rsidP="000B73B1">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 xml:space="preserve">Within this session, I want to consider </w:t>
      </w:r>
      <w:r w:rsidRPr="00A220EA">
        <w:rPr>
          <w:rFonts w:ascii="Times New Roman" w:hAnsi="Times New Roman" w:cs="Times New Roman"/>
          <w:b/>
          <w:bCs/>
          <w:sz w:val="22"/>
          <w:szCs w:val="22"/>
          <w:u w:val="single"/>
        </w:rPr>
        <w:t>three</w:t>
      </w:r>
      <w:r w:rsidRPr="00A220EA">
        <w:rPr>
          <w:rFonts w:ascii="Times New Roman" w:hAnsi="Times New Roman" w:cs="Times New Roman"/>
          <w:bCs/>
          <w:sz w:val="22"/>
          <w:szCs w:val="22"/>
        </w:rPr>
        <w:t xml:space="preserve"> different aspects of the international legal framework regarding the protection of vulnerable targets:</w:t>
      </w:r>
    </w:p>
    <w:p w14:paraId="503C3574" w14:textId="77777777" w:rsidR="002241C3" w:rsidRPr="00A220EA" w:rsidRDefault="002241C3" w:rsidP="002241C3">
      <w:pPr>
        <w:pStyle w:val="ListParagraph"/>
        <w:rPr>
          <w:rFonts w:ascii="Times New Roman" w:hAnsi="Times New Roman" w:cs="Times New Roman"/>
          <w:bCs/>
          <w:sz w:val="22"/>
          <w:szCs w:val="22"/>
        </w:rPr>
      </w:pPr>
    </w:p>
    <w:p w14:paraId="2F42D698" w14:textId="15F41259" w:rsidR="002241C3" w:rsidRPr="00A220EA" w:rsidRDefault="002241C3" w:rsidP="002241C3">
      <w:pPr>
        <w:pStyle w:val="ListParagraph"/>
        <w:numPr>
          <w:ilvl w:val="1"/>
          <w:numId w:val="1"/>
        </w:numPr>
        <w:ind w:left="1134" w:hanging="774"/>
        <w:rPr>
          <w:rFonts w:ascii="Times New Roman" w:hAnsi="Times New Roman" w:cs="Times New Roman"/>
          <w:bCs/>
          <w:sz w:val="22"/>
          <w:szCs w:val="22"/>
        </w:rPr>
      </w:pPr>
      <w:r w:rsidRPr="00A220EA">
        <w:rPr>
          <w:rFonts w:ascii="Times New Roman" w:hAnsi="Times New Roman" w:cs="Times New Roman"/>
          <w:b/>
          <w:bCs/>
          <w:sz w:val="22"/>
          <w:szCs w:val="22"/>
          <w:u w:val="single"/>
        </w:rPr>
        <w:t>First</w:t>
      </w:r>
      <w:r w:rsidRPr="00A220EA">
        <w:rPr>
          <w:rFonts w:ascii="Times New Roman" w:hAnsi="Times New Roman" w:cs="Times New Roman"/>
          <w:bCs/>
          <w:sz w:val="22"/>
          <w:szCs w:val="22"/>
        </w:rPr>
        <w:t xml:space="preserve">, I want to focus on how human rights law and international humanitarian law complement the obligations of States in the protection of vulnerable targets and infrastructure, and how such protection is a necessary part of States discharging their international legal </w:t>
      </w:r>
      <w:proofErr w:type="gramStart"/>
      <w:r w:rsidRPr="00A220EA">
        <w:rPr>
          <w:rFonts w:ascii="Times New Roman" w:hAnsi="Times New Roman" w:cs="Times New Roman"/>
          <w:bCs/>
          <w:sz w:val="22"/>
          <w:szCs w:val="22"/>
        </w:rPr>
        <w:t>obligations;</w:t>
      </w:r>
      <w:proofErr w:type="gramEnd"/>
    </w:p>
    <w:p w14:paraId="4F70A232" w14:textId="7404C51D" w:rsidR="002241C3" w:rsidRPr="00A220EA" w:rsidRDefault="002241C3" w:rsidP="002241C3">
      <w:pPr>
        <w:pStyle w:val="ListParagraph"/>
        <w:ind w:left="1134"/>
        <w:rPr>
          <w:rFonts w:ascii="Times New Roman" w:hAnsi="Times New Roman" w:cs="Times New Roman"/>
          <w:bCs/>
          <w:sz w:val="22"/>
          <w:szCs w:val="22"/>
        </w:rPr>
      </w:pPr>
    </w:p>
    <w:p w14:paraId="57B2FD93" w14:textId="45B48BA4" w:rsidR="002241C3" w:rsidRPr="00A220EA" w:rsidRDefault="002241C3" w:rsidP="002241C3">
      <w:pPr>
        <w:pStyle w:val="ListParagraph"/>
        <w:numPr>
          <w:ilvl w:val="1"/>
          <w:numId w:val="1"/>
        </w:numPr>
        <w:ind w:left="1134" w:hanging="774"/>
        <w:rPr>
          <w:rFonts w:ascii="Times New Roman" w:hAnsi="Times New Roman" w:cs="Times New Roman"/>
          <w:bCs/>
          <w:sz w:val="22"/>
          <w:szCs w:val="22"/>
        </w:rPr>
      </w:pPr>
      <w:r w:rsidRPr="00A220EA">
        <w:rPr>
          <w:rFonts w:ascii="Times New Roman" w:hAnsi="Times New Roman" w:cs="Times New Roman"/>
          <w:b/>
          <w:bCs/>
          <w:sz w:val="22"/>
          <w:szCs w:val="22"/>
          <w:u w:val="single"/>
        </w:rPr>
        <w:t>Second</w:t>
      </w:r>
      <w:r w:rsidRPr="00A220EA">
        <w:rPr>
          <w:rFonts w:ascii="Times New Roman" w:hAnsi="Times New Roman" w:cs="Times New Roman"/>
          <w:bCs/>
          <w:sz w:val="22"/>
          <w:szCs w:val="22"/>
        </w:rPr>
        <w:t xml:space="preserve">, I wish to sound a note of </w:t>
      </w:r>
      <w:r w:rsidR="00F46F89" w:rsidRPr="00A220EA">
        <w:rPr>
          <w:rFonts w:ascii="Times New Roman" w:hAnsi="Times New Roman" w:cs="Times New Roman"/>
          <w:bCs/>
          <w:sz w:val="22"/>
          <w:szCs w:val="22"/>
        </w:rPr>
        <w:t>caution</w:t>
      </w:r>
      <w:r w:rsidRPr="00A220EA">
        <w:rPr>
          <w:rFonts w:ascii="Times New Roman" w:hAnsi="Times New Roman" w:cs="Times New Roman"/>
          <w:bCs/>
          <w:sz w:val="22"/>
          <w:szCs w:val="22"/>
        </w:rPr>
        <w:t xml:space="preserve"> for States as they develop preventative strategies to ensure that in taking steps to protect </w:t>
      </w:r>
      <w:proofErr w:type="gramStart"/>
      <w:r w:rsidRPr="00A220EA">
        <w:rPr>
          <w:rFonts w:ascii="Times New Roman" w:hAnsi="Times New Roman" w:cs="Times New Roman"/>
          <w:bCs/>
          <w:sz w:val="22"/>
          <w:szCs w:val="22"/>
        </w:rPr>
        <w:t>infrastructure</w:t>
      </w:r>
      <w:proofErr w:type="gramEnd"/>
      <w:r w:rsidRPr="00A220EA">
        <w:rPr>
          <w:rFonts w:ascii="Times New Roman" w:hAnsi="Times New Roman" w:cs="Times New Roman"/>
          <w:bCs/>
          <w:sz w:val="22"/>
          <w:szCs w:val="22"/>
        </w:rPr>
        <w:t xml:space="preserve"> they do </w:t>
      </w:r>
      <w:r w:rsidR="000371CA" w:rsidRPr="00A220EA">
        <w:rPr>
          <w:rFonts w:ascii="Times New Roman" w:hAnsi="Times New Roman" w:cs="Times New Roman"/>
          <w:bCs/>
          <w:sz w:val="22"/>
          <w:szCs w:val="22"/>
        </w:rPr>
        <w:t>so in a manner which is consistent with the</w:t>
      </w:r>
      <w:r w:rsidR="006246D4" w:rsidRPr="00A220EA">
        <w:rPr>
          <w:rFonts w:ascii="Times New Roman" w:hAnsi="Times New Roman" w:cs="Times New Roman"/>
          <w:bCs/>
          <w:sz w:val="22"/>
          <w:szCs w:val="22"/>
        </w:rPr>
        <w:t xml:space="preserve"> promotion and protection of human rights and fundamental freedoms</w:t>
      </w:r>
      <w:r w:rsidR="004C5782" w:rsidRPr="00A220EA">
        <w:rPr>
          <w:rFonts w:ascii="Times New Roman" w:hAnsi="Times New Roman" w:cs="Times New Roman"/>
          <w:bCs/>
          <w:sz w:val="22"/>
          <w:szCs w:val="22"/>
        </w:rPr>
        <w:t xml:space="preserve"> </w:t>
      </w:r>
      <w:r w:rsidR="001277EA" w:rsidRPr="00A220EA">
        <w:rPr>
          <w:rFonts w:ascii="Times New Roman" w:hAnsi="Times New Roman" w:cs="Times New Roman"/>
          <w:bCs/>
          <w:sz w:val="22"/>
          <w:szCs w:val="22"/>
        </w:rPr>
        <w:t>– including</w:t>
      </w:r>
      <w:r w:rsidR="004C5782" w:rsidRPr="00A220EA">
        <w:rPr>
          <w:rFonts w:ascii="Times New Roman" w:hAnsi="Times New Roman" w:cs="Times New Roman"/>
          <w:bCs/>
          <w:sz w:val="22"/>
          <w:szCs w:val="22"/>
        </w:rPr>
        <w:t xml:space="preserve"> with respect to economic, social and cultural rights</w:t>
      </w:r>
      <w:r w:rsidR="006246D4" w:rsidRPr="00A220EA">
        <w:rPr>
          <w:rFonts w:ascii="Times New Roman" w:hAnsi="Times New Roman" w:cs="Times New Roman"/>
          <w:bCs/>
          <w:sz w:val="22"/>
          <w:szCs w:val="22"/>
        </w:rPr>
        <w:t>; and</w:t>
      </w:r>
    </w:p>
    <w:p w14:paraId="0F2309FD" w14:textId="77777777" w:rsidR="006246D4" w:rsidRPr="00A220EA" w:rsidRDefault="006246D4" w:rsidP="006246D4">
      <w:pPr>
        <w:pStyle w:val="ListParagraph"/>
        <w:rPr>
          <w:rFonts w:ascii="Times New Roman" w:hAnsi="Times New Roman" w:cs="Times New Roman"/>
          <w:bCs/>
          <w:sz w:val="22"/>
          <w:szCs w:val="22"/>
        </w:rPr>
      </w:pPr>
    </w:p>
    <w:p w14:paraId="23911017" w14:textId="7C2AF241" w:rsidR="006246D4" w:rsidRPr="00A220EA" w:rsidRDefault="006246D4" w:rsidP="002241C3">
      <w:pPr>
        <w:pStyle w:val="ListParagraph"/>
        <w:numPr>
          <w:ilvl w:val="1"/>
          <w:numId w:val="1"/>
        </w:numPr>
        <w:ind w:left="1134" w:hanging="774"/>
        <w:rPr>
          <w:rFonts w:ascii="Times New Roman" w:hAnsi="Times New Roman" w:cs="Times New Roman"/>
          <w:bCs/>
          <w:sz w:val="22"/>
          <w:szCs w:val="22"/>
        </w:rPr>
      </w:pPr>
      <w:r w:rsidRPr="00A220EA">
        <w:rPr>
          <w:rFonts w:ascii="Times New Roman" w:hAnsi="Times New Roman" w:cs="Times New Roman"/>
          <w:b/>
          <w:bCs/>
          <w:sz w:val="22"/>
          <w:szCs w:val="22"/>
          <w:u w:val="single"/>
        </w:rPr>
        <w:t>Third</w:t>
      </w:r>
      <w:r w:rsidRPr="00A220EA">
        <w:rPr>
          <w:rFonts w:ascii="Times New Roman" w:hAnsi="Times New Roman" w:cs="Times New Roman"/>
          <w:bCs/>
          <w:sz w:val="22"/>
          <w:szCs w:val="22"/>
        </w:rPr>
        <w:t>, I wish to highlight the human rights implications which arise at the stage of crisis response and management.</w:t>
      </w:r>
    </w:p>
    <w:p w14:paraId="15FF6024" w14:textId="02FD8FD3" w:rsidR="002241C3" w:rsidRPr="00A220EA" w:rsidRDefault="002241C3" w:rsidP="006246D4">
      <w:pPr>
        <w:rPr>
          <w:bCs/>
          <w:sz w:val="22"/>
          <w:szCs w:val="22"/>
        </w:rPr>
      </w:pPr>
    </w:p>
    <w:p w14:paraId="5483467A" w14:textId="246C6232" w:rsidR="000371CA" w:rsidRPr="00A220EA" w:rsidRDefault="000371CA" w:rsidP="006246D4">
      <w:pPr>
        <w:rPr>
          <w:b/>
          <w:sz w:val="22"/>
          <w:szCs w:val="22"/>
        </w:rPr>
      </w:pPr>
      <w:r w:rsidRPr="00A220EA">
        <w:rPr>
          <w:b/>
          <w:sz w:val="22"/>
          <w:szCs w:val="22"/>
        </w:rPr>
        <w:t xml:space="preserve">Protection of Vulnerable Targets and Infrastructure is a Human Rights and Humanitarian </w:t>
      </w:r>
      <w:r w:rsidR="006F0F17" w:rsidRPr="00A220EA">
        <w:rPr>
          <w:b/>
          <w:sz w:val="22"/>
          <w:szCs w:val="22"/>
        </w:rPr>
        <w:t xml:space="preserve">law </w:t>
      </w:r>
      <w:r w:rsidRPr="00A220EA">
        <w:rPr>
          <w:b/>
          <w:sz w:val="22"/>
          <w:szCs w:val="22"/>
        </w:rPr>
        <w:t>Issue</w:t>
      </w:r>
    </w:p>
    <w:p w14:paraId="0C3F61DA" w14:textId="77777777" w:rsidR="00ED1840" w:rsidRPr="00A220EA" w:rsidRDefault="000371CA" w:rsidP="000B73B1">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 xml:space="preserve">We have already in this session considered some of the </w:t>
      </w:r>
      <w:r w:rsidR="008D0CE6" w:rsidRPr="00A220EA">
        <w:rPr>
          <w:rFonts w:ascii="Times New Roman" w:hAnsi="Times New Roman" w:cs="Times New Roman"/>
          <w:bCs/>
          <w:sz w:val="22"/>
          <w:szCs w:val="22"/>
        </w:rPr>
        <w:t>basic legal instruments which oblige States to take steps to address the risk of attacks against critical infrastructure, such as Security Council Resolution 2341.</w:t>
      </w:r>
    </w:p>
    <w:p w14:paraId="37DB3E36" w14:textId="5ECA4075" w:rsidR="00ED1840" w:rsidRPr="00A220EA" w:rsidRDefault="00ED1840" w:rsidP="00ED1840">
      <w:pPr>
        <w:pStyle w:val="ListParagraph"/>
        <w:ind w:left="360"/>
        <w:rPr>
          <w:rFonts w:ascii="Times New Roman" w:hAnsi="Times New Roman" w:cs="Times New Roman"/>
          <w:bCs/>
          <w:sz w:val="22"/>
          <w:szCs w:val="22"/>
        </w:rPr>
      </w:pPr>
    </w:p>
    <w:p w14:paraId="1D00CF35" w14:textId="23C25EC9" w:rsidR="000B73B1" w:rsidRPr="00A220EA" w:rsidRDefault="008D0CE6" w:rsidP="000B73B1">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But the protection of vulnerable targets and infrastructure is also an inherent aspect of States’ compliance with their obligations to protect and promote human rights</w:t>
      </w:r>
      <w:r w:rsidR="004C5782" w:rsidRPr="00A220EA">
        <w:rPr>
          <w:rFonts w:ascii="Times New Roman" w:hAnsi="Times New Roman" w:cs="Times New Roman"/>
          <w:bCs/>
          <w:sz w:val="22"/>
          <w:szCs w:val="22"/>
        </w:rPr>
        <w:t>, humanitarian law</w:t>
      </w:r>
      <w:r w:rsidRPr="00A220EA">
        <w:rPr>
          <w:rFonts w:ascii="Times New Roman" w:hAnsi="Times New Roman" w:cs="Times New Roman"/>
          <w:bCs/>
          <w:sz w:val="22"/>
          <w:szCs w:val="22"/>
        </w:rPr>
        <w:t xml:space="preserve"> and humanitarian interests. The Human Rights Committee has recognized that States’ obligation to protect the right to life,</w:t>
      </w:r>
      <w:r w:rsidRPr="00A220EA">
        <w:rPr>
          <w:rStyle w:val="FootnoteReference"/>
          <w:rFonts w:ascii="Times New Roman" w:hAnsi="Times New Roman" w:cs="Times New Roman"/>
          <w:bCs/>
          <w:sz w:val="22"/>
          <w:szCs w:val="22"/>
        </w:rPr>
        <w:footnoteReference w:id="2"/>
      </w:r>
      <w:r w:rsidRPr="00A220EA">
        <w:rPr>
          <w:rFonts w:ascii="Times New Roman" w:hAnsi="Times New Roman" w:cs="Times New Roman"/>
          <w:bCs/>
          <w:sz w:val="22"/>
          <w:szCs w:val="22"/>
        </w:rPr>
        <w:t xml:space="preserve"> for instance, requires that States should develop strategic plans to protect against disruptions to health services, access to food, water, energy, sanitation and essential </w:t>
      </w:r>
      <w:r w:rsidRPr="00A220EA">
        <w:rPr>
          <w:rFonts w:ascii="Times New Roman" w:hAnsi="Times New Roman" w:cs="Times New Roman"/>
          <w:bCs/>
          <w:sz w:val="22"/>
          <w:szCs w:val="22"/>
        </w:rPr>
        <w:lastRenderedPageBreak/>
        <w:t>services fundamental to individual survival and safety.</w:t>
      </w:r>
      <w:r w:rsidRPr="00A220EA">
        <w:rPr>
          <w:rStyle w:val="FootnoteReference"/>
          <w:rFonts w:ascii="Times New Roman" w:hAnsi="Times New Roman" w:cs="Times New Roman"/>
          <w:bCs/>
          <w:sz w:val="22"/>
          <w:szCs w:val="22"/>
        </w:rPr>
        <w:footnoteReference w:id="3"/>
      </w:r>
      <w:r w:rsidRPr="00A220EA">
        <w:rPr>
          <w:rFonts w:ascii="Times New Roman" w:hAnsi="Times New Roman" w:cs="Times New Roman"/>
          <w:bCs/>
          <w:sz w:val="22"/>
          <w:szCs w:val="22"/>
        </w:rPr>
        <w:t xml:space="preserve"> </w:t>
      </w:r>
      <w:r w:rsidR="00ED1840" w:rsidRPr="00A220EA">
        <w:rPr>
          <w:rFonts w:ascii="Times New Roman" w:hAnsi="Times New Roman" w:cs="Times New Roman"/>
          <w:bCs/>
          <w:sz w:val="22"/>
          <w:szCs w:val="22"/>
        </w:rPr>
        <w:t>States’ obligations to take steps progressively to realize the</w:t>
      </w:r>
      <w:r w:rsidRPr="00A220EA">
        <w:rPr>
          <w:rFonts w:ascii="Times New Roman" w:hAnsi="Times New Roman" w:cs="Times New Roman"/>
          <w:bCs/>
          <w:sz w:val="22"/>
          <w:szCs w:val="22"/>
        </w:rPr>
        <w:t xml:space="preserve"> human rights to</w:t>
      </w:r>
      <w:r w:rsidR="00ED1840" w:rsidRPr="00A220EA">
        <w:rPr>
          <w:rFonts w:ascii="Times New Roman" w:hAnsi="Times New Roman" w:cs="Times New Roman"/>
          <w:bCs/>
          <w:sz w:val="22"/>
          <w:szCs w:val="22"/>
        </w:rPr>
        <w:t xml:space="preserve"> food and</w:t>
      </w:r>
      <w:r w:rsidRPr="00A220EA">
        <w:rPr>
          <w:rFonts w:ascii="Times New Roman" w:hAnsi="Times New Roman" w:cs="Times New Roman"/>
          <w:bCs/>
          <w:sz w:val="22"/>
          <w:szCs w:val="22"/>
        </w:rPr>
        <w:t xml:space="preserve"> </w:t>
      </w:r>
      <w:r w:rsidR="00ED1840" w:rsidRPr="00A220EA">
        <w:rPr>
          <w:rFonts w:ascii="Times New Roman" w:hAnsi="Times New Roman" w:cs="Times New Roman"/>
          <w:bCs/>
          <w:sz w:val="22"/>
          <w:szCs w:val="22"/>
        </w:rPr>
        <w:t>an adequate standard of living</w:t>
      </w:r>
      <w:r w:rsidR="00ED1840" w:rsidRPr="00A220EA">
        <w:rPr>
          <w:rStyle w:val="FootnoteReference"/>
          <w:rFonts w:ascii="Times New Roman" w:hAnsi="Times New Roman" w:cs="Times New Roman"/>
          <w:bCs/>
          <w:sz w:val="22"/>
          <w:szCs w:val="22"/>
        </w:rPr>
        <w:footnoteReference w:id="4"/>
      </w:r>
      <w:r w:rsidR="00ED1840" w:rsidRPr="00A220EA">
        <w:rPr>
          <w:rFonts w:ascii="Times New Roman" w:hAnsi="Times New Roman" w:cs="Times New Roman"/>
          <w:bCs/>
          <w:sz w:val="22"/>
          <w:szCs w:val="22"/>
        </w:rPr>
        <w:t xml:space="preserve"> and to the highest attainable standard of health</w:t>
      </w:r>
      <w:r w:rsidR="00ED1840" w:rsidRPr="00A220EA">
        <w:rPr>
          <w:rStyle w:val="FootnoteReference"/>
          <w:rFonts w:ascii="Times New Roman" w:hAnsi="Times New Roman" w:cs="Times New Roman"/>
          <w:bCs/>
          <w:sz w:val="22"/>
          <w:szCs w:val="22"/>
        </w:rPr>
        <w:footnoteReference w:id="5"/>
      </w:r>
      <w:r w:rsidR="00ED1840" w:rsidRPr="00A220EA">
        <w:rPr>
          <w:rFonts w:ascii="Times New Roman" w:hAnsi="Times New Roman" w:cs="Times New Roman"/>
          <w:bCs/>
          <w:sz w:val="22"/>
          <w:szCs w:val="22"/>
        </w:rPr>
        <w:t xml:space="preserve"> also imply that States must take necessary and achievable actions to minimize the threats to infrastructure and resources on which health and human lives depend.</w:t>
      </w:r>
    </w:p>
    <w:p w14:paraId="78E1A2CF" w14:textId="77777777" w:rsidR="00ED1840" w:rsidRPr="00A220EA" w:rsidRDefault="00ED1840" w:rsidP="00ED1840">
      <w:pPr>
        <w:pStyle w:val="ListParagraph"/>
        <w:rPr>
          <w:rFonts w:ascii="Times New Roman" w:hAnsi="Times New Roman" w:cs="Times New Roman"/>
          <w:bCs/>
          <w:sz w:val="22"/>
          <w:szCs w:val="22"/>
        </w:rPr>
      </w:pPr>
    </w:p>
    <w:p w14:paraId="0365F12B" w14:textId="2FA70CFC" w:rsidR="00ED1840" w:rsidRPr="00A220EA" w:rsidRDefault="00ED1840" w:rsidP="000B73B1">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 xml:space="preserve">Similarly with respect to vulnerable targets other than </w:t>
      </w:r>
      <w:r w:rsidR="00C040E2" w:rsidRPr="00A220EA">
        <w:rPr>
          <w:rFonts w:ascii="Times New Roman" w:hAnsi="Times New Roman" w:cs="Times New Roman"/>
          <w:bCs/>
          <w:sz w:val="22"/>
          <w:szCs w:val="22"/>
        </w:rPr>
        <w:t xml:space="preserve">critical </w:t>
      </w:r>
      <w:r w:rsidRPr="00A220EA">
        <w:rPr>
          <w:rFonts w:ascii="Times New Roman" w:hAnsi="Times New Roman" w:cs="Times New Roman"/>
          <w:bCs/>
          <w:sz w:val="22"/>
          <w:szCs w:val="22"/>
        </w:rPr>
        <w:t>infrastructure, such as public places</w:t>
      </w:r>
      <w:r w:rsidR="00C040E2" w:rsidRPr="00A220EA">
        <w:rPr>
          <w:rFonts w:ascii="Times New Roman" w:hAnsi="Times New Roman" w:cs="Times New Roman"/>
          <w:bCs/>
          <w:sz w:val="22"/>
          <w:szCs w:val="22"/>
        </w:rPr>
        <w:t xml:space="preserve"> and cultural sites</w:t>
      </w:r>
      <w:r w:rsidRPr="00A220EA">
        <w:rPr>
          <w:rFonts w:ascii="Times New Roman" w:hAnsi="Times New Roman" w:cs="Times New Roman"/>
          <w:bCs/>
          <w:sz w:val="22"/>
          <w:szCs w:val="22"/>
        </w:rPr>
        <w:t>, the obligation to take protective steps arises from human rights obligations to, among other things, protect and promote free assembly,</w:t>
      </w:r>
      <w:r w:rsidR="00C040E2" w:rsidRPr="00A220EA">
        <w:rPr>
          <w:rStyle w:val="FootnoteReference"/>
          <w:rFonts w:ascii="Times New Roman" w:hAnsi="Times New Roman" w:cs="Times New Roman"/>
          <w:bCs/>
          <w:sz w:val="22"/>
          <w:szCs w:val="22"/>
        </w:rPr>
        <w:footnoteReference w:id="6"/>
      </w:r>
      <w:r w:rsidRPr="00A220EA">
        <w:rPr>
          <w:rFonts w:ascii="Times New Roman" w:hAnsi="Times New Roman" w:cs="Times New Roman"/>
          <w:bCs/>
          <w:sz w:val="22"/>
          <w:szCs w:val="22"/>
        </w:rPr>
        <w:t xml:space="preserve"> free expression,</w:t>
      </w:r>
      <w:r w:rsidR="00C040E2" w:rsidRPr="00A220EA">
        <w:rPr>
          <w:rStyle w:val="FootnoteReference"/>
          <w:rFonts w:ascii="Times New Roman" w:hAnsi="Times New Roman" w:cs="Times New Roman"/>
          <w:bCs/>
          <w:sz w:val="22"/>
          <w:szCs w:val="22"/>
        </w:rPr>
        <w:footnoteReference w:id="7"/>
      </w:r>
      <w:r w:rsidRPr="00A220EA">
        <w:rPr>
          <w:rFonts w:ascii="Times New Roman" w:hAnsi="Times New Roman" w:cs="Times New Roman"/>
          <w:bCs/>
          <w:sz w:val="22"/>
          <w:szCs w:val="22"/>
        </w:rPr>
        <w:t xml:space="preserve"> </w:t>
      </w:r>
      <w:r w:rsidR="00C040E2" w:rsidRPr="00A220EA">
        <w:rPr>
          <w:rFonts w:ascii="Times New Roman" w:hAnsi="Times New Roman" w:cs="Times New Roman"/>
          <w:bCs/>
          <w:sz w:val="22"/>
          <w:szCs w:val="22"/>
        </w:rPr>
        <w:t xml:space="preserve">and the </w:t>
      </w:r>
      <w:r w:rsidRPr="00A220EA">
        <w:rPr>
          <w:rFonts w:ascii="Times New Roman" w:hAnsi="Times New Roman" w:cs="Times New Roman"/>
          <w:bCs/>
          <w:sz w:val="22"/>
          <w:szCs w:val="22"/>
        </w:rPr>
        <w:t xml:space="preserve">freedom </w:t>
      </w:r>
      <w:r w:rsidR="00C040E2" w:rsidRPr="00A220EA">
        <w:rPr>
          <w:rFonts w:ascii="Times New Roman" w:hAnsi="Times New Roman" w:cs="Times New Roman"/>
          <w:bCs/>
          <w:sz w:val="22"/>
          <w:szCs w:val="22"/>
        </w:rPr>
        <w:t>to manifest religious beliefs.</w:t>
      </w:r>
      <w:r w:rsidR="00C040E2" w:rsidRPr="00A220EA">
        <w:rPr>
          <w:rStyle w:val="FootnoteReference"/>
          <w:rFonts w:ascii="Times New Roman" w:hAnsi="Times New Roman" w:cs="Times New Roman"/>
          <w:bCs/>
          <w:sz w:val="22"/>
          <w:szCs w:val="22"/>
        </w:rPr>
        <w:footnoteReference w:id="8"/>
      </w:r>
      <w:r w:rsidR="00C040E2" w:rsidRPr="00A220EA">
        <w:rPr>
          <w:rFonts w:ascii="Times New Roman" w:hAnsi="Times New Roman" w:cs="Times New Roman"/>
          <w:bCs/>
          <w:sz w:val="22"/>
          <w:szCs w:val="22"/>
        </w:rPr>
        <w:t xml:space="preserve"> If populations cannot be assured of a safe environment for the organizing and performance of civil society, these fundamental rights cannot be secured.</w:t>
      </w:r>
    </w:p>
    <w:p w14:paraId="118701C5" w14:textId="77777777" w:rsidR="00ED1840" w:rsidRPr="00A220EA" w:rsidRDefault="00ED1840" w:rsidP="00ED1840">
      <w:pPr>
        <w:pStyle w:val="ListParagraph"/>
        <w:rPr>
          <w:rFonts w:ascii="Times New Roman" w:hAnsi="Times New Roman" w:cs="Times New Roman"/>
          <w:bCs/>
          <w:sz w:val="22"/>
          <w:szCs w:val="22"/>
        </w:rPr>
      </w:pPr>
    </w:p>
    <w:p w14:paraId="1BFF7B87" w14:textId="782E8E7C" w:rsidR="000371CA" w:rsidRPr="00A220EA" w:rsidRDefault="00C040E2" w:rsidP="000371CA">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In addition, it is important to recall that even under conditions of armed conflict, States are subject to a range of crucial international legal obligations which imply protections for the infrastructure and places upon which civilian populations depend. Alongside international human rights law, which continues to apply in conflict settings,</w:t>
      </w:r>
      <w:r w:rsidRPr="00A220EA">
        <w:rPr>
          <w:rStyle w:val="FootnoteReference"/>
          <w:rFonts w:ascii="Times New Roman" w:hAnsi="Times New Roman" w:cs="Times New Roman"/>
          <w:bCs/>
          <w:sz w:val="22"/>
          <w:szCs w:val="22"/>
        </w:rPr>
        <w:footnoteReference w:id="9"/>
      </w:r>
      <w:r w:rsidRPr="00A220EA">
        <w:rPr>
          <w:rFonts w:ascii="Times New Roman" w:hAnsi="Times New Roman" w:cs="Times New Roman"/>
          <w:bCs/>
          <w:sz w:val="22"/>
          <w:szCs w:val="22"/>
        </w:rPr>
        <w:t xml:space="preserve"> the specific rules of international humanitarian law</w:t>
      </w:r>
      <w:r w:rsidR="00FE23AB" w:rsidRPr="00A220EA">
        <w:rPr>
          <w:rFonts w:ascii="Times New Roman" w:hAnsi="Times New Roman" w:cs="Times New Roman"/>
          <w:bCs/>
          <w:sz w:val="22"/>
          <w:szCs w:val="22"/>
        </w:rPr>
        <w:t xml:space="preserve"> -- acknowledging applicable treaty and customary international law</w:t>
      </w:r>
      <w:r w:rsidR="004C5782" w:rsidRPr="00A220EA">
        <w:rPr>
          <w:rFonts w:ascii="Times New Roman" w:hAnsi="Times New Roman" w:cs="Times New Roman"/>
          <w:bCs/>
          <w:sz w:val="22"/>
          <w:szCs w:val="22"/>
        </w:rPr>
        <w:t xml:space="preserve"> </w:t>
      </w:r>
      <w:r w:rsidR="00FE23AB" w:rsidRPr="00A220EA">
        <w:rPr>
          <w:rFonts w:ascii="Times New Roman" w:hAnsi="Times New Roman" w:cs="Times New Roman"/>
          <w:bCs/>
          <w:sz w:val="22"/>
          <w:szCs w:val="22"/>
        </w:rPr>
        <w:t xml:space="preserve">-- </w:t>
      </w:r>
      <w:r w:rsidRPr="00A220EA">
        <w:rPr>
          <w:rFonts w:ascii="Times New Roman" w:hAnsi="Times New Roman" w:cs="Times New Roman"/>
          <w:bCs/>
          <w:sz w:val="22"/>
          <w:szCs w:val="22"/>
        </w:rPr>
        <w:t>require the protection of objects indispensable to the survival of the civilian population, such as food and water infrastructure,</w:t>
      </w:r>
      <w:r w:rsidRPr="00A220EA">
        <w:rPr>
          <w:rStyle w:val="FootnoteReference"/>
          <w:rFonts w:ascii="Times New Roman" w:hAnsi="Times New Roman" w:cs="Times New Roman"/>
          <w:bCs/>
          <w:sz w:val="22"/>
          <w:szCs w:val="22"/>
        </w:rPr>
        <w:footnoteReference w:id="10"/>
      </w:r>
      <w:r w:rsidRPr="00A220EA">
        <w:rPr>
          <w:rFonts w:ascii="Times New Roman" w:hAnsi="Times New Roman" w:cs="Times New Roman"/>
          <w:bCs/>
          <w:sz w:val="22"/>
          <w:szCs w:val="22"/>
        </w:rPr>
        <w:t xml:space="preserve"> and of cultural objects and places of worship.</w:t>
      </w:r>
      <w:r w:rsidRPr="00A220EA">
        <w:rPr>
          <w:rStyle w:val="FootnoteReference"/>
          <w:rFonts w:ascii="Times New Roman" w:hAnsi="Times New Roman" w:cs="Times New Roman"/>
          <w:bCs/>
          <w:sz w:val="22"/>
          <w:szCs w:val="22"/>
        </w:rPr>
        <w:footnoteReference w:id="11"/>
      </w:r>
      <w:r w:rsidRPr="00A220EA">
        <w:rPr>
          <w:rFonts w:ascii="Times New Roman" w:hAnsi="Times New Roman" w:cs="Times New Roman"/>
          <w:bCs/>
          <w:sz w:val="22"/>
          <w:szCs w:val="22"/>
        </w:rPr>
        <w:t xml:space="preserve"> The overlap with critical infrastructure is </w:t>
      </w:r>
      <w:r w:rsidR="001277EA" w:rsidRPr="00A220EA">
        <w:rPr>
          <w:rFonts w:ascii="Times New Roman" w:hAnsi="Times New Roman" w:cs="Times New Roman"/>
          <w:bCs/>
          <w:sz w:val="22"/>
          <w:szCs w:val="22"/>
        </w:rPr>
        <w:t>plain</w:t>
      </w:r>
      <w:r w:rsidR="00162967" w:rsidRPr="00A220EA">
        <w:rPr>
          <w:rFonts w:ascii="Times New Roman" w:hAnsi="Times New Roman" w:cs="Times New Roman"/>
          <w:bCs/>
          <w:sz w:val="22"/>
          <w:szCs w:val="22"/>
        </w:rPr>
        <w:t>.</w:t>
      </w:r>
    </w:p>
    <w:p w14:paraId="19AFBD4E" w14:textId="77777777" w:rsidR="00411597" w:rsidRPr="00A220EA" w:rsidRDefault="00411597" w:rsidP="00411597">
      <w:pPr>
        <w:pStyle w:val="ListParagraph"/>
        <w:rPr>
          <w:rFonts w:ascii="Times New Roman" w:hAnsi="Times New Roman" w:cs="Times New Roman"/>
          <w:bCs/>
          <w:sz w:val="22"/>
          <w:szCs w:val="22"/>
        </w:rPr>
      </w:pPr>
    </w:p>
    <w:p w14:paraId="1FABB79D" w14:textId="46BBD17F" w:rsidR="00411597" w:rsidRPr="00A220EA" w:rsidRDefault="00411597" w:rsidP="000371CA">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 xml:space="preserve">Accordingly, it is important that, when we approach the topic of protection of vulnerable targets and infrastructure from terrorist threats, we see it not as a separate bolt-on to human rights protection, but as an intrinsic element and a way in which States give effect to their </w:t>
      </w:r>
      <w:r w:rsidR="00DF5488" w:rsidRPr="00A220EA">
        <w:rPr>
          <w:rFonts w:ascii="Times New Roman" w:hAnsi="Times New Roman" w:cs="Times New Roman"/>
          <w:bCs/>
          <w:sz w:val="22"/>
          <w:szCs w:val="22"/>
        </w:rPr>
        <w:t>governing</w:t>
      </w:r>
      <w:r w:rsidRPr="00A220EA">
        <w:rPr>
          <w:rFonts w:ascii="Times New Roman" w:hAnsi="Times New Roman" w:cs="Times New Roman"/>
          <w:bCs/>
          <w:sz w:val="22"/>
          <w:szCs w:val="22"/>
        </w:rPr>
        <w:t xml:space="preserve"> human rights and humanitarian obligations, both in times of peace and in periods of conflict.</w:t>
      </w:r>
    </w:p>
    <w:p w14:paraId="17979370" w14:textId="77777777" w:rsidR="00162967" w:rsidRPr="00A220EA" w:rsidRDefault="00162967" w:rsidP="00162967">
      <w:pPr>
        <w:rPr>
          <w:bCs/>
          <w:sz w:val="22"/>
          <w:szCs w:val="22"/>
        </w:rPr>
      </w:pPr>
    </w:p>
    <w:p w14:paraId="1EC8C4AB" w14:textId="2B7CFBB4" w:rsidR="000371CA" w:rsidRPr="00A220EA" w:rsidRDefault="000371CA" w:rsidP="000371CA">
      <w:pPr>
        <w:rPr>
          <w:b/>
          <w:sz w:val="22"/>
          <w:szCs w:val="22"/>
        </w:rPr>
      </w:pPr>
      <w:r w:rsidRPr="00A220EA">
        <w:rPr>
          <w:b/>
          <w:sz w:val="22"/>
          <w:szCs w:val="22"/>
        </w:rPr>
        <w:t>Human Rights Concerns at the Preventative Stage</w:t>
      </w:r>
    </w:p>
    <w:p w14:paraId="08251A54" w14:textId="596B8AAD" w:rsidR="000371CA" w:rsidRPr="00A220EA" w:rsidRDefault="00411597" w:rsidP="000B73B1">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 xml:space="preserve">That brings me to the second issue to consider, namely how States must ensure that, in their development of preventative strategies, they do so in a manner which is compliant with their human rights obligations. </w:t>
      </w:r>
      <w:r w:rsidRPr="00A220EA">
        <w:rPr>
          <w:rFonts w:ascii="Times New Roman" w:hAnsi="Times New Roman" w:cs="Times New Roman"/>
          <w:b/>
          <w:bCs/>
          <w:sz w:val="22"/>
          <w:szCs w:val="22"/>
          <w:u w:val="single"/>
        </w:rPr>
        <w:t>Two points</w:t>
      </w:r>
      <w:r w:rsidRPr="00A220EA">
        <w:rPr>
          <w:rFonts w:ascii="Times New Roman" w:hAnsi="Times New Roman" w:cs="Times New Roman"/>
          <w:bCs/>
          <w:sz w:val="22"/>
          <w:szCs w:val="22"/>
        </w:rPr>
        <w:t xml:space="preserve"> are particularly relevant:</w:t>
      </w:r>
    </w:p>
    <w:p w14:paraId="0DB405C3" w14:textId="5E56FD5C" w:rsidR="00411597" w:rsidRPr="00A220EA" w:rsidRDefault="00411597" w:rsidP="00411597">
      <w:pPr>
        <w:pStyle w:val="ListParagraph"/>
        <w:ind w:left="360"/>
        <w:rPr>
          <w:rFonts w:ascii="Times New Roman" w:hAnsi="Times New Roman" w:cs="Times New Roman"/>
          <w:bCs/>
          <w:sz w:val="22"/>
          <w:szCs w:val="22"/>
        </w:rPr>
      </w:pPr>
    </w:p>
    <w:p w14:paraId="3133D5B6" w14:textId="0241195D" w:rsidR="00411597" w:rsidRPr="00A220EA" w:rsidRDefault="00411597" w:rsidP="00411597">
      <w:pPr>
        <w:pStyle w:val="ListParagraph"/>
        <w:numPr>
          <w:ilvl w:val="1"/>
          <w:numId w:val="1"/>
        </w:numPr>
        <w:ind w:left="1134" w:hanging="774"/>
        <w:rPr>
          <w:rFonts w:ascii="Times New Roman" w:hAnsi="Times New Roman" w:cs="Times New Roman"/>
          <w:bCs/>
          <w:sz w:val="22"/>
          <w:szCs w:val="22"/>
        </w:rPr>
      </w:pPr>
      <w:r w:rsidRPr="00A220EA">
        <w:rPr>
          <w:rFonts w:ascii="Times New Roman" w:hAnsi="Times New Roman" w:cs="Times New Roman"/>
          <w:bCs/>
          <w:sz w:val="22"/>
          <w:szCs w:val="22"/>
        </w:rPr>
        <w:t>Identification of priorities; and</w:t>
      </w:r>
    </w:p>
    <w:p w14:paraId="1676A528" w14:textId="4B2755AF" w:rsidR="00411597" w:rsidRPr="00A220EA" w:rsidRDefault="00411597" w:rsidP="00411597">
      <w:pPr>
        <w:pStyle w:val="ListParagraph"/>
        <w:ind w:left="1134"/>
        <w:rPr>
          <w:rFonts w:ascii="Times New Roman" w:hAnsi="Times New Roman" w:cs="Times New Roman"/>
          <w:bCs/>
          <w:sz w:val="22"/>
          <w:szCs w:val="22"/>
        </w:rPr>
      </w:pPr>
    </w:p>
    <w:p w14:paraId="441AC180" w14:textId="1CA7D9FB" w:rsidR="00411597" w:rsidRPr="00A220EA" w:rsidRDefault="00411597" w:rsidP="00411597">
      <w:pPr>
        <w:pStyle w:val="ListParagraph"/>
        <w:numPr>
          <w:ilvl w:val="1"/>
          <w:numId w:val="1"/>
        </w:numPr>
        <w:ind w:left="1134" w:hanging="774"/>
        <w:rPr>
          <w:rFonts w:ascii="Times New Roman" w:hAnsi="Times New Roman" w:cs="Times New Roman"/>
          <w:bCs/>
          <w:sz w:val="22"/>
          <w:szCs w:val="22"/>
        </w:rPr>
      </w:pPr>
      <w:r w:rsidRPr="00A220EA">
        <w:rPr>
          <w:rFonts w:ascii="Times New Roman" w:hAnsi="Times New Roman" w:cs="Times New Roman"/>
          <w:bCs/>
          <w:sz w:val="22"/>
          <w:szCs w:val="22"/>
        </w:rPr>
        <w:t>Methods of protection.</w:t>
      </w:r>
    </w:p>
    <w:p w14:paraId="48C9B95B" w14:textId="77777777" w:rsidR="00904650" w:rsidRPr="00A220EA" w:rsidRDefault="00904650" w:rsidP="00904650">
      <w:pPr>
        <w:pStyle w:val="ListParagraph"/>
        <w:rPr>
          <w:rFonts w:ascii="Times New Roman" w:hAnsi="Times New Roman" w:cs="Times New Roman"/>
          <w:bCs/>
          <w:sz w:val="22"/>
          <w:szCs w:val="22"/>
        </w:rPr>
      </w:pPr>
    </w:p>
    <w:p w14:paraId="6E62364A" w14:textId="77777777" w:rsidR="00904650" w:rsidRPr="00A220EA" w:rsidRDefault="00904650" w:rsidP="00904650">
      <w:pPr>
        <w:rPr>
          <w:bCs/>
          <w:sz w:val="22"/>
          <w:szCs w:val="22"/>
        </w:rPr>
      </w:pPr>
    </w:p>
    <w:p w14:paraId="66BD46AF" w14:textId="1244695E" w:rsidR="00411597" w:rsidRPr="00A220EA" w:rsidRDefault="00904650" w:rsidP="00411597">
      <w:pPr>
        <w:rPr>
          <w:b/>
          <w:bCs/>
          <w:i/>
          <w:sz w:val="22"/>
          <w:szCs w:val="22"/>
        </w:rPr>
      </w:pPr>
      <w:r w:rsidRPr="00A220EA">
        <w:rPr>
          <w:b/>
          <w:bCs/>
          <w:i/>
          <w:sz w:val="22"/>
          <w:szCs w:val="22"/>
        </w:rPr>
        <w:t>Identification of priorities</w:t>
      </w:r>
    </w:p>
    <w:p w14:paraId="2963752C" w14:textId="2F4A4037" w:rsidR="007B46D5" w:rsidRPr="00A220EA" w:rsidRDefault="00411597" w:rsidP="007B46D5">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With respect to identification of priorities, the issue is that when States come to assess the relative importance of different aspects of critical infrastructure and different potential targets, they must be mindful of the assumptions and value judgments which inform those assessments. A key risk is that State decision-makers may make decisions which are discriminatory in their intent or effect, in violation of States’ obligations to ensure that the protection of human rights applies without distinction of any kind</w:t>
      </w:r>
      <w:r w:rsidR="0075252F" w:rsidRPr="00A220EA">
        <w:rPr>
          <w:rFonts w:ascii="Times New Roman" w:hAnsi="Times New Roman" w:cs="Times New Roman"/>
          <w:bCs/>
          <w:sz w:val="22"/>
          <w:szCs w:val="22"/>
        </w:rPr>
        <w:t>, including on the grounds of race, sex, or religion.</w:t>
      </w:r>
      <w:r w:rsidR="0075252F" w:rsidRPr="00A220EA">
        <w:rPr>
          <w:rStyle w:val="FootnoteReference"/>
          <w:rFonts w:ascii="Times New Roman" w:hAnsi="Times New Roman" w:cs="Times New Roman"/>
          <w:bCs/>
          <w:sz w:val="22"/>
          <w:szCs w:val="22"/>
        </w:rPr>
        <w:footnoteReference w:id="12"/>
      </w:r>
      <w:r w:rsidRPr="00A220EA">
        <w:rPr>
          <w:rFonts w:ascii="Times New Roman" w:hAnsi="Times New Roman" w:cs="Times New Roman"/>
          <w:bCs/>
          <w:sz w:val="22"/>
          <w:szCs w:val="22"/>
        </w:rPr>
        <w:t xml:space="preserve"> </w:t>
      </w:r>
      <w:r w:rsidR="0075252F" w:rsidRPr="00A220EA">
        <w:rPr>
          <w:rFonts w:ascii="Times New Roman" w:hAnsi="Times New Roman" w:cs="Times New Roman"/>
          <w:bCs/>
          <w:sz w:val="22"/>
          <w:szCs w:val="22"/>
        </w:rPr>
        <w:t xml:space="preserve">Research in the field of preparedness for cyberattacks has noted, for instance, a consistent tendency to prioritize the </w:t>
      </w:r>
      <w:r w:rsidR="0075252F" w:rsidRPr="00A220EA">
        <w:rPr>
          <w:rFonts w:ascii="Times New Roman" w:hAnsi="Times New Roman" w:cs="Times New Roman"/>
          <w:bCs/>
          <w:sz w:val="22"/>
          <w:szCs w:val="22"/>
        </w:rPr>
        <w:lastRenderedPageBreak/>
        <w:t>interests of certain potential victims (commercial organizations, the military, central government) in favour of other institutions such as non-government organizations, educational institutions, and local healthcare.</w:t>
      </w:r>
      <w:r w:rsidR="0075252F" w:rsidRPr="00A220EA">
        <w:rPr>
          <w:rStyle w:val="FootnoteReference"/>
          <w:rFonts w:ascii="Times New Roman" w:hAnsi="Times New Roman" w:cs="Times New Roman"/>
          <w:bCs/>
          <w:sz w:val="22"/>
          <w:szCs w:val="22"/>
        </w:rPr>
        <w:footnoteReference w:id="13"/>
      </w:r>
      <w:r w:rsidR="0075252F" w:rsidRPr="00A220EA">
        <w:rPr>
          <w:rFonts w:ascii="Times New Roman" w:hAnsi="Times New Roman" w:cs="Times New Roman"/>
          <w:bCs/>
          <w:sz w:val="22"/>
          <w:szCs w:val="22"/>
        </w:rPr>
        <w:t xml:space="preserve"> The former group of institutions are disproportionately populated by men, the latter by women. The UN Institute for Disarmament Research has observed that </w:t>
      </w:r>
      <w:r w:rsidR="0075252F" w:rsidRPr="00A220EA">
        <w:rPr>
          <w:rFonts w:ascii="Times New Roman" w:hAnsi="Times New Roman" w:cs="Times New Roman"/>
          <w:bCs/>
          <w:i/>
          <w:iCs/>
          <w:sz w:val="22"/>
          <w:szCs w:val="22"/>
        </w:rPr>
        <w:t>‘[a]s schools, non-governmental organizations and individuals are more likely to be concerned with issues of social power, harm and equality, this prioritization has knock-on gender effects</w:t>
      </w:r>
      <w:r w:rsidR="0075252F" w:rsidRPr="00A220EA">
        <w:rPr>
          <w:rFonts w:ascii="Times New Roman" w:hAnsi="Times New Roman" w:cs="Times New Roman"/>
          <w:bCs/>
          <w:sz w:val="22"/>
          <w:szCs w:val="22"/>
        </w:rPr>
        <w:t>.’</w:t>
      </w:r>
      <w:r w:rsidR="0075252F" w:rsidRPr="00A220EA">
        <w:rPr>
          <w:rStyle w:val="FootnoteReference"/>
          <w:rFonts w:ascii="Times New Roman" w:hAnsi="Times New Roman" w:cs="Times New Roman"/>
          <w:bCs/>
          <w:sz w:val="22"/>
          <w:szCs w:val="22"/>
        </w:rPr>
        <w:footnoteReference w:id="14"/>
      </w:r>
      <w:r w:rsidR="007B46D5" w:rsidRPr="00A220EA">
        <w:rPr>
          <w:rFonts w:ascii="Times New Roman" w:hAnsi="Times New Roman" w:cs="Times New Roman"/>
          <w:bCs/>
          <w:sz w:val="22"/>
          <w:szCs w:val="22"/>
        </w:rPr>
        <w:t xml:space="preserve"> As States develop their lists of priorities for critical infrastructure, they must take a broad view of the definition of what is </w:t>
      </w:r>
      <w:r w:rsidR="007B46D5" w:rsidRPr="00A220EA">
        <w:rPr>
          <w:rFonts w:ascii="Times New Roman" w:hAnsi="Times New Roman" w:cs="Times New Roman"/>
          <w:bCs/>
          <w:i/>
          <w:iCs/>
          <w:sz w:val="22"/>
          <w:szCs w:val="22"/>
        </w:rPr>
        <w:t>critical</w:t>
      </w:r>
      <w:r w:rsidR="007B46D5" w:rsidRPr="00A220EA">
        <w:rPr>
          <w:rFonts w:ascii="Times New Roman" w:hAnsi="Times New Roman" w:cs="Times New Roman"/>
          <w:bCs/>
          <w:sz w:val="22"/>
          <w:szCs w:val="22"/>
        </w:rPr>
        <w:t xml:space="preserve"> for different persons, and must not make decisions which, even if neutral on their face, have the </w:t>
      </w:r>
      <w:r w:rsidR="007B46D5" w:rsidRPr="00A220EA">
        <w:rPr>
          <w:rFonts w:ascii="Times New Roman" w:hAnsi="Times New Roman" w:cs="Times New Roman"/>
          <w:bCs/>
          <w:i/>
          <w:iCs/>
          <w:sz w:val="22"/>
          <w:szCs w:val="22"/>
        </w:rPr>
        <w:t>purpose or effect</w:t>
      </w:r>
      <w:r w:rsidR="007B46D5" w:rsidRPr="00A220EA">
        <w:rPr>
          <w:rStyle w:val="FootnoteReference"/>
          <w:rFonts w:ascii="Times New Roman" w:hAnsi="Times New Roman" w:cs="Times New Roman"/>
          <w:bCs/>
          <w:i/>
          <w:iCs/>
          <w:sz w:val="22"/>
          <w:szCs w:val="22"/>
        </w:rPr>
        <w:footnoteReference w:id="15"/>
      </w:r>
      <w:r w:rsidR="007B46D5" w:rsidRPr="00A220EA">
        <w:rPr>
          <w:rFonts w:ascii="Times New Roman" w:hAnsi="Times New Roman" w:cs="Times New Roman"/>
          <w:bCs/>
          <w:sz w:val="22"/>
          <w:szCs w:val="22"/>
        </w:rPr>
        <w:t xml:space="preserve"> of discriminating between members of society on the basis of race, religion, sex, or other protected characteristics.</w:t>
      </w:r>
    </w:p>
    <w:p w14:paraId="7A158FFC" w14:textId="57E55A6C" w:rsidR="007B46D5" w:rsidRPr="00A220EA" w:rsidRDefault="007B46D5" w:rsidP="007B46D5">
      <w:pPr>
        <w:pStyle w:val="ListParagraph"/>
        <w:ind w:left="360"/>
        <w:rPr>
          <w:rFonts w:ascii="Times New Roman" w:hAnsi="Times New Roman" w:cs="Times New Roman"/>
          <w:bCs/>
          <w:sz w:val="22"/>
          <w:szCs w:val="22"/>
        </w:rPr>
      </w:pPr>
    </w:p>
    <w:p w14:paraId="4A5E971B" w14:textId="34CE2358" w:rsidR="007B46D5" w:rsidRPr="00A220EA" w:rsidRDefault="00010EC7" w:rsidP="000B73B1">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 xml:space="preserve">Similar concerns may be voiced about States’ </w:t>
      </w:r>
      <w:r w:rsidR="007B46D5" w:rsidRPr="00A220EA">
        <w:rPr>
          <w:rFonts w:ascii="Times New Roman" w:hAnsi="Times New Roman" w:cs="Times New Roman"/>
          <w:bCs/>
          <w:sz w:val="22"/>
          <w:szCs w:val="22"/>
        </w:rPr>
        <w:t xml:space="preserve">determination of ‘soft targets’ – that is vulnerable sites whose open nature and high degree of accessibility make them especially vulnerable to terrorist attacks by virtue of the ease of the attack rather than the strategic significance of the target. States must conduct rigorous analyses which interrogate and challenge assumptions about what sort of public spaces, including what sort of cultural or religious spaces, are most at threat and most in need of protection. </w:t>
      </w:r>
    </w:p>
    <w:p w14:paraId="112F3353" w14:textId="77777777" w:rsidR="007B46D5" w:rsidRPr="00A220EA" w:rsidRDefault="007B46D5" w:rsidP="007B46D5">
      <w:pPr>
        <w:pStyle w:val="ListParagraph"/>
        <w:rPr>
          <w:rFonts w:ascii="Times New Roman" w:hAnsi="Times New Roman" w:cs="Times New Roman"/>
          <w:bCs/>
          <w:sz w:val="22"/>
          <w:szCs w:val="22"/>
        </w:rPr>
      </w:pPr>
    </w:p>
    <w:p w14:paraId="632EB052" w14:textId="1D02AC89" w:rsidR="007B46D5" w:rsidRPr="00A220EA" w:rsidRDefault="00DA7EDA" w:rsidP="000B73B1">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As an aside, I would note that these</w:t>
      </w:r>
      <w:r w:rsidR="007B46D5" w:rsidRPr="00A220EA">
        <w:rPr>
          <w:rFonts w:ascii="Times New Roman" w:hAnsi="Times New Roman" w:cs="Times New Roman"/>
          <w:bCs/>
          <w:sz w:val="22"/>
          <w:szCs w:val="22"/>
        </w:rPr>
        <w:t xml:space="preserve"> concerns are not matters of academic or theoretical interest</w:t>
      </w:r>
      <w:r w:rsidR="00E513F3" w:rsidRPr="00A220EA">
        <w:rPr>
          <w:rFonts w:ascii="Times New Roman" w:hAnsi="Times New Roman" w:cs="Times New Roman"/>
          <w:bCs/>
          <w:sz w:val="22"/>
          <w:szCs w:val="22"/>
        </w:rPr>
        <w:t>.</w:t>
      </w:r>
      <w:r w:rsidR="007B46D5" w:rsidRPr="00A220EA">
        <w:rPr>
          <w:rFonts w:ascii="Times New Roman" w:hAnsi="Times New Roman" w:cs="Times New Roman"/>
          <w:bCs/>
          <w:sz w:val="22"/>
          <w:szCs w:val="22"/>
        </w:rPr>
        <w:t xml:space="preserve"> </w:t>
      </w:r>
      <w:r w:rsidR="00E513F3" w:rsidRPr="00A220EA">
        <w:rPr>
          <w:rFonts w:ascii="Times New Roman" w:hAnsi="Times New Roman" w:cs="Times New Roman"/>
          <w:bCs/>
          <w:sz w:val="22"/>
          <w:szCs w:val="22"/>
        </w:rPr>
        <w:t xml:space="preserve">On the contrary, </w:t>
      </w:r>
      <w:r w:rsidR="007B46D5" w:rsidRPr="00A220EA">
        <w:rPr>
          <w:rFonts w:ascii="Times New Roman" w:hAnsi="Times New Roman" w:cs="Times New Roman"/>
          <w:bCs/>
          <w:sz w:val="22"/>
          <w:szCs w:val="22"/>
        </w:rPr>
        <w:t xml:space="preserve">the actual or perceived violation of non-discrimination norms by States in their attempts to give effect to </w:t>
      </w:r>
      <w:proofErr w:type="gramStart"/>
      <w:r w:rsidR="007B46D5" w:rsidRPr="00A220EA">
        <w:rPr>
          <w:rFonts w:ascii="Times New Roman" w:hAnsi="Times New Roman" w:cs="Times New Roman"/>
          <w:bCs/>
          <w:sz w:val="22"/>
          <w:szCs w:val="22"/>
        </w:rPr>
        <w:t>counter-terrorism</w:t>
      </w:r>
      <w:proofErr w:type="gramEnd"/>
      <w:r w:rsidR="007B46D5" w:rsidRPr="00A220EA">
        <w:rPr>
          <w:rFonts w:ascii="Times New Roman" w:hAnsi="Times New Roman" w:cs="Times New Roman"/>
          <w:bCs/>
          <w:sz w:val="22"/>
          <w:szCs w:val="22"/>
        </w:rPr>
        <w:t xml:space="preserve"> and national security policy has been, as the holders of this Mandate have consistently found, a key contributor to alienation, resistance, extremism, and terrorism worldwide.</w:t>
      </w:r>
    </w:p>
    <w:p w14:paraId="03B9E1A1" w14:textId="77777777" w:rsidR="00904650" w:rsidRPr="00A220EA" w:rsidRDefault="00904650" w:rsidP="00904650">
      <w:pPr>
        <w:rPr>
          <w:bCs/>
          <w:sz w:val="22"/>
          <w:szCs w:val="22"/>
        </w:rPr>
      </w:pPr>
    </w:p>
    <w:p w14:paraId="27515184" w14:textId="57434ACA" w:rsidR="0075252F" w:rsidRPr="00A220EA" w:rsidRDefault="00904650" w:rsidP="007B46D5">
      <w:pPr>
        <w:rPr>
          <w:b/>
          <w:bCs/>
          <w:i/>
          <w:sz w:val="22"/>
          <w:szCs w:val="22"/>
        </w:rPr>
      </w:pPr>
      <w:r w:rsidRPr="00A220EA">
        <w:rPr>
          <w:b/>
          <w:bCs/>
          <w:i/>
          <w:sz w:val="22"/>
          <w:szCs w:val="22"/>
        </w:rPr>
        <w:t>Methods of protection</w:t>
      </w:r>
    </w:p>
    <w:p w14:paraId="6D6E4033" w14:textId="479FDB94" w:rsidR="00590ACE" w:rsidRPr="00A220EA" w:rsidRDefault="00010EC7" w:rsidP="00846CDF">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 xml:space="preserve">Having identified priorities for protection in a manner mindful of the prohibition on non-discrimination, it is important that States </w:t>
      </w:r>
      <w:proofErr w:type="gramStart"/>
      <w:r w:rsidRPr="00A220EA">
        <w:rPr>
          <w:rFonts w:ascii="Times New Roman" w:hAnsi="Times New Roman" w:cs="Times New Roman"/>
          <w:bCs/>
          <w:sz w:val="22"/>
          <w:szCs w:val="22"/>
        </w:rPr>
        <w:t>consider carefully</w:t>
      </w:r>
      <w:proofErr w:type="gramEnd"/>
      <w:r w:rsidRPr="00A220EA">
        <w:rPr>
          <w:rFonts w:ascii="Times New Roman" w:hAnsi="Times New Roman" w:cs="Times New Roman"/>
          <w:bCs/>
          <w:sz w:val="22"/>
          <w:szCs w:val="22"/>
        </w:rPr>
        <w:t xml:space="preserve"> the methods which they employ to give effect to their preventative strategies.</w:t>
      </w:r>
      <w:r w:rsidR="005F6C47" w:rsidRPr="00A220EA">
        <w:rPr>
          <w:rFonts w:ascii="Times New Roman" w:hAnsi="Times New Roman" w:cs="Times New Roman"/>
          <w:bCs/>
          <w:sz w:val="22"/>
          <w:szCs w:val="22"/>
        </w:rPr>
        <w:t xml:space="preserve"> States must resist the urge to prevent risks through taking actions which are so restrictive that the protective measures themselves violate the conditions of necessity and proportionality.</w:t>
      </w:r>
      <w:r w:rsidR="006F0F17" w:rsidRPr="00A220EA">
        <w:rPr>
          <w:rFonts w:ascii="Times New Roman" w:hAnsi="Times New Roman" w:cs="Times New Roman"/>
          <w:bCs/>
          <w:sz w:val="22"/>
          <w:szCs w:val="22"/>
        </w:rPr>
        <w:t xml:space="preserve"> </w:t>
      </w:r>
      <w:r w:rsidR="005F6C47" w:rsidRPr="00A220EA">
        <w:rPr>
          <w:rFonts w:ascii="Times New Roman" w:hAnsi="Times New Roman" w:cs="Times New Roman"/>
          <w:bCs/>
          <w:sz w:val="22"/>
          <w:szCs w:val="22"/>
        </w:rPr>
        <w:t xml:space="preserve">Considering the protection of public spaces, for instance, solutions which rely upon bulk surveillance or heavy-handed restrictions upon protests or assemblies are almost </w:t>
      </w:r>
      <w:r w:rsidR="00FE23AB" w:rsidRPr="00A220EA">
        <w:rPr>
          <w:rFonts w:ascii="Times New Roman" w:hAnsi="Times New Roman" w:cs="Times New Roman"/>
          <w:bCs/>
          <w:sz w:val="22"/>
          <w:szCs w:val="22"/>
        </w:rPr>
        <w:t xml:space="preserve">certainly </w:t>
      </w:r>
      <w:r w:rsidR="005F6C47" w:rsidRPr="00A220EA">
        <w:rPr>
          <w:rFonts w:ascii="Times New Roman" w:hAnsi="Times New Roman" w:cs="Times New Roman"/>
          <w:bCs/>
          <w:sz w:val="22"/>
          <w:szCs w:val="22"/>
        </w:rPr>
        <w:t>guaranteed to constitute unlawful interferences with human rights.</w:t>
      </w:r>
    </w:p>
    <w:p w14:paraId="39A1D572" w14:textId="77777777" w:rsidR="00590ACE" w:rsidRPr="00A220EA" w:rsidRDefault="00590ACE" w:rsidP="00590ACE">
      <w:pPr>
        <w:pStyle w:val="ListParagraph"/>
        <w:rPr>
          <w:rFonts w:ascii="Times New Roman" w:hAnsi="Times New Roman" w:cs="Times New Roman"/>
          <w:bCs/>
          <w:sz w:val="22"/>
          <w:szCs w:val="22"/>
        </w:rPr>
      </w:pPr>
    </w:p>
    <w:p w14:paraId="432C27A5" w14:textId="6A07B936" w:rsidR="00846CDF" w:rsidRPr="00A220EA" w:rsidRDefault="005F6C47" w:rsidP="00846CDF">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Bulk surveillance programmes have been repeatedly declared inconsistent with the right</w:t>
      </w:r>
      <w:r w:rsidR="00846CDF" w:rsidRPr="00A220EA">
        <w:rPr>
          <w:rFonts w:ascii="Times New Roman" w:hAnsi="Times New Roman" w:cs="Times New Roman"/>
          <w:bCs/>
          <w:sz w:val="22"/>
          <w:szCs w:val="22"/>
        </w:rPr>
        <w:t>s</w:t>
      </w:r>
      <w:r w:rsidRPr="00A220EA">
        <w:rPr>
          <w:rFonts w:ascii="Times New Roman" w:hAnsi="Times New Roman" w:cs="Times New Roman"/>
          <w:bCs/>
          <w:sz w:val="22"/>
          <w:szCs w:val="22"/>
        </w:rPr>
        <w:t xml:space="preserve"> to privacy</w:t>
      </w:r>
      <w:r w:rsidR="00846CDF" w:rsidRPr="00A220EA">
        <w:rPr>
          <w:rFonts w:ascii="Times New Roman" w:hAnsi="Times New Roman" w:cs="Times New Roman"/>
          <w:bCs/>
          <w:sz w:val="22"/>
          <w:szCs w:val="22"/>
        </w:rPr>
        <w:t xml:space="preserve"> and free expression</w:t>
      </w:r>
      <w:r w:rsidRPr="00A220EA">
        <w:rPr>
          <w:rFonts w:ascii="Times New Roman" w:hAnsi="Times New Roman" w:cs="Times New Roman"/>
          <w:bCs/>
          <w:sz w:val="22"/>
          <w:szCs w:val="22"/>
        </w:rPr>
        <w:t xml:space="preserve"> by </w:t>
      </w:r>
      <w:r w:rsidR="007D5B57" w:rsidRPr="00A220EA">
        <w:rPr>
          <w:rFonts w:ascii="Times New Roman" w:hAnsi="Times New Roman" w:cs="Times New Roman"/>
          <w:bCs/>
          <w:sz w:val="22"/>
          <w:szCs w:val="22"/>
        </w:rPr>
        <w:t>the UN High Commissioner for Human Rights,</w:t>
      </w:r>
      <w:r w:rsidR="007D5B57" w:rsidRPr="00A220EA">
        <w:rPr>
          <w:rStyle w:val="FootnoteReference"/>
          <w:rFonts w:ascii="Times New Roman" w:hAnsi="Times New Roman" w:cs="Times New Roman"/>
          <w:bCs/>
          <w:sz w:val="22"/>
          <w:szCs w:val="22"/>
        </w:rPr>
        <w:footnoteReference w:id="16"/>
      </w:r>
      <w:r w:rsidR="007D5B57" w:rsidRPr="00A220EA">
        <w:rPr>
          <w:rFonts w:ascii="Times New Roman" w:hAnsi="Times New Roman" w:cs="Times New Roman"/>
          <w:bCs/>
          <w:sz w:val="22"/>
          <w:szCs w:val="22"/>
        </w:rPr>
        <w:t xml:space="preserve"> the European Court of Human Rights,</w:t>
      </w:r>
      <w:r w:rsidR="007D5B57" w:rsidRPr="00A220EA">
        <w:rPr>
          <w:rStyle w:val="FootnoteReference"/>
          <w:rFonts w:ascii="Times New Roman" w:hAnsi="Times New Roman" w:cs="Times New Roman"/>
          <w:bCs/>
          <w:sz w:val="22"/>
          <w:szCs w:val="22"/>
        </w:rPr>
        <w:footnoteReference w:id="17"/>
      </w:r>
      <w:r w:rsidR="007D5B57" w:rsidRPr="00A220EA">
        <w:rPr>
          <w:rFonts w:ascii="Times New Roman" w:hAnsi="Times New Roman" w:cs="Times New Roman"/>
          <w:bCs/>
          <w:sz w:val="22"/>
          <w:szCs w:val="22"/>
        </w:rPr>
        <w:t xml:space="preserve"> and various Special Rapporteurs</w:t>
      </w:r>
      <w:r w:rsidR="00846CDF" w:rsidRPr="00A220EA">
        <w:rPr>
          <w:rFonts w:ascii="Times New Roman" w:hAnsi="Times New Roman" w:cs="Times New Roman"/>
          <w:bCs/>
          <w:sz w:val="22"/>
          <w:szCs w:val="22"/>
        </w:rPr>
        <w:t>,</w:t>
      </w:r>
      <w:r w:rsidR="007D5B57" w:rsidRPr="00A220EA">
        <w:rPr>
          <w:rStyle w:val="FootnoteReference"/>
          <w:rFonts w:ascii="Times New Roman" w:hAnsi="Times New Roman" w:cs="Times New Roman"/>
          <w:bCs/>
          <w:sz w:val="22"/>
          <w:szCs w:val="22"/>
        </w:rPr>
        <w:footnoteReference w:id="18"/>
      </w:r>
      <w:r w:rsidR="00846CDF" w:rsidRPr="00A220EA">
        <w:rPr>
          <w:rFonts w:ascii="Times New Roman" w:hAnsi="Times New Roman" w:cs="Times New Roman"/>
          <w:bCs/>
          <w:sz w:val="22"/>
          <w:szCs w:val="22"/>
        </w:rPr>
        <w:t xml:space="preserve"> </w:t>
      </w:r>
      <w:r w:rsidR="007D5B57" w:rsidRPr="00A220EA">
        <w:rPr>
          <w:rFonts w:ascii="Times New Roman" w:hAnsi="Times New Roman" w:cs="Times New Roman"/>
          <w:bCs/>
          <w:sz w:val="22"/>
          <w:szCs w:val="22"/>
        </w:rPr>
        <w:t xml:space="preserve">not least because of the resulting chilling effect on public discourse. States must be anxious not to strangle civic space </w:t>
      </w:r>
      <w:proofErr w:type="gramStart"/>
      <w:r w:rsidR="007D5B57" w:rsidRPr="00A220EA">
        <w:rPr>
          <w:rFonts w:ascii="Times New Roman" w:hAnsi="Times New Roman" w:cs="Times New Roman"/>
          <w:bCs/>
          <w:sz w:val="22"/>
          <w:szCs w:val="22"/>
        </w:rPr>
        <w:t>in order to</w:t>
      </w:r>
      <w:proofErr w:type="gramEnd"/>
      <w:r w:rsidR="007D5B57" w:rsidRPr="00A220EA">
        <w:rPr>
          <w:rFonts w:ascii="Times New Roman" w:hAnsi="Times New Roman" w:cs="Times New Roman"/>
          <w:bCs/>
          <w:sz w:val="22"/>
          <w:szCs w:val="22"/>
        </w:rPr>
        <w:t xml:space="preserve"> protect it</w:t>
      </w:r>
      <w:r w:rsidR="00846CDF" w:rsidRPr="00A220EA">
        <w:rPr>
          <w:rFonts w:ascii="Times New Roman" w:hAnsi="Times New Roman" w:cs="Times New Roman"/>
          <w:bCs/>
          <w:sz w:val="22"/>
          <w:szCs w:val="22"/>
        </w:rPr>
        <w:t xml:space="preserve">. Guided by the recent observations of the High Commissioner for Human Rights in the 2022 ‘Right to Privacy in the Digital Age’ report, States should, at a minimum, ensure that any surveillance measures are adopted as a last resort after all less intrusive measures have been exhausted or have been shown to be futile, and should be limited in scope, duration, and the type </w:t>
      </w:r>
      <w:r w:rsidR="00846CDF" w:rsidRPr="00A220EA">
        <w:rPr>
          <w:rFonts w:ascii="Times New Roman" w:hAnsi="Times New Roman" w:cs="Times New Roman"/>
          <w:bCs/>
          <w:sz w:val="22"/>
          <w:szCs w:val="22"/>
        </w:rPr>
        <w:lastRenderedPageBreak/>
        <w:t>of communications or data which are obtained.</w:t>
      </w:r>
      <w:r w:rsidR="00846CDF" w:rsidRPr="00A220EA">
        <w:rPr>
          <w:rStyle w:val="FootnoteReference"/>
          <w:rFonts w:ascii="Times New Roman" w:hAnsi="Times New Roman" w:cs="Times New Roman"/>
          <w:bCs/>
          <w:sz w:val="22"/>
          <w:szCs w:val="22"/>
        </w:rPr>
        <w:footnoteReference w:id="19"/>
      </w:r>
      <w:r w:rsidR="004C5782" w:rsidRPr="00A220EA">
        <w:rPr>
          <w:rFonts w:ascii="Times New Roman" w:hAnsi="Times New Roman" w:cs="Times New Roman"/>
          <w:bCs/>
          <w:sz w:val="22"/>
          <w:szCs w:val="22"/>
        </w:rPr>
        <w:t xml:space="preserve"> </w:t>
      </w:r>
      <w:r w:rsidR="00AE5140" w:rsidRPr="00A220EA">
        <w:rPr>
          <w:rFonts w:ascii="Times New Roman" w:hAnsi="Times New Roman" w:cs="Times New Roman"/>
          <w:bCs/>
          <w:sz w:val="22"/>
          <w:szCs w:val="22"/>
        </w:rPr>
        <w:t xml:space="preserve">(In this regard, we would also note that more ‘targeted’ surveillance </w:t>
      </w:r>
      <w:r w:rsidR="002414C8" w:rsidRPr="00A220EA">
        <w:rPr>
          <w:rFonts w:ascii="Times New Roman" w:hAnsi="Times New Roman" w:cs="Times New Roman"/>
          <w:bCs/>
          <w:sz w:val="22"/>
          <w:szCs w:val="22"/>
        </w:rPr>
        <w:t xml:space="preserve">of </w:t>
      </w:r>
      <w:r w:rsidR="00AE5140" w:rsidRPr="00A220EA">
        <w:rPr>
          <w:rFonts w:ascii="Times New Roman" w:hAnsi="Times New Roman" w:cs="Times New Roman"/>
          <w:bCs/>
          <w:sz w:val="22"/>
          <w:szCs w:val="22"/>
        </w:rPr>
        <w:t>personal communication devices through spyware, for instance, can also violate international human rights law – in this regard, we note a forthcoming publication of the Mandate on this issue (which we would be very happy to share in due course).)</w:t>
      </w:r>
    </w:p>
    <w:p w14:paraId="2D5FFBF4" w14:textId="6FC8CB5A" w:rsidR="00846CDF" w:rsidRPr="00A220EA" w:rsidRDefault="00846CDF" w:rsidP="00846CDF">
      <w:pPr>
        <w:pStyle w:val="ListParagraph"/>
        <w:ind w:left="360"/>
        <w:rPr>
          <w:rFonts w:ascii="Times New Roman" w:hAnsi="Times New Roman" w:cs="Times New Roman"/>
          <w:bCs/>
          <w:sz w:val="22"/>
          <w:szCs w:val="22"/>
        </w:rPr>
      </w:pPr>
    </w:p>
    <w:p w14:paraId="2E354500" w14:textId="76688878" w:rsidR="00846CDF" w:rsidRPr="00A220EA" w:rsidRDefault="00846CDF" w:rsidP="00846CDF">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 xml:space="preserve">States may be considering deploying biometric identity monitoring as part of their protection of critical infrastructure or public spaces, including facial recognition technology, iris scans, gait recognition, etc. In doing so, </w:t>
      </w:r>
      <w:r w:rsidR="00FE23AB" w:rsidRPr="00A220EA">
        <w:rPr>
          <w:rFonts w:ascii="Times New Roman" w:hAnsi="Times New Roman" w:cs="Times New Roman"/>
          <w:bCs/>
          <w:sz w:val="22"/>
          <w:szCs w:val="22"/>
        </w:rPr>
        <w:t xml:space="preserve">as previously set out by the Mandate in its position paper on the use of biometric data collection technologies in </w:t>
      </w:r>
      <w:r w:rsidR="002414C8" w:rsidRPr="00A220EA">
        <w:rPr>
          <w:rFonts w:ascii="Times New Roman" w:hAnsi="Times New Roman" w:cs="Times New Roman"/>
          <w:bCs/>
          <w:sz w:val="22"/>
          <w:szCs w:val="22"/>
        </w:rPr>
        <w:t>counter-terrorism</w:t>
      </w:r>
      <w:r w:rsidR="00FE23AB" w:rsidRPr="00A220EA">
        <w:rPr>
          <w:rFonts w:ascii="Times New Roman" w:hAnsi="Times New Roman" w:cs="Times New Roman"/>
          <w:bCs/>
          <w:sz w:val="22"/>
          <w:szCs w:val="22"/>
        </w:rPr>
        <w:t xml:space="preserve"> contexts</w:t>
      </w:r>
      <w:r w:rsidR="00B64D7C" w:rsidRPr="00A220EA">
        <w:rPr>
          <w:rFonts w:ascii="Times New Roman" w:hAnsi="Times New Roman" w:cs="Times New Roman"/>
          <w:bCs/>
          <w:sz w:val="22"/>
          <w:szCs w:val="22"/>
        </w:rPr>
        <w:t>, s</w:t>
      </w:r>
      <w:r w:rsidRPr="00A220EA">
        <w:rPr>
          <w:rFonts w:ascii="Times New Roman" w:hAnsi="Times New Roman" w:cs="Times New Roman"/>
          <w:bCs/>
          <w:sz w:val="22"/>
          <w:szCs w:val="22"/>
        </w:rPr>
        <w:t xml:space="preserve">tates should display extreme caution, mindful that the collection and analysis of such identity data is very unlikely to be a proportionate means of addressing potential threats, and that the limitations upon the accuracy and robustness of such identification technologies are well-known. </w:t>
      </w:r>
    </w:p>
    <w:p w14:paraId="7A89992B" w14:textId="09ED7F9F" w:rsidR="00411597" w:rsidRPr="00A220EA" w:rsidRDefault="00411597" w:rsidP="007D5B57">
      <w:pPr>
        <w:rPr>
          <w:bCs/>
          <w:sz w:val="22"/>
          <w:szCs w:val="22"/>
        </w:rPr>
      </w:pPr>
    </w:p>
    <w:p w14:paraId="7745A524" w14:textId="6D2607EA" w:rsidR="007D5B57" w:rsidRPr="00A220EA" w:rsidRDefault="007D5B57" w:rsidP="007D5B57">
      <w:pPr>
        <w:rPr>
          <w:b/>
          <w:sz w:val="22"/>
          <w:szCs w:val="22"/>
        </w:rPr>
      </w:pPr>
      <w:r w:rsidRPr="00A220EA">
        <w:rPr>
          <w:b/>
          <w:sz w:val="22"/>
          <w:szCs w:val="22"/>
        </w:rPr>
        <w:t>Human Rights Implications of Crisis Response and Management</w:t>
      </w:r>
    </w:p>
    <w:p w14:paraId="18770953" w14:textId="3B5C0825" w:rsidR="00411597" w:rsidRPr="00A220EA" w:rsidRDefault="00693A83" w:rsidP="000B73B1">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 xml:space="preserve">The third </w:t>
      </w:r>
      <w:r w:rsidR="002414C8" w:rsidRPr="00A220EA">
        <w:rPr>
          <w:rFonts w:ascii="Times New Roman" w:hAnsi="Times New Roman" w:cs="Times New Roman"/>
          <w:bCs/>
          <w:sz w:val="22"/>
          <w:szCs w:val="22"/>
        </w:rPr>
        <w:t xml:space="preserve">and final </w:t>
      </w:r>
      <w:r w:rsidRPr="00A220EA">
        <w:rPr>
          <w:rFonts w:ascii="Times New Roman" w:hAnsi="Times New Roman" w:cs="Times New Roman"/>
          <w:bCs/>
          <w:sz w:val="22"/>
          <w:szCs w:val="22"/>
        </w:rPr>
        <w:t xml:space="preserve">issue I wish to raise </w:t>
      </w:r>
      <w:r w:rsidR="002414C8" w:rsidRPr="00A220EA">
        <w:rPr>
          <w:rFonts w:ascii="Times New Roman" w:hAnsi="Times New Roman" w:cs="Times New Roman"/>
          <w:bCs/>
          <w:sz w:val="22"/>
          <w:szCs w:val="22"/>
        </w:rPr>
        <w:t>concerns</w:t>
      </w:r>
      <w:r w:rsidRPr="00A220EA">
        <w:rPr>
          <w:rFonts w:ascii="Times New Roman" w:hAnsi="Times New Roman" w:cs="Times New Roman"/>
          <w:bCs/>
          <w:sz w:val="22"/>
          <w:szCs w:val="22"/>
        </w:rPr>
        <w:t xml:space="preserve"> the interaction of human rights protection and crisis response and management</w:t>
      </w:r>
      <w:r w:rsidR="007A1302" w:rsidRPr="00A220EA">
        <w:rPr>
          <w:rFonts w:ascii="Times New Roman" w:hAnsi="Times New Roman" w:cs="Times New Roman"/>
          <w:bCs/>
          <w:sz w:val="22"/>
          <w:szCs w:val="22"/>
        </w:rPr>
        <w:t xml:space="preserve">. </w:t>
      </w:r>
      <w:proofErr w:type="gramStart"/>
      <w:r w:rsidR="007A1302" w:rsidRPr="00A220EA">
        <w:rPr>
          <w:rFonts w:ascii="Times New Roman" w:hAnsi="Times New Roman" w:cs="Times New Roman"/>
          <w:bCs/>
          <w:sz w:val="22"/>
          <w:szCs w:val="22"/>
        </w:rPr>
        <w:t>In the event that</w:t>
      </w:r>
      <w:proofErr w:type="gramEnd"/>
      <w:r w:rsidR="007A1302" w:rsidRPr="00A220EA">
        <w:rPr>
          <w:rFonts w:ascii="Times New Roman" w:hAnsi="Times New Roman" w:cs="Times New Roman"/>
          <w:bCs/>
          <w:sz w:val="22"/>
          <w:szCs w:val="22"/>
        </w:rPr>
        <w:t xml:space="preserve"> attacks against vulnerable targets or infrastructure do come to pass, and States mobilize resources to respond to those attacks, it is important to be clear on both the flexibility and the limitations arising from human rights law.</w:t>
      </w:r>
    </w:p>
    <w:p w14:paraId="54B13800" w14:textId="77777777" w:rsidR="00CA0512" w:rsidRPr="00A220EA" w:rsidRDefault="00CA0512" w:rsidP="00CA0512">
      <w:pPr>
        <w:rPr>
          <w:bCs/>
          <w:sz w:val="22"/>
          <w:szCs w:val="22"/>
        </w:rPr>
      </w:pPr>
    </w:p>
    <w:p w14:paraId="6EB98AA1" w14:textId="6A589225" w:rsidR="000B73B1" w:rsidRPr="00A220EA" w:rsidRDefault="00CA0512" w:rsidP="00626D7B">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t xml:space="preserve">With regard to the flexibility that human rights </w:t>
      </w:r>
      <w:proofErr w:type="gramStart"/>
      <w:r w:rsidRPr="00A220EA">
        <w:rPr>
          <w:rFonts w:ascii="Times New Roman" w:hAnsi="Times New Roman" w:cs="Times New Roman"/>
          <w:bCs/>
          <w:sz w:val="22"/>
          <w:szCs w:val="22"/>
        </w:rPr>
        <w:t>affords</w:t>
      </w:r>
      <w:proofErr w:type="gramEnd"/>
      <w:r w:rsidRPr="00A220EA">
        <w:rPr>
          <w:rFonts w:ascii="Times New Roman" w:hAnsi="Times New Roman" w:cs="Times New Roman"/>
          <w:bCs/>
          <w:sz w:val="22"/>
          <w:szCs w:val="22"/>
        </w:rPr>
        <w:t xml:space="preserve">, </w:t>
      </w:r>
      <w:r w:rsidR="009640CC" w:rsidRPr="00A220EA">
        <w:rPr>
          <w:rFonts w:ascii="Times New Roman" w:hAnsi="Times New Roman" w:cs="Times New Roman"/>
          <w:bCs/>
          <w:sz w:val="22"/>
          <w:szCs w:val="22"/>
        </w:rPr>
        <w:t>I note that h</w:t>
      </w:r>
      <w:r w:rsidR="00CA551C" w:rsidRPr="00A220EA">
        <w:rPr>
          <w:rFonts w:ascii="Times New Roman" w:hAnsi="Times New Roman" w:cs="Times New Roman"/>
          <w:bCs/>
          <w:sz w:val="22"/>
          <w:szCs w:val="22"/>
        </w:rPr>
        <w:t>uman rights law allows flexibility for State responses to emergencies, providing a robust and specific mechanism by which States may derogate from certain obligations during times of public emergency which threaten the life of the nation</w:t>
      </w:r>
      <w:r w:rsidR="000E6B76" w:rsidRPr="00A220EA">
        <w:rPr>
          <w:rFonts w:ascii="Times New Roman" w:hAnsi="Times New Roman" w:cs="Times New Roman"/>
          <w:bCs/>
          <w:sz w:val="22"/>
          <w:szCs w:val="22"/>
        </w:rPr>
        <w:t>.</w:t>
      </w:r>
      <w:r w:rsidR="000E6B76" w:rsidRPr="00A220EA">
        <w:rPr>
          <w:rStyle w:val="FootnoteReference"/>
          <w:rFonts w:ascii="Times New Roman" w:hAnsi="Times New Roman" w:cs="Times New Roman"/>
          <w:bCs/>
          <w:sz w:val="22"/>
          <w:szCs w:val="22"/>
        </w:rPr>
        <w:footnoteReference w:id="20"/>
      </w:r>
      <w:r w:rsidR="000E6B76" w:rsidRPr="00A220EA">
        <w:rPr>
          <w:rFonts w:ascii="Times New Roman" w:hAnsi="Times New Roman" w:cs="Times New Roman"/>
          <w:bCs/>
          <w:sz w:val="22"/>
          <w:szCs w:val="22"/>
        </w:rPr>
        <w:t xml:space="preserve"> </w:t>
      </w:r>
      <w:r w:rsidR="00626D7B" w:rsidRPr="00A220EA">
        <w:rPr>
          <w:rFonts w:ascii="Times New Roman" w:hAnsi="Times New Roman" w:cs="Times New Roman"/>
          <w:bCs/>
          <w:sz w:val="22"/>
          <w:szCs w:val="22"/>
        </w:rPr>
        <w:t xml:space="preserve">But </w:t>
      </w:r>
      <w:r w:rsidR="000E6B76" w:rsidRPr="00A220EA">
        <w:rPr>
          <w:rFonts w:ascii="Times New Roman" w:hAnsi="Times New Roman" w:cs="Times New Roman"/>
          <w:bCs/>
          <w:sz w:val="22"/>
          <w:szCs w:val="22"/>
        </w:rPr>
        <w:t>that proviso is not a free rein</w:t>
      </w:r>
      <w:r w:rsidR="00626D7B" w:rsidRPr="00A220EA">
        <w:rPr>
          <w:rFonts w:ascii="Times New Roman" w:hAnsi="Times New Roman" w:cs="Times New Roman"/>
          <w:bCs/>
          <w:sz w:val="22"/>
          <w:szCs w:val="22"/>
        </w:rPr>
        <w:t xml:space="preserve"> </w:t>
      </w:r>
      <w:r w:rsidR="005A1B2B" w:rsidRPr="00A220EA">
        <w:rPr>
          <w:rFonts w:ascii="Times New Roman" w:hAnsi="Times New Roman" w:cs="Times New Roman"/>
          <w:bCs/>
          <w:sz w:val="22"/>
          <w:szCs w:val="22"/>
        </w:rPr>
        <w:t>(</w:t>
      </w:r>
      <w:r w:rsidR="00626D7B" w:rsidRPr="00A220EA">
        <w:rPr>
          <w:rFonts w:ascii="Times New Roman" w:hAnsi="Times New Roman" w:cs="Times New Roman"/>
          <w:bCs/>
          <w:sz w:val="22"/>
          <w:szCs w:val="22"/>
        </w:rPr>
        <w:t>and this goes to the</w:t>
      </w:r>
      <w:r w:rsidR="005A1B2B" w:rsidRPr="00A220EA">
        <w:rPr>
          <w:rFonts w:ascii="Times New Roman" w:hAnsi="Times New Roman" w:cs="Times New Roman"/>
          <w:bCs/>
          <w:sz w:val="22"/>
          <w:szCs w:val="22"/>
        </w:rPr>
        <w:t xml:space="preserve"> point about</w:t>
      </w:r>
      <w:r w:rsidR="00626D7B" w:rsidRPr="00A220EA">
        <w:rPr>
          <w:rFonts w:ascii="Times New Roman" w:hAnsi="Times New Roman" w:cs="Times New Roman"/>
          <w:bCs/>
          <w:sz w:val="22"/>
          <w:szCs w:val="22"/>
        </w:rPr>
        <w:t xml:space="preserve"> limitations</w:t>
      </w:r>
      <w:r w:rsidR="005A1B2B" w:rsidRPr="00A220EA">
        <w:rPr>
          <w:rFonts w:ascii="Times New Roman" w:hAnsi="Times New Roman" w:cs="Times New Roman"/>
          <w:bCs/>
          <w:sz w:val="22"/>
          <w:szCs w:val="22"/>
        </w:rPr>
        <w:t xml:space="preserve"> arising from human rights law).</w:t>
      </w:r>
      <w:r w:rsidR="000E6B76" w:rsidRPr="00A220EA">
        <w:rPr>
          <w:rFonts w:ascii="Times New Roman" w:hAnsi="Times New Roman" w:cs="Times New Roman"/>
          <w:bCs/>
          <w:sz w:val="22"/>
          <w:szCs w:val="22"/>
        </w:rPr>
        <w:t xml:space="preserve"> </w:t>
      </w:r>
      <w:r w:rsidR="005A1B2B" w:rsidRPr="00A220EA">
        <w:rPr>
          <w:rFonts w:ascii="Times New Roman" w:hAnsi="Times New Roman" w:cs="Times New Roman"/>
          <w:bCs/>
          <w:sz w:val="22"/>
          <w:szCs w:val="22"/>
        </w:rPr>
        <w:t>Any</w:t>
      </w:r>
      <w:r w:rsidR="000E6B76" w:rsidRPr="00A220EA">
        <w:rPr>
          <w:rFonts w:ascii="Times New Roman" w:hAnsi="Times New Roman" w:cs="Times New Roman"/>
          <w:bCs/>
          <w:sz w:val="22"/>
          <w:szCs w:val="22"/>
        </w:rPr>
        <w:t xml:space="preserve"> derogations must be</w:t>
      </w:r>
      <w:r w:rsidR="005B178D" w:rsidRPr="00A220EA">
        <w:rPr>
          <w:rFonts w:ascii="Times New Roman" w:hAnsi="Times New Roman" w:cs="Times New Roman"/>
          <w:bCs/>
          <w:sz w:val="22"/>
          <w:szCs w:val="22"/>
        </w:rPr>
        <w:t>:</w:t>
      </w:r>
      <w:r w:rsidR="000E6B76" w:rsidRPr="00A220EA">
        <w:rPr>
          <w:rFonts w:ascii="Times New Roman" w:hAnsi="Times New Roman" w:cs="Times New Roman"/>
          <w:bCs/>
          <w:sz w:val="22"/>
          <w:szCs w:val="22"/>
        </w:rPr>
        <w:t xml:space="preserve"> </w:t>
      </w:r>
      <w:r w:rsidR="005B178D" w:rsidRPr="00A220EA">
        <w:rPr>
          <w:rFonts w:ascii="Times New Roman" w:hAnsi="Times New Roman" w:cs="Times New Roman"/>
          <w:bCs/>
          <w:sz w:val="22"/>
          <w:szCs w:val="22"/>
        </w:rPr>
        <w:t xml:space="preserve">1) </w:t>
      </w:r>
      <w:r w:rsidR="000E6B76" w:rsidRPr="00A220EA">
        <w:rPr>
          <w:rFonts w:ascii="Times New Roman" w:hAnsi="Times New Roman" w:cs="Times New Roman"/>
          <w:bCs/>
          <w:sz w:val="22"/>
          <w:szCs w:val="22"/>
        </w:rPr>
        <w:t>officially declared</w:t>
      </w:r>
      <w:r w:rsidR="005B178D" w:rsidRPr="00A220EA">
        <w:rPr>
          <w:rFonts w:ascii="Times New Roman" w:hAnsi="Times New Roman" w:cs="Times New Roman"/>
          <w:bCs/>
          <w:sz w:val="22"/>
          <w:szCs w:val="22"/>
        </w:rPr>
        <w:t>;</w:t>
      </w:r>
      <w:r w:rsidR="000E6B76" w:rsidRPr="00A220EA">
        <w:rPr>
          <w:rFonts w:ascii="Times New Roman" w:hAnsi="Times New Roman" w:cs="Times New Roman"/>
          <w:bCs/>
          <w:sz w:val="22"/>
          <w:szCs w:val="22"/>
        </w:rPr>
        <w:t xml:space="preserve"> </w:t>
      </w:r>
      <w:r w:rsidR="005B178D" w:rsidRPr="00A220EA">
        <w:rPr>
          <w:rFonts w:ascii="Times New Roman" w:hAnsi="Times New Roman" w:cs="Times New Roman"/>
          <w:bCs/>
          <w:sz w:val="22"/>
          <w:szCs w:val="22"/>
        </w:rPr>
        <w:t xml:space="preserve">2) </w:t>
      </w:r>
      <w:r w:rsidR="000E6B76" w:rsidRPr="00A220EA">
        <w:rPr>
          <w:rFonts w:ascii="Times New Roman" w:hAnsi="Times New Roman" w:cs="Times New Roman"/>
          <w:bCs/>
          <w:sz w:val="22"/>
          <w:szCs w:val="22"/>
        </w:rPr>
        <w:t>immediately notified to the UN Secretary General and the international community</w:t>
      </w:r>
      <w:r w:rsidR="005B178D" w:rsidRPr="00A220EA">
        <w:rPr>
          <w:rFonts w:ascii="Times New Roman" w:hAnsi="Times New Roman" w:cs="Times New Roman"/>
          <w:bCs/>
          <w:sz w:val="22"/>
          <w:szCs w:val="22"/>
        </w:rPr>
        <w:t>;</w:t>
      </w:r>
      <w:r w:rsidR="000E6B76" w:rsidRPr="00A220EA">
        <w:rPr>
          <w:rFonts w:ascii="Times New Roman" w:hAnsi="Times New Roman" w:cs="Times New Roman"/>
          <w:bCs/>
          <w:sz w:val="22"/>
          <w:szCs w:val="22"/>
        </w:rPr>
        <w:t xml:space="preserve"> and </w:t>
      </w:r>
      <w:r w:rsidR="005B178D" w:rsidRPr="00A220EA">
        <w:rPr>
          <w:rFonts w:ascii="Times New Roman" w:hAnsi="Times New Roman" w:cs="Times New Roman"/>
          <w:bCs/>
          <w:sz w:val="22"/>
          <w:szCs w:val="22"/>
        </w:rPr>
        <w:t xml:space="preserve">3) </w:t>
      </w:r>
      <w:r w:rsidR="000E6B76" w:rsidRPr="00A220EA">
        <w:rPr>
          <w:rFonts w:ascii="Times New Roman" w:hAnsi="Times New Roman" w:cs="Times New Roman"/>
          <w:bCs/>
          <w:sz w:val="22"/>
          <w:szCs w:val="22"/>
        </w:rPr>
        <w:t>justified with reasons.</w:t>
      </w:r>
      <w:r w:rsidR="000E6B76" w:rsidRPr="00A220EA">
        <w:rPr>
          <w:rStyle w:val="FootnoteReference"/>
          <w:rFonts w:ascii="Times New Roman" w:hAnsi="Times New Roman" w:cs="Times New Roman"/>
          <w:bCs/>
          <w:sz w:val="22"/>
          <w:szCs w:val="22"/>
        </w:rPr>
        <w:footnoteReference w:id="21"/>
      </w:r>
      <w:r w:rsidR="00626D7B" w:rsidRPr="00A220EA">
        <w:rPr>
          <w:rFonts w:ascii="Times New Roman" w:hAnsi="Times New Roman" w:cs="Times New Roman"/>
          <w:bCs/>
          <w:sz w:val="22"/>
          <w:szCs w:val="22"/>
        </w:rPr>
        <w:t xml:space="preserve"> Additionally, and </w:t>
      </w:r>
      <w:r w:rsidR="009640CC" w:rsidRPr="00A220EA">
        <w:rPr>
          <w:rFonts w:ascii="Times New Roman" w:hAnsi="Times New Roman" w:cs="Times New Roman"/>
          <w:bCs/>
          <w:sz w:val="22"/>
          <w:szCs w:val="22"/>
        </w:rPr>
        <w:t>critically, I note</w:t>
      </w:r>
      <w:r w:rsidR="005B178D" w:rsidRPr="00A220EA">
        <w:rPr>
          <w:rFonts w:ascii="Times New Roman" w:hAnsi="Times New Roman" w:cs="Times New Roman"/>
          <w:bCs/>
          <w:sz w:val="22"/>
          <w:szCs w:val="22"/>
        </w:rPr>
        <w:t xml:space="preserve"> that</w:t>
      </w:r>
      <w:r w:rsidR="0060237A" w:rsidRPr="00A220EA">
        <w:rPr>
          <w:rFonts w:ascii="Times New Roman" w:hAnsi="Times New Roman" w:cs="Times New Roman"/>
          <w:bCs/>
          <w:sz w:val="22"/>
          <w:szCs w:val="22"/>
        </w:rPr>
        <w:t xml:space="preserve"> certain fundamental protections, including the protection of the right to life and the right to freedom from torture or cruel, </w:t>
      </w:r>
      <w:proofErr w:type="gramStart"/>
      <w:r w:rsidR="0060237A" w:rsidRPr="00A220EA">
        <w:rPr>
          <w:rFonts w:ascii="Times New Roman" w:hAnsi="Times New Roman" w:cs="Times New Roman"/>
          <w:bCs/>
          <w:sz w:val="22"/>
          <w:szCs w:val="22"/>
        </w:rPr>
        <w:t>inhuman</w:t>
      </w:r>
      <w:proofErr w:type="gramEnd"/>
      <w:r w:rsidR="0060237A" w:rsidRPr="00A220EA">
        <w:rPr>
          <w:rFonts w:ascii="Times New Roman" w:hAnsi="Times New Roman" w:cs="Times New Roman"/>
          <w:bCs/>
          <w:sz w:val="22"/>
          <w:szCs w:val="22"/>
        </w:rPr>
        <w:t xml:space="preserve"> or degrading treatment or punishment, </w:t>
      </w:r>
      <w:r w:rsidR="0060237A" w:rsidRPr="00A220EA">
        <w:rPr>
          <w:rFonts w:ascii="Times New Roman" w:hAnsi="Times New Roman" w:cs="Times New Roman"/>
          <w:b/>
          <w:bCs/>
          <w:sz w:val="22"/>
          <w:szCs w:val="22"/>
        </w:rPr>
        <w:t>cannot</w:t>
      </w:r>
      <w:r w:rsidR="0060237A" w:rsidRPr="00A220EA">
        <w:rPr>
          <w:rFonts w:ascii="Times New Roman" w:hAnsi="Times New Roman" w:cs="Times New Roman"/>
          <w:bCs/>
          <w:sz w:val="22"/>
          <w:szCs w:val="22"/>
        </w:rPr>
        <w:t xml:space="preserve"> be subject to derogation.</w:t>
      </w:r>
      <w:r w:rsidR="0060237A" w:rsidRPr="00A220EA">
        <w:rPr>
          <w:rStyle w:val="FootnoteReference"/>
          <w:rFonts w:ascii="Times New Roman" w:hAnsi="Times New Roman" w:cs="Times New Roman"/>
          <w:bCs/>
          <w:sz w:val="22"/>
          <w:szCs w:val="22"/>
        </w:rPr>
        <w:footnoteReference w:id="22"/>
      </w:r>
    </w:p>
    <w:p w14:paraId="7097AF4E" w14:textId="77777777" w:rsidR="00BB4314" w:rsidRPr="00A220EA" w:rsidRDefault="00BB4314" w:rsidP="00BB4314">
      <w:pPr>
        <w:pStyle w:val="ListParagraph"/>
        <w:rPr>
          <w:rFonts w:ascii="Times New Roman" w:hAnsi="Times New Roman" w:cs="Times New Roman"/>
          <w:bCs/>
          <w:sz w:val="22"/>
          <w:szCs w:val="22"/>
        </w:rPr>
      </w:pPr>
    </w:p>
    <w:p w14:paraId="4C8A4C23" w14:textId="4D17DF01" w:rsidR="00BB4314" w:rsidRPr="00A220EA" w:rsidRDefault="005A1B2B" w:rsidP="000B73B1">
      <w:pPr>
        <w:pStyle w:val="ListParagraph"/>
        <w:numPr>
          <w:ilvl w:val="0"/>
          <w:numId w:val="1"/>
        </w:numPr>
        <w:rPr>
          <w:rFonts w:ascii="Times New Roman" w:hAnsi="Times New Roman" w:cs="Times New Roman"/>
          <w:bCs/>
          <w:i/>
          <w:sz w:val="22"/>
          <w:szCs w:val="22"/>
        </w:rPr>
      </w:pPr>
      <w:r w:rsidRPr="00A220EA">
        <w:rPr>
          <w:rFonts w:ascii="Times New Roman" w:hAnsi="Times New Roman" w:cs="Times New Roman"/>
          <w:bCs/>
          <w:sz w:val="22"/>
          <w:szCs w:val="22"/>
        </w:rPr>
        <w:t>Finally, as I conclude, I note that as part of their crisis response and management,</w:t>
      </w:r>
      <w:r w:rsidR="00BB4314" w:rsidRPr="00A220EA">
        <w:rPr>
          <w:rFonts w:ascii="Times New Roman" w:hAnsi="Times New Roman" w:cs="Times New Roman"/>
          <w:bCs/>
          <w:sz w:val="22"/>
          <w:szCs w:val="22"/>
        </w:rPr>
        <w:t xml:space="preserve"> States should ensure, consistent with their obligations to prevent discrimination and to facilitate rights such as adequate standards of living and health, that their practical responses to crises and terrorist attacks </w:t>
      </w:r>
      <w:r w:rsidRPr="00A220EA">
        <w:rPr>
          <w:rFonts w:ascii="Times New Roman" w:hAnsi="Times New Roman" w:cs="Times New Roman"/>
          <w:bCs/>
          <w:sz w:val="22"/>
          <w:szCs w:val="22"/>
        </w:rPr>
        <w:t xml:space="preserve">must </w:t>
      </w:r>
      <w:r w:rsidR="00BB4314" w:rsidRPr="00A220EA">
        <w:rPr>
          <w:rFonts w:ascii="Times New Roman" w:hAnsi="Times New Roman" w:cs="Times New Roman"/>
          <w:bCs/>
          <w:sz w:val="22"/>
          <w:szCs w:val="22"/>
        </w:rPr>
        <w:t xml:space="preserve">pay particular attention to the special protection of women, children, and other vulnerable groups. There is an analogy here with the best practice approach in response to natural disasters, encapsulated for instance in the </w:t>
      </w:r>
      <w:r w:rsidR="00286081" w:rsidRPr="00A220EA">
        <w:rPr>
          <w:rFonts w:ascii="Times New Roman" w:hAnsi="Times New Roman" w:cs="Times New Roman"/>
          <w:bCs/>
          <w:sz w:val="22"/>
          <w:szCs w:val="22"/>
        </w:rPr>
        <w:t>Resolution of the UN Human Rights Council in respect of a human rights approach to the recovery process after the Haiti earthquake in 2010 – the first Human Rights Council session devoted to a disaster.</w:t>
      </w:r>
      <w:r w:rsidR="00286081" w:rsidRPr="00A220EA">
        <w:rPr>
          <w:rStyle w:val="FootnoteReference"/>
          <w:rFonts w:ascii="Times New Roman" w:hAnsi="Times New Roman" w:cs="Times New Roman"/>
          <w:bCs/>
          <w:sz w:val="22"/>
          <w:szCs w:val="22"/>
        </w:rPr>
        <w:footnoteReference w:id="23"/>
      </w:r>
      <w:r w:rsidR="00286081" w:rsidRPr="00A220EA">
        <w:rPr>
          <w:rFonts w:ascii="Times New Roman" w:hAnsi="Times New Roman" w:cs="Times New Roman"/>
          <w:bCs/>
          <w:sz w:val="22"/>
          <w:szCs w:val="22"/>
        </w:rPr>
        <w:t xml:space="preserve"> Here States can draw upon a wealth of guidance for crisis management developed in the context of natural</w:t>
      </w:r>
      <w:r w:rsidR="003B3D5A" w:rsidRPr="00A220EA">
        <w:rPr>
          <w:rFonts w:ascii="Times New Roman" w:hAnsi="Times New Roman" w:cs="Times New Roman"/>
          <w:bCs/>
          <w:sz w:val="22"/>
          <w:szCs w:val="22"/>
        </w:rPr>
        <w:t xml:space="preserve"> and human made</w:t>
      </w:r>
      <w:r w:rsidR="00286081" w:rsidRPr="00A220EA">
        <w:rPr>
          <w:rFonts w:ascii="Times New Roman" w:hAnsi="Times New Roman" w:cs="Times New Roman"/>
          <w:bCs/>
          <w:sz w:val="22"/>
          <w:szCs w:val="22"/>
        </w:rPr>
        <w:t xml:space="preserve"> disasters which seeks to operationalize human rights protection. The Operational Guidelines on Human Rights and Natural Disasters adopted by the UN Inter-Agency Standing Committee are one such resource,</w:t>
      </w:r>
      <w:r w:rsidR="00286081" w:rsidRPr="00A220EA">
        <w:rPr>
          <w:rStyle w:val="FootnoteReference"/>
          <w:rFonts w:ascii="Times New Roman" w:hAnsi="Times New Roman" w:cs="Times New Roman"/>
          <w:bCs/>
          <w:sz w:val="22"/>
          <w:szCs w:val="22"/>
        </w:rPr>
        <w:footnoteReference w:id="24"/>
      </w:r>
      <w:r w:rsidR="00286081" w:rsidRPr="00A220EA">
        <w:rPr>
          <w:rFonts w:ascii="Times New Roman" w:hAnsi="Times New Roman" w:cs="Times New Roman"/>
          <w:bCs/>
          <w:sz w:val="22"/>
          <w:szCs w:val="22"/>
        </w:rPr>
        <w:t xml:space="preserve"> as are the International Law Commission’s Draft Articles on the Protection of Persons in the Event of Disasters.</w:t>
      </w:r>
      <w:r w:rsidR="00286081" w:rsidRPr="00A220EA">
        <w:rPr>
          <w:rStyle w:val="FootnoteReference"/>
          <w:rFonts w:ascii="Times New Roman" w:hAnsi="Times New Roman" w:cs="Times New Roman"/>
          <w:bCs/>
          <w:sz w:val="22"/>
          <w:szCs w:val="22"/>
        </w:rPr>
        <w:footnoteReference w:id="25"/>
      </w:r>
      <w:r w:rsidR="00590718" w:rsidRPr="00A220EA">
        <w:rPr>
          <w:rFonts w:ascii="Times New Roman" w:hAnsi="Times New Roman" w:cs="Times New Roman"/>
          <w:bCs/>
          <w:sz w:val="22"/>
          <w:szCs w:val="22"/>
        </w:rPr>
        <w:t xml:space="preserve"> Key points</w:t>
      </w:r>
      <w:r w:rsidRPr="00A220EA">
        <w:rPr>
          <w:rFonts w:ascii="Times New Roman" w:hAnsi="Times New Roman" w:cs="Times New Roman"/>
          <w:bCs/>
          <w:sz w:val="22"/>
          <w:szCs w:val="22"/>
        </w:rPr>
        <w:t xml:space="preserve"> coming out of these Guidelines and Draft Articles</w:t>
      </w:r>
      <w:r w:rsidR="00590718" w:rsidRPr="00A220EA">
        <w:rPr>
          <w:rFonts w:ascii="Times New Roman" w:hAnsi="Times New Roman" w:cs="Times New Roman"/>
          <w:bCs/>
          <w:sz w:val="22"/>
          <w:szCs w:val="22"/>
        </w:rPr>
        <w:t xml:space="preserve"> include the paramount focus upon vulnerable people and the overriding obligation of States to address humanitarian priorities (including through a duty to seek assistance from other States, the UN, and/or other institutions).</w:t>
      </w:r>
    </w:p>
    <w:p w14:paraId="084CE201" w14:textId="72B86F17" w:rsidR="00590718" w:rsidRPr="00A220EA" w:rsidRDefault="00590718" w:rsidP="00590718">
      <w:pPr>
        <w:rPr>
          <w:bCs/>
          <w:sz w:val="22"/>
          <w:szCs w:val="22"/>
        </w:rPr>
      </w:pPr>
    </w:p>
    <w:p w14:paraId="288AB560" w14:textId="51EB8660" w:rsidR="00590718" w:rsidRPr="00A220EA" w:rsidRDefault="00590718" w:rsidP="00590718">
      <w:pPr>
        <w:rPr>
          <w:b/>
          <w:sz w:val="22"/>
          <w:szCs w:val="22"/>
        </w:rPr>
      </w:pPr>
      <w:r w:rsidRPr="00A220EA">
        <w:rPr>
          <w:b/>
          <w:sz w:val="22"/>
          <w:szCs w:val="22"/>
        </w:rPr>
        <w:t>Conclusion</w:t>
      </w:r>
    </w:p>
    <w:p w14:paraId="7DBCD428" w14:textId="1D440C28" w:rsidR="00590718" w:rsidRPr="00A220EA" w:rsidRDefault="005A1B2B" w:rsidP="000B73B1">
      <w:pPr>
        <w:pStyle w:val="ListParagraph"/>
        <w:numPr>
          <w:ilvl w:val="0"/>
          <w:numId w:val="1"/>
        </w:numPr>
        <w:rPr>
          <w:rFonts w:ascii="Times New Roman" w:hAnsi="Times New Roman" w:cs="Times New Roman"/>
          <w:bCs/>
          <w:sz w:val="22"/>
          <w:szCs w:val="22"/>
        </w:rPr>
      </w:pPr>
      <w:r w:rsidRPr="00A220EA">
        <w:rPr>
          <w:rFonts w:ascii="Times New Roman" w:hAnsi="Times New Roman" w:cs="Times New Roman"/>
          <w:bCs/>
          <w:sz w:val="22"/>
          <w:szCs w:val="22"/>
        </w:rPr>
        <w:lastRenderedPageBreak/>
        <w:t xml:space="preserve">As I </w:t>
      </w:r>
      <w:r w:rsidR="00CE7F15" w:rsidRPr="00A220EA">
        <w:rPr>
          <w:rFonts w:ascii="Times New Roman" w:hAnsi="Times New Roman" w:cs="Times New Roman"/>
          <w:bCs/>
          <w:sz w:val="22"/>
          <w:szCs w:val="22"/>
        </w:rPr>
        <w:t>conclude</w:t>
      </w:r>
      <w:r w:rsidRPr="00A220EA">
        <w:rPr>
          <w:rFonts w:ascii="Times New Roman" w:hAnsi="Times New Roman" w:cs="Times New Roman"/>
          <w:bCs/>
          <w:sz w:val="22"/>
          <w:szCs w:val="22"/>
        </w:rPr>
        <w:t xml:space="preserve"> my presentation today</w:t>
      </w:r>
      <w:r w:rsidR="00590718" w:rsidRPr="00A220EA">
        <w:rPr>
          <w:rFonts w:ascii="Times New Roman" w:hAnsi="Times New Roman" w:cs="Times New Roman"/>
          <w:bCs/>
          <w:sz w:val="22"/>
          <w:szCs w:val="22"/>
        </w:rPr>
        <w:t xml:space="preserve">, I say this. While we develop strategies to protect vulnerable targets and critical infrastructure from terrorist threats, we must ensure that all aspects of that work </w:t>
      </w:r>
      <w:proofErr w:type="gramStart"/>
      <w:r w:rsidR="00590718" w:rsidRPr="00A220EA">
        <w:rPr>
          <w:rFonts w:ascii="Times New Roman" w:hAnsi="Times New Roman" w:cs="Times New Roman"/>
          <w:bCs/>
          <w:sz w:val="22"/>
          <w:szCs w:val="22"/>
        </w:rPr>
        <w:t>is</w:t>
      </w:r>
      <w:proofErr w:type="gramEnd"/>
      <w:r w:rsidR="00590718" w:rsidRPr="00A220EA">
        <w:rPr>
          <w:rFonts w:ascii="Times New Roman" w:hAnsi="Times New Roman" w:cs="Times New Roman"/>
          <w:bCs/>
          <w:sz w:val="22"/>
          <w:szCs w:val="22"/>
        </w:rPr>
        <w:t xml:space="preserve"> fully informed by human rights law, which underpins the reasons why critical infrastructure is important, and how it should be dealt with, both at the planning and at the responsive stage.</w:t>
      </w:r>
    </w:p>
    <w:sectPr w:rsidR="00590718" w:rsidRPr="00A220EA" w:rsidSect="00E87AC9">
      <w:footerReference w:type="even"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EC6B" w14:textId="77777777" w:rsidR="00353B4A" w:rsidRDefault="00353B4A" w:rsidP="008D0CE6">
      <w:r>
        <w:separator/>
      </w:r>
    </w:p>
  </w:endnote>
  <w:endnote w:type="continuationSeparator" w:id="0">
    <w:p w14:paraId="6387C281" w14:textId="77777777" w:rsidR="00353B4A" w:rsidRDefault="00353B4A" w:rsidP="008D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1769423"/>
      <w:docPartObj>
        <w:docPartGallery w:val="Page Numbers (Bottom of Page)"/>
        <w:docPartUnique/>
      </w:docPartObj>
    </w:sdtPr>
    <w:sdtEndPr>
      <w:rPr>
        <w:rStyle w:val="PageNumber"/>
      </w:rPr>
    </w:sdtEndPr>
    <w:sdtContent>
      <w:p w14:paraId="424B1817" w14:textId="407189C9" w:rsidR="00590ACE" w:rsidRDefault="00590ACE" w:rsidP="004966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E11E0F" w14:textId="77777777" w:rsidR="00590ACE" w:rsidRDefault="00590ACE" w:rsidP="00590A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587845"/>
      <w:docPartObj>
        <w:docPartGallery w:val="Page Numbers (Bottom of Page)"/>
        <w:docPartUnique/>
      </w:docPartObj>
    </w:sdtPr>
    <w:sdtEndPr>
      <w:rPr>
        <w:rStyle w:val="PageNumber"/>
        <w:rFonts w:ascii="Times New Roman" w:hAnsi="Times New Roman" w:cs="Times New Roman"/>
      </w:rPr>
    </w:sdtEndPr>
    <w:sdtContent>
      <w:p w14:paraId="397266EA" w14:textId="6B496E0C" w:rsidR="00590ACE" w:rsidRPr="00590ACE" w:rsidRDefault="00590ACE" w:rsidP="0049661D">
        <w:pPr>
          <w:pStyle w:val="Footer"/>
          <w:framePr w:wrap="none" w:vAnchor="text" w:hAnchor="margin" w:xAlign="right" w:y="1"/>
          <w:rPr>
            <w:rStyle w:val="PageNumber"/>
            <w:rFonts w:ascii="Times New Roman" w:hAnsi="Times New Roman" w:cs="Times New Roman"/>
          </w:rPr>
        </w:pPr>
        <w:r w:rsidRPr="00590ACE">
          <w:rPr>
            <w:rStyle w:val="PageNumber"/>
            <w:rFonts w:ascii="Times New Roman" w:hAnsi="Times New Roman" w:cs="Times New Roman"/>
          </w:rPr>
          <w:fldChar w:fldCharType="begin"/>
        </w:r>
        <w:r w:rsidRPr="00590ACE">
          <w:rPr>
            <w:rStyle w:val="PageNumber"/>
            <w:rFonts w:ascii="Times New Roman" w:hAnsi="Times New Roman" w:cs="Times New Roman"/>
          </w:rPr>
          <w:instrText xml:space="preserve"> PAGE </w:instrText>
        </w:r>
        <w:r w:rsidRPr="00590ACE">
          <w:rPr>
            <w:rStyle w:val="PageNumber"/>
            <w:rFonts w:ascii="Times New Roman" w:hAnsi="Times New Roman" w:cs="Times New Roman"/>
          </w:rPr>
          <w:fldChar w:fldCharType="separate"/>
        </w:r>
        <w:r w:rsidRPr="00590ACE">
          <w:rPr>
            <w:rStyle w:val="PageNumber"/>
            <w:rFonts w:ascii="Times New Roman" w:hAnsi="Times New Roman" w:cs="Times New Roman"/>
            <w:noProof/>
          </w:rPr>
          <w:t>1</w:t>
        </w:r>
        <w:r w:rsidRPr="00590ACE">
          <w:rPr>
            <w:rStyle w:val="PageNumber"/>
            <w:rFonts w:ascii="Times New Roman" w:hAnsi="Times New Roman" w:cs="Times New Roman"/>
          </w:rPr>
          <w:fldChar w:fldCharType="end"/>
        </w:r>
      </w:p>
    </w:sdtContent>
  </w:sdt>
  <w:p w14:paraId="4F5CE2B7" w14:textId="77777777" w:rsidR="00590ACE" w:rsidRDefault="00590ACE" w:rsidP="00590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2FAB" w14:textId="77777777" w:rsidR="00353B4A" w:rsidRDefault="00353B4A" w:rsidP="008D0CE6">
      <w:r>
        <w:separator/>
      </w:r>
    </w:p>
  </w:footnote>
  <w:footnote w:type="continuationSeparator" w:id="0">
    <w:p w14:paraId="76D1A0D2" w14:textId="77777777" w:rsidR="00353B4A" w:rsidRDefault="00353B4A" w:rsidP="008D0CE6">
      <w:r>
        <w:continuationSeparator/>
      </w:r>
    </w:p>
  </w:footnote>
  <w:footnote w:id="1">
    <w:p w14:paraId="2F47C516" w14:textId="78F092BA" w:rsidR="00E12591" w:rsidRPr="00E12591" w:rsidRDefault="00E12591">
      <w:pPr>
        <w:pStyle w:val="FootnoteText"/>
        <w:rPr>
          <w:rFonts w:asciiTheme="majorBidi" w:hAnsiTheme="majorBidi" w:cstheme="majorBidi"/>
        </w:rPr>
      </w:pPr>
      <w:r w:rsidRPr="00E12591">
        <w:rPr>
          <w:rStyle w:val="FootnoteReference"/>
          <w:rFonts w:asciiTheme="majorBidi" w:hAnsiTheme="majorBidi" w:cstheme="majorBidi"/>
        </w:rPr>
        <w:t>*</w:t>
      </w:r>
      <w:r w:rsidRPr="00E12591">
        <w:rPr>
          <w:rFonts w:asciiTheme="majorBidi" w:hAnsiTheme="majorBidi" w:cstheme="majorBidi"/>
        </w:rPr>
        <w:t xml:space="preserve"> Special Rapporteur Fionnuala Ní Aoláin, meeting attended by Adriana Edmeades Jones Legal Adviser to the Special Rapporteur.</w:t>
      </w:r>
    </w:p>
  </w:footnote>
  <w:footnote w:id="2">
    <w:p w14:paraId="733B89D2" w14:textId="7A9EAD11" w:rsidR="008D0CE6" w:rsidRPr="004E5DFE" w:rsidRDefault="008D0CE6" w:rsidP="00046740">
      <w:pPr>
        <w:pStyle w:val="FootnoteText"/>
        <w:ind w:left="426" w:hanging="426"/>
        <w:rPr>
          <w:rFonts w:ascii="Times New Roman" w:hAnsi="Times New Roman" w:cs="Times New Roman"/>
          <w:lang w:val="fr-FR"/>
        </w:rPr>
      </w:pPr>
      <w:r w:rsidRPr="00046740">
        <w:rPr>
          <w:rStyle w:val="FootnoteReference"/>
          <w:rFonts w:ascii="Times New Roman" w:hAnsi="Times New Roman" w:cs="Times New Roman"/>
        </w:rPr>
        <w:footnoteRef/>
      </w:r>
      <w:r w:rsidRPr="004E5DFE">
        <w:rPr>
          <w:rFonts w:ascii="Times New Roman" w:hAnsi="Times New Roman" w:cs="Times New Roman"/>
          <w:lang w:val="fr-FR"/>
        </w:rPr>
        <w:t xml:space="preserve"> </w:t>
      </w:r>
      <w:r w:rsidRPr="004E5DFE">
        <w:rPr>
          <w:rFonts w:ascii="Times New Roman" w:hAnsi="Times New Roman" w:cs="Times New Roman"/>
          <w:lang w:val="fr-FR"/>
        </w:rPr>
        <w:tab/>
        <w:t xml:space="preserve">ICCPR, Article </w:t>
      </w:r>
      <w:r w:rsidR="00C64C49" w:rsidRPr="004E5DFE">
        <w:rPr>
          <w:rFonts w:ascii="Times New Roman" w:hAnsi="Times New Roman" w:cs="Times New Roman"/>
          <w:lang w:val="fr-FR"/>
        </w:rPr>
        <w:t>6.</w:t>
      </w:r>
    </w:p>
  </w:footnote>
  <w:footnote w:id="3">
    <w:p w14:paraId="6A3A1EDA" w14:textId="081F0C6E" w:rsidR="008D0CE6" w:rsidRPr="004E5DFE" w:rsidRDefault="008D0CE6" w:rsidP="00046740">
      <w:pPr>
        <w:pStyle w:val="FootnoteText"/>
        <w:ind w:left="426" w:hanging="426"/>
        <w:rPr>
          <w:rFonts w:ascii="Times New Roman" w:hAnsi="Times New Roman" w:cs="Times New Roman"/>
          <w:lang w:val="fr-FR"/>
        </w:rPr>
      </w:pPr>
      <w:r w:rsidRPr="00046740">
        <w:rPr>
          <w:rStyle w:val="FootnoteReference"/>
          <w:rFonts w:ascii="Times New Roman" w:hAnsi="Times New Roman" w:cs="Times New Roman"/>
        </w:rPr>
        <w:footnoteRef/>
      </w:r>
      <w:r w:rsidRPr="004E5DFE">
        <w:rPr>
          <w:rFonts w:ascii="Times New Roman" w:hAnsi="Times New Roman" w:cs="Times New Roman"/>
          <w:lang w:val="fr-FR"/>
        </w:rPr>
        <w:t xml:space="preserve"> </w:t>
      </w:r>
      <w:r w:rsidRPr="004E5DFE">
        <w:rPr>
          <w:rFonts w:ascii="Times New Roman" w:hAnsi="Times New Roman" w:cs="Times New Roman"/>
          <w:lang w:val="fr-FR"/>
        </w:rPr>
        <w:tab/>
      </w:r>
      <w:r w:rsidRPr="004E5DFE">
        <w:rPr>
          <w:rFonts w:ascii="Times New Roman" w:hAnsi="Times New Roman" w:cs="Times New Roman"/>
          <w:i/>
          <w:iCs/>
          <w:lang w:val="fr-FR"/>
        </w:rPr>
        <w:t>General Comment 36</w:t>
      </w:r>
      <w:r w:rsidRPr="004E5DFE">
        <w:rPr>
          <w:rFonts w:ascii="Times New Roman" w:hAnsi="Times New Roman" w:cs="Times New Roman"/>
          <w:lang w:val="fr-FR"/>
        </w:rPr>
        <w:t>, CCPR/C/GC/36, [26].</w:t>
      </w:r>
    </w:p>
  </w:footnote>
  <w:footnote w:id="4">
    <w:p w14:paraId="4940EF19" w14:textId="4A3BD24C" w:rsidR="00ED1840" w:rsidRPr="004E5DFE" w:rsidRDefault="00ED1840" w:rsidP="00046740">
      <w:pPr>
        <w:pStyle w:val="FootnoteText"/>
        <w:ind w:left="426" w:hanging="426"/>
        <w:rPr>
          <w:rFonts w:ascii="Times New Roman" w:hAnsi="Times New Roman" w:cs="Times New Roman"/>
          <w:lang w:val="fr-FR"/>
        </w:rPr>
      </w:pPr>
      <w:r w:rsidRPr="00046740">
        <w:rPr>
          <w:rStyle w:val="FootnoteReference"/>
          <w:rFonts w:ascii="Times New Roman" w:hAnsi="Times New Roman" w:cs="Times New Roman"/>
        </w:rPr>
        <w:footnoteRef/>
      </w:r>
      <w:r w:rsidRPr="004E5DFE">
        <w:rPr>
          <w:rFonts w:ascii="Times New Roman" w:hAnsi="Times New Roman" w:cs="Times New Roman"/>
          <w:lang w:val="fr-FR"/>
        </w:rPr>
        <w:t xml:space="preserve"> </w:t>
      </w:r>
      <w:r w:rsidRPr="004E5DFE">
        <w:rPr>
          <w:rFonts w:ascii="Times New Roman" w:hAnsi="Times New Roman" w:cs="Times New Roman"/>
          <w:lang w:val="fr-FR"/>
        </w:rPr>
        <w:tab/>
        <w:t>ICESCR, Article 11</w:t>
      </w:r>
      <w:r w:rsidR="00C040E2" w:rsidRPr="004E5DFE">
        <w:rPr>
          <w:rFonts w:ascii="Times New Roman" w:hAnsi="Times New Roman" w:cs="Times New Roman"/>
          <w:lang w:val="fr-FR"/>
        </w:rPr>
        <w:t>.</w:t>
      </w:r>
    </w:p>
  </w:footnote>
  <w:footnote w:id="5">
    <w:p w14:paraId="6067C4D6" w14:textId="73FF8A11" w:rsidR="00ED1840" w:rsidRPr="004E5DFE" w:rsidRDefault="00ED1840" w:rsidP="00046740">
      <w:pPr>
        <w:pStyle w:val="FootnoteText"/>
        <w:ind w:left="426" w:hanging="426"/>
        <w:rPr>
          <w:rFonts w:ascii="Times New Roman" w:hAnsi="Times New Roman" w:cs="Times New Roman"/>
          <w:lang w:val="fr-FR"/>
        </w:rPr>
      </w:pPr>
      <w:r w:rsidRPr="00046740">
        <w:rPr>
          <w:rStyle w:val="FootnoteReference"/>
          <w:rFonts w:ascii="Times New Roman" w:hAnsi="Times New Roman" w:cs="Times New Roman"/>
        </w:rPr>
        <w:footnoteRef/>
      </w:r>
      <w:r w:rsidRPr="004E5DFE">
        <w:rPr>
          <w:rFonts w:ascii="Times New Roman" w:hAnsi="Times New Roman" w:cs="Times New Roman"/>
          <w:lang w:val="fr-FR"/>
        </w:rPr>
        <w:t xml:space="preserve"> </w:t>
      </w:r>
      <w:r w:rsidRPr="004E5DFE">
        <w:rPr>
          <w:rFonts w:ascii="Times New Roman" w:hAnsi="Times New Roman" w:cs="Times New Roman"/>
          <w:lang w:val="fr-FR"/>
        </w:rPr>
        <w:tab/>
        <w:t>ICESCR, Article 12</w:t>
      </w:r>
      <w:r w:rsidR="00C040E2" w:rsidRPr="004E5DFE">
        <w:rPr>
          <w:rFonts w:ascii="Times New Roman" w:hAnsi="Times New Roman" w:cs="Times New Roman"/>
          <w:lang w:val="fr-FR"/>
        </w:rPr>
        <w:t>.</w:t>
      </w:r>
    </w:p>
  </w:footnote>
  <w:footnote w:id="6">
    <w:p w14:paraId="283060D7" w14:textId="2D60B3ED" w:rsidR="00C040E2" w:rsidRPr="004E5DFE" w:rsidRDefault="00C040E2" w:rsidP="00046740">
      <w:pPr>
        <w:pStyle w:val="FootnoteText"/>
        <w:ind w:left="426" w:hanging="426"/>
        <w:rPr>
          <w:rFonts w:ascii="Times New Roman" w:hAnsi="Times New Roman" w:cs="Times New Roman"/>
          <w:lang w:val="fr-FR"/>
        </w:rPr>
      </w:pPr>
      <w:r w:rsidRPr="00046740">
        <w:rPr>
          <w:rStyle w:val="FootnoteReference"/>
          <w:rFonts w:ascii="Times New Roman" w:hAnsi="Times New Roman" w:cs="Times New Roman"/>
        </w:rPr>
        <w:footnoteRef/>
      </w:r>
      <w:r w:rsidRPr="004E5DFE">
        <w:rPr>
          <w:rFonts w:ascii="Times New Roman" w:hAnsi="Times New Roman" w:cs="Times New Roman"/>
          <w:lang w:val="fr-FR"/>
        </w:rPr>
        <w:t xml:space="preserve"> </w:t>
      </w:r>
      <w:r w:rsidRPr="004E5DFE">
        <w:rPr>
          <w:rFonts w:ascii="Times New Roman" w:hAnsi="Times New Roman" w:cs="Times New Roman"/>
          <w:lang w:val="fr-FR"/>
        </w:rPr>
        <w:tab/>
        <w:t>ICCPR, Article 21.</w:t>
      </w:r>
    </w:p>
  </w:footnote>
  <w:footnote w:id="7">
    <w:p w14:paraId="68BDAE0D" w14:textId="2657A1B6" w:rsidR="00C040E2" w:rsidRPr="00046740" w:rsidRDefault="00C040E2"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t>ICCPR, Article 19.</w:t>
      </w:r>
    </w:p>
  </w:footnote>
  <w:footnote w:id="8">
    <w:p w14:paraId="47EC4265" w14:textId="7C9D6EA7" w:rsidR="00C040E2" w:rsidRPr="00046740" w:rsidRDefault="00C040E2"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t>ICCPR, Article 18.</w:t>
      </w:r>
    </w:p>
  </w:footnote>
  <w:footnote w:id="9">
    <w:p w14:paraId="3C36D57D" w14:textId="433BB215" w:rsidR="00C040E2" w:rsidRPr="00046740" w:rsidRDefault="00C040E2"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t xml:space="preserve">As confirmed by the Human Rights Committee in </w:t>
      </w:r>
      <w:r w:rsidRPr="00046740">
        <w:rPr>
          <w:rFonts w:ascii="Times New Roman" w:hAnsi="Times New Roman" w:cs="Times New Roman"/>
          <w:i/>
          <w:iCs/>
        </w:rPr>
        <w:t>General Comment 36</w:t>
      </w:r>
      <w:r w:rsidRPr="00046740">
        <w:rPr>
          <w:rFonts w:ascii="Times New Roman" w:hAnsi="Times New Roman" w:cs="Times New Roman"/>
        </w:rPr>
        <w:t xml:space="preserve">, [64]. See also: </w:t>
      </w:r>
      <w:r w:rsidRPr="00046740">
        <w:rPr>
          <w:rFonts w:ascii="Times New Roman" w:hAnsi="Times New Roman" w:cs="Times New Roman"/>
          <w:i/>
          <w:iCs/>
        </w:rPr>
        <w:t xml:space="preserve">Legality of the Use by a State of </w:t>
      </w:r>
      <w:proofErr w:type="gramStart"/>
      <w:r w:rsidRPr="00046740">
        <w:rPr>
          <w:rFonts w:ascii="Times New Roman" w:hAnsi="Times New Roman" w:cs="Times New Roman"/>
          <w:i/>
          <w:iCs/>
        </w:rPr>
        <w:t>Nuclear Weapons</w:t>
      </w:r>
      <w:proofErr w:type="gramEnd"/>
      <w:r w:rsidRPr="00046740">
        <w:rPr>
          <w:rFonts w:ascii="Times New Roman" w:hAnsi="Times New Roman" w:cs="Times New Roman"/>
          <w:i/>
          <w:iCs/>
        </w:rPr>
        <w:t xml:space="preserve"> in Armed Conflict, Advisory Opinion</w:t>
      </w:r>
      <w:r w:rsidRPr="00046740">
        <w:rPr>
          <w:rFonts w:ascii="Times New Roman" w:hAnsi="Times New Roman" w:cs="Times New Roman"/>
        </w:rPr>
        <w:t>, 1996 ICJ Rep p66, [24]-[25].</w:t>
      </w:r>
    </w:p>
  </w:footnote>
  <w:footnote w:id="10">
    <w:p w14:paraId="5E06ABF9" w14:textId="620570D6" w:rsidR="00C040E2" w:rsidRPr="00046740" w:rsidRDefault="00C040E2"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t>Additional Protocol I to the Geneva Conventions, Article 54.</w:t>
      </w:r>
    </w:p>
  </w:footnote>
  <w:footnote w:id="11">
    <w:p w14:paraId="06EA4E5A" w14:textId="1CC300C9" w:rsidR="00C040E2" w:rsidRPr="00046740" w:rsidRDefault="00C040E2"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t>Additional Protocol I to the Geneva Conventions, Article 53.</w:t>
      </w:r>
    </w:p>
  </w:footnote>
  <w:footnote w:id="12">
    <w:p w14:paraId="33CB50E9" w14:textId="3F0FB99F" w:rsidR="0075252F" w:rsidRPr="004E5DFE" w:rsidRDefault="0075252F" w:rsidP="00046740">
      <w:pPr>
        <w:pStyle w:val="FootnoteText"/>
        <w:ind w:left="426" w:hanging="426"/>
        <w:rPr>
          <w:rFonts w:ascii="Times New Roman" w:hAnsi="Times New Roman" w:cs="Times New Roman"/>
          <w:lang w:val="fr-FR"/>
        </w:rPr>
      </w:pPr>
      <w:r w:rsidRPr="00046740">
        <w:rPr>
          <w:rStyle w:val="FootnoteReference"/>
          <w:rFonts w:ascii="Times New Roman" w:hAnsi="Times New Roman" w:cs="Times New Roman"/>
        </w:rPr>
        <w:footnoteRef/>
      </w:r>
      <w:r w:rsidRPr="004E5DFE">
        <w:rPr>
          <w:rFonts w:ascii="Times New Roman" w:hAnsi="Times New Roman" w:cs="Times New Roman"/>
          <w:lang w:val="fr-FR"/>
        </w:rPr>
        <w:t xml:space="preserve"> </w:t>
      </w:r>
      <w:r w:rsidRPr="004E5DFE">
        <w:rPr>
          <w:rFonts w:ascii="Times New Roman" w:hAnsi="Times New Roman" w:cs="Times New Roman"/>
          <w:lang w:val="fr-FR"/>
        </w:rPr>
        <w:tab/>
        <w:t>ICCPR, Article 2(1); ICESCR, Article 2(2); CEDAW, Article 2.</w:t>
      </w:r>
    </w:p>
  </w:footnote>
  <w:footnote w:id="13">
    <w:p w14:paraId="0603931A" w14:textId="423EAE49" w:rsidR="0075252F" w:rsidRPr="00046740" w:rsidRDefault="0075252F"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t xml:space="preserve">L </w:t>
      </w:r>
      <w:proofErr w:type="spellStart"/>
      <w:r w:rsidRPr="00046740">
        <w:rPr>
          <w:rFonts w:ascii="Times New Roman" w:hAnsi="Times New Roman" w:cs="Times New Roman"/>
        </w:rPr>
        <w:t>Maschmeyer</w:t>
      </w:r>
      <w:proofErr w:type="spellEnd"/>
      <w:r w:rsidRPr="00046740">
        <w:rPr>
          <w:rFonts w:ascii="Times New Roman" w:hAnsi="Times New Roman" w:cs="Times New Roman"/>
        </w:rPr>
        <w:t xml:space="preserve"> et al., ‘A Tale of Two Cybers – How Threat Reporting by Cybersecurity Firms Systematically Underrepresents Threats to Civil Society’ (2020) 18(1) </w:t>
      </w:r>
      <w:r w:rsidRPr="00046740">
        <w:rPr>
          <w:rFonts w:ascii="Times New Roman" w:hAnsi="Times New Roman" w:cs="Times New Roman"/>
          <w:i/>
          <w:iCs/>
        </w:rPr>
        <w:t>Journal of Information Technology &amp; Politics</w:t>
      </w:r>
      <w:r w:rsidRPr="00046740">
        <w:rPr>
          <w:rFonts w:ascii="Times New Roman" w:hAnsi="Times New Roman" w:cs="Times New Roman"/>
        </w:rPr>
        <w:t xml:space="preserve"> 1.</w:t>
      </w:r>
    </w:p>
  </w:footnote>
  <w:footnote w:id="14">
    <w:p w14:paraId="2EC3E414" w14:textId="4FBC88F1" w:rsidR="0075252F" w:rsidRPr="00046740" w:rsidRDefault="0075252F"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t>K Millar et al., ‘Gender Approaches to Cybersecurity: Design, Defence, and Response,’ UN Institute for Disarmament Research (2021), p40.</w:t>
      </w:r>
    </w:p>
  </w:footnote>
  <w:footnote w:id="15">
    <w:p w14:paraId="1A34A6D8" w14:textId="77777777" w:rsidR="007B46D5" w:rsidRPr="00046740" w:rsidRDefault="007B46D5"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t xml:space="preserve">The test for indirect discrimination: </w:t>
      </w:r>
      <w:proofErr w:type="gramStart"/>
      <w:r w:rsidRPr="00046740">
        <w:rPr>
          <w:rFonts w:ascii="Times New Roman" w:hAnsi="Times New Roman" w:cs="Times New Roman"/>
        </w:rPr>
        <w:t>see</w:t>
      </w:r>
      <w:proofErr w:type="gramEnd"/>
      <w:r w:rsidRPr="00046740">
        <w:rPr>
          <w:rFonts w:ascii="Times New Roman" w:hAnsi="Times New Roman" w:cs="Times New Roman"/>
        </w:rPr>
        <w:t xml:space="preserve"> </w:t>
      </w:r>
      <w:r w:rsidRPr="00046740">
        <w:rPr>
          <w:rFonts w:ascii="Times New Roman" w:hAnsi="Times New Roman" w:cs="Times New Roman"/>
          <w:i/>
          <w:iCs/>
        </w:rPr>
        <w:t>General Comment 18</w:t>
      </w:r>
      <w:r w:rsidRPr="00046740">
        <w:rPr>
          <w:rFonts w:ascii="Times New Roman" w:hAnsi="Times New Roman" w:cs="Times New Roman"/>
        </w:rPr>
        <w:t>, [7].</w:t>
      </w:r>
    </w:p>
  </w:footnote>
  <w:footnote w:id="16">
    <w:p w14:paraId="403DBD30" w14:textId="7030161B" w:rsidR="007D5B57" w:rsidRPr="00046740" w:rsidRDefault="007D5B57"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t>OHCHR, ‘The Right to Privacy in the Digital Age,’ A/HRC/27/37 (30 June 2014), [25].</w:t>
      </w:r>
    </w:p>
  </w:footnote>
  <w:footnote w:id="17">
    <w:p w14:paraId="3EE5F9C4" w14:textId="171232E0" w:rsidR="007D5B57" w:rsidRPr="00046740" w:rsidRDefault="007D5B57"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r>
      <w:proofErr w:type="spellStart"/>
      <w:r w:rsidRPr="00046740">
        <w:rPr>
          <w:rFonts w:ascii="Times New Roman" w:hAnsi="Times New Roman" w:cs="Times New Roman"/>
        </w:rPr>
        <w:t>E.g</w:t>
      </w:r>
      <w:proofErr w:type="spellEnd"/>
      <w:r w:rsidRPr="00046740">
        <w:rPr>
          <w:rFonts w:ascii="Times New Roman" w:hAnsi="Times New Roman" w:cs="Times New Roman"/>
        </w:rPr>
        <w:t xml:space="preserve"> </w:t>
      </w:r>
      <w:r w:rsidRPr="00046740">
        <w:rPr>
          <w:rFonts w:ascii="Times New Roman" w:hAnsi="Times New Roman" w:cs="Times New Roman"/>
          <w:i/>
          <w:iCs/>
        </w:rPr>
        <w:t xml:space="preserve">Roman </w:t>
      </w:r>
      <w:proofErr w:type="spellStart"/>
      <w:r w:rsidRPr="00046740">
        <w:rPr>
          <w:rFonts w:ascii="Times New Roman" w:hAnsi="Times New Roman" w:cs="Times New Roman"/>
          <w:i/>
          <w:iCs/>
        </w:rPr>
        <w:t>Zakharov</w:t>
      </w:r>
      <w:proofErr w:type="spellEnd"/>
      <w:r w:rsidRPr="00046740">
        <w:rPr>
          <w:rFonts w:ascii="Times New Roman" w:hAnsi="Times New Roman" w:cs="Times New Roman"/>
          <w:i/>
          <w:iCs/>
        </w:rPr>
        <w:t xml:space="preserve"> v Russia</w:t>
      </w:r>
      <w:r w:rsidRPr="00046740">
        <w:rPr>
          <w:rFonts w:ascii="Times New Roman" w:hAnsi="Times New Roman" w:cs="Times New Roman"/>
        </w:rPr>
        <w:t xml:space="preserve"> [2015] ECHR 1065; (2016) 63 EHRR 17; </w:t>
      </w:r>
      <w:r w:rsidRPr="00046740">
        <w:rPr>
          <w:rFonts w:ascii="Times New Roman" w:hAnsi="Times New Roman" w:cs="Times New Roman"/>
          <w:i/>
          <w:iCs/>
        </w:rPr>
        <w:t xml:space="preserve">Szabo and </w:t>
      </w:r>
      <w:proofErr w:type="spellStart"/>
      <w:r w:rsidRPr="00046740">
        <w:rPr>
          <w:rFonts w:ascii="Times New Roman" w:hAnsi="Times New Roman" w:cs="Times New Roman"/>
          <w:i/>
          <w:iCs/>
        </w:rPr>
        <w:t>Vissy</w:t>
      </w:r>
      <w:proofErr w:type="spellEnd"/>
      <w:r w:rsidRPr="00046740">
        <w:rPr>
          <w:rFonts w:ascii="Times New Roman" w:hAnsi="Times New Roman" w:cs="Times New Roman"/>
          <w:i/>
          <w:iCs/>
        </w:rPr>
        <w:t xml:space="preserve"> v Hungary</w:t>
      </w:r>
      <w:r w:rsidRPr="00046740">
        <w:rPr>
          <w:rFonts w:ascii="Times New Roman" w:hAnsi="Times New Roman" w:cs="Times New Roman"/>
        </w:rPr>
        <w:t xml:space="preserve"> [2016] ECHR 579; (2016) 63 EHRR 3, [52]-[89]; and </w:t>
      </w:r>
      <w:r w:rsidRPr="00046740">
        <w:rPr>
          <w:rFonts w:ascii="Times New Roman" w:hAnsi="Times New Roman" w:cs="Times New Roman"/>
          <w:i/>
          <w:iCs/>
        </w:rPr>
        <w:t>Big Brother Watch v UK</w:t>
      </w:r>
      <w:r w:rsidRPr="00046740">
        <w:rPr>
          <w:rFonts w:ascii="Times New Roman" w:hAnsi="Times New Roman" w:cs="Times New Roman"/>
        </w:rPr>
        <w:t xml:space="preserve"> [2021] ECHR 439.</w:t>
      </w:r>
    </w:p>
  </w:footnote>
  <w:footnote w:id="18">
    <w:p w14:paraId="79AAFDF8" w14:textId="58775BFE" w:rsidR="007D5B57" w:rsidRPr="00046740" w:rsidRDefault="007D5B57"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t>A/69/397; and UN Special Rapporteur on the Protection and Promotion of the Right to Freedom of Opinion and Expression and Special Rapporteur for Freedom of Expression of the Inter-American Commission on Human Rights, ‘Joint Declaration on Surveillance Powers and their Impact on Freedom of Expression’ (21 June 2013).</w:t>
      </w:r>
    </w:p>
  </w:footnote>
  <w:footnote w:id="19">
    <w:p w14:paraId="112B6FBE" w14:textId="1FCB31B0" w:rsidR="00846CDF" w:rsidRPr="004E5DFE" w:rsidRDefault="00846CDF" w:rsidP="00046740">
      <w:pPr>
        <w:pStyle w:val="FootnoteText"/>
        <w:ind w:left="426" w:hanging="426"/>
        <w:rPr>
          <w:rFonts w:ascii="Times New Roman" w:hAnsi="Times New Roman" w:cs="Times New Roman"/>
          <w:lang w:val="fr-FR"/>
        </w:rPr>
      </w:pPr>
      <w:r w:rsidRPr="00046740">
        <w:rPr>
          <w:rStyle w:val="FootnoteReference"/>
          <w:rFonts w:ascii="Times New Roman" w:hAnsi="Times New Roman" w:cs="Times New Roman"/>
        </w:rPr>
        <w:footnoteRef/>
      </w:r>
      <w:r w:rsidRPr="004E5DFE">
        <w:rPr>
          <w:rFonts w:ascii="Times New Roman" w:hAnsi="Times New Roman" w:cs="Times New Roman"/>
          <w:lang w:val="fr-FR"/>
        </w:rPr>
        <w:t xml:space="preserve"> </w:t>
      </w:r>
      <w:r w:rsidRPr="004E5DFE">
        <w:rPr>
          <w:rFonts w:ascii="Times New Roman" w:hAnsi="Times New Roman" w:cs="Times New Roman"/>
          <w:lang w:val="fr-FR"/>
        </w:rPr>
        <w:tab/>
        <w:t>A/HRC/51/17, [19].</w:t>
      </w:r>
    </w:p>
  </w:footnote>
  <w:footnote w:id="20">
    <w:p w14:paraId="2B869CF9" w14:textId="73CAE64E" w:rsidR="000E6B76" w:rsidRPr="004E5DFE" w:rsidRDefault="000E6B76" w:rsidP="00046740">
      <w:pPr>
        <w:pStyle w:val="FootnoteText"/>
        <w:ind w:left="426" w:hanging="426"/>
        <w:rPr>
          <w:rFonts w:ascii="Times New Roman" w:hAnsi="Times New Roman" w:cs="Times New Roman"/>
          <w:lang w:val="fr-FR"/>
        </w:rPr>
      </w:pPr>
      <w:r w:rsidRPr="00046740">
        <w:rPr>
          <w:rStyle w:val="FootnoteReference"/>
          <w:rFonts w:ascii="Times New Roman" w:hAnsi="Times New Roman" w:cs="Times New Roman"/>
        </w:rPr>
        <w:footnoteRef/>
      </w:r>
      <w:r w:rsidRPr="004E5DFE">
        <w:rPr>
          <w:rFonts w:ascii="Times New Roman" w:hAnsi="Times New Roman" w:cs="Times New Roman"/>
          <w:lang w:val="fr-FR"/>
        </w:rPr>
        <w:t xml:space="preserve"> </w:t>
      </w:r>
      <w:r w:rsidRPr="004E5DFE">
        <w:rPr>
          <w:rFonts w:ascii="Times New Roman" w:hAnsi="Times New Roman" w:cs="Times New Roman"/>
          <w:lang w:val="fr-FR"/>
        </w:rPr>
        <w:tab/>
        <w:t>ICCPR, Article 4.</w:t>
      </w:r>
    </w:p>
  </w:footnote>
  <w:footnote w:id="21">
    <w:p w14:paraId="371F503B" w14:textId="21987DDE" w:rsidR="000E6B76" w:rsidRPr="004E5DFE" w:rsidRDefault="000E6B76" w:rsidP="00046740">
      <w:pPr>
        <w:pStyle w:val="FootnoteText"/>
        <w:ind w:left="426" w:hanging="426"/>
        <w:rPr>
          <w:rFonts w:ascii="Times New Roman" w:hAnsi="Times New Roman" w:cs="Times New Roman"/>
          <w:lang w:val="fr-FR"/>
        </w:rPr>
      </w:pPr>
      <w:r w:rsidRPr="00046740">
        <w:rPr>
          <w:rStyle w:val="FootnoteReference"/>
          <w:rFonts w:ascii="Times New Roman" w:hAnsi="Times New Roman" w:cs="Times New Roman"/>
        </w:rPr>
        <w:footnoteRef/>
      </w:r>
      <w:r w:rsidRPr="004E5DFE">
        <w:rPr>
          <w:rFonts w:ascii="Times New Roman" w:hAnsi="Times New Roman" w:cs="Times New Roman"/>
          <w:lang w:val="fr-FR"/>
        </w:rPr>
        <w:t xml:space="preserve"> </w:t>
      </w:r>
      <w:r w:rsidRPr="004E5DFE">
        <w:rPr>
          <w:rFonts w:ascii="Times New Roman" w:hAnsi="Times New Roman" w:cs="Times New Roman"/>
          <w:lang w:val="fr-FR"/>
        </w:rPr>
        <w:tab/>
        <w:t>ICCPR, Article 4(3).</w:t>
      </w:r>
    </w:p>
  </w:footnote>
  <w:footnote w:id="22">
    <w:p w14:paraId="50C450DB" w14:textId="2B6D9F8C" w:rsidR="0060237A" w:rsidRPr="00046740" w:rsidRDefault="0060237A"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t>ICCPR, Article 4(2).</w:t>
      </w:r>
    </w:p>
  </w:footnote>
  <w:footnote w:id="23">
    <w:p w14:paraId="370CECD4" w14:textId="0A90D9FE" w:rsidR="00286081" w:rsidRPr="00046740" w:rsidRDefault="00286081"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t>A/HRC/S-13/1.</w:t>
      </w:r>
    </w:p>
  </w:footnote>
  <w:footnote w:id="24">
    <w:p w14:paraId="4E98C1F0" w14:textId="30E6C21D" w:rsidR="00286081" w:rsidRPr="00046740" w:rsidRDefault="00286081"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t>A/HRC/16/43/Add.5 (2011).</w:t>
      </w:r>
    </w:p>
  </w:footnote>
  <w:footnote w:id="25">
    <w:p w14:paraId="4275D8F9" w14:textId="272B0078" w:rsidR="00286081" w:rsidRPr="00046740" w:rsidRDefault="00286081" w:rsidP="00046740">
      <w:pPr>
        <w:pStyle w:val="FootnoteText"/>
        <w:ind w:left="426" w:hanging="426"/>
        <w:rPr>
          <w:rFonts w:ascii="Times New Roman" w:hAnsi="Times New Roman" w:cs="Times New Roman"/>
        </w:rPr>
      </w:pPr>
      <w:r w:rsidRPr="00046740">
        <w:rPr>
          <w:rStyle w:val="FootnoteReference"/>
          <w:rFonts w:ascii="Times New Roman" w:hAnsi="Times New Roman" w:cs="Times New Roman"/>
        </w:rPr>
        <w:footnoteRef/>
      </w:r>
      <w:r w:rsidRPr="00046740">
        <w:rPr>
          <w:rFonts w:ascii="Times New Roman" w:hAnsi="Times New Roman" w:cs="Times New Roman"/>
        </w:rPr>
        <w:t xml:space="preserve"> </w:t>
      </w:r>
      <w:r w:rsidRPr="00046740">
        <w:rPr>
          <w:rFonts w:ascii="Times New Roman" w:hAnsi="Times New Roman" w:cs="Times New Roman"/>
        </w:rPr>
        <w:tab/>
        <w:t>Adopted by the ILC and submitted to the General Assembly in 2016: A/71/10,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DD38" w14:textId="4AA7C321" w:rsidR="00E87AC9" w:rsidRDefault="00E87AC9">
    <w:pPr>
      <w:pStyle w:val="Header"/>
    </w:pPr>
    <w:r w:rsidRPr="003F0DB2">
      <w:rPr>
        <w:noProof/>
        <w:sz w:val="14"/>
        <w:szCs w:val="14"/>
        <w:u w:val="single"/>
        <w:lang w:eastAsia="en-GB"/>
      </w:rPr>
      <w:drawing>
        <wp:anchor distT="0" distB="0" distL="114300" distR="114300" simplePos="0" relativeHeight="251661312" behindDoc="0" locked="0" layoutInCell="1" allowOverlap="1" wp14:anchorId="20F5AF45" wp14:editId="41F1280D">
          <wp:simplePos x="0" y="0"/>
          <wp:positionH relativeFrom="margin">
            <wp:align>center</wp:align>
          </wp:positionH>
          <wp:positionV relativeFrom="paragraph">
            <wp:posOffset>-91440</wp:posOffset>
          </wp:positionV>
          <wp:extent cx="2190750" cy="939538"/>
          <wp:effectExtent l="0" t="0" r="0" b="0"/>
          <wp:wrapNone/>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2190750" cy="9395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C01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B1"/>
    <w:rsid w:val="00006E3C"/>
    <w:rsid w:val="00010EC7"/>
    <w:rsid w:val="000116A1"/>
    <w:rsid w:val="000371CA"/>
    <w:rsid w:val="00046740"/>
    <w:rsid w:val="000727E5"/>
    <w:rsid w:val="000B014E"/>
    <w:rsid w:val="000B73B1"/>
    <w:rsid w:val="000E6B76"/>
    <w:rsid w:val="001277EA"/>
    <w:rsid w:val="00162967"/>
    <w:rsid w:val="002241C3"/>
    <w:rsid w:val="00233385"/>
    <w:rsid w:val="002414C8"/>
    <w:rsid w:val="0024449A"/>
    <w:rsid w:val="00277AD3"/>
    <w:rsid w:val="00282B71"/>
    <w:rsid w:val="00286081"/>
    <w:rsid w:val="002D73EB"/>
    <w:rsid w:val="00353B4A"/>
    <w:rsid w:val="003B3D5A"/>
    <w:rsid w:val="00411597"/>
    <w:rsid w:val="004C5782"/>
    <w:rsid w:val="004E5DFE"/>
    <w:rsid w:val="004F1CB3"/>
    <w:rsid w:val="00535C16"/>
    <w:rsid w:val="00590718"/>
    <w:rsid w:val="00590ACE"/>
    <w:rsid w:val="005A1B2B"/>
    <w:rsid w:val="005B178D"/>
    <w:rsid w:val="005F6C47"/>
    <w:rsid w:val="0060237A"/>
    <w:rsid w:val="00606DD6"/>
    <w:rsid w:val="006246D4"/>
    <w:rsid w:val="00626D7B"/>
    <w:rsid w:val="00693A83"/>
    <w:rsid w:val="006E1BDE"/>
    <w:rsid w:val="006F0F17"/>
    <w:rsid w:val="0074279B"/>
    <w:rsid w:val="0075252F"/>
    <w:rsid w:val="007A1302"/>
    <w:rsid w:val="007B46D5"/>
    <w:rsid w:val="007D5B57"/>
    <w:rsid w:val="00846CDF"/>
    <w:rsid w:val="0087108A"/>
    <w:rsid w:val="008D0CE6"/>
    <w:rsid w:val="00904650"/>
    <w:rsid w:val="009640CC"/>
    <w:rsid w:val="00985A17"/>
    <w:rsid w:val="00A02296"/>
    <w:rsid w:val="00A220EA"/>
    <w:rsid w:val="00AA1733"/>
    <w:rsid w:val="00AB1754"/>
    <w:rsid w:val="00AE5140"/>
    <w:rsid w:val="00B46099"/>
    <w:rsid w:val="00B64D7C"/>
    <w:rsid w:val="00BA26B8"/>
    <w:rsid w:val="00BB2A84"/>
    <w:rsid w:val="00BB4314"/>
    <w:rsid w:val="00C02636"/>
    <w:rsid w:val="00C040E2"/>
    <w:rsid w:val="00C64C49"/>
    <w:rsid w:val="00CA0512"/>
    <w:rsid w:val="00CA551C"/>
    <w:rsid w:val="00CB0D77"/>
    <w:rsid w:val="00CE7F15"/>
    <w:rsid w:val="00D265CD"/>
    <w:rsid w:val="00D6600A"/>
    <w:rsid w:val="00DA7EDA"/>
    <w:rsid w:val="00DF5488"/>
    <w:rsid w:val="00E12591"/>
    <w:rsid w:val="00E1563C"/>
    <w:rsid w:val="00E513F3"/>
    <w:rsid w:val="00E62611"/>
    <w:rsid w:val="00E77778"/>
    <w:rsid w:val="00E87AC9"/>
    <w:rsid w:val="00E95BAA"/>
    <w:rsid w:val="00ED1840"/>
    <w:rsid w:val="00F00045"/>
    <w:rsid w:val="00F46F89"/>
    <w:rsid w:val="00FE23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E32A2"/>
  <w15:chartTrackingRefBased/>
  <w15:docId w15:val="{BDC2D9E3-5EFE-754D-992D-C72BA39C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0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B1"/>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8D0CE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D0CE6"/>
    <w:rPr>
      <w:sz w:val="20"/>
      <w:szCs w:val="20"/>
    </w:rPr>
  </w:style>
  <w:style w:type="character" w:styleId="FootnoteReference">
    <w:name w:val="footnote reference"/>
    <w:basedOn w:val="DefaultParagraphFont"/>
    <w:uiPriority w:val="99"/>
    <w:semiHidden/>
    <w:unhideWhenUsed/>
    <w:rsid w:val="008D0CE6"/>
    <w:rPr>
      <w:vertAlign w:val="superscript"/>
    </w:rPr>
  </w:style>
  <w:style w:type="paragraph" w:styleId="Footer">
    <w:name w:val="footer"/>
    <w:basedOn w:val="Normal"/>
    <w:link w:val="FooterChar"/>
    <w:uiPriority w:val="99"/>
    <w:unhideWhenUsed/>
    <w:rsid w:val="00590ACE"/>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90ACE"/>
  </w:style>
  <w:style w:type="character" w:styleId="PageNumber">
    <w:name w:val="page number"/>
    <w:basedOn w:val="DefaultParagraphFont"/>
    <w:uiPriority w:val="99"/>
    <w:semiHidden/>
    <w:unhideWhenUsed/>
    <w:rsid w:val="00590ACE"/>
  </w:style>
  <w:style w:type="paragraph" w:styleId="Header">
    <w:name w:val="header"/>
    <w:basedOn w:val="Normal"/>
    <w:link w:val="HeaderChar"/>
    <w:uiPriority w:val="99"/>
    <w:unhideWhenUsed/>
    <w:rsid w:val="00590ACE"/>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9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5</Pages>
  <Words>2016</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Edmeades Jones</dc:creator>
  <cp:keywords/>
  <dc:description/>
  <cp:lastModifiedBy>Michelle ERAZO</cp:lastModifiedBy>
  <cp:revision>3</cp:revision>
  <dcterms:created xsi:type="dcterms:W3CDTF">2022-11-22T07:59:00Z</dcterms:created>
  <dcterms:modified xsi:type="dcterms:W3CDTF">2022-11-25T22:46:00Z</dcterms:modified>
  <cp:category/>
</cp:coreProperties>
</file>