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14:paraId="74E16E5E" w14:textId="77777777" w:rsidTr="007A4DA6">
        <w:trPr>
          <w:trHeight w:val="993"/>
        </w:trPr>
        <w:tc>
          <w:tcPr>
            <w:tcW w:w="1259" w:type="dxa"/>
            <w:tcBorders>
              <w:top w:val="nil"/>
              <w:left w:val="nil"/>
              <w:bottom w:val="single" w:sz="4" w:space="0" w:color="auto"/>
              <w:right w:val="nil"/>
            </w:tcBorders>
          </w:tcPr>
          <w:p w14:paraId="15FBCB51" w14:textId="77777777" w:rsidR="00FA725A" w:rsidRDefault="00FA725A">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7B39CB8" w14:textId="5A7AAA34" w:rsidR="00FA725A" w:rsidRDefault="00FA725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09024D2" w14:textId="4DE92D4B" w:rsidR="00FA725A" w:rsidRDefault="00DF240E" w:rsidP="0067327B">
            <w:pPr>
              <w:jc w:val="right"/>
            </w:pPr>
            <w:r w:rsidRPr="00DF240E">
              <w:rPr>
                <w:sz w:val="40"/>
                <w:szCs w:val="40"/>
              </w:rPr>
              <w:t>A</w:t>
            </w:r>
            <w:r>
              <w:t>/78/</w:t>
            </w:r>
            <w:r w:rsidR="00493088">
              <w:t>520</w:t>
            </w:r>
          </w:p>
        </w:tc>
      </w:tr>
      <w:tr w:rsidR="00151813" w14:paraId="192E21A8" w14:textId="77777777">
        <w:trPr>
          <w:trHeight w:val="2835"/>
        </w:trPr>
        <w:tc>
          <w:tcPr>
            <w:tcW w:w="1259" w:type="dxa"/>
            <w:tcBorders>
              <w:top w:val="single" w:sz="4" w:space="0" w:color="auto"/>
              <w:left w:val="nil"/>
              <w:bottom w:val="single" w:sz="12" w:space="0" w:color="auto"/>
              <w:right w:val="nil"/>
            </w:tcBorders>
          </w:tcPr>
          <w:p w14:paraId="07540370" w14:textId="63723D3F" w:rsidR="00FA725A" w:rsidRDefault="00FA725A">
            <w:pPr>
              <w:spacing w:before="120"/>
              <w:jc w:val="center"/>
            </w:pPr>
          </w:p>
        </w:tc>
        <w:tc>
          <w:tcPr>
            <w:tcW w:w="5450" w:type="dxa"/>
            <w:gridSpan w:val="2"/>
            <w:tcBorders>
              <w:top w:val="single" w:sz="4" w:space="0" w:color="auto"/>
              <w:left w:val="nil"/>
              <w:bottom w:val="single" w:sz="12" w:space="0" w:color="auto"/>
              <w:right w:val="nil"/>
            </w:tcBorders>
          </w:tcPr>
          <w:p w14:paraId="3D1499C2" w14:textId="02DD6F98" w:rsidR="00FA725A" w:rsidRDefault="00493088">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A5B788C" w14:textId="77777777" w:rsidR="00FA725A" w:rsidRPr="00EC0773" w:rsidRDefault="00112244">
            <w:pPr>
              <w:spacing w:before="240" w:line="240" w:lineRule="exact"/>
              <w:rPr>
                <w:sz w:val="20"/>
                <w:szCs w:val="20"/>
              </w:rPr>
            </w:pPr>
            <w:r w:rsidRPr="00EC0773">
              <w:rPr>
                <w:sz w:val="20"/>
                <w:szCs w:val="20"/>
              </w:rPr>
              <w:t>Distr.: General</w:t>
            </w:r>
          </w:p>
          <w:p w14:paraId="00667D45" w14:textId="1B2D262B" w:rsidR="00FA725A" w:rsidRPr="00EC0773" w:rsidRDefault="00DF240E">
            <w:pPr>
              <w:spacing w:line="240" w:lineRule="exact"/>
              <w:rPr>
                <w:sz w:val="20"/>
                <w:szCs w:val="20"/>
              </w:rPr>
            </w:pPr>
            <w:r w:rsidRPr="00EC0773">
              <w:rPr>
                <w:sz w:val="20"/>
                <w:szCs w:val="20"/>
              </w:rPr>
              <w:t>10</w:t>
            </w:r>
            <w:r w:rsidR="00E86449" w:rsidRPr="00EC0773">
              <w:rPr>
                <w:sz w:val="20"/>
                <w:szCs w:val="20"/>
              </w:rPr>
              <w:t xml:space="preserve"> October</w:t>
            </w:r>
            <w:r w:rsidR="00F20CE3" w:rsidRPr="00EC0773">
              <w:rPr>
                <w:sz w:val="20"/>
                <w:szCs w:val="20"/>
              </w:rPr>
              <w:t xml:space="preserve"> 2023</w:t>
            </w:r>
          </w:p>
          <w:p w14:paraId="2FBB14C3" w14:textId="77777777" w:rsidR="00E86449" w:rsidRPr="00EC0773" w:rsidRDefault="00E86449">
            <w:pPr>
              <w:spacing w:line="240" w:lineRule="exact"/>
              <w:rPr>
                <w:sz w:val="20"/>
                <w:szCs w:val="20"/>
              </w:rPr>
            </w:pPr>
          </w:p>
          <w:p w14:paraId="6FDCB998" w14:textId="77777777" w:rsidR="00FA725A" w:rsidRDefault="00112244">
            <w:pPr>
              <w:spacing w:line="240" w:lineRule="exact"/>
              <w:rPr>
                <w:sz w:val="20"/>
                <w:szCs w:val="20"/>
              </w:rPr>
            </w:pPr>
            <w:r w:rsidRPr="00EC0773">
              <w:rPr>
                <w:sz w:val="20"/>
                <w:szCs w:val="20"/>
              </w:rPr>
              <w:t>Original: English</w:t>
            </w:r>
          </w:p>
          <w:p w14:paraId="76E06275" w14:textId="7D423448" w:rsidR="00EC0773" w:rsidRPr="00352700" w:rsidRDefault="00EC0773">
            <w:pPr>
              <w:spacing w:line="240" w:lineRule="exact"/>
              <w:rPr>
                <w:sz w:val="20"/>
                <w:szCs w:val="20"/>
              </w:rPr>
            </w:pPr>
          </w:p>
        </w:tc>
      </w:tr>
    </w:tbl>
    <w:p w14:paraId="2D7A8D8F" w14:textId="10E57EC2" w:rsidR="004200F6" w:rsidRPr="0022042E" w:rsidRDefault="004200F6" w:rsidP="004200F6">
      <w:pPr>
        <w:pStyle w:val="Body1"/>
        <w:spacing w:before="120"/>
        <w:rPr>
          <w:b/>
          <w:sz w:val="24"/>
        </w:rPr>
      </w:pPr>
      <w:r>
        <w:rPr>
          <w:rFonts w:hAnsi="Arial Unicode MS"/>
          <w:b/>
          <w:sz w:val="24"/>
        </w:rPr>
        <w:t>Seventy-</w:t>
      </w:r>
      <w:r w:rsidR="003B23F8">
        <w:rPr>
          <w:rFonts w:hAnsi="Arial Unicode MS"/>
          <w:b/>
          <w:sz w:val="24"/>
        </w:rPr>
        <w:t>eighth</w:t>
      </w:r>
      <w:r>
        <w:rPr>
          <w:rFonts w:hAnsi="Arial Unicode MS"/>
          <w:b/>
          <w:sz w:val="24"/>
        </w:rPr>
        <w:t xml:space="preserve"> session</w:t>
      </w:r>
    </w:p>
    <w:p w14:paraId="51956F67" w14:textId="1226CB3B" w:rsidR="004200F6" w:rsidRPr="006E435C" w:rsidRDefault="007A7DCB" w:rsidP="004200F6">
      <w:pPr>
        <w:pStyle w:val="Body1"/>
      </w:pPr>
      <w:r w:rsidRPr="006E435C">
        <w:rPr>
          <w:rFonts w:hAnsi="Arial Unicode MS"/>
        </w:rPr>
        <w:t xml:space="preserve">Item </w:t>
      </w:r>
      <w:r w:rsidR="00E86449">
        <w:rPr>
          <w:rFonts w:hAnsi="Arial Unicode MS"/>
        </w:rPr>
        <w:t>73 (b)</w:t>
      </w:r>
      <w:r w:rsidR="004200F6" w:rsidRPr="006E435C">
        <w:rPr>
          <w:rFonts w:hAnsi="Arial Unicode MS"/>
        </w:rPr>
        <w:t xml:space="preserve"> of the provisional agenda</w:t>
      </w:r>
      <w:r w:rsidRPr="006E435C">
        <w:rPr>
          <w:rStyle w:val="FootnoteReference"/>
          <w:sz w:val="20"/>
          <w:vertAlign w:val="baseline"/>
        </w:rPr>
        <w:footnoteReference w:customMarkFollows="1" w:id="1"/>
        <w:t>*</w:t>
      </w:r>
    </w:p>
    <w:p w14:paraId="3E057436" w14:textId="1ED1C156" w:rsidR="004200F6" w:rsidRPr="00FC54BD" w:rsidRDefault="004200F6" w:rsidP="00FC54BD">
      <w:pPr>
        <w:pStyle w:val="Body1"/>
        <w:rPr>
          <w:b/>
        </w:rPr>
      </w:pPr>
      <w:r w:rsidRPr="006E435C">
        <w:rPr>
          <w:rFonts w:hAnsi="Arial Unicode MS"/>
          <w:b/>
        </w:rPr>
        <w:t>Promotion and protection of human rights: human</w:t>
      </w:r>
      <w:r w:rsidR="005B69A1">
        <w:rPr>
          <w:rFonts w:hAnsi="Arial Unicode MS"/>
          <w:b/>
        </w:rPr>
        <w:br/>
      </w:r>
      <w:r w:rsidRPr="006E435C">
        <w:rPr>
          <w:rFonts w:hAnsi="Arial Unicode MS"/>
          <w:b/>
        </w:rPr>
        <w:t>Rights</w:t>
      </w:r>
      <w:r w:rsidRPr="006E435C">
        <w:rPr>
          <w:b/>
        </w:rPr>
        <w:t xml:space="preserve"> </w:t>
      </w:r>
      <w:r w:rsidRPr="006E435C">
        <w:rPr>
          <w:rFonts w:hAnsi="Arial Unicode MS"/>
          <w:b/>
        </w:rPr>
        <w:t>questions, including alternative approaches for</w:t>
      </w:r>
      <w:r w:rsidR="005B69A1">
        <w:rPr>
          <w:rFonts w:hAnsi="Arial Unicode MS"/>
          <w:b/>
        </w:rPr>
        <w:br/>
      </w:r>
      <w:r w:rsidRPr="006E435C">
        <w:rPr>
          <w:rFonts w:hAnsi="Arial Unicode MS"/>
          <w:b/>
        </w:rPr>
        <w:t>improving the</w:t>
      </w:r>
      <w:r w:rsidRPr="006E435C">
        <w:rPr>
          <w:b/>
        </w:rPr>
        <w:t xml:space="preserve"> </w:t>
      </w:r>
      <w:r w:rsidRPr="006E435C">
        <w:rPr>
          <w:rFonts w:hAnsi="Arial Unicode MS"/>
          <w:b/>
        </w:rPr>
        <w:t>effective enjoyment of human rights</w:t>
      </w:r>
      <w:r w:rsidR="005B69A1">
        <w:rPr>
          <w:rFonts w:hAnsi="Arial Unicode MS"/>
          <w:b/>
        </w:rPr>
        <w:br/>
      </w:r>
      <w:r w:rsidRPr="006E435C">
        <w:rPr>
          <w:rFonts w:hAnsi="Arial Unicode MS"/>
          <w:b/>
        </w:rPr>
        <w:t>and fundamental freedoms</w:t>
      </w:r>
    </w:p>
    <w:p w14:paraId="5B5FE1C6" w14:textId="253C520A" w:rsidR="00F12E25" w:rsidRDefault="00112244" w:rsidP="00C52B21">
      <w:pPr>
        <w:pStyle w:val="HMG"/>
      </w:pPr>
      <w:r>
        <w:tab/>
      </w:r>
      <w:r>
        <w:tab/>
      </w:r>
      <w:bookmarkStart w:id="0" w:name="_Toc111552971"/>
      <w:r w:rsidR="006E435C" w:rsidRPr="00571964">
        <w:t>Promotion and protection of human rights and fundamental freedoms while countering terrorism</w:t>
      </w:r>
      <w:bookmarkEnd w:id="0"/>
    </w:p>
    <w:p w14:paraId="16241AB5" w14:textId="7CA0B871" w:rsidR="00C52B21" w:rsidRDefault="00C52B21" w:rsidP="00C52B21">
      <w:pPr>
        <w:pStyle w:val="HChG"/>
        <w:rPr>
          <w:rStyle w:val="markedcontent"/>
        </w:rPr>
      </w:pPr>
      <w:r>
        <w:tab/>
      </w:r>
      <w:r>
        <w:tab/>
      </w:r>
      <w:r w:rsidRPr="00C52B21">
        <w:rPr>
          <w:rStyle w:val="markedcontent"/>
        </w:rPr>
        <w:t>Note by the Secretary-General</w:t>
      </w:r>
      <w:r w:rsidRPr="006E435C">
        <w:rPr>
          <w:rStyle w:val="FootnoteReference"/>
          <w:b w:val="0"/>
          <w:sz w:val="20"/>
          <w:vertAlign w:val="baseline"/>
        </w:rPr>
        <w:footnoteReference w:customMarkFollows="1" w:id="2"/>
        <w:t>**</w:t>
      </w:r>
    </w:p>
    <w:p w14:paraId="21E6C2EA" w14:textId="43BA29E4" w:rsidR="00C52B21" w:rsidRDefault="00C52B21" w:rsidP="00C52B21">
      <w:pPr>
        <w:pStyle w:val="SingleTxtG"/>
      </w:pPr>
      <w:r w:rsidRPr="00C52B21">
        <w:tab/>
      </w:r>
      <w:r>
        <w:tab/>
      </w:r>
      <w:r w:rsidRPr="00C52B21">
        <w:t xml:space="preserve">The Secretary-General has the honour to transmit to the General Assembly the report of the Special Rapporteur, Fionnuala </w:t>
      </w:r>
      <w:proofErr w:type="spellStart"/>
      <w:r w:rsidRPr="00C52B21">
        <w:t>Ní</w:t>
      </w:r>
      <w:proofErr w:type="spellEnd"/>
      <w:r w:rsidRPr="00C52B21">
        <w:t xml:space="preserve"> </w:t>
      </w:r>
      <w:proofErr w:type="spellStart"/>
      <w:r w:rsidRPr="00C52B21">
        <w:t>Aoláin</w:t>
      </w:r>
      <w:proofErr w:type="spellEnd"/>
      <w:r w:rsidRPr="00C52B21">
        <w:t>, submitted in accordance with Assembly resolution 72/180 and Human Rights Council resolution 49/10.</w:t>
      </w:r>
    </w:p>
    <w:p w14:paraId="72C3CC83" w14:textId="77777777" w:rsidR="00C52B21" w:rsidRDefault="00C52B21">
      <w:pPr>
        <w:rPr>
          <w:sz w:val="20"/>
          <w:szCs w:val="20"/>
          <w:lang w:eastAsia="en-US" w:bidi="ar-SA"/>
        </w:rPr>
      </w:pPr>
      <w:r>
        <w:br w:type="page"/>
      </w:r>
    </w:p>
    <w:p w14:paraId="5C25BC0A" w14:textId="5B9C1F30" w:rsidR="00FA725A" w:rsidRPr="000E3674" w:rsidRDefault="00112244" w:rsidP="000E3674">
      <w:pPr>
        <w:pStyle w:val="HChG"/>
      </w:pPr>
      <w:r>
        <w:lastRenderedPageBreak/>
        <w:tab/>
      </w:r>
      <w:r>
        <w:tab/>
      </w:r>
      <w:r w:rsidR="004200F6" w:rsidRPr="000E3674">
        <w:t>Report of the Special Rapporteur on the promotion and protection</w:t>
      </w:r>
      <w:r w:rsidR="00C52B21" w:rsidRPr="000E3674">
        <w:t xml:space="preserve"> </w:t>
      </w:r>
      <w:r w:rsidR="004200F6" w:rsidRPr="000E3674">
        <w:t>of human rights and fundamental freedoms while countering terrorism</w:t>
      </w:r>
      <w:r w:rsidR="000E3674" w:rsidRPr="000E3674">
        <w:t xml:space="preserve">, Fionnuala </w:t>
      </w:r>
      <w:proofErr w:type="spellStart"/>
      <w:r w:rsidR="000E3674" w:rsidRPr="000E3674">
        <w:t>Ní</w:t>
      </w:r>
      <w:proofErr w:type="spellEnd"/>
      <w:r w:rsidR="000E3674" w:rsidRPr="000E3674">
        <w:t xml:space="preserve"> </w:t>
      </w:r>
      <w:proofErr w:type="spellStart"/>
      <w:r w:rsidR="000E3674" w:rsidRPr="000E3674">
        <w:t>Aoláin</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593"/>
      </w:tblGrid>
      <w:tr w:rsidR="006E435C" w:rsidRPr="006E435C" w14:paraId="0AF1F962" w14:textId="77777777" w:rsidTr="000E73AA">
        <w:trPr>
          <w:jc w:val="center"/>
        </w:trPr>
        <w:tc>
          <w:tcPr>
            <w:tcW w:w="9593" w:type="dxa"/>
            <w:shd w:val="clear" w:color="auto" w:fill="auto"/>
          </w:tcPr>
          <w:p w14:paraId="2EABABFE" w14:textId="7DD65817" w:rsidR="00FA725A" w:rsidRPr="006E435C" w:rsidRDefault="00112244" w:rsidP="00FA725A">
            <w:pPr>
              <w:spacing w:before="240" w:after="120"/>
              <w:ind w:left="255"/>
              <w:rPr>
                <w:i/>
              </w:rPr>
            </w:pPr>
            <w:r w:rsidRPr="006E435C">
              <w:rPr>
                <w:i/>
              </w:rPr>
              <w:t>Summary</w:t>
            </w:r>
            <w:r w:rsidRPr="006E435C">
              <w:rPr>
                <w:i/>
              </w:rPr>
              <w:tab/>
            </w:r>
          </w:p>
        </w:tc>
      </w:tr>
      <w:tr w:rsidR="00151813" w:rsidRPr="000C1276" w14:paraId="0678409C" w14:textId="77777777" w:rsidTr="000E73AA">
        <w:trPr>
          <w:jc w:val="center"/>
        </w:trPr>
        <w:tc>
          <w:tcPr>
            <w:tcW w:w="9593" w:type="dxa"/>
            <w:shd w:val="clear" w:color="auto" w:fill="auto"/>
          </w:tcPr>
          <w:p w14:paraId="7FF8CA5D" w14:textId="1D757A5A" w:rsidR="00D75A92" w:rsidRPr="00412CE8" w:rsidRDefault="004200F6" w:rsidP="000E73AA">
            <w:pPr>
              <w:pStyle w:val="SingleTxtG"/>
              <w:rPr>
                <w:lang w:val="en-US"/>
              </w:rPr>
            </w:pPr>
            <w:r w:rsidRPr="004A61C5">
              <w:tab/>
            </w:r>
            <w:r w:rsidRPr="004A61C5">
              <w:tab/>
            </w:r>
            <w:r w:rsidR="009308A9">
              <w:t xml:space="preserve">In the present </w:t>
            </w:r>
            <w:r w:rsidR="00AC717D">
              <w:rPr>
                <w:lang w:val="en-US"/>
              </w:rPr>
              <w:t>report</w:t>
            </w:r>
            <w:r w:rsidR="009308A9">
              <w:rPr>
                <w:lang w:val="en-US"/>
              </w:rPr>
              <w:t xml:space="preserve">, the Special Rapporteur presents </w:t>
            </w:r>
            <w:r w:rsidR="00AC717D">
              <w:rPr>
                <w:lang w:val="en-US"/>
              </w:rPr>
              <w:t>the core analysis and findings of the</w:t>
            </w:r>
            <w:r w:rsidR="009308A9">
              <w:rPr>
                <w:lang w:val="en-US"/>
              </w:rPr>
              <w:t xml:space="preserve"> mandate’s</w:t>
            </w:r>
            <w:r w:rsidR="009F353A" w:rsidRPr="009F353A">
              <w:rPr>
                <w:lang w:val="en-US"/>
              </w:rPr>
              <w:t xml:space="preserve"> Global Study</w:t>
            </w:r>
            <w:r w:rsidR="009308A9">
              <w:rPr>
                <w:lang w:val="en-US"/>
              </w:rPr>
              <w:t xml:space="preserve"> on the impact of counter-terrorism measures on civil society and civic space. </w:t>
            </w:r>
            <w:r w:rsidR="009F353A" w:rsidRPr="009F353A">
              <w:rPr>
                <w:lang w:val="en-US"/>
              </w:rPr>
              <w:t>The Study</w:t>
            </w:r>
            <w:r w:rsidR="00AC717D">
              <w:rPr>
                <w:lang w:val="en-US"/>
              </w:rPr>
              <w:t xml:space="preserve"> </w:t>
            </w:r>
            <w:r w:rsidR="009308A9">
              <w:rPr>
                <w:lang w:val="en-US"/>
              </w:rPr>
              <w:t>and its data</w:t>
            </w:r>
            <w:r w:rsidR="00AC717D">
              <w:rPr>
                <w:lang w:val="en-US"/>
              </w:rPr>
              <w:t xml:space="preserve"> w</w:t>
            </w:r>
            <w:r w:rsidR="009308A9">
              <w:rPr>
                <w:lang w:val="en-US"/>
              </w:rPr>
              <w:t>ere</w:t>
            </w:r>
            <w:r w:rsidR="00AC717D">
              <w:rPr>
                <w:lang w:val="en-US"/>
              </w:rPr>
              <w:t xml:space="preserve"> published in June 2023</w:t>
            </w:r>
            <w:r w:rsidR="001C0D2D">
              <w:rPr>
                <w:lang w:val="en-US"/>
              </w:rPr>
              <w:t>,</w:t>
            </w:r>
            <w:r w:rsidR="00AC717D">
              <w:rPr>
                <w:lang w:val="en-US"/>
              </w:rPr>
              <w:t xml:space="preserve"> </w:t>
            </w:r>
            <w:r w:rsidR="009668AB">
              <w:rPr>
                <w:lang w:val="en-US"/>
              </w:rPr>
              <w:t>following a</w:t>
            </w:r>
            <w:r w:rsidR="009F353A" w:rsidRPr="009F353A">
              <w:rPr>
                <w:lang w:val="en-US"/>
              </w:rPr>
              <w:t xml:space="preserve"> </w:t>
            </w:r>
            <w:r w:rsidR="00A27612">
              <w:rPr>
                <w:lang w:val="en-US"/>
              </w:rPr>
              <w:t>global consultative process</w:t>
            </w:r>
            <w:r w:rsidR="00FD5ADC">
              <w:rPr>
                <w:lang w:val="en-US"/>
              </w:rPr>
              <w:t>.</w:t>
            </w:r>
            <w:r w:rsidR="009F353A" w:rsidRPr="009F353A">
              <w:rPr>
                <w:lang w:val="en-US"/>
              </w:rPr>
              <w:t xml:space="preserve"> </w:t>
            </w:r>
            <w:r w:rsidR="00FD5ADC">
              <w:rPr>
                <w:lang w:val="en-US"/>
              </w:rPr>
              <w:t xml:space="preserve">Data was collected and collated </w:t>
            </w:r>
            <w:r w:rsidR="001C0D2D">
              <w:rPr>
                <w:lang w:val="en-US"/>
              </w:rPr>
              <w:t>through</w:t>
            </w:r>
            <w:r w:rsidR="001C0D2D" w:rsidRPr="009F353A">
              <w:rPr>
                <w:lang w:val="en-US"/>
              </w:rPr>
              <w:t xml:space="preserve"> </w:t>
            </w:r>
            <w:r w:rsidR="009F353A" w:rsidRPr="009F353A">
              <w:rPr>
                <w:lang w:val="en-US"/>
              </w:rPr>
              <w:t>a participatory, civil society-engaged-and-led process</w:t>
            </w:r>
            <w:r w:rsidR="009668AB">
              <w:rPr>
                <w:lang w:val="en-US"/>
              </w:rPr>
              <w:t xml:space="preserve">. </w:t>
            </w:r>
            <w:r w:rsidR="00E310FC">
              <w:rPr>
                <w:lang w:val="en-US"/>
              </w:rPr>
              <w:t>This</w:t>
            </w:r>
            <w:r w:rsidR="009668AB">
              <w:rPr>
                <w:lang w:val="en-US"/>
              </w:rPr>
              <w:t xml:space="preserve"> </w:t>
            </w:r>
            <w:r w:rsidR="009F353A" w:rsidRPr="009F353A">
              <w:rPr>
                <w:lang w:val="en-US"/>
              </w:rPr>
              <w:t>compris</w:t>
            </w:r>
            <w:r w:rsidR="009668AB">
              <w:rPr>
                <w:lang w:val="en-US"/>
              </w:rPr>
              <w:t>ed</w:t>
            </w:r>
            <w:r w:rsidR="009F353A" w:rsidRPr="009F353A">
              <w:rPr>
                <w:lang w:val="en-US"/>
              </w:rPr>
              <w:t xml:space="preserve"> 13 civil society consultations across regions</w:t>
            </w:r>
            <w:r w:rsidR="009668AB">
              <w:rPr>
                <w:lang w:val="en-US"/>
              </w:rPr>
              <w:t>,</w:t>
            </w:r>
            <w:r w:rsidR="009F353A" w:rsidRPr="009F353A">
              <w:rPr>
                <w:lang w:val="en-US"/>
              </w:rPr>
              <w:t xml:space="preserve"> </w:t>
            </w:r>
            <w:r w:rsidR="00CB6198">
              <w:rPr>
                <w:lang w:val="en-US"/>
              </w:rPr>
              <w:t>110</w:t>
            </w:r>
            <w:r w:rsidR="009F353A" w:rsidRPr="009F353A">
              <w:rPr>
                <w:lang w:val="en-US"/>
              </w:rPr>
              <w:t xml:space="preserve"> written inputs</w:t>
            </w:r>
            <w:r w:rsidR="009308A9">
              <w:rPr>
                <w:lang w:val="en-US"/>
              </w:rPr>
              <w:t>,</w:t>
            </w:r>
            <w:r w:rsidR="009F353A" w:rsidRPr="009F353A">
              <w:rPr>
                <w:lang w:val="en-US"/>
              </w:rPr>
              <w:t xml:space="preserve"> </w:t>
            </w:r>
            <w:r w:rsidR="000F60CA">
              <w:rPr>
                <w:lang w:val="en-US"/>
              </w:rPr>
              <w:t>of which</w:t>
            </w:r>
            <w:r w:rsidR="000F60CA" w:rsidRPr="009F353A">
              <w:rPr>
                <w:lang w:val="en-US"/>
              </w:rPr>
              <w:t xml:space="preserve"> </w:t>
            </w:r>
            <w:r w:rsidR="009F353A" w:rsidRPr="00C70DD5">
              <w:rPr>
                <w:lang w:val="en-US"/>
              </w:rPr>
              <w:t>7</w:t>
            </w:r>
            <w:r w:rsidR="00CB6198" w:rsidRPr="00C70DD5">
              <w:rPr>
                <w:lang w:val="en-US"/>
              </w:rPr>
              <w:t>8</w:t>
            </w:r>
            <w:r w:rsidR="009F353A" w:rsidRPr="009F353A">
              <w:rPr>
                <w:lang w:val="en-US"/>
              </w:rPr>
              <w:t xml:space="preserve"> </w:t>
            </w:r>
            <w:r w:rsidR="009668AB">
              <w:rPr>
                <w:lang w:val="en-US"/>
              </w:rPr>
              <w:t>from</w:t>
            </w:r>
            <w:r w:rsidR="009668AB" w:rsidRPr="009F353A">
              <w:rPr>
                <w:lang w:val="en-US"/>
              </w:rPr>
              <w:t xml:space="preserve"> </w:t>
            </w:r>
            <w:r w:rsidR="009F353A" w:rsidRPr="009F353A">
              <w:rPr>
                <w:lang w:val="en-US"/>
              </w:rPr>
              <w:t xml:space="preserve">civil </w:t>
            </w:r>
            <w:r w:rsidR="009308A9" w:rsidRPr="009F353A">
              <w:rPr>
                <w:lang w:val="en-US"/>
              </w:rPr>
              <w:t>societ</w:t>
            </w:r>
            <w:r w:rsidR="009308A9">
              <w:rPr>
                <w:lang w:val="en-US"/>
              </w:rPr>
              <w:t>y</w:t>
            </w:r>
            <w:r w:rsidR="009668AB">
              <w:rPr>
                <w:lang w:val="en-US"/>
              </w:rPr>
              <w:t xml:space="preserve">, </w:t>
            </w:r>
            <w:r w:rsidR="00AC2F2A">
              <w:rPr>
                <w:lang w:val="en-US"/>
              </w:rPr>
              <w:t>and</w:t>
            </w:r>
            <w:r w:rsidR="009668AB">
              <w:rPr>
                <w:lang w:val="en-US"/>
              </w:rPr>
              <w:t xml:space="preserve"> </w:t>
            </w:r>
            <w:r w:rsidR="009F353A" w:rsidRPr="009F353A">
              <w:rPr>
                <w:lang w:val="en-US"/>
              </w:rPr>
              <w:t>2 civil society surveys</w:t>
            </w:r>
            <w:r w:rsidR="009308A9">
              <w:rPr>
                <w:lang w:val="en-US"/>
              </w:rPr>
              <w:t>.</w:t>
            </w:r>
            <w:r w:rsidR="009F353A" w:rsidRPr="009F353A">
              <w:rPr>
                <w:lang w:val="en-US"/>
              </w:rPr>
              <w:t xml:space="preserve"> </w:t>
            </w:r>
          </w:p>
        </w:tc>
      </w:tr>
      <w:tr w:rsidR="00E86449" w:rsidRPr="000C1276" w14:paraId="33733CF5" w14:textId="77777777" w:rsidTr="000E73AA">
        <w:trPr>
          <w:jc w:val="center"/>
        </w:trPr>
        <w:tc>
          <w:tcPr>
            <w:tcW w:w="9593" w:type="dxa"/>
            <w:shd w:val="clear" w:color="auto" w:fill="auto"/>
          </w:tcPr>
          <w:p w14:paraId="37E6FC8B" w14:textId="0EA7A416" w:rsidR="00E86449" w:rsidRPr="004A61C5" w:rsidRDefault="000E73AA" w:rsidP="000E73AA">
            <w:pPr>
              <w:pStyle w:val="SingleTxtG"/>
              <w:ind w:left="1170"/>
            </w:pPr>
            <w:r>
              <w:rPr>
                <w:lang w:val="en-US"/>
              </w:rPr>
              <w:tab/>
            </w:r>
            <w:r w:rsidRPr="009F353A">
              <w:rPr>
                <w:lang w:val="en-US"/>
              </w:rPr>
              <w:t xml:space="preserve">The Global Study documents </w:t>
            </w:r>
            <w:r>
              <w:rPr>
                <w:lang w:val="en-US"/>
              </w:rPr>
              <w:t>unrelenting</w:t>
            </w:r>
            <w:r w:rsidRPr="009F353A">
              <w:rPr>
                <w:lang w:val="en-US"/>
              </w:rPr>
              <w:t xml:space="preserve"> restrictions on civic space across every region and finds </w:t>
            </w:r>
            <w:r>
              <w:rPr>
                <w:lang w:val="en-US"/>
              </w:rPr>
              <w:t>a</w:t>
            </w:r>
            <w:r w:rsidRPr="009F353A">
              <w:rPr>
                <w:lang w:val="en-US"/>
              </w:rPr>
              <w:t xml:space="preserve"> direct link to the regulatory and institutional practices of </w:t>
            </w:r>
            <w:proofErr w:type="gramStart"/>
            <w:r w:rsidRPr="009F353A">
              <w:rPr>
                <w:lang w:val="en-US"/>
              </w:rPr>
              <w:t>counter-terrorism</w:t>
            </w:r>
            <w:proofErr w:type="gramEnd"/>
            <w:r>
              <w:rPr>
                <w:lang w:val="en-US"/>
              </w:rPr>
              <w:t xml:space="preserve"> </w:t>
            </w:r>
            <w:r w:rsidRPr="009F353A">
              <w:rPr>
                <w:lang w:val="en-US"/>
              </w:rPr>
              <w:t xml:space="preserve">and </w:t>
            </w:r>
            <w:r>
              <w:rPr>
                <w:lang w:val="en-US"/>
              </w:rPr>
              <w:t>P/CVE</w:t>
            </w:r>
            <w:r w:rsidRPr="009F353A">
              <w:rPr>
                <w:lang w:val="en-US"/>
              </w:rPr>
              <w:t xml:space="preserve">. </w:t>
            </w:r>
            <w:r>
              <w:rPr>
                <w:lang w:val="en-US"/>
              </w:rPr>
              <w:t>This Report</w:t>
            </w:r>
            <w:r w:rsidRPr="009F353A">
              <w:rPr>
                <w:lang w:val="en-US"/>
              </w:rPr>
              <w:t xml:space="preserve"> makes </w:t>
            </w:r>
            <w:r>
              <w:rPr>
                <w:lang w:val="en-US"/>
              </w:rPr>
              <w:t>five key</w:t>
            </w:r>
            <w:r w:rsidRPr="009F353A">
              <w:rPr>
                <w:lang w:val="en-US"/>
              </w:rPr>
              <w:t xml:space="preserve"> </w:t>
            </w:r>
            <w:r w:rsidRPr="009308A9">
              <w:rPr>
                <w:lang w:val="en-US"/>
              </w:rPr>
              <w:t>findings</w:t>
            </w:r>
            <w:r w:rsidRPr="009F353A">
              <w:rPr>
                <w:lang w:val="en-US"/>
              </w:rPr>
              <w:t xml:space="preserve"> regarding the conditions, features, and consequences of such systemic misuse</w:t>
            </w:r>
            <w:r>
              <w:rPr>
                <w:lang w:val="en-US"/>
              </w:rPr>
              <w:t xml:space="preserve">.  First, it finds that civil society </w:t>
            </w:r>
            <w:r w:rsidRPr="00254079">
              <w:rPr>
                <w:lang w:val="en-US"/>
              </w:rPr>
              <w:t xml:space="preserve">experiences complex and compounding misuse of </w:t>
            </w:r>
            <w:proofErr w:type="gramStart"/>
            <w:r w:rsidRPr="00254079">
              <w:rPr>
                <w:lang w:val="en-US"/>
              </w:rPr>
              <w:t>counter-terrorism</w:t>
            </w:r>
            <w:proofErr w:type="gramEnd"/>
            <w:r w:rsidRPr="00254079">
              <w:rPr>
                <w:lang w:val="en-US"/>
              </w:rPr>
              <w:t xml:space="preserve"> and P/CVE measures and practices</w:t>
            </w:r>
            <w:r w:rsidRPr="009F353A">
              <w:rPr>
                <w:lang w:val="en-US"/>
              </w:rPr>
              <w:t>, with connection</w:t>
            </w:r>
            <w:r>
              <w:rPr>
                <w:lang w:val="en-US"/>
              </w:rPr>
              <w:t>s</w:t>
            </w:r>
            <w:r w:rsidRPr="009F353A">
              <w:rPr>
                <w:lang w:val="en-US"/>
              </w:rPr>
              <w:t xml:space="preserve"> to an ever-growing </w:t>
            </w:r>
            <w:r>
              <w:rPr>
                <w:lang w:val="en-US"/>
              </w:rPr>
              <w:t xml:space="preserve">national, regional and global </w:t>
            </w:r>
            <w:r w:rsidRPr="009F353A">
              <w:rPr>
                <w:lang w:val="en-US"/>
              </w:rPr>
              <w:t>counter-terrorism, P/CVE and security architecture</w:t>
            </w:r>
            <w:r>
              <w:rPr>
                <w:lang w:val="en-US"/>
              </w:rPr>
              <w:t xml:space="preserve">. Second, </w:t>
            </w:r>
            <w:r w:rsidRPr="00A27612">
              <w:rPr>
                <w:lang w:val="en-US"/>
              </w:rPr>
              <w:t>the multiplicity of measures described are consistent and constant.</w:t>
            </w:r>
            <w:r w:rsidRPr="009F353A">
              <w:rPr>
                <w:lang w:val="en-US"/>
              </w:rPr>
              <w:t xml:space="preserve"> Moreover, certain regionally concentrated features of </w:t>
            </w:r>
            <w:proofErr w:type="gramStart"/>
            <w:r w:rsidRPr="009F353A">
              <w:rPr>
                <w:lang w:val="en-US"/>
              </w:rPr>
              <w:t>counter-terrorism</w:t>
            </w:r>
            <w:proofErr w:type="gramEnd"/>
            <w:r w:rsidRPr="009F353A">
              <w:rPr>
                <w:lang w:val="en-US"/>
              </w:rPr>
              <w:t xml:space="preserve"> and P/CVE </w:t>
            </w:r>
            <w:r>
              <w:rPr>
                <w:lang w:val="en-US"/>
              </w:rPr>
              <w:t>stem</w:t>
            </w:r>
            <w:r w:rsidRPr="009F353A">
              <w:rPr>
                <w:lang w:val="en-US"/>
              </w:rPr>
              <w:t xml:space="preserve"> from regional partnerships, donor relations, and multilateral technical assistance and capacity-building</w:t>
            </w:r>
            <w:r>
              <w:rPr>
                <w:lang w:val="en-US"/>
              </w:rPr>
              <w:t xml:space="preserve"> programs</w:t>
            </w:r>
            <w:r w:rsidRPr="009F353A">
              <w:rPr>
                <w:lang w:val="en-US"/>
              </w:rPr>
              <w:t xml:space="preserve">.  </w:t>
            </w:r>
            <w:r>
              <w:rPr>
                <w:lang w:val="en-US"/>
              </w:rPr>
              <w:t xml:space="preserve">Third, </w:t>
            </w:r>
            <w:r w:rsidRPr="00254079">
              <w:rPr>
                <w:lang w:val="en-US"/>
              </w:rPr>
              <w:t xml:space="preserve">when States deploy </w:t>
            </w:r>
            <w:proofErr w:type="gramStart"/>
            <w:r w:rsidRPr="00254079">
              <w:rPr>
                <w:lang w:val="en-US"/>
              </w:rPr>
              <w:t>counter-terrorism</w:t>
            </w:r>
            <w:proofErr w:type="gramEnd"/>
            <w:r w:rsidRPr="00254079">
              <w:rPr>
                <w:lang w:val="en-US"/>
              </w:rPr>
              <w:t xml:space="preserve"> or P/CVE measures they enter a realm of exceptionality where human rights deficits pervade and the normal rules of due process and procedural protections generally do not</w:t>
            </w:r>
            <w:r w:rsidRPr="009F353A">
              <w:rPr>
                <w:lang w:val="en-US"/>
              </w:rPr>
              <w:t xml:space="preserve"> apply, creating </w:t>
            </w:r>
            <w:r>
              <w:rPr>
                <w:lang w:val="en-US"/>
              </w:rPr>
              <w:t xml:space="preserve">sustained </w:t>
            </w:r>
            <w:r w:rsidRPr="009F353A">
              <w:rPr>
                <w:lang w:val="en-US"/>
              </w:rPr>
              <w:t xml:space="preserve">vulnerabilities to further and layered human rights violations. </w:t>
            </w:r>
            <w:r w:rsidRPr="00254079">
              <w:rPr>
                <w:lang w:val="en-US"/>
              </w:rPr>
              <w:t xml:space="preserve">The Study finds that misuse </w:t>
            </w:r>
            <w:r>
              <w:rPr>
                <w:lang w:val="en-US"/>
              </w:rPr>
              <w:t>is often</w:t>
            </w:r>
            <w:r w:rsidRPr="00254079">
              <w:rPr>
                <w:lang w:val="en-US"/>
              </w:rPr>
              <w:t xml:space="preserve"> </w:t>
            </w:r>
            <w:r>
              <w:rPr>
                <w:lang w:val="en-US"/>
              </w:rPr>
              <w:t>discriminatory, directed</w:t>
            </w:r>
            <w:r w:rsidRPr="009F353A">
              <w:rPr>
                <w:lang w:val="en-US"/>
              </w:rPr>
              <w:t xml:space="preserve"> against religious, </w:t>
            </w:r>
            <w:proofErr w:type="gramStart"/>
            <w:r w:rsidRPr="009F353A">
              <w:rPr>
                <w:lang w:val="en-US"/>
              </w:rPr>
              <w:t>ethnic</w:t>
            </w:r>
            <w:proofErr w:type="gramEnd"/>
            <w:r w:rsidRPr="009F353A">
              <w:rPr>
                <w:lang w:val="en-US"/>
              </w:rPr>
              <w:t xml:space="preserve"> and cultural minorities, women, girls and LGBT and gender-diverse persons, indigenous communities, and </w:t>
            </w:r>
            <w:r>
              <w:rPr>
                <w:lang w:val="en-US"/>
              </w:rPr>
              <w:t xml:space="preserve">other </w:t>
            </w:r>
            <w:r w:rsidRPr="009F353A">
              <w:rPr>
                <w:lang w:val="en-US"/>
              </w:rPr>
              <w:t xml:space="preserve">historically discriminated against groups in society. </w:t>
            </w:r>
            <w:r>
              <w:rPr>
                <w:lang w:val="en-US"/>
              </w:rPr>
              <w:t>Finally,</w:t>
            </w:r>
            <w:r w:rsidRPr="009F353A">
              <w:rPr>
                <w:lang w:val="en-US"/>
              </w:rPr>
              <w:t xml:space="preserve"> </w:t>
            </w:r>
            <w:r>
              <w:rPr>
                <w:lang w:val="en-US"/>
              </w:rPr>
              <w:t>t</w:t>
            </w:r>
            <w:r w:rsidRPr="009F353A">
              <w:rPr>
                <w:lang w:val="en-US"/>
              </w:rPr>
              <w:t xml:space="preserve">he Study finds </w:t>
            </w:r>
            <w:r>
              <w:rPr>
                <w:lang w:val="en-US"/>
              </w:rPr>
              <w:t>limited</w:t>
            </w:r>
            <w:r w:rsidRPr="009F353A">
              <w:rPr>
                <w:lang w:val="en-US"/>
              </w:rPr>
              <w:t xml:space="preserve"> </w:t>
            </w:r>
            <w:r w:rsidRPr="00CE7019">
              <w:rPr>
                <w:lang w:val="en-US"/>
              </w:rPr>
              <w:t xml:space="preserve">monitoring and evaluation </w:t>
            </w:r>
            <w:r>
              <w:rPr>
                <w:lang w:val="en-US"/>
              </w:rPr>
              <w:t>and/or</w:t>
            </w:r>
            <w:r w:rsidRPr="00CE7019">
              <w:rPr>
                <w:lang w:val="en-US"/>
              </w:rPr>
              <w:t xml:space="preserve"> independent oversight of </w:t>
            </w:r>
            <w:r>
              <w:rPr>
                <w:lang w:val="en-US"/>
              </w:rPr>
              <w:t>countering terrorism or P/CVE laws and programmin</w:t>
            </w:r>
            <w:r w:rsidRPr="00CB6198">
              <w:rPr>
                <w:lang w:val="en-US"/>
              </w:rPr>
              <w:t>g</w:t>
            </w:r>
            <w:r w:rsidRPr="00CB6198">
              <w:rPr>
                <w:b/>
                <w:bCs/>
                <w:lang w:val="en-US"/>
              </w:rPr>
              <w:t xml:space="preserve">. </w:t>
            </w:r>
            <w:r>
              <w:rPr>
                <w:lang w:val="en-US"/>
              </w:rPr>
              <w:t>Overall, a</w:t>
            </w:r>
            <w:r w:rsidRPr="001852CC">
              <w:rPr>
                <w:lang w:val="en-US"/>
              </w:rPr>
              <w:t xml:space="preserve">ccountability for violations of </w:t>
            </w:r>
            <w:proofErr w:type="gramStart"/>
            <w:r w:rsidRPr="001852CC">
              <w:rPr>
                <w:lang w:val="en-US"/>
              </w:rPr>
              <w:t>counter-terrorism</w:t>
            </w:r>
            <w:proofErr w:type="gramEnd"/>
            <w:r w:rsidRPr="001852CC">
              <w:rPr>
                <w:lang w:val="en-US"/>
              </w:rPr>
              <w:t xml:space="preserve"> related human rights abuses is either absent or deficient</w:t>
            </w:r>
            <w:r w:rsidRPr="001852CC">
              <w:rPr>
                <w:b/>
                <w:bCs/>
                <w:lang w:val="en-US"/>
              </w:rPr>
              <w:t>.</w:t>
            </w:r>
            <w:r>
              <w:rPr>
                <w:b/>
                <w:bCs/>
                <w:lang w:val="en-US"/>
              </w:rPr>
              <w:t xml:space="preserve"> </w:t>
            </w:r>
          </w:p>
        </w:tc>
      </w:tr>
      <w:tr w:rsidR="00E86449" w:rsidRPr="000C1276" w14:paraId="719587B5" w14:textId="77777777" w:rsidTr="000E73AA">
        <w:trPr>
          <w:jc w:val="center"/>
        </w:trPr>
        <w:tc>
          <w:tcPr>
            <w:tcW w:w="9593" w:type="dxa"/>
            <w:shd w:val="clear" w:color="auto" w:fill="auto"/>
          </w:tcPr>
          <w:p w14:paraId="14508F48" w14:textId="528C6ADD" w:rsidR="00E86449" w:rsidRPr="004A61C5" w:rsidRDefault="000E73AA" w:rsidP="000E73AA">
            <w:pPr>
              <w:pStyle w:val="SingleTxtG"/>
              <w:ind w:left="1170"/>
            </w:pPr>
            <w:r>
              <w:rPr>
                <w:lang w:val="en-US"/>
              </w:rPr>
              <w:tab/>
              <w:t xml:space="preserve">The Special Rapporteur further shares findings from her technical visits to the United States and the detention facility at the U.S. Naval Station, Guantanamo Bay, Cuba, and to the Northeast of the Syrian Arab Republic. She addresses several legal issues, including the question of responsibility under international law, in relation to the situation of mass and arbitrary detention of an estimated </w:t>
            </w:r>
            <w:r w:rsidRPr="00C70DD5">
              <w:rPr>
                <w:lang w:val="en-US"/>
              </w:rPr>
              <w:t>70,000</w:t>
            </w:r>
            <w:r>
              <w:rPr>
                <w:lang w:val="en-US"/>
              </w:rPr>
              <w:t xml:space="preserve"> persons in various detention facilities in the Northeast of Syria. The gross and systematic human rights violations, potentially implicating core crimes experienced by children are particularly highlighted.</w:t>
            </w:r>
          </w:p>
        </w:tc>
      </w:tr>
      <w:tr w:rsidR="00914756" w:rsidRPr="000C1276" w14:paraId="1463AA3E" w14:textId="77777777" w:rsidTr="000E73AA">
        <w:trPr>
          <w:jc w:val="center"/>
        </w:trPr>
        <w:tc>
          <w:tcPr>
            <w:tcW w:w="9593" w:type="dxa"/>
            <w:shd w:val="clear" w:color="auto" w:fill="auto"/>
          </w:tcPr>
          <w:p w14:paraId="467F155F" w14:textId="77777777" w:rsidR="00914756" w:rsidRPr="004A61C5" w:rsidRDefault="00914756" w:rsidP="00914756">
            <w:pPr>
              <w:pStyle w:val="SingleTxtG"/>
            </w:pPr>
          </w:p>
        </w:tc>
      </w:tr>
    </w:tbl>
    <w:p w14:paraId="5FBC1864" w14:textId="3F59BBCD" w:rsidR="004200F6" w:rsidRPr="00353010" w:rsidRDefault="00112244" w:rsidP="00412CE8">
      <w:pPr>
        <w:pStyle w:val="HChG"/>
        <w:ind w:left="0" w:firstLine="0"/>
      </w:pPr>
      <w:r w:rsidRPr="000C1276">
        <w:rPr>
          <w:highlight w:val="yellow"/>
        </w:rPr>
        <w:br w:type="page"/>
      </w:r>
      <w:r w:rsidR="004673EF" w:rsidRPr="00353010">
        <w:lastRenderedPageBreak/>
        <w:tab/>
      </w:r>
      <w:r w:rsidR="007A7DCB" w:rsidRPr="00353010">
        <w:t>I.</w:t>
      </w:r>
      <w:r w:rsidR="004673EF" w:rsidRPr="00353010">
        <w:tab/>
      </w:r>
      <w:r w:rsidR="004200F6" w:rsidRPr="00353010">
        <w:t>Introduction</w:t>
      </w:r>
    </w:p>
    <w:p w14:paraId="5BEA1A83" w14:textId="0D8C682F" w:rsidR="005127E9" w:rsidRDefault="00353010" w:rsidP="00AC717D">
      <w:pPr>
        <w:pStyle w:val="SingleTxtG"/>
        <w:numPr>
          <w:ilvl w:val="0"/>
          <w:numId w:val="15"/>
        </w:numPr>
        <w:ind w:left="1134" w:firstLine="0"/>
      </w:pPr>
      <w:r w:rsidRPr="00AC717D">
        <w:t>The present report</w:t>
      </w:r>
      <w:r w:rsidR="00D75A92">
        <w:t xml:space="preserve"> is submitted </w:t>
      </w:r>
      <w:r w:rsidRPr="00AC717D">
        <w:t xml:space="preserve">by the Special Rapporteur pursuant to General Assembly resolution </w:t>
      </w:r>
      <w:r w:rsidR="001F0976" w:rsidRPr="00AC717D">
        <w:t xml:space="preserve">72/180 </w:t>
      </w:r>
      <w:r w:rsidRPr="00AC717D">
        <w:t xml:space="preserve">and Human Rights Council resolution </w:t>
      </w:r>
      <w:r w:rsidR="001F0976" w:rsidRPr="00AC717D">
        <w:t>49</w:t>
      </w:r>
      <w:r w:rsidR="00AC717D" w:rsidRPr="00AC717D">
        <w:t>/</w:t>
      </w:r>
      <w:r w:rsidR="001F0976" w:rsidRPr="00AC717D">
        <w:t>10</w:t>
      </w:r>
      <w:r w:rsidRPr="00AC717D">
        <w:t xml:space="preserve">. The report analyses the </w:t>
      </w:r>
      <w:bookmarkStart w:id="1" w:name="_Hlk113578052"/>
      <w:r w:rsidRPr="00AC717D">
        <w:t xml:space="preserve">impact of </w:t>
      </w:r>
      <w:proofErr w:type="gramStart"/>
      <w:r w:rsidRPr="00AC717D">
        <w:t>counter-terrorism</w:t>
      </w:r>
      <w:proofErr w:type="gramEnd"/>
      <w:r w:rsidRPr="00AC717D">
        <w:t xml:space="preserve"> on</w:t>
      </w:r>
      <w:r w:rsidR="006226DC" w:rsidRPr="00AC717D">
        <w:t xml:space="preserve"> civil society and civic space</w:t>
      </w:r>
      <w:bookmarkEnd w:id="1"/>
      <w:r w:rsidR="00AC717D" w:rsidRPr="00AC717D">
        <w:t xml:space="preserve"> drawing directly from the Global Study published by the Special Rapporteur in June 2023</w:t>
      </w:r>
      <w:r w:rsidR="006226DC" w:rsidRPr="00AC717D">
        <w:t xml:space="preserve">. </w:t>
      </w:r>
    </w:p>
    <w:p w14:paraId="114080B5" w14:textId="09558810" w:rsidR="005127E9" w:rsidRPr="00AC717D" w:rsidRDefault="005127E9" w:rsidP="005127E9">
      <w:pPr>
        <w:pStyle w:val="SingleTxtG"/>
        <w:numPr>
          <w:ilvl w:val="0"/>
          <w:numId w:val="15"/>
        </w:numPr>
        <w:ind w:left="1134" w:firstLine="0"/>
      </w:pPr>
      <w:r>
        <w:rPr>
          <w:lang w:val="en-US"/>
        </w:rPr>
        <w:t xml:space="preserve">The Report also </w:t>
      </w:r>
      <w:r w:rsidR="00DA1C37">
        <w:rPr>
          <w:lang w:val="en-US"/>
        </w:rPr>
        <w:t>includes the full scope of activities of the Special Rapporteur</w:t>
      </w:r>
      <w:r w:rsidR="00BB4AF9">
        <w:rPr>
          <w:lang w:val="en-US"/>
        </w:rPr>
        <w:t xml:space="preserve"> and</w:t>
      </w:r>
      <w:r w:rsidR="00DA1C37">
        <w:rPr>
          <w:lang w:val="en-US"/>
        </w:rPr>
        <w:t xml:space="preserve"> </w:t>
      </w:r>
      <w:r w:rsidR="00CB6198">
        <w:rPr>
          <w:lang w:val="en-US"/>
        </w:rPr>
        <w:t>concludes by</w:t>
      </w:r>
      <w:r w:rsidR="00DA1C37">
        <w:rPr>
          <w:lang w:val="en-US"/>
        </w:rPr>
        <w:t xml:space="preserve"> </w:t>
      </w:r>
      <w:r>
        <w:rPr>
          <w:lang w:val="en-US"/>
        </w:rPr>
        <w:t>address</w:t>
      </w:r>
      <w:r w:rsidR="00DA1C37">
        <w:rPr>
          <w:lang w:val="en-US"/>
        </w:rPr>
        <w:t>ing</w:t>
      </w:r>
      <w:r>
        <w:rPr>
          <w:lang w:val="en-US"/>
        </w:rPr>
        <w:t xml:space="preserve"> responsibility for serious violations of international law arising from the continued </w:t>
      </w:r>
      <w:r w:rsidR="00BF67D1">
        <w:rPr>
          <w:lang w:val="en-US"/>
        </w:rPr>
        <w:t xml:space="preserve">mass </w:t>
      </w:r>
      <w:r>
        <w:rPr>
          <w:lang w:val="en-US"/>
        </w:rPr>
        <w:t>arbitrary detention</w:t>
      </w:r>
      <w:r w:rsidR="00CB6198">
        <w:rPr>
          <w:lang w:val="en-US"/>
        </w:rPr>
        <w:t xml:space="preserve">, </w:t>
      </w:r>
      <w:r w:rsidR="00D2751E">
        <w:rPr>
          <w:lang w:val="en-US"/>
        </w:rPr>
        <w:t xml:space="preserve">primarily </w:t>
      </w:r>
      <w:r w:rsidR="00DC578F">
        <w:rPr>
          <w:lang w:val="en-US"/>
        </w:rPr>
        <w:t xml:space="preserve">of </w:t>
      </w:r>
      <w:r w:rsidR="00D2751E">
        <w:rPr>
          <w:lang w:val="en-US"/>
        </w:rPr>
        <w:t>children</w:t>
      </w:r>
      <w:r w:rsidR="00CB6198">
        <w:rPr>
          <w:lang w:val="en-US"/>
        </w:rPr>
        <w:t>,</w:t>
      </w:r>
      <w:r>
        <w:rPr>
          <w:lang w:val="en-US"/>
        </w:rPr>
        <w:t xml:space="preserve"> in </w:t>
      </w:r>
      <w:r w:rsidR="007410B7">
        <w:rPr>
          <w:lang w:val="en-US"/>
        </w:rPr>
        <w:t xml:space="preserve">various </w:t>
      </w:r>
      <w:r>
        <w:rPr>
          <w:lang w:val="en-US"/>
        </w:rPr>
        <w:t xml:space="preserve">detention facilities in the Northeast of the Syrian Arab Republic. </w:t>
      </w:r>
    </w:p>
    <w:p w14:paraId="288EF454" w14:textId="4B7FEFA6" w:rsidR="009C1C58" w:rsidRPr="00AE2337" w:rsidRDefault="00AE2337" w:rsidP="00AE2337">
      <w:pPr>
        <w:pStyle w:val="HChG"/>
        <w:ind w:left="0" w:firstLine="0"/>
      </w:pPr>
      <w:r>
        <w:tab/>
      </w:r>
      <w:r w:rsidR="009C1C58" w:rsidRPr="00AE2337">
        <w:t>II.</w:t>
      </w:r>
      <w:r>
        <w:tab/>
      </w:r>
      <w:r w:rsidR="009C1C58" w:rsidRPr="00AE2337">
        <w:t>Activities of the Special Rapporteur</w:t>
      </w:r>
    </w:p>
    <w:p w14:paraId="68C9ED3A" w14:textId="31517F7E" w:rsidR="009C1C58" w:rsidRDefault="001852CC" w:rsidP="00182C7D">
      <w:pPr>
        <w:pStyle w:val="SingleTxtG"/>
        <w:numPr>
          <w:ilvl w:val="0"/>
          <w:numId w:val="15"/>
        </w:numPr>
        <w:ind w:left="1134" w:firstLine="0"/>
      </w:pPr>
      <w:r>
        <w:t>T</w:t>
      </w:r>
      <w:r w:rsidR="009C1C58">
        <w:t xml:space="preserve">he </w:t>
      </w:r>
      <w:r>
        <w:t>SR</w:t>
      </w:r>
      <w:r w:rsidR="009C1C58">
        <w:t xml:space="preserve"> prioritized sustained engagement with diverse Member States and regional groups.  She conducted a country visit to </w:t>
      </w:r>
      <w:r w:rsidR="009C1C58" w:rsidRPr="004F2E40">
        <w:rPr>
          <w:lang w:eastAsia="en-GB" w:bidi="he-IL"/>
        </w:rPr>
        <w:t>Bosnia-Herzegovina (13–20 January 2023</w:t>
      </w:r>
      <w:r w:rsidR="009C1C58">
        <w:rPr>
          <w:lang w:eastAsia="en-GB" w:bidi="he-IL"/>
        </w:rPr>
        <w:t xml:space="preserve">), and a joint thematic country visit to Germany and North-Macedonia (3-12 July 2023) addressing the repatriation, reintegration and prosecution of person returning from the Northeast of the Syrian Arab Republic. </w:t>
      </w:r>
    </w:p>
    <w:p w14:paraId="027B6CD3" w14:textId="129D28B7" w:rsidR="009C1C58" w:rsidRDefault="009C1C58" w:rsidP="00182C7D">
      <w:pPr>
        <w:pStyle w:val="SingleTxtG"/>
        <w:numPr>
          <w:ilvl w:val="0"/>
          <w:numId w:val="15"/>
        </w:numPr>
        <w:ind w:left="1134" w:firstLine="0"/>
      </w:pPr>
      <w:r>
        <w:t xml:space="preserve">The </w:t>
      </w:r>
      <w:r w:rsidR="001852CC">
        <w:t>SR</w:t>
      </w:r>
      <w:r>
        <w:t xml:space="preserve"> address</w:t>
      </w:r>
      <w:r w:rsidR="005A73D3">
        <w:t>ed</w:t>
      </w:r>
      <w:r>
        <w:t xml:space="preserve"> issues related to the interface between new technologies, counter-terrorism and human rights</w:t>
      </w:r>
      <w:r w:rsidR="005A73D3">
        <w:t>, notably in</w:t>
      </w:r>
      <w:r>
        <w:t xml:space="preserve"> </w:t>
      </w:r>
      <w:r w:rsidR="005A73D3">
        <w:t>h</w:t>
      </w:r>
      <w:r>
        <w:t xml:space="preserve">er </w:t>
      </w:r>
      <w:r w:rsidR="00FD5ADC">
        <w:t>r</w:t>
      </w:r>
      <w:r w:rsidR="00DC6B81">
        <w:t>eport</w:t>
      </w:r>
      <w:r>
        <w:t xml:space="preserve">  </w:t>
      </w:r>
      <w:r w:rsidR="005A73D3">
        <w:t xml:space="preserve">on </w:t>
      </w:r>
      <w:r>
        <w:t xml:space="preserve">the human rights implications of the development, use and transfer of new technologies in the context of counter-terrorism and </w:t>
      </w:r>
      <w:r w:rsidR="001852CC">
        <w:t>P/CVE</w:t>
      </w:r>
      <w:r w:rsidR="00FD5ADC">
        <w:t xml:space="preserve"> (A/HRC/52/39), and her</w:t>
      </w:r>
      <w:r>
        <w:t xml:space="preserve"> position paper on the </w:t>
      </w:r>
      <w:r w:rsidR="005127E9">
        <w:t>Global Regulation of the Counter-Terrorism Spyware Technology Trade.</w:t>
      </w:r>
      <w:r w:rsidR="002C39A8">
        <w:rPr>
          <w:rStyle w:val="FootnoteReference"/>
        </w:rPr>
        <w:footnoteReference w:id="3"/>
      </w:r>
      <w:r w:rsidR="005127E9">
        <w:t xml:space="preserve"> She attended </w:t>
      </w:r>
      <w:proofErr w:type="spellStart"/>
      <w:r w:rsidR="005127E9">
        <w:t>RightsCon</w:t>
      </w:r>
      <w:proofErr w:type="spellEnd"/>
      <w:r w:rsidR="005127E9">
        <w:t xml:space="preserve"> Costa Rica</w:t>
      </w:r>
      <w:r w:rsidR="00A56369">
        <w:t xml:space="preserve"> and a</w:t>
      </w:r>
      <w:r w:rsidR="00DC6B81">
        <w:t>ffirmed</w:t>
      </w:r>
      <w:r w:rsidR="00A56369">
        <w:t xml:space="preserve"> the necessity of global</w:t>
      </w:r>
      <w:r w:rsidR="002D5A61">
        <w:t xml:space="preserve"> and</w:t>
      </w:r>
      <w:r w:rsidR="00A56369">
        <w:t xml:space="preserve"> binding regulation of the Spyware industry</w:t>
      </w:r>
      <w:r w:rsidR="005127E9">
        <w:t xml:space="preserve"> (June 2023)</w:t>
      </w:r>
      <w:r w:rsidR="00CB6198">
        <w:t>.</w:t>
      </w:r>
    </w:p>
    <w:p w14:paraId="1455880C" w14:textId="6BC4F8A9" w:rsidR="005127E9" w:rsidRDefault="005127E9" w:rsidP="00182C7D">
      <w:pPr>
        <w:pStyle w:val="SingleTxtG"/>
        <w:numPr>
          <w:ilvl w:val="0"/>
          <w:numId w:val="15"/>
        </w:numPr>
        <w:ind w:left="1134" w:firstLine="0"/>
      </w:pPr>
      <w:r>
        <w:t xml:space="preserve">The </w:t>
      </w:r>
      <w:r w:rsidR="001852CC">
        <w:t>SR</w:t>
      </w:r>
      <w:r>
        <w:t xml:space="preserve"> issued several position papers and multiple communications regarding human rights violations engaged while countering terrorism finance. These include the position paper </w:t>
      </w:r>
      <w:r w:rsidR="007A4246">
        <w:t>addressing</w:t>
      </w:r>
      <w:r>
        <w:t xml:space="preserve"> Counter-Terrorism Financing Regulation of Crowdfunding, Virtual Assets and New Payment Technologies</w:t>
      </w:r>
      <w:r w:rsidR="002C39A8">
        <w:t xml:space="preserve">. She continued to engage closely with the FATF </w:t>
      </w:r>
      <w:r w:rsidR="001852CC">
        <w:t>attending</w:t>
      </w:r>
      <w:r w:rsidR="002C39A8">
        <w:t xml:space="preserve"> the Private Sector Consultative Forum in Vienna </w:t>
      </w:r>
      <w:r w:rsidR="00DC6B81">
        <w:t>(</w:t>
      </w:r>
      <w:r w:rsidR="002C39A8">
        <w:t>May 2023</w:t>
      </w:r>
      <w:r w:rsidR="00DC6B81">
        <w:t>)</w:t>
      </w:r>
      <w:r w:rsidR="002C39A8">
        <w:t>.</w:t>
      </w:r>
    </w:p>
    <w:p w14:paraId="61A97A8A" w14:textId="1D0AFF21" w:rsidR="002C39A8" w:rsidRDefault="002C39A8" w:rsidP="002C39A8">
      <w:pPr>
        <w:pStyle w:val="SingleTxtG"/>
        <w:numPr>
          <w:ilvl w:val="0"/>
          <w:numId w:val="15"/>
        </w:numPr>
        <w:ind w:left="1134" w:firstLine="0"/>
      </w:pPr>
      <w:r>
        <w:t xml:space="preserve">The </w:t>
      </w:r>
      <w:r w:rsidR="001852CC">
        <w:t>SR</w:t>
      </w:r>
      <w:r w:rsidR="0050553E">
        <w:t xml:space="preserve"> undertook </w:t>
      </w:r>
      <w:r w:rsidR="001852CC">
        <w:t xml:space="preserve">a </w:t>
      </w:r>
      <w:r w:rsidR="0050553E">
        <w:t xml:space="preserve">technical </w:t>
      </w:r>
      <w:r>
        <w:t>visit</w:t>
      </w:r>
      <w:r w:rsidR="0050553E">
        <w:t xml:space="preserve"> </w:t>
      </w:r>
      <w:r>
        <w:t xml:space="preserve">to the </w:t>
      </w:r>
      <w:r w:rsidR="00222A80">
        <w:t>United States and the detention facility at the U.S. Naval Station Guantánamo Bay</w:t>
      </w:r>
      <w:r w:rsidR="001852CC">
        <w:t>)</w:t>
      </w:r>
      <w:r w:rsidR="00222A80">
        <w:t xml:space="preserve">, marking the first official UN expert visit to the site. The visit </w:t>
      </w:r>
      <w:r w:rsidR="00CB6198">
        <w:t>took</w:t>
      </w:r>
      <w:r w:rsidR="00866E73">
        <w:t xml:space="preserve"> place over a three-month period as it </w:t>
      </w:r>
      <w:r>
        <w:t>comprised three parts</w:t>
      </w:r>
      <w:r w:rsidR="00CB6198">
        <w:t>: (i)</w:t>
      </w:r>
      <w:r>
        <w:t xml:space="preserve"> the rights of victims of the 11 September 2001 terrorist attacks</w:t>
      </w:r>
      <w:r w:rsidR="00CB6198">
        <w:t>; (ii)</w:t>
      </w:r>
      <w:r>
        <w:t xml:space="preserve"> the rights of detainees at the Guantánamo Bay detention facility</w:t>
      </w:r>
      <w:r w:rsidR="00CB6198">
        <w:t>;</w:t>
      </w:r>
      <w:r>
        <w:t xml:space="preserve"> and</w:t>
      </w:r>
      <w:r w:rsidR="00CB6198">
        <w:t xml:space="preserve"> (iii)</w:t>
      </w:r>
      <w:r>
        <w:t xml:space="preserve"> the rights of former detainees.</w:t>
      </w:r>
      <w:r w:rsidR="007C7CB9">
        <w:t xml:space="preserve"> </w:t>
      </w:r>
      <w:r>
        <w:t>The Special Rapporteur met with victims, survivors, and families of the 11 September 2001 terrorist attacks</w:t>
      </w:r>
      <w:r w:rsidR="004319C9">
        <w:t xml:space="preserve">. </w:t>
      </w:r>
      <w:r w:rsidR="00186A16">
        <w:t xml:space="preserve">She welcomed the </w:t>
      </w:r>
      <w:r w:rsidR="007C7CB9">
        <w:t>open and constructive engagement</w:t>
      </w:r>
      <w:r w:rsidR="00186A16">
        <w:t xml:space="preserve"> of the US Government to facilitate the technical visit </w:t>
      </w:r>
      <w:r w:rsidR="001852CC">
        <w:t>affirming</w:t>
      </w:r>
      <w:r w:rsidR="00CB6198">
        <w:t xml:space="preserve"> the </w:t>
      </w:r>
      <w:r w:rsidR="001852CC">
        <w:t xml:space="preserve">fundamental importance </w:t>
      </w:r>
      <w:r w:rsidR="00CB6198">
        <w:t>of access to all places of detention without exception.</w:t>
      </w:r>
    </w:p>
    <w:p w14:paraId="6D020DCA" w14:textId="161764B2" w:rsidR="00186A16" w:rsidRPr="00CD5A20" w:rsidRDefault="00CB6198" w:rsidP="00186A16">
      <w:pPr>
        <w:pStyle w:val="SingleTxtG"/>
        <w:numPr>
          <w:ilvl w:val="0"/>
          <w:numId w:val="15"/>
        </w:numPr>
        <w:ind w:left="1134" w:firstLine="0"/>
      </w:pPr>
      <w:r>
        <w:t xml:space="preserve">The </w:t>
      </w:r>
      <w:r w:rsidR="001852CC">
        <w:t>SR</w:t>
      </w:r>
      <w:r w:rsidRPr="00CD5A20">
        <w:t xml:space="preserve"> </w:t>
      </w:r>
      <w:r w:rsidR="004319C9" w:rsidRPr="00CD5A20">
        <w:t xml:space="preserve">held that </w:t>
      </w:r>
      <w:r w:rsidR="002C39A8" w:rsidRPr="00CD5A20">
        <w:t>the terrorist attacks of September 1</w:t>
      </w:r>
      <w:r w:rsidR="004319C9" w:rsidRPr="00CD5A20">
        <w:t xml:space="preserve">1 </w:t>
      </w:r>
      <w:r w:rsidR="002C39A8" w:rsidRPr="00CD5A20">
        <w:t>constitute a crime against humanity. S</w:t>
      </w:r>
      <w:r w:rsidR="00186A16" w:rsidRPr="00CD5A20">
        <w:t xml:space="preserve">he commended the significant legislative, social, </w:t>
      </w:r>
      <w:proofErr w:type="gramStart"/>
      <w:r w:rsidR="00186A16" w:rsidRPr="00CD5A20">
        <w:t>symbolic</w:t>
      </w:r>
      <w:proofErr w:type="gramEnd"/>
      <w:r w:rsidR="00186A16" w:rsidRPr="00CD5A20">
        <w:t xml:space="preserve"> and financial support to the victims of terrorism</w:t>
      </w:r>
      <w:r w:rsidR="004319C9" w:rsidRPr="00CD5A20">
        <w:t xml:space="preserve">, </w:t>
      </w:r>
      <w:r w:rsidR="0050553E" w:rsidRPr="00CD5A20">
        <w:t>but</w:t>
      </w:r>
      <w:r w:rsidR="004319C9" w:rsidRPr="00CD5A20">
        <w:t xml:space="preserve"> </w:t>
      </w:r>
      <w:r w:rsidR="00186A16" w:rsidRPr="00CD5A20">
        <w:t>found that gaps remain. Such gaps include the right to reparation</w:t>
      </w:r>
      <w:r>
        <w:t>s</w:t>
      </w:r>
      <w:r w:rsidR="00186A16" w:rsidRPr="00CD5A20">
        <w:t xml:space="preserve"> including comprehensive legislative provision to ensure the long-term security and reliability of </w:t>
      </w:r>
      <w:r w:rsidR="0050553E" w:rsidRPr="00CD5A20">
        <w:t xml:space="preserve">victim </w:t>
      </w:r>
      <w:r w:rsidR="00186A16" w:rsidRPr="00CD5A20">
        <w:t xml:space="preserve">compensation and medical entitlements. She upheld the rights of victims and found that the most significant </w:t>
      </w:r>
      <w:r>
        <w:t>impediment</w:t>
      </w:r>
      <w:r w:rsidRPr="00CD5A20">
        <w:t xml:space="preserve"> </w:t>
      </w:r>
      <w:r w:rsidR="00186A16" w:rsidRPr="00CD5A20">
        <w:t>to fulfil</w:t>
      </w:r>
      <w:r>
        <w:t>ment of the victims’</w:t>
      </w:r>
      <w:r w:rsidR="00186A16" w:rsidRPr="00CD5A20">
        <w:t xml:space="preserve"> rights to justice</w:t>
      </w:r>
      <w:r w:rsidR="004319C9" w:rsidRPr="00CD5A20">
        <w:t xml:space="preserve"> and </w:t>
      </w:r>
      <w:r w:rsidR="00186A16" w:rsidRPr="00CD5A20">
        <w:t>accountability</w:t>
      </w:r>
      <w:r w:rsidR="004319C9" w:rsidRPr="00CD5A20">
        <w:t xml:space="preserve"> </w:t>
      </w:r>
      <w:r w:rsidR="00186A16" w:rsidRPr="00CD5A20">
        <w:t xml:space="preserve">was the use of torture. Torture was a betrayal of </w:t>
      </w:r>
      <w:r w:rsidR="004319C9" w:rsidRPr="00CD5A20">
        <w:t xml:space="preserve">the rights of </w:t>
      </w:r>
      <w:r w:rsidR="00186A16" w:rsidRPr="00CD5A20">
        <w:t xml:space="preserve">victims. </w:t>
      </w:r>
    </w:p>
    <w:p w14:paraId="5B16766D" w14:textId="410E43E4" w:rsidR="00186A16" w:rsidRDefault="005A73D3" w:rsidP="00186A16">
      <w:pPr>
        <w:pStyle w:val="SingleTxtG"/>
        <w:numPr>
          <w:ilvl w:val="0"/>
          <w:numId w:val="15"/>
        </w:numPr>
        <w:ind w:left="1134" w:firstLine="0"/>
      </w:pPr>
      <w:r>
        <w:t>During the visit,</w:t>
      </w:r>
      <w:r w:rsidR="00186A16">
        <w:t xml:space="preserve"> the Special Rapporteur was given all requested access to detention facilities and detainees</w:t>
      </w:r>
      <w:r w:rsidR="004319C9">
        <w:t>, including</w:t>
      </w:r>
      <w:r w:rsidR="00CB6198">
        <w:t xml:space="preserve"> </w:t>
      </w:r>
      <w:r w:rsidR="004319C9">
        <w:t>“high-value” and “non-high value”</w:t>
      </w:r>
      <w:r w:rsidR="00186A16">
        <w:t>.</w:t>
      </w:r>
      <w:r w:rsidR="00DA1C37">
        <w:t xml:space="preserve"> She also met with </w:t>
      </w:r>
      <w:r w:rsidR="00DA1C37" w:rsidRPr="00DA1C37">
        <w:t xml:space="preserve">military and civilian personnel, military commission personnel, and </w:t>
      </w:r>
      <w:proofErr w:type="spellStart"/>
      <w:r w:rsidR="00DA1C37" w:rsidRPr="00DA1C37">
        <w:t>defense</w:t>
      </w:r>
      <w:proofErr w:type="spellEnd"/>
      <w:r w:rsidR="00DA1C37" w:rsidRPr="00DA1C37">
        <w:t xml:space="preserve"> lawyers</w:t>
      </w:r>
      <w:r w:rsidR="00CA04AC">
        <w:t>.</w:t>
      </w:r>
      <w:r w:rsidR="00186A16">
        <w:t xml:space="preserve"> Every detainee she met with continues to live with the unrelenting harm of rendition, torture, and arbitrary detention. Despite </w:t>
      </w:r>
      <w:r w:rsidR="004319C9">
        <w:t>significant improvements to the material conditions of confinement</w:t>
      </w:r>
      <w:r w:rsidR="00186A16">
        <w:t xml:space="preserve">, </w:t>
      </w:r>
      <w:r w:rsidR="00181348">
        <w:t>the</w:t>
      </w:r>
      <w:r w:rsidR="00BC5786">
        <w:t xml:space="preserve"> Special Rapporteur</w:t>
      </w:r>
      <w:r w:rsidR="00552DBB">
        <w:t xml:space="preserve"> </w:t>
      </w:r>
      <w:r w:rsidR="004319C9">
        <w:t xml:space="preserve">expressed serious concerns about the continued </w:t>
      </w:r>
      <w:r w:rsidR="004319C9">
        <w:lastRenderedPageBreak/>
        <w:t xml:space="preserve">detention of </w:t>
      </w:r>
      <w:r w:rsidR="002D5A61">
        <w:t xml:space="preserve">(then) </w:t>
      </w:r>
      <w:r w:rsidR="004319C9">
        <w:t>3</w:t>
      </w:r>
      <w:r w:rsidR="002D5A61">
        <w:t>4</w:t>
      </w:r>
      <w:r w:rsidR="004319C9">
        <w:t xml:space="preserve"> men and the systematic arbitrariness that pervades their day-to-day</w:t>
      </w:r>
      <w:r w:rsidR="00552DBB">
        <w:t xml:space="preserve"> life</w:t>
      </w:r>
      <w:r w:rsidR="004319C9">
        <w:t xml:space="preserve">, bringing severe insecurity, suffering, and anxiety to all, without exception. </w:t>
      </w:r>
      <w:r w:rsidR="00013B63">
        <w:t>She concluded that the</w:t>
      </w:r>
      <w:r w:rsidR="00BC5786">
        <w:t xml:space="preserve"> totality of practices and omissions have cumulative and compounding effects on detainees’ dignity and fundamental rights and amounts to cruel, </w:t>
      </w:r>
      <w:proofErr w:type="gramStart"/>
      <w:r w:rsidR="00BC5786">
        <w:t>inhuman</w:t>
      </w:r>
      <w:proofErr w:type="gramEnd"/>
      <w:r w:rsidR="00BC5786">
        <w:t xml:space="preserve"> and degrading treatment under international law. </w:t>
      </w:r>
      <w:r w:rsidR="00DA1C37">
        <w:t xml:space="preserve">The Special Rapporteur also met with repatriated and resettled detainees and their families, as well as government personnel in other countries. </w:t>
      </w:r>
      <w:r w:rsidR="00BC5786">
        <w:t xml:space="preserve"> For former detainees repatriated or resettled the Special Rapporteur remains </w:t>
      </w:r>
      <w:r w:rsidR="00181348">
        <w:t>intensely</w:t>
      </w:r>
      <w:r w:rsidR="00BC5786">
        <w:t xml:space="preserve"> concerned that the vast majority lack the means and support to live a dignified life </w:t>
      </w:r>
      <w:r w:rsidR="00CB6198">
        <w:t xml:space="preserve">realised through access to </w:t>
      </w:r>
      <w:r w:rsidR="00BC5786">
        <w:t>legal identi</w:t>
      </w:r>
      <w:r w:rsidR="00181348">
        <w:t>t</w:t>
      </w:r>
      <w:r w:rsidR="00BC5786">
        <w:t>y, health care, education, housing, family reunification, and freedom of movement. An adequate system of oversight and reparation must be established for those harmed through systematic practices of torture and rendition.  She highlighted ongoing concerns about the adequa</w:t>
      </w:r>
      <w:r w:rsidR="00181348">
        <w:t>cy</w:t>
      </w:r>
      <w:r w:rsidR="00BC5786">
        <w:t xml:space="preserve"> of non-refoulement protection for those being transferred</w:t>
      </w:r>
      <w:r w:rsidR="00181348">
        <w:t xml:space="preserve"> from the detention facility</w:t>
      </w:r>
      <w:r w:rsidR="00BC5786">
        <w:t>, including at the present time</w:t>
      </w:r>
      <w:r w:rsidR="00CB6198">
        <w:t>,</w:t>
      </w:r>
      <w:r w:rsidR="00206A67">
        <w:t xml:space="preserve"> and underscores the obligations of receiving States as well as the continued obligation</w:t>
      </w:r>
      <w:r w:rsidR="00CB6198">
        <w:t xml:space="preserve"> of the United States government</w:t>
      </w:r>
      <w:r w:rsidR="00206A67">
        <w:t xml:space="preserve"> in respect of persons who were tortured and arbitrarily detained</w:t>
      </w:r>
      <w:r w:rsidR="00CB6198">
        <w:t xml:space="preserve"> by it</w:t>
      </w:r>
      <w:r w:rsidR="00206A67">
        <w:t xml:space="preserve">. She underscores that there is no statute of limitations for torture as one of the gravest crimes recognized </w:t>
      </w:r>
      <w:r w:rsidR="004C6DB6">
        <w:t xml:space="preserve">by </w:t>
      </w:r>
      <w:r w:rsidR="00206A67">
        <w:t>international law and</w:t>
      </w:r>
      <w:r w:rsidR="00CB6198">
        <w:t xml:space="preserve"> abhorred by</w:t>
      </w:r>
      <w:r w:rsidR="00206A67">
        <w:t xml:space="preserve"> the community of nations.</w:t>
      </w:r>
    </w:p>
    <w:p w14:paraId="64C7D2BA" w14:textId="7AAF401D" w:rsidR="00DA1C37" w:rsidRDefault="007A7DCB" w:rsidP="002919EC">
      <w:pPr>
        <w:pStyle w:val="HChG"/>
        <w:tabs>
          <w:tab w:val="clear" w:pos="851"/>
        </w:tabs>
        <w:ind w:hanging="564"/>
      </w:pPr>
      <w:r w:rsidRPr="00AE2337">
        <w:t>II</w:t>
      </w:r>
      <w:r w:rsidR="00B61E0F" w:rsidRPr="00AE2337">
        <w:t>I</w:t>
      </w:r>
      <w:r w:rsidR="00AE2337">
        <w:t>.</w:t>
      </w:r>
      <w:r w:rsidR="00AE2337">
        <w:tab/>
      </w:r>
      <w:r w:rsidR="00AE2337" w:rsidRPr="00AE2337">
        <w:t>Presentation of the global study on the impact of counter-terrorism measures on civil society &amp; civic space</w:t>
      </w:r>
      <w:r w:rsidR="009B17E5">
        <w:rPr>
          <w:rStyle w:val="FootnoteReference"/>
        </w:rPr>
        <w:footnoteReference w:id="4"/>
      </w:r>
    </w:p>
    <w:p w14:paraId="1B578C4D" w14:textId="6636B179" w:rsidR="00AC717D" w:rsidRPr="00B83904" w:rsidRDefault="0074456D" w:rsidP="00343245">
      <w:pPr>
        <w:pStyle w:val="H1G"/>
        <w:rPr>
          <w:lang w:val="en-US"/>
        </w:rPr>
      </w:pPr>
      <w:r>
        <w:rPr>
          <w:lang w:val="en-US"/>
        </w:rPr>
        <w:tab/>
        <w:t>A.</w:t>
      </w:r>
      <w:r>
        <w:rPr>
          <w:lang w:val="en-US"/>
        </w:rPr>
        <w:tab/>
        <w:t>Introduction</w:t>
      </w:r>
    </w:p>
    <w:p w14:paraId="1A72779E" w14:textId="09F84503" w:rsidR="003B4F2A" w:rsidRPr="00AC717D" w:rsidRDefault="00DA1C37" w:rsidP="00AB1002">
      <w:pPr>
        <w:pStyle w:val="SingleTxtG"/>
        <w:numPr>
          <w:ilvl w:val="0"/>
          <w:numId w:val="15"/>
        </w:numPr>
        <w:ind w:left="1170" w:firstLine="0"/>
      </w:pPr>
      <w:r w:rsidRPr="009B17E5">
        <w:rPr>
          <w:color w:val="000000"/>
        </w:rPr>
        <w:t xml:space="preserve">Civil society plays an extraordinarily important role in </w:t>
      </w:r>
      <w:r w:rsidR="00CB6198">
        <w:rPr>
          <w:color w:val="000000"/>
        </w:rPr>
        <w:t xml:space="preserve">ensuring </w:t>
      </w:r>
      <w:r w:rsidRPr="009B17E5">
        <w:rPr>
          <w:color w:val="000000"/>
        </w:rPr>
        <w:t xml:space="preserve">the well-being, vibrancy, diversity, and functionality of all </w:t>
      </w:r>
      <w:r w:rsidRPr="009B17E5">
        <w:rPr>
          <w:color w:val="000000" w:themeColor="text1"/>
        </w:rPr>
        <w:t>societies</w:t>
      </w:r>
      <w:r w:rsidRPr="009B17E5">
        <w:rPr>
          <w:color w:val="000000"/>
        </w:rPr>
        <w:t xml:space="preserve">. </w:t>
      </w:r>
      <w:r w:rsidR="00CB6198">
        <w:rPr>
          <w:color w:val="000000" w:themeColor="text1"/>
        </w:rPr>
        <w:t>Undue</w:t>
      </w:r>
      <w:r w:rsidRPr="009B17E5">
        <w:rPr>
          <w:color w:val="000000" w:themeColor="text1"/>
        </w:rPr>
        <w:t xml:space="preserve"> restrictions on civil society undermine long-term </w:t>
      </w:r>
      <w:proofErr w:type="gramStart"/>
      <w:r w:rsidRPr="009B17E5">
        <w:rPr>
          <w:color w:val="000000" w:themeColor="text1"/>
        </w:rPr>
        <w:t>counter-terrorism</w:t>
      </w:r>
      <w:proofErr w:type="gramEnd"/>
      <w:r w:rsidRPr="009B17E5">
        <w:rPr>
          <w:color w:val="000000" w:themeColor="text1"/>
        </w:rPr>
        <w:t xml:space="preserve"> and prevention of violence strategies, as well as governance, sustainable development, peacebuilding, gender equality, and conflict resolution priorities</w:t>
      </w:r>
      <w:r w:rsidR="009B17E5">
        <w:rPr>
          <w:color w:val="000000" w:themeColor="text1"/>
        </w:rPr>
        <w:t>.</w:t>
      </w:r>
    </w:p>
    <w:p w14:paraId="393F4C96" w14:textId="2B7EA7EE" w:rsidR="003B4F2A" w:rsidRDefault="00DA1C37" w:rsidP="00562307">
      <w:pPr>
        <w:pStyle w:val="SingleTxtG"/>
        <w:numPr>
          <w:ilvl w:val="0"/>
          <w:numId w:val="15"/>
        </w:numPr>
        <w:ind w:left="1170" w:firstLine="0"/>
      </w:pPr>
      <w:r w:rsidRPr="00751948">
        <w:rPr>
          <w:color w:val="000000"/>
        </w:rPr>
        <w:t>Despite the virtues and benefits of fostering civil society and the civic space, both have experienced significant challenge</w:t>
      </w:r>
      <w:r w:rsidRPr="00751948">
        <w:rPr>
          <w:color w:val="000000" w:themeColor="text1"/>
        </w:rPr>
        <w:t>s</w:t>
      </w:r>
      <w:r w:rsidRPr="00751948">
        <w:rPr>
          <w:color w:val="000000"/>
        </w:rPr>
        <w:t xml:space="preserve"> across the globe in recent decades.</w:t>
      </w:r>
      <w:r w:rsidRPr="00751948">
        <w:rPr>
          <w:rStyle w:val="FootnoteReference"/>
          <w:color w:val="000000" w:themeColor="text1"/>
        </w:rPr>
        <w:t xml:space="preserve"> </w:t>
      </w:r>
      <w:r w:rsidRPr="00751948">
        <w:rPr>
          <w:color w:val="000000"/>
        </w:rPr>
        <w:t xml:space="preserve"> </w:t>
      </w:r>
      <w:r w:rsidRPr="00751948">
        <w:rPr>
          <w:color w:val="000000" w:themeColor="text1"/>
        </w:rPr>
        <w:t>Today, just 3.2% of the world’s population lives in countries with open civic space, 11.3% lived in countries where civic space has narrowed, 14.9% in countries where civic space is obstructed, 42.2% in countries where civic space is repressed, and 28.5% where civic space is closed.</w:t>
      </w:r>
      <w:r w:rsidRPr="00751948">
        <w:rPr>
          <w:rStyle w:val="FootnoteReference"/>
          <w:color w:val="000000"/>
        </w:rPr>
        <w:footnoteReference w:id="5"/>
      </w:r>
      <w:r w:rsidRPr="003B4F2A">
        <w:rPr>
          <w:color w:val="000000" w:themeColor="text1"/>
        </w:rPr>
        <w:t xml:space="preserve"> </w:t>
      </w:r>
      <w:r w:rsidR="00DC6B81">
        <w:rPr>
          <w:color w:val="000000" w:themeColor="text1"/>
        </w:rPr>
        <w:t xml:space="preserve">Building on her </w:t>
      </w:r>
      <w:r w:rsidRPr="003B4F2A">
        <w:rPr>
          <w:color w:val="000000"/>
        </w:rPr>
        <w:t>2019</w:t>
      </w:r>
      <w:r w:rsidRPr="003B4F2A">
        <w:rPr>
          <w:color w:val="000000" w:themeColor="text1"/>
        </w:rPr>
        <w:t xml:space="preserve"> </w:t>
      </w:r>
      <w:r w:rsidR="00562307">
        <w:rPr>
          <w:color w:val="000000" w:themeColor="text1"/>
        </w:rPr>
        <w:t xml:space="preserve">HRC </w:t>
      </w:r>
      <w:r w:rsidRPr="003B4F2A">
        <w:rPr>
          <w:color w:val="000000" w:themeColor="text1"/>
        </w:rPr>
        <w:t xml:space="preserve">report, the </w:t>
      </w:r>
      <w:r w:rsidR="00D35C4F">
        <w:rPr>
          <w:color w:val="000000" w:themeColor="text1"/>
        </w:rPr>
        <w:t>SR</w:t>
      </w:r>
      <w:r w:rsidRPr="003B4F2A">
        <w:rPr>
          <w:color w:val="000000" w:themeColor="text1"/>
        </w:rPr>
        <w:t xml:space="preserve">  explored </w:t>
      </w:r>
      <w:r w:rsidRPr="003B4F2A">
        <w:rPr>
          <w:color w:val="000000"/>
        </w:rPr>
        <w:t xml:space="preserve">the </w:t>
      </w:r>
      <w:r w:rsidRPr="003B4F2A">
        <w:rPr>
          <w:color w:val="000000" w:themeColor="text1"/>
        </w:rPr>
        <w:t xml:space="preserve">interface </w:t>
      </w:r>
      <w:r w:rsidRPr="003B4F2A" w:rsidDel="00CA10DE">
        <w:rPr>
          <w:color w:val="000000" w:themeColor="text1"/>
        </w:rPr>
        <w:t xml:space="preserve">between the  </w:t>
      </w:r>
      <w:r w:rsidRPr="003B4F2A">
        <w:rPr>
          <w:color w:val="000000"/>
        </w:rPr>
        <w:t>proliferation of counter-terrorism norms</w:t>
      </w:r>
      <w:r w:rsidR="00562307">
        <w:rPr>
          <w:color w:val="000000"/>
        </w:rPr>
        <w:t>,</w:t>
      </w:r>
      <w:r w:rsidRPr="003B4F2A">
        <w:rPr>
          <w:color w:val="000000"/>
        </w:rPr>
        <w:t xml:space="preserve"> institutions post 9/11</w:t>
      </w:r>
      <w:r w:rsidR="00562307">
        <w:rPr>
          <w:color w:val="000000"/>
        </w:rPr>
        <w:t>,</w:t>
      </w:r>
      <w:r w:rsidRPr="003B4F2A">
        <w:rPr>
          <w:color w:val="000000"/>
        </w:rPr>
        <w:t xml:space="preserve"> and the constriction of civic space</w:t>
      </w:r>
      <w:r w:rsidR="00DC6B81">
        <w:rPr>
          <w:color w:val="000000"/>
        </w:rPr>
        <w:t>, affirm</w:t>
      </w:r>
      <w:r w:rsidR="00562307">
        <w:rPr>
          <w:color w:val="000000"/>
        </w:rPr>
        <w:t>ing</w:t>
      </w:r>
      <w:r w:rsidR="00DC6B81">
        <w:rPr>
          <w:color w:val="000000"/>
        </w:rPr>
        <w:t xml:space="preserve"> the</w:t>
      </w:r>
      <w:r w:rsidR="00DC6B81" w:rsidRPr="003B4F2A">
        <w:rPr>
          <w:color w:val="222222"/>
        </w:rPr>
        <w:t xml:space="preserve"> resilience, capacity, and innovation of civil society </w:t>
      </w:r>
      <w:r w:rsidR="00DC6B81">
        <w:rPr>
          <w:color w:val="222222"/>
        </w:rPr>
        <w:t>in the face of immense challenges</w:t>
      </w:r>
      <w:r w:rsidRPr="003B4F2A">
        <w:rPr>
          <w:color w:val="000000"/>
        </w:rPr>
        <w:t>.</w:t>
      </w:r>
      <w:r w:rsidR="000D06B8">
        <w:rPr>
          <w:rStyle w:val="FootnoteReference"/>
          <w:color w:val="222222"/>
        </w:rPr>
        <w:footnoteReference w:id="6"/>
      </w:r>
    </w:p>
    <w:p w14:paraId="70DA1ABA" w14:textId="4997DF72" w:rsidR="003B4F2A" w:rsidRPr="00C71AC9" w:rsidRDefault="003B4F2A" w:rsidP="00C71AC9">
      <w:pPr>
        <w:pStyle w:val="SingleTxtG"/>
        <w:numPr>
          <w:ilvl w:val="0"/>
          <w:numId w:val="15"/>
        </w:numPr>
        <w:ind w:left="1170" w:firstLine="0"/>
      </w:pPr>
      <w:r w:rsidRPr="003B4F2A">
        <w:rPr>
          <w:lang w:val="en-US"/>
        </w:rPr>
        <w:t xml:space="preserve">The Study </w:t>
      </w:r>
      <w:r>
        <w:rPr>
          <w:lang w:val="en-US"/>
        </w:rPr>
        <w:t xml:space="preserve">begins with a </w:t>
      </w:r>
      <w:r w:rsidRPr="003B4F2A">
        <w:rPr>
          <w:lang w:val="en-US"/>
        </w:rPr>
        <w:t xml:space="preserve">close examination of the ever-expanding </w:t>
      </w:r>
      <w:proofErr w:type="gramStart"/>
      <w:r w:rsidRPr="003B4F2A">
        <w:rPr>
          <w:lang w:val="en-US"/>
        </w:rPr>
        <w:t>counter-terrorism</w:t>
      </w:r>
      <w:proofErr w:type="gramEnd"/>
      <w:r w:rsidRPr="003B4F2A">
        <w:rPr>
          <w:lang w:val="en-US"/>
        </w:rPr>
        <w:t xml:space="preserve"> and </w:t>
      </w:r>
      <w:r w:rsidR="00CB6198">
        <w:rPr>
          <w:lang w:val="en-US"/>
        </w:rPr>
        <w:t>P/CVE</w:t>
      </w:r>
      <w:r w:rsidRPr="003B4F2A">
        <w:rPr>
          <w:lang w:val="en-US"/>
        </w:rPr>
        <w:t xml:space="preserve"> architecture and provides observations on critical topics that underpin the range of impacts </w:t>
      </w:r>
      <w:r w:rsidR="00C5061E">
        <w:rPr>
          <w:lang w:val="en-US"/>
        </w:rPr>
        <w:t>that</w:t>
      </w:r>
      <w:r w:rsidRPr="003B4F2A">
        <w:rPr>
          <w:lang w:val="en-US"/>
        </w:rPr>
        <w:t xml:space="preserve"> counter-terrorism and </w:t>
      </w:r>
      <w:r w:rsidR="00CB6198">
        <w:rPr>
          <w:lang w:val="en-US"/>
        </w:rPr>
        <w:t>P/CVE</w:t>
      </w:r>
      <w:r w:rsidRPr="003B4F2A">
        <w:rPr>
          <w:lang w:val="en-US"/>
        </w:rPr>
        <w:t xml:space="preserve"> measures </w:t>
      </w:r>
      <w:r w:rsidR="00C5061E">
        <w:rPr>
          <w:lang w:val="en-US"/>
        </w:rPr>
        <w:t xml:space="preserve">have </w:t>
      </w:r>
      <w:r w:rsidRPr="003B4F2A">
        <w:rPr>
          <w:lang w:val="en-US"/>
        </w:rPr>
        <w:t xml:space="preserve">on civil society and civic space. </w:t>
      </w:r>
      <w:r w:rsidR="00147CD8">
        <w:rPr>
          <w:lang w:val="en-US"/>
        </w:rPr>
        <w:t>It</w:t>
      </w:r>
      <w:r w:rsidR="00C5061E" w:rsidRPr="003B4F2A">
        <w:rPr>
          <w:lang w:val="en-US"/>
        </w:rPr>
        <w:t xml:space="preserve"> </w:t>
      </w:r>
      <w:r w:rsidR="00CB6198">
        <w:rPr>
          <w:lang w:val="en-US"/>
        </w:rPr>
        <w:t>goes on to</w:t>
      </w:r>
      <w:r w:rsidR="00CB6198" w:rsidRPr="003B4F2A">
        <w:rPr>
          <w:lang w:val="en-US"/>
        </w:rPr>
        <w:t xml:space="preserve"> </w:t>
      </w:r>
      <w:r w:rsidRPr="003B4F2A">
        <w:rPr>
          <w:lang w:val="en-US"/>
        </w:rPr>
        <w:t>detail the “playbook of misuse</w:t>
      </w:r>
      <w:r w:rsidR="00CB6198">
        <w:rPr>
          <w:lang w:val="en-US"/>
        </w:rPr>
        <w:t>.</w:t>
      </w:r>
      <w:r w:rsidRPr="003B4F2A">
        <w:rPr>
          <w:lang w:val="en-US"/>
        </w:rPr>
        <w:t xml:space="preserve">” </w:t>
      </w:r>
      <w:r w:rsidR="00CB6198">
        <w:rPr>
          <w:lang w:val="en-US"/>
        </w:rPr>
        <w:t>This includes measures ranging from</w:t>
      </w:r>
      <w:r w:rsidRPr="003B4F2A">
        <w:rPr>
          <w:lang w:val="en-US"/>
        </w:rPr>
        <w:t xml:space="preserve"> judicial harassment and fair trial violation</w:t>
      </w:r>
      <w:r w:rsidR="00CB6198">
        <w:rPr>
          <w:lang w:val="en-US"/>
        </w:rPr>
        <w:t>s to</w:t>
      </w:r>
      <w:r w:rsidRPr="003B4F2A">
        <w:rPr>
          <w:lang w:val="en-US"/>
        </w:rPr>
        <w:t xml:space="preserve"> administrative measures absent procedural safeguards, the misuse and misapplication of counter-terrorism financing measures</w:t>
      </w:r>
      <w:r w:rsidR="00CB6198">
        <w:rPr>
          <w:lang w:val="en-US"/>
        </w:rPr>
        <w:t>,</w:t>
      </w:r>
      <w:r w:rsidRPr="003B4F2A">
        <w:rPr>
          <w:lang w:val="en-US"/>
        </w:rPr>
        <w:t xml:space="preserve"> </w:t>
      </w:r>
      <w:r w:rsidR="00CB6198">
        <w:rPr>
          <w:lang w:val="en-US"/>
        </w:rPr>
        <w:t>the</w:t>
      </w:r>
      <w:r w:rsidRPr="003B4F2A">
        <w:rPr>
          <w:lang w:val="en-US"/>
        </w:rPr>
        <w:t xml:space="preserve"> humanitarian</w:t>
      </w:r>
      <w:r w:rsidR="00CB6198">
        <w:rPr>
          <w:lang w:val="en-US"/>
        </w:rPr>
        <w:t xml:space="preserve"> and human rights</w:t>
      </w:r>
      <w:r w:rsidRPr="003B4F2A">
        <w:rPr>
          <w:lang w:val="en-US"/>
        </w:rPr>
        <w:t xml:space="preserve"> harms of sanctions and listing</w:t>
      </w:r>
      <w:r w:rsidR="00CB6198">
        <w:rPr>
          <w:lang w:val="en-US"/>
        </w:rPr>
        <w:t>,</w:t>
      </w:r>
      <w:r w:rsidRPr="003B4F2A">
        <w:rPr>
          <w:lang w:val="en-US"/>
        </w:rPr>
        <w:t xml:space="preserve"> and the weaponization of new technologies against civil society. </w:t>
      </w:r>
      <w:r w:rsidR="00C5061E">
        <w:rPr>
          <w:lang w:val="en-US"/>
        </w:rPr>
        <w:t>The “playbook” covered by</w:t>
      </w:r>
      <w:r w:rsidRPr="003B4F2A">
        <w:rPr>
          <w:lang w:val="en-US"/>
        </w:rPr>
        <w:t xml:space="preserve"> the Global Study presents unique findings and data specific to the trends observed by Governments, civil society, the international community, including UN </w:t>
      </w:r>
      <w:r w:rsidR="00392766">
        <w:rPr>
          <w:lang w:val="en-US"/>
        </w:rPr>
        <w:t>SPs</w:t>
      </w:r>
      <w:r w:rsidRPr="003B4F2A">
        <w:rPr>
          <w:lang w:val="en-US"/>
        </w:rPr>
        <w:t xml:space="preserve"> mechanisms</w:t>
      </w:r>
      <w:r w:rsidRPr="00CB6198">
        <w:rPr>
          <w:lang w:val="en-US"/>
        </w:rPr>
        <w:t>, as well as original research.</w:t>
      </w:r>
      <w:r w:rsidR="00E20510">
        <w:rPr>
          <w:lang w:val="en-US"/>
        </w:rPr>
        <w:t xml:space="preserve"> While all topics addressed in the Global Study are presented in this report, </w:t>
      </w:r>
      <w:r w:rsidR="00FD5ADC">
        <w:rPr>
          <w:lang w:val="en-US"/>
        </w:rPr>
        <w:t xml:space="preserve">detailed </w:t>
      </w:r>
      <w:r w:rsidR="00E20510">
        <w:rPr>
          <w:lang w:val="en-US"/>
        </w:rPr>
        <w:t>findings and observations can be found in the</w:t>
      </w:r>
      <w:r w:rsidR="00C5061E">
        <w:rPr>
          <w:lang w:val="en-US"/>
        </w:rPr>
        <w:t xml:space="preserve"> full </w:t>
      </w:r>
      <w:r w:rsidR="00E20510">
        <w:rPr>
          <w:lang w:val="en-US"/>
        </w:rPr>
        <w:t>report</w:t>
      </w:r>
      <w:r w:rsidR="008D582A">
        <w:rPr>
          <w:lang w:val="en-US"/>
        </w:rPr>
        <w:t>.</w:t>
      </w:r>
      <w:r w:rsidR="008D582A">
        <w:rPr>
          <w:rStyle w:val="FootnoteReference"/>
          <w:lang w:val="en-US"/>
        </w:rPr>
        <w:footnoteReference w:id="7"/>
      </w:r>
    </w:p>
    <w:p w14:paraId="2F817703" w14:textId="1241A448" w:rsidR="003B4F2A" w:rsidRPr="0074456D" w:rsidRDefault="0074456D" w:rsidP="00343245">
      <w:pPr>
        <w:pStyle w:val="H1G"/>
      </w:pPr>
      <w:r>
        <w:lastRenderedPageBreak/>
        <w:tab/>
        <w:t>B.</w:t>
      </w:r>
      <w:r>
        <w:tab/>
      </w:r>
      <w:r w:rsidRPr="0074456D">
        <w:t>The playbook of misuse</w:t>
      </w:r>
    </w:p>
    <w:p w14:paraId="32BF12E8" w14:textId="2BC8A16B" w:rsidR="0070703D" w:rsidRPr="00077BAB" w:rsidRDefault="0074456D" w:rsidP="00343245">
      <w:pPr>
        <w:pStyle w:val="H23G"/>
      </w:pPr>
      <w:r>
        <w:tab/>
        <w:t>(a)</w:t>
      </w:r>
      <w:r w:rsidR="002F5CFF" w:rsidRPr="002F5CFF">
        <w:tab/>
      </w:r>
      <w:r w:rsidR="003B4F2A" w:rsidRPr="00AC717D">
        <w:rPr>
          <w:lang w:val="en-US"/>
        </w:rPr>
        <w:t xml:space="preserve">Judicial Harassment </w:t>
      </w:r>
      <w:r w:rsidR="003B4F2A">
        <w:rPr>
          <w:lang w:val="en-US"/>
        </w:rPr>
        <w:t>a</w:t>
      </w:r>
      <w:r w:rsidR="003B4F2A" w:rsidRPr="00AC717D">
        <w:rPr>
          <w:lang w:val="en-US"/>
        </w:rPr>
        <w:t>nd Fair Trial Violations</w:t>
      </w:r>
    </w:p>
    <w:p w14:paraId="6D611750" w14:textId="3A6E3297" w:rsidR="003B4F2A" w:rsidRPr="009B17E5" w:rsidRDefault="00AC717D" w:rsidP="00C71AC9">
      <w:pPr>
        <w:pStyle w:val="SingleTxtG"/>
        <w:numPr>
          <w:ilvl w:val="0"/>
          <w:numId w:val="15"/>
        </w:numPr>
        <w:ind w:left="1170" w:firstLine="0"/>
        <w:rPr>
          <w:lang w:val="en-US"/>
        </w:rPr>
      </w:pPr>
      <w:proofErr w:type="gramStart"/>
      <w:r w:rsidRPr="00AC717D">
        <w:rPr>
          <w:lang w:val="en-US"/>
        </w:rPr>
        <w:t>Counter-terrorism</w:t>
      </w:r>
      <w:proofErr w:type="gramEnd"/>
      <w:r w:rsidRPr="00AC717D">
        <w:rPr>
          <w:lang w:val="en-US"/>
        </w:rPr>
        <w:t xml:space="preserve"> and P/CVE have been repeatedly invoked across jurisdictions to justify judicial harassment </w:t>
      </w:r>
      <w:r w:rsidR="00CB6198">
        <w:rPr>
          <w:lang w:val="en-US"/>
        </w:rPr>
        <w:t>and targeting of civil society with</w:t>
      </w:r>
      <w:r w:rsidR="00CB6198" w:rsidRPr="00AC717D">
        <w:rPr>
          <w:lang w:val="en-US"/>
        </w:rPr>
        <w:t xml:space="preserve"> </w:t>
      </w:r>
      <w:r w:rsidRPr="00AC717D">
        <w:rPr>
          <w:lang w:val="en-US"/>
        </w:rPr>
        <w:t>a wide range of criminal, civil, and administrative measures</w:t>
      </w:r>
      <w:r w:rsidRPr="009B17E5">
        <w:rPr>
          <w:lang w:val="en-US"/>
        </w:rPr>
        <w:t xml:space="preserve">. </w:t>
      </w:r>
      <w:r w:rsidR="009B17E5">
        <w:rPr>
          <w:lang w:val="en-US"/>
        </w:rPr>
        <w:t>A</w:t>
      </w:r>
      <w:r w:rsidRPr="00C5061E">
        <w:rPr>
          <w:lang w:val="en-US"/>
        </w:rPr>
        <w:t xml:space="preserve">mong the Special Procedures communications reviewed, roughly 62% </w:t>
      </w:r>
      <w:r w:rsidR="00CB6198">
        <w:rPr>
          <w:lang w:val="en-US"/>
        </w:rPr>
        <w:t xml:space="preserve">concerned </w:t>
      </w:r>
      <w:r w:rsidRPr="00C5061E">
        <w:rPr>
          <w:lang w:val="en-US"/>
        </w:rPr>
        <w:t xml:space="preserve">judicial harassment. </w:t>
      </w:r>
      <w:r w:rsidRPr="009B17E5">
        <w:rPr>
          <w:lang w:val="en-US"/>
        </w:rPr>
        <w:t xml:space="preserve"> </w:t>
      </w:r>
    </w:p>
    <w:p w14:paraId="73C72C1C" w14:textId="7119345F" w:rsidR="003B4F2A" w:rsidRPr="003B4F2A" w:rsidRDefault="00AC717D" w:rsidP="00C71AC9">
      <w:pPr>
        <w:pStyle w:val="SingleTxtG"/>
        <w:numPr>
          <w:ilvl w:val="0"/>
          <w:numId w:val="15"/>
        </w:numPr>
        <w:ind w:left="1170" w:firstLine="0"/>
        <w:rPr>
          <w:lang w:val="en-US"/>
        </w:rPr>
      </w:pPr>
      <w:r w:rsidRPr="003B4F2A">
        <w:rPr>
          <w:lang w:val="en-US"/>
        </w:rPr>
        <w:t xml:space="preserve">Global Study respondents reported </w:t>
      </w:r>
      <w:r w:rsidR="00CB6198">
        <w:rPr>
          <w:lang w:val="en-US"/>
        </w:rPr>
        <w:t>j</w:t>
      </w:r>
      <w:r w:rsidRPr="003B4F2A">
        <w:rPr>
          <w:lang w:val="en-US"/>
        </w:rPr>
        <w:t xml:space="preserve">udicial harassment measures </w:t>
      </w:r>
      <w:r w:rsidR="00CB6198">
        <w:rPr>
          <w:lang w:val="en-US"/>
        </w:rPr>
        <w:t>as being directed not only at</w:t>
      </w:r>
      <w:r w:rsidRPr="003B4F2A">
        <w:rPr>
          <w:lang w:val="en-US"/>
        </w:rPr>
        <w:t xml:space="preserve"> civil society staff and their donors and partners, but also </w:t>
      </w:r>
      <w:r w:rsidR="00CB6198">
        <w:rPr>
          <w:lang w:val="en-US"/>
        </w:rPr>
        <w:t xml:space="preserve">at </w:t>
      </w:r>
      <w:r w:rsidRPr="003B4F2A">
        <w:rPr>
          <w:lang w:val="en-US"/>
        </w:rPr>
        <w:t>beneficiaries</w:t>
      </w:r>
      <w:r w:rsidR="00CB6198">
        <w:rPr>
          <w:lang w:val="en-US"/>
        </w:rPr>
        <w:t xml:space="preserve"> and</w:t>
      </w:r>
      <w:r w:rsidRPr="003B4F2A">
        <w:rPr>
          <w:lang w:val="en-US"/>
        </w:rPr>
        <w:t xml:space="preserve"> famil</w:t>
      </w:r>
      <w:r w:rsidR="00CB6198">
        <w:rPr>
          <w:lang w:val="en-US"/>
        </w:rPr>
        <w:t>y members</w:t>
      </w:r>
      <w:r w:rsidRPr="003B4F2A">
        <w:rPr>
          <w:lang w:val="en-US"/>
        </w:rPr>
        <w:t xml:space="preserve">. Documented harms </w:t>
      </w:r>
      <w:r w:rsidR="00CB6198">
        <w:rPr>
          <w:lang w:val="en-US"/>
        </w:rPr>
        <w:t>are</w:t>
      </w:r>
      <w:r w:rsidRPr="003B4F2A">
        <w:rPr>
          <w:lang w:val="en-US"/>
        </w:rPr>
        <w:t xml:space="preserve"> </w:t>
      </w:r>
      <w:r w:rsidR="00C5061E">
        <w:rPr>
          <w:lang w:val="en-US"/>
        </w:rPr>
        <w:t>notably</w:t>
      </w:r>
      <w:r w:rsidR="00C5061E" w:rsidRPr="003B4F2A">
        <w:rPr>
          <w:lang w:val="en-US"/>
        </w:rPr>
        <w:t xml:space="preserve"> </w:t>
      </w:r>
      <w:r w:rsidRPr="003B4F2A">
        <w:rPr>
          <w:lang w:val="en-US"/>
        </w:rPr>
        <w:t>gendered. Children</w:t>
      </w:r>
      <w:r w:rsidR="00392766">
        <w:rPr>
          <w:lang w:val="en-US"/>
        </w:rPr>
        <w:t xml:space="preserve">, as </w:t>
      </w:r>
      <w:r w:rsidR="00392766">
        <w:t>young as 13,</w:t>
      </w:r>
      <w:r w:rsidR="006932D6">
        <w:t xml:space="preserve"> </w:t>
      </w:r>
      <w:r w:rsidRPr="003B4F2A">
        <w:rPr>
          <w:lang w:val="en-US"/>
        </w:rPr>
        <w:t xml:space="preserve">have also </w:t>
      </w:r>
      <w:r w:rsidR="00CB6198">
        <w:rPr>
          <w:lang w:val="en-US"/>
        </w:rPr>
        <w:t>been targeted</w:t>
      </w:r>
      <w:r w:rsidR="00392766">
        <w:rPr>
          <w:lang w:val="en-US"/>
        </w:rPr>
        <w:t>, through</w:t>
      </w:r>
      <w:r w:rsidR="00CB6198" w:rsidRPr="003B4F2A">
        <w:rPr>
          <w:lang w:val="en-US"/>
        </w:rPr>
        <w:t xml:space="preserve"> </w:t>
      </w:r>
      <w:r w:rsidRPr="003B4F2A">
        <w:rPr>
          <w:lang w:val="en-US"/>
        </w:rPr>
        <w:t xml:space="preserve">arbitrary arrest, detention, and prosecution on the basis of </w:t>
      </w:r>
      <w:proofErr w:type="gramStart"/>
      <w:r w:rsidRPr="003B4F2A">
        <w:rPr>
          <w:lang w:val="en-US"/>
        </w:rPr>
        <w:t>counter-terrorism</w:t>
      </w:r>
      <w:proofErr w:type="gramEnd"/>
      <w:r w:rsidRPr="003B4F2A">
        <w:rPr>
          <w:lang w:val="en-US"/>
        </w:rPr>
        <w:t xml:space="preserve">, in contravention of the special status of children and </w:t>
      </w:r>
      <w:r w:rsidR="00CB6198">
        <w:rPr>
          <w:lang w:val="en-US"/>
        </w:rPr>
        <w:t xml:space="preserve">the </w:t>
      </w:r>
      <w:r w:rsidRPr="003B4F2A">
        <w:rPr>
          <w:lang w:val="en-US"/>
        </w:rPr>
        <w:t>minim</w:t>
      </w:r>
      <w:r w:rsidR="00CB6198">
        <w:rPr>
          <w:lang w:val="en-US"/>
        </w:rPr>
        <w:t>um</w:t>
      </w:r>
      <w:r w:rsidRPr="003B4F2A">
        <w:rPr>
          <w:lang w:val="en-US"/>
        </w:rPr>
        <w:t xml:space="preserve"> protections afforded to children under international law.</w:t>
      </w:r>
    </w:p>
    <w:p w14:paraId="70EAADE9" w14:textId="373B3A92" w:rsidR="003B4F2A" w:rsidRPr="00C5061E" w:rsidRDefault="00AC717D" w:rsidP="00C71AC9">
      <w:pPr>
        <w:pStyle w:val="SingleTxtG"/>
        <w:numPr>
          <w:ilvl w:val="0"/>
          <w:numId w:val="15"/>
        </w:numPr>
        <w:ind w:left="1170" w:firstLine="0"/>
        <w:rPr>
          <w:lang w:val="en-US"/>
        </w:rPr>
      </w:pPr>
      <w:r w:rsidRPr="003B4F2A">
        <w:rPr>
          <w:lang w:val="en-US"/>
        </w:rPr>
        <w:t xml:space="preserve">UN Special Procedures </w:t>
      </w:r>
      <w:r w:rsidR="007C0CAA">
        <w:rPr>
          <w:lang w:val="en-US"/>
        </w:rPr>
        <w:t>experts</w:t>
      </w:r>
      <w:r w:rsidRPr="003B4F2A">
        <w:rPr>
          <w:lang w:val="en-US"/>
        </w:rPr>
        <w:t xml:space="preserve"> have</w:t>
      </w:r>
      <w:r w:rsidR="00EC776B">
        <w:rPr>
          <w:lang w:val="en-US"/>
        </w:rPr>
        <w:t xml:space="preserve"> frequently</w:t>
      </w:r>
      <w:r w:rsidRPr="003B4F2A">
        <w:rPr>
          <w:lang w:val="en-US"/>
        </w:rPr>
        <w:t xml:space="preserve"> found</w:t>
      </w:r>
      <w:r w:rsidR="00EC776B">
        <w:rPr>
          <w:lang w:val="en-US"/>
        </w:rPr>
        <w:t xml:space="preserve"> that</w:t>
      </w:r>
      <w:r w:rsidR="00CB6198" w:rsidRPr="003B4F2A">
        <w:rPr>
          <w:lang w:val="en-US"/>
        </w:rPr>
        <w:t xml:space="preserve"> individuals are forcibly disappeared and arbitrarily detained</w:t>
      </w:r>
      <w:r w:rsidR="00CB6198">
        <w:rPr>
          <w:lang w:val="en-US"/>
        </w:rPr>
        <w:t>, often absent any formal charges,</w:t>
      </w:r>
      <w:r w:rsidR="00CB6198" w:rsidRPr="003B4F2A">
        <w:rPr>
          <w:lang w:val="en-US"/>
        </w:rPr>
        <w:t xml:space="preserve"> in the </w:t>
      </w:r>
      <w:r w:rsidR="00CB6198">
        <w:rPr>
          <w:lang w:val="en-US"/>
        </w:rPr>
        <w:t>name</w:t>
      </w:r>
      <w:r w:rsidR="00CB6198" w:rsidRPr="003B4F2A">
        <w:rPr>
          <w:lang w:val="en-US"/>
        </w:rPr>
        <w:t xml:space="preserve"> of </w:t>
      </w:r>
      <w:proofErr w:type="gramStart"/>
      <w:r w:rsidR="00CB6198" w:rsidRPr="003B4F2A">
        <w:rPr>
          <w:lang w:val="en-US"/>
        </w:rPr>
        <w:t>counter</w:t>
      </w:r>
      <w:r w:rsidR="00DA5934">
        <w:rPr>
          <w:lang w:val="en-US"/>
        </w:rPr>
        <w:t>-</w:t>
      </w:r>
      <w:r w:rsidR="00CB6198" w:rsidRPr="003B4F2A">
        <w:rPr>
          <w:lang w:val="en-US"/>
        </w:rPr>
        <w:t>terrorism</w:t>
      </w:r>
      <w:proofErr w:type="gramEnd"/>
      <w:r w:rsidR="00CB6198" w:rsidRPr="003B4F2A">
        <w:rPr>
          <w:lang w:val="en-US"/>
        </w:rPr>
        <w:t xml:space="preserve">, and then subject to torture, </w:t>
      </w:r>
      <w:r w:rsidR="00DA4BA1">
        <w:rPr>
          <w:lang w:val="en-US"/>
        </w:rPr>
        <w:t>ill-</w:t>
      </w:r>
      <w:r w:rsidR="00CB6198" w:rsidRPr="003B4F2A">
        <w:rPr>
          <w:lang w:val="en-US"/>
        </w:rPr>
        <w:t xml:space="preserve">treatment and/or extrajudicial killings. </w:t>
      </w:r>
      <w:r w:rsidRPr="003B4F2A">
        <w:rPr>
          <w:lang w:val="en-US"/>
        </w:rPr>
        <w:t xml:space="preserve"> </w:t>
      </w:r>
      <w:r w:rsidR="00CB6198">
        <w:rPr>
          <w:lang w:val="en-US"/>
        </w:rPr>
        <w:t>Thirty-five</w:t>
      </w:r>
      <w:r w:rsidR="00CB6198" w:rsidRPr="00C5061E">
        <w:rPr>
          <w:lang w:val="en-US"/>
        </w:rPr>
        <w:t xml:space="preserve"> </w:t>
      </w:r>
      <w:r w:rsidRPr="00C5061E">
        <w:rPr>
          <w:lang w:val="en-US"/>
        </w:rPr>
        <w:t>per cent of Global Study inputs identified instances of alleged arbitrary detention in the counter-terrorism context, 27</w:t>
      </w:r>
      <w:r w:rsidR="00544A42">
        <w:rPr>
          <w:lang w:val="en-US"/>
        </w:rPr>
        <w:t>%</w:t>
      </w:r>
      <w:r w:rsidRPr="00C5061E">
        <w:rPr>
          <w:lang w:val="en-US"/>
        </w:rPr>
        <w:t xml:space="preserve"> of inputs alleged torture,</w:t>
      </w:r>
      <w:r w:rsidR="00DA4BA1">
        <w:rPr>
          <w:lang w:val="en-US"/>
        </w:rPr>
        <w:t xml:space="preserve"> and ill-treatment</w:t>
      </w:r>
      <w:r w:rsidRPr="00C5061E">
        <w:rPr>
          <w:lang w:val="en-US"/>
        </w:rPr>
        <w:t xml:space="preserve"> in </w:t>
      </w:r>
      <w:proofErr w:type="gramStart"/>
      <w:r w:rsidRPr="00C5061E">
        <w:rPr>
          <w:lang w:val="en-US"/>
        </w:rPr>
        <w:t>counter-terrorism</w:t>
      </w:r>
      <w:proofErr w:type="gramEnd"/>
      <w:r w:rsidRPr="00C5061E">
        <w:rPr>
          <w:lang w:val="en-US"/>
        </w:rPr>
        <w:t xml:space="preserve"> and/or P/CVE </w:t>
      </w:r>
      <w:r w:rsidR="00A250E2">
        <w:rPr>
          <w:lang w:val="en-US"/>
        </w:rPr>
        <w:t xml:space="preserve">related </w:t>
      </w:r>
      <w:r w:rsidRPr="00C5061E">
        <w:rPr>
          <w:lang w:val="en-US"/>
        </w:rPr>
        <w:t xml:space="preserve">detention, and </w:t>
      </w:r>
      <w:r w:rsidR="00544A42">
        <w:rPr>
          <w:lang w:val="en-US"/>
        </w:rPr>
        <w:t>16%</w:t>
      </w:r>
      <w:r w:rsidRPr="00C5061E">
        <w:rPr>
          <w:lang w:val="en-US"/>
        </w:rPr>
        <w:t xml:space="preserve"> identified instances of extrajudicial killings</w:t>
      </w:r>
      <w:r w:rsidR="00C5061E">
        <w:rPr>
          <w:lang w:val="en-US"/>
        </w:rPr>
        <w:t>.</w:t>
      </w:r>
      <w:r w:rsidRPr="00C5061E">
        <w:rPr>
          <w:lang w:val="en-US"/>
        </w:rPr>
        <w:t xml:space="preserve"> </w:t>
      </w:r>
    </w:p>
    <w:p w14:paraId="731D02A7" w14:textId="6BA19B3D" w:rsidR="003B4F2A" w:rsidRPr="003B4F2A" w:rsidRDefault="00AC717D" w:rsidP="00C71AC9">
      <w:pPr>
        <w:pStyle w:val="SingleTxtG"/>
        <w:numPr>
          <w:ilvl w:val="0"/>
          <w:numId w:val="15"/>
        </w:numPr>
        <w:ind w:left="1170" w:firstLine="0"/>
        <w:rPr>
          <w:lang w:val="en-US"/>
        </w:rPr>
      </w:pPr>
      <w:r w:rsidRPr="003B4F2A">
        <w:rPr>
          <w:lang w:val="en-US"/>
        </w:rPr>
        <w:t>Far from being isolated incidents, these and other documented cases frequently stem from compromised judiciaries and entrenched emergency and exceptional powers and procedures–sometimes codified through the creation of special terrorism</w:t>
      </w:r>
      <w:r w:rsidR="00CB6198">
        <w:rPr>
          <w:lang w:val="en-US"/>
        </w:rPr>
        <w:t xml:space="preserve"> courts</w:t>
      </w:r>
      <w:r w:rsidRPr="003B4F2A">
        <w:rPr>
          <w:lang w:val="en-US"/>
        </w:rPr>
        <w:t xml:space="preserve"> </w:t>
      </w:r>
      <w:r w:rsidR="00CB6198">
        <w:rPr>
          <w:lang w:val="en-US"/>
        </w:rPr>
        <w:t>and</w:t>
      </w:r>
      <w:r w:rsidRPr="003B4F2A">
        <w:rPr>
          <w:lang w:val="en-US"/>
        </w:rPr>
        <w:t xml:space="preserve"> </w:t>
      </w:r>
      <w:r w:rsidR="00FD5ADC">
        <w:rPr>
          <w:lang w:val="en-US"/>
        </w:rPr>
        <w:t>often marked by the</w:t>
      </w:r>
      <w:r w:rsidR="00FD5ADC" w:rsidRPr="003B4F2A">
        <w:rPr>
          <w:lang w:val="en-US"/>
        </w:rPr>
        <w:t xml:space="preserve"> </w:t>
      </w:r>
      <w:r w:rsidRPr="003B4F2A">
        <w:rPr>
          <w:lang w:val="en-US"/>
        </w:rPr>
        <w:t>absence of or reduc</w:t>
      </w:r>
      <w:r w:rsidR="00FD5ADC">
        <w:rPr>
          <w:lang w:val="en-US"/>
        </w:rPr>
        <w:t>ed</w:t>
      </w:r>
      <w:r w:rsidRPr="003B4F2A">
        <w:rPr>
          <w:lang w:val="en-US"/>
        </w:rPr>
        <w:t xml:space="preserve"> </w:t>
      </w:r>
      <w:r w:rsidR="00C5061E">
        <w:rPr>
          <w:lang w:val="en-US"/>
        </w:rPr>
        <w:t xml:space="preserve">powers </w:t>
      </w:r>
      <w:r w:rsidR="006932D6">
        <w:rPr>
          <w:lang w:val="en-US"/>
        </w:rPr>
        <w:t xml:space="preserve">for </w:t>
      </w:r>
      <w:r w:rsidRPr="003B4F2A">
        <w:rPr>
          <w:lang w:val="en-US"/>
        </w:rPr>
        <w:t xml:space="preserve">specialized human rights mechanisms. </w:t>
      </w:r>
    </w:p>
    <w:p w14:paraId="5CE37BEF" w14:textId="012DBEA9" w:rsidR="003B4F2A" w:rsidRPr="003B4F2A" w:rsidRDefault="00AC717D" w:rsidP="00BE242F">
      <w:pPr>
        <w:pStyle w:val="SingleTxtG"/>
        <w:numPr>
          <w:ilvl w:val="0"/>
          <w:numId w:val="15"/>
        </w:numPr>
        <w:ind w:left="1170" w:firstLine="0"/>
        <w:rPr>
          <w:lang w:val="en-US"/>
        </w:rPr>
      </w:pPr>
      <w:r w:rsidRPr="009B17E5">
        <w:rPr>
          <w:lang w:val="en-US"/>
        </w:rPr>
        <w:t xml:space="preserve">Disproportionate sentencing </w:t>
      </w:r>
      <w:r w:rsidR="00EC776B">
        <w:rPr>
          <w:lang w:val="en-US"/>
        </w:rPr>
        <w:t>based on</w:t>
      </w:r>
      <w:r w:rsidRPr="009B17E5">
        <w:rPr>
          <w:lang w:val="en-US"/>
        </w:rPr>
        <w:t xml:space="preserve"> the purportedly exceptional nature of terrorism, </w:t>
      </w:r>
      <w:r w:rsidR="00544A42">
        <w:rPr>
          <w:lang w:val="en-US"/>
        </w:rPr>
        <w:t>P/CVE</w:t>
      </w:r>
      <w:r w:rsidRPr="009B17E5">
        <w:rPr>
          <w:lang w:val="en-US"/>
        </w:rPr>
        <w:t xml:space="preserve"> and/or national security more broadly is also common, with prison sentences ranging upwards of 15 years or life or </w:t>
      </w:r>
      <w:r w:rsidR="00CB6198">
        <w:rPr>
          <w:lang w:val="en-US"/>
        </w:rPr>
        <w:t xml:space="preserve">involving </w:t>
      </w:r>
      <w:r w:rsidR="00544A42">
        <w:rPr>
          <w:lang w:val="en-US"/>
        </w:rPr>
        <w:t>use</w:t>
      </w:r>
      <w:r w:rsidRPr="009B17E5">
        <w:rPr>
          <w:lang w:val="en-US"/>
        </w:rPr>
        <w:t xml:space="preserve"> of the death penalty</w:t>
      </w:r>
      <w:r w:rsidR="00544A42">
        <w:rPr>
          <w:lang w:val="en-US"/>
        </w:rPr>
        <w:t>.</w:t>
      </w:r>
      <w:r w:rsidRPr="00AC717D">
        <w:rPr>
          <w:vertAlign w:val="superscript"/>
          <w:lang w:val="en-US"/>
        </w:rPr>
        <w:footnoteReference w:id="8"/>
      </w:r>
      <w:r w:rsidR="00544A42">
        <w:rPr>
          <w:lang w:val="en-US"/>
        </w:rPr>
        <w:t xml:space="preserve"> </w:t>
      </w:r>
      <w:r w:rsidRPr="009B17E5">
        <w:rPr>
          <w:lang w:val="en-US"/>
        </w:rPr>
        <w:t xml:space="preserve">Global Study respondents also identified multiple situations involving children facing adult sentences under terrorism or violent extremism charges, </w:t>
      </w:r>
      <w:r w:rsidR="007C0CAA">
        <w:rPr>
          <w:lang w:val="en-US"/>
        </w:rPr>
        <w:t>and</w:t>
      </w:r>
      <w:r w:rsidRPr="009B17E5">
        <w:rPr>
          <w:lang w:val="en-US"/>
        </w:rPr>
        <w:t xml:space="preserve"> children detained because of their “association” with adults suspected of terrorism. Some identified individuals were also subjected to prolonged detention</w:t>
      </w:r>
      <w:r w:rsidR="00F16584">
        <w:rPr>
          <w:lang w:val="en-US"/>
        </w:rPr>
        <w:t xml:space="preserve"> </w:t>
      </w:r>
      <w:r w:rsidRPr="009B17E5">
        <w:rPr>
          <w:lang w:val="en-US"/>
        </w:rPr>
        <w:t>after serving their already</w:t>
      </w:r>
      <w:r w:rsidR="00544A42">
        <w:rPr>
          <w:lang w:val="en-US"/>
        </w:rPr>
        <w:t xml:space="preserve"> </w:t>
      </w:r>
      <w:r w:rsidRPr="009B17E5">
        <w:rPr>
          <w:lang w:val="en-US"/>
        </w:rPr>
        <w:t>disproportionate sentence</w:t>
      </w:r>
      <w:r w:rsidR="00544A42">
        <w:rPr>
          <w:lang w:val="en-US"/>
        </w:rPr>
        <w:t>s.</w:t>
      </w:r>
    </w:p>
    <w:p w14:paraId="4C16FA20" w14:textId="54D14D02" w:rsidR="00AC717D" w:rsidRPr="003B4F2A" w:rsidRDefault="00F16584" w:rsidP="00C71AC9">
      <w:pPr>
        <w:pStyle w:val="SingleTxtG"/>
        <w:numPr>
          <w:ilvl w:val="0"/>
          <w:numId w:val="15"/>
        </w:numPr>
        <w:ind w:left="1170" w:firstLine="0"/>
        <w:rPr>
          <w:lang w:val="en-US"/>
        </w:rPr>
      </w:pPr>
      <w:r>
        <w:rPr>
          <w:lang w:val="en-US"/>
        </w:rPr>
        <w:t>N</w:t>
      </w:r>
      <w:r w:rsidR="00AC717D" w:rsidRPr="003B4F2A">
        <w:rPr>
          <w:lang w:val="en-US"/>
        </w:rPr>
        <w:t>otwithstanding rule of law and governance challenges in many settings, there have been promising examples of judiciaries resisting misuse. For instance, in Niger, Honduras, India</w:t>
      </w:r>
      <w:r w:rsidR="00544A42">
        <w:rPr>
          <w:lang w:val="en-US"/>
        </w:rPr>
        <w:t>,</w:t>
      </w:r>
      <w:r w:rsidR="00AC717D" w:rsidRPr="003B4F2A">
        <w:rPr>
          <w:lang w:val="en-US"/>
        </w:rPr>
        <w:t xml:space="preserve"> Tunisia and Kenya, human rights defenders were freed or acquitted after being unfairly accused. </w:t>
      </w:r>
    </w:p>
    <w:p w14:paraId="5329FB5D" w14:textId="0E470A3F" w:rsidR="00454D9C" w:rsidRPr="00077BAB" w:rsidRDefault="0074456D" w:rsidP="00343245">
      <w:pPr>
        <w:pStyle w:val="H23G"/>
      </w:pPr>
      <w:r>
        <w:rPr>
          <w:lang w:val="en-US"/>
        </w:rPr>
        <w:tab/>
        <w:t>(b)</w:t>
      </w:r>
      <w:r>
        <w:rPr>
          <w:lang w:val="en-US"/>
        </w:rPr>
        <w:tab/>
      </w:r>
      <w:r w:rsidR="003B4F2A" w:rsidRPr="00AC717D">
        <w:rPr>
          <w:lang w:val="en-US"/>
        </w:rPr>
        <w:t xml:space="preserve">Overlapping Administrative Measures </w:t>
      </w:r>
      <w:r w:rsidR="003B4F2A">
        <w:rPr>
          <w:lang w:val="en-US"/>
        </w:rPr>
        <w:t>w</w:t>
      </w:r>
      <w:r w:rsidR="003B4F2A" w:rsidRPr="00AC717D">
        <w:rPr>
          <w:lang w:val="en-US"/>
        </w:rPr>
        <w:t xml:space="preserve">ithout Procedural </w:t>
      </w:r>
      <w:r w:rsidR="003B4F2A" w:rsidRPr="003B4F2A">
        <w:t>Safeguards</w:t>
      </w:r>
    </w:p>
    <w:p w14:paraId="0C456A95" w14:textId="28352CA4" w:rsidR="003B4F2A" w:rsidRDefault="00A40262" w:rsidP="0074456D">
      <w:pPr>
        <w:pStyle w:val="SingleTxtG"/>
        <w:numPr>
          <w:ilvl w:val="0"/>
          <w:numId w:val="15"/>
        </w:numPr>
        <w:ind w:left="1170" w:firstLine="0"/>
        <w:rPr>
          <w:lang w:val="en-US"/>
        </w:rPr>
      </w:pPr>
      <w:r w:rsidRPr="00AC717D">
        <w:rPr>
          <w:lang w:val="en-US"/>
        </w:rPr>
        <w:t>The cumulative effects of the multifaceted and layered criminal, civil, administrative, and other judicial and non-judicial counter-terrorism measures have been profound. There are two forms of administrative measures that come to the fore from the data</w:t>
      </w:r>
      <w:r w:rsidR="00CB6198">
        <w:rPr>
          <w:lang w:val="en-US"/>
        </w:rPr>
        <w:t xml:space="preserve"> collected </w:t>
      </w:r>
      <w:r w:rsidR="00EC776B">
        <w:rPr>
          <w:lang w:val="en-US"/>
        </w:rPr>
        <w:t xml:space="preserve">for </w:t>
      </w:r>
      <w:r w:rsidR="00CB6198">
        <w:rPr>
          <w:lang w:val="en-US"/>
        </w:rPr>
        <w:t>the Global Study</w:t>
      </w:r>
      <w:r w:rsidRPr="00AC717D">
        <w:rPr>
          <w:lang w:val="en-US"/>
        </w:rPr>
        <w:t>. First, procedural administrative requirements which may appear to be facially neutral (they affect all non-profits or civil society actors equally)</w:t>
      </w:r>
      <w:r w:rsidR="009B17E5">
        <w:rPr>
          <w:lang w:val="en-US"/>
        </w:rPr>
        <w:t>,</w:t>
      </w:r>
      <w:r w:rsidRPr="00AC717D">
        <w:rPr>
          <w:lang w:val="en-US"/>
        </w:rPr>
        <w:t xml:space="preserve"> but in practice have a disproportionate impact on small grassroots organizations, women-led civil society, and civil society </w:t>
      </w:r>
      <w:r w:rsidR="00CB6198">
        <w:rPr>
          <w:lang w:val="en-US"/>
        </w:rPr>
        <w:t>located</w:t>
      </w:r>
      <w:r w:rsidR="00CB6198" w:rsidRPr="00AC717D">
        <w:rPr>
          <w:lang w:val="en-US"/>
        </w:rPr>
        <w:t xml:space="preserve"> </w:t>
      </w:r>
      <w:r w:rsidRPr="00AC717D">
        <w:rPr>
          <w:lang w:val="en-US"/>
        </w:rPr>
        <w:t xml:space="preserve">in or representative of historically marginalized communities </w:t>
      </w:r>
      <w:r w:rsidR="00CB6198">
        <w:rPr>
          <w:lang w:val="en-US"/>
        </w:rPr>
        <w:t>(</w:t>
      </w:r>
      <w:r w:rsidR="004D55B2">
        <w:rPr>
          <w:lang w:val="en-US"/>
        </w:rPr>
        <w:t>often viewed as</w:t>
      </w:r>
      <w:r w:rsidRPr="00AC717D">
        <w:rPr>
          <w:lang w:val="en-US"/>
        </w:rPr>
        <w:t xml:space="preserve"> inherently ‘suspect’ by authorities</w:t>
      </w:r>
      <w:r w:rsidR="00CB6198">
        <w:rPr>
          <w:lang w:val="en-US"/>
        </w:rPr>
        <w:t>)</w:t>
      </w:r>
      <w:r w:rsidR="006558A0">
        <w:rPr>
          <w:lang w:val="en-US"/>
        </w:rPr>
        <w:t xml:space="preserve">. </w:t>
      </w:r>
      <w:r w:rsidRPr="00AC717D">
        <w:rPr>
          <w:lang w:val="en-US"/>
        </w:rPr>
        <w:t xml:space="preserve"> Second, specific administrative </w:t>
      </w:r>
      <w:proofErr w:type="gramStart"/>
      <w:r w:rsidRPr="00AC717D">
        <w:rPr>
          <w:lang w:val="en-US"/>
        </w:rPr>
        <w:t>counter-terrorism</w:t>
      </w:r>
      <w:proofErr w:type="gramEnd"/>
      <w:r w:rsidRPr="00AC717D">
        <w:rPr>
          <w:lang w:val="en-US"/>
        </w:rPr>
        <w:t xml:space="preserve"> or </w:t>
      </w:r>
      <w:r w:rsidR="00FD5ADC">
        <w:rPr>
          <w:lang w:val="en-US"/>
        </w:rPr>
        <w:t>P/</w:t>
      </w:r>
      <w:r w:rsidR="004D55B2">
        <w:rPr>
          <w:lang w:val="en-US"/>
        </w:rPr>
        <w:t>CVE</w:t>
      </w:r>
      <w:r w:rsidRPr="00AC717D">
        <w:rPr>
          <w:lang w:val="en-US"/>
        </w:rPr>
        <w:t xml:space="preserve"> measures which are directed against individuals alleged to be associated with or supportive of terrorism or (violent) extremism. </w:t>
      </w:r>
      <w:r w:rsidR="001A4B55">
        <w:rPr>
          <w:lang w:val="en-US"/>
        </w:rPr>
        <w:t>Both</w:t>
      </w:r>
      <w:r w:rsidRPr="00AC717D">
        <w:rPr>
          <w:lang w:val="en-US"/>
        </w:rPr>
        <w:t xml:space="preserve"> categories appear to be widespread </w:t>
      </w:r>
      <w:r w:rsidR="00CB6198">
        <w:rPr>
          <w:lang w:val="en-US"/>
        </w:rPr>
        <w:t>al</w:t>
      </w:r>
      <w:r w:rsidRPr="00AC717D">
        <w:rPr>
          <w:lang w:val="en-US"/>
        </w:rPr>
        <w:t xml:space="preserve">though reliable cross-national data is unavailable. </w:t>
      </w:r>
    </w:p>
    <w:p w14:paraId="20A51ED0" w14:textId="32E3E210" w:rsidR="003B4F2A" w:rsidRPr="009B17E5" w:rsidRDefault="00A40262" w:rsidP="0074456D">
      <w:pPr>
        <w:pStyle w:val="SingleTxtG"/>
        <w:numPr>
          <w:ilvl w:val="0"/>
          <w:numId w:val="15"/>
        </w:numPr>
        <w:ind w:left="1170" w:firstLine="0"/>
        <w:rPr>
          <w:lang w:val="en-US"/>
        </w:rPr>
      </w:pPr>
      <w:r w:rsidRPr="003B4F2A">
        <w:rPr>
          <w:lang w:val="en-US"/>
        </w:rPr>
        <w:t>On the proliferation of state and local administrative regulation of non-profits</w:t>
      </w:r>
      <w:r w:rsidR="00B62E8F">
        <w:rPr>
          <w:lang w:val="en-US"/>
        </w:rPr>
        <w:t xml:space="preserve"> and civil society actors</w:t>
      </w:r>
      <w:r w:rsidRPr="003B4F2A">
        <w:rPr>
          <w:lang w:val="en-US"/>
        </w:rPr>
        <w:t xml:space="preserve">, there is no dispute that effective administration </w:t>
      </w:r>
      <w:r w:rsidRPr="009B17E5">
        <w:rPr>
          <w:lang w:val="en-US"/>
        </w:rPr>
        <w:t>can serve important transparency, accountability, and efficiency needs</w:t>
      </w:r>
      <w:r w:rsidRPr="00C5061E">
        <w:rPr>
          <w:lang w:val="en-US"/>
        </w:rPr>
        <w:t xml:space="preserve">. However, Global Study data shows how </w:t>
      </w:r>
      <w:r w:rsidRPr="00C5061E">
        <w:rPr>
          <w:lang w:val="en-US"/>
        </w:rPr>
        <w:lastRenderedPageBreak/>
        <w:t xml:space="preserve">increased proceduralism </w:t>
      </w:r>
      <w:r w:rsidR="00CB6198">
        <w:rPr>
          <w:lang w:val="en-US"/>
        </w:rPr>
        <w:t>in</w:t>
      </w:r>
      <w:r w:rsidR="00CB6198" w:rsidRPr="00C5061E">
        <w:rPr>
          <w:lang w:val="en-US"/>
        </w:rPr>
        <w:t xml:space="preserve"> </w:t>
      </w:r>
      <w:r w:rsidRPr="00C5061E">
        <w:rPr>
          <w:lang w:val="en-US"/>
        </w:rPr>
        <w:t xml:space="preserve">administrative measures across regions has operated in unduly burdensome </w:t>
      </w:r>
      <w:r w:rsidR="00CB6198">
        <w:rPr>
          <w:lang w:val="en-US"/>
        </w:rPr>
        <w:t xml:space="preserve">and discriminatory </w:t>
      </w:r>
      <w:r w:rsidRPr="00C5061E">
        <w:rPr>
          <w:lang w:val="en-US"/>
        </w:rPr>
        <w:t xml:space="preserve">ways </w:t>
      </w:r>
      <w:r w:rsidR="00CB6198">
        <w:rPr>
          <w:lang w:val="en-US"/>
        </w:rPr>
        <w:t>impacting the</w:t>
      </w:r>
      <w:r w:rsidRPr="00C5061E">
        <w:rPr>
          <w:lang w:val="en-US"/>
        </w:rPr>
        <w:t xml:space="preserve"> meaningful exercise of associational life, including free speech, religious </w:t>
      </w:r>
      <w:proofErr w:type="gramStart"/>
      <w:r w:rsidRPr="00C5061E">
        <w:rPr>
          <w:lang w:val="en-US"/>
        </w:rPr>
        <w:t>exercise</w:t>
      </w:r>
      <w:proofErr w:type="gramEnd"/>
      <w:r w:rsidRPr="00C5061E">
        <w:rPr>
          <w:lang w:val="en-US"/>
        </w:rPr>
        <w:t xml:space="preserve"> and the right to participate in public affairs. </w:t>
      </w:r>
      <w:r w:rsidR="00B62E8F">
        <w:rPr>
          <w:lang w:val="en-US"/>
        </w:rPr>
        <w:t>R</w:t>
      </w:r>
      <w:r w:rsidRPr="00C5061E">
        <w:rPr>
          <w:lang w:val="en-US"/>
        </w:rPr>
        <w:t xml:space="preserve">espondents reported numerous instances of </w:t>
      </w:r>
      <w:r w:rsidR="00CB6198">
        <w:rPr>
          <w:lang w:val="en-US"/>
        </w:rPr>
        <w:t xml:space="preserve">the </w:t>
      </w:r>
      <w:r w:rsidRPr="00C5061E">
        <w:rPr>
          <w:lang w:val="en-US"/>
        </w:rPr>
        <w:t>liquidation of organizations</w:t>
      </w:r>
      <w:r w:rsidR="00CB6198">
        <w:rPr>
          <w:lang w:val="en-US"/>
        </w:rPr>
        <w:t xml:space="preserve"> arising from their</w:t>
      </w:r>
      <w:r w:rsidRPr="00C5061E">
        <w:rPr>
          <w:lang w:val="en-US"/>
        </w:rPr>
        <w:t xml:space="preserve"> inability to operate for failing to provide adequate paperwork or filings, financial difficulties in opening and operating bank accounts, and asset freezing and targeted financial sanctions—</w:t>
      </w:r>
      <w:r w:rsidR="00CB6198">
        <w:rPr>
          <w:lang w:val="en-US"/>
        </w:rPr>
        <w:t>measures that are very often taken absent</w:t>
      </w:r>
      <w:r w:rsidRPr="009B17E5">
        <w:rPr>
          <w:lang w:val="en-US"/>
        </w:rPr>
        <w:t xml:space="preserve"> procedural and substantive due process rights.</w:t>
      </w:r>
      <w:r w:rsidRPr="00C5061E">
        <w:rPr>
          <w:lang w:val="en-US"/>
        </w:rPr>
        <w:t xml:space="preserve"> 57.6% of the </w:t>
      </w:r>
      <w:r w:rsidR="004D55B2">
        <w:rPr>
          <w:lang w:val="en-US"/>
        </w:rPr>
        <w:t>CEDAW communication</w:t>
      </w:r>
      <w:r w:rsidRPr="00C5061E">
        <w:rPr>
          <w:lang w:val="en-US"/>
        </w:rPr>
        <w:t xml:space="preserve"> cases of undue regulation and registration of civil society reviewed pertained to restrictions </w:t>
      </w:r>
      <w:r w:rsidR="00EC776B">
        <w:rPr>
          <w:lang w:val="en-US"/>
        </w:rPr>
        <w:t>based on countering terrorism.</w:t>
      </w:r>
    </w:p>
    <w:p w14:paraId="7573A3FC" w14:textId="212748F7" w:rsidR="003B4F2A" w:rsidRPr="003B4F2A" w:rsidRDefault="00A40262" w:rsidP="0074456D">
      <w:pPr>
        <w:pStyle w:val="SingleTxtG"/>
        <w:numPr>
          <w:ilvl w:val="0"/>
          <w:numId w:val="15"/>
        </w:numPr>
        <w:ind w:left="1170" w:firstLine="0"/>
        <w:rPr>
          <w:lang w:val="en-US"/>
        </w:rPr>
      </w:pPr>
      <w:r w:rsidRPr="003B4F2A">
        <w:rPr>
          <w:lang w:val="en-US"/>
        </w:rPr>
        <w:t>Information provided to t</w:t>
      </w:r>
      <w:r w:rsidR="004D55B2">
        <w:rPr>
          <w:lang w:val="en-US"/>
        </w:rPr>
        <w:t>he</w:t>
      </w:r>
      <w:r w:rsidRPr="003B4F2A">
        <w:rPr>
          <w:lang w:val="en-US"/>
        </w:rPr>
        <w:t xml:space="preserve"> Study demonstrate the use of administrative measures </w:t>
      </w:r>
      <w:r w:rsidR="00CB6198">
        <w:rPr>
          <w:lang w:val="en-US"/>
        </w:rPr>
        <w:t>against a</w:t>
      </w:r>
      <w:r w:rsidRPr="003B4F2A">
        <w:rPr>
          <w:lang w:val="en-US"/>
        </w:rPr>
        <w:t xml:space="preserve"> variety of civil society actors from</w:t>
      </w:r>
      <w:r w:rsidR="001833A6">
        <w:rPr>
          <w:lang w:val="en-US"/>
        </w:rPr>
        <w:t xml:space="preserve"> </w:t>
      </w:r>
      <w:r w:rsidRPr="003B4F2A">
        <w:rPr>
          <w:lang w:val="en-US"/>
        </w:rPr>
        <w:t>lawyers to religious institutions including churches and mosques, to humanitarian organizations. According to a 2020 literature review by InterAction of counter-terrorism measures impacting humanitarian actors, 53% of the impacts catalogued were operational, likely posing immediate barriers to the delivery of humanitarian assistance.</w:t>
      </w:r>
      <w:r w:rsidR="00FD5ADC">
        <w:rPr>
          <w:rStyle w:val="FootnoteReference"/>
          <w:lang w:val="en-US"/>
        </w:rPr>
        <w:footnoteReference w:id="9"/>
      </w:r>
    </w:p>
    <w:p w14:paraId="5CECB39E" w14:textId="63BE248D" w:rsidR="003B4F2A" w:rsidRPr="009B17E5" w:rsidRDefault="00A40262" w:rsidP="0074456D">
      <w:pPr>
        <w:pStyle w:val="SingleTxtG"/>
        <w:numPr>
          <w:ilvl w:val="0"/>
          <w:numId w:val="15"/>
        </w:numPr>
        <w:ind w:left="1170" w:firstLine="0"/>
        <w:rPr>
          <w:lang w:val="en-US"/>
        </w:rPr>
      </w:pPr>
      <w:r w:rsidRPr="003B4F2A">
        <w:rPr>
          <w:lang w:val="en-US"/>
        </w:rPr>
        <w:t xml:space="preserve">Travel bans and restrictions and border screening processes in the name of </w:t>
      </w:r>
      <w:proofErr w:type="gramStart"/>
      <w:r w:rsidRPr="003B4F2A">
        <w:rPr>
          <w:lang w:val="en-US"/>
        </w:rPr>
        <w:t>counter-terrorism</w:t>
      </w:r>
      <w:proofErr w:type="gramEnd"/>
      <w:r w:rsidRPr="003B4F2A">
        <w:rPr>
          <w:lang w:val="en-US"/>
        </w:rPr>
        <w:t xml:space="preserve"> have been documented by UN human rights mechanisms and Global Study respondents, both </w:t>
      </w:r>
      <w:r w:rsidR="001C6417">
        <w:rPr>
          <w:lang w:val="en-US"/>
        </w:rPr>
        <w:t xml:space="preserve">as </w:t>
      </w:r>
      <w:r w:rsidRPr="003B4F2A">
        <w:rPr>
          <w:lang w:val="en-US"/>
        </w:rPr>
        <w:t xml:space="preserve">part and parcel of criminal powers, and separately as independent administrative powers. In either form, intrusive border measures and travel restrictions raise </w:t>
      </w:r>
      <w:r w:rsidR="004D55B2">
        <w:rPr>
          <w:lang w:val="en-US"/>
        </w:rPr>
        <w:t xml:space="preserve">profound </w:t>
      </w:r>
      <w:r w:rsidRPr="003B4F2A">
        <w:rPr>
          <w:lang w:val="en-US"/>
        </w:rPr>
        <w:t xml:space="preserve">human rights concerns of racial and religious profiling amounting to discriminatory use of discretionary powers against certain groups in society. While at least initially, administrative procedures at border points may appear less intrusive than arrest—for example stop and search, extra screening and questioning at airports—all these actions highlight vulnerability, create stigma, and open civil society actors up to greater scrutiny and other forms of rights </w:t>
      </w:r>
      <w:r w:rsidRPr="009B17E5">
        <w:rPr>
          <w:lang w:val="en-US"/>
        </w:rPr>
        <w:t xml:space="preserve">interference. </w:t>
      </w:r>
      <w:r w:rsidRPr="001C6417">
        <w:rPr>
          <w:lang w:val="en-US"/>
        </w:rPr>
        <w:t xml:space="preserve">Notably, 33.3% of the </w:t>
      </w:r>
      <w:r w:rsidR="00C93F39">
        <w:rPr>
          <w:lang w:val="en-US"/>
        </w:rPr>
        <w:t>HRC</w:t>
      </w:r>
      <w:r w:rsidRPr="001C6417">
        <w:rPr>
          <w:lang w:val="en-US"/>
        </w:rPr>
        <w:t xml:space="preserve"> and </w:t>
      </w:r>
      <w:r w:rsidR="004D55B2">
        <w:rPr>
          <w:lang w:val="en-US"/>
        </w:rPr>
        <w:t>CEDAW</w:t>
      </w:r>
      <w:r w:rsidRPr="001C6417">
        <w:rPr>
          <w:lang w:val="en-US"/>
        </w:rPr>
        <w:t xml:space="preserve"> communications involving bans pertained to travel bans against women in the name of </w:t>
      </w:r>
      <w:proofErr w:type="gramStart"/>
      <w:r w:rsidRPr="001C6417">
        <w:rPr>
          <w:lang w:val="en-US"/>
        </w:rPr>
        <w:t>counter-terrorism</w:t>
      </w:r>
      <w:proofErr w:type="gramEnd"/>
      <w:r w:rsidRPr="001C6417">
        <w:rPr>
          <w:lang w:val="en-US"/>
        </w:rPr>
        <w:t xml:space="preserve">. Remedies for such bans are poor and </w:t>
      </w:r>
      <w:r w:rsidR="001C6417">
        <w:rPr>
          <w:lang w:val="en-US"/>
        </w:rPr>
        <w:t>inaccessible</w:t>
      </w:r>
      <w:r w:rsidRPr="001C6417">
        <w:rPr>
          <w:lang w:val="en-US"/>
        </w:rPr>
        <w:t>.</w:t>
      </w:r>
      <w:r w:rsidRPr="009B17E5">
        <w:rPr>
          <w:lang w:val="en-US"/>
        </w:rPr>
        <w:t xml:space="preserve"> </w:t>
      </w:r>
    </w:p>
    <w:p w14:paraId="6D56625C" w14:textId="6941D59A" w:rsidR="003B4F2A" w:rsidRPr="003B4F2A" w:rsidRDefault="00A40262" w:rsidP="0074456D">
      <w:pPr>
        <w:pStyle w:val="SingleTxtG"/>
        <w:numPr>
          <w:ilvl w:val="0"/>
          <w:numId w:val="15"/>
        </w:numPr>
        <w:ind w:left="1170" w:firstLine="0"/>
        <w:rPr>
          <w:lang w:val="en-US"/>
        </w:rPr>
      </w:pPr>
      <w:r w:rsidRPr="003B4F2A">
        <w:rPr>
          <w:lang w:val="en-US"/>
        </w:rPr>
        <w:t xml:space="preserve">States have also resorted to measures like expulsion, deportation and revocation of permanent residency status, and citizenship stripping—where the withdrawal is initiated by the authorities of the State—on </w:t>
      </w:r>
      <w:proofErr w:type="gramStart"/>
      <w:r w:rsidRPr="003B4F2A">
        <w:rPr>
          <w:lang w:val="en-US"/>
        </w:rPr>
        <w:t>counter-terrorism</w:t>
      </w:r>
      <w:proofErr w:type="gramEnd"/>
      <w:r w:rsidRPr="003B4F2A">
        <w:rPr>
          <w:lang w:val="en-US"/>
        </w:rPr>
        <w:t xml:space="preserve"> and P/CVE grounds.</w:t>
      </w:r>
      <w:r w:rsidR="009B17E5">
        <w:rPr>
          <w:lang w:val="en-US"/>
        </w:rPr>
        <w:t xml:space="preserve"> </w:t>
      </w:r>
      <w:r w:rsidRPr="003B4F2A">
        <w:rPr>
          <w:lang w:val="en-US"/>
        </w:rPr>
        <w:t xml:space="preserve">Citizenship stripping is an especially extreme measure facilitated variously and cumulatively by legislative measures, administrative means, policy decisions and institutional practices at the national level in multiple countries. </w:t>
      </w:r>
    </w:p>
    <w:p w14:paraId="7ED27456" w14:textId="628C7549" w:rsidR="00CB6198" w:rsidRDefault="00A40262" w:rsidP="0074456D">
      <w:pPr>
        <w:pStyle w:val="SingleTxtG"/>
        <w:numPr>
          <w:ilvl w:val="0"/>
          <w:numId w:val="15"/>
        </w:numPr>
        <w:ind w:left="1170" w:firstLine="0"/>
        <w:rPr>
          <w:lang w:val="en-US"/>
        </w:rPr>
      </w:pPr>
      <w:r w:rsidRPr="003B4F2A">
        <w:rPr>
          <w:lang w:val="en-US"/>
        </w:rPr>
        <w:t xml:space="preserve">Some States have also initiated employment bans or restrictions, as well as public benefit restrictions on </w:t>
      </w:r>
      <w:proofErr w:type="gramStart"/>
      <w:r w:rsidRPr="003B4F2A">
        <w:rPr>
          <w:lang w:val="en-US"/>
        </w:rPr>
        <w:t>counter-terrorism</w:t>
      </w:r>
      <w:proofErr w:type="gramEnd"/>
      <w:r w:rsidRPr="003B4F2A">
        <w:rPr>
          <w:lang w:val="en-US"/>
        </w:rPr>
        <w:t xml:space="preserve"> and P/CVE grounds with significant downstream harms. Government curfews, house arrests, and movement restrictions are also used to forbid civil society entry into certain areas, with significant consequences for family and professional life.</w:t>
      </w:r>
      <w:r w:rsidR="009B17E5">
        <w:rPr>
          <w:lang w:val="en-US"/>
        </w:rPr>
        <w:t xml:space="preserve"> </w:t>
      </w:r>
      <w:r w:rsidRPr="003B4F2A">
        <w:rPr>
          <w:lang w:val="en-US"/>
        </w:rPr>
        <w:t xml:space="preserve">Land evictions and house demolitions have also been used as forms of targeted or collective punishment for residents suspected of supporting terrorist groups—with disproportionate impacts on people in vulnerable situations, including indigenous peoples and ethnic, </w:t>
      </w:r>
      <w:proofErr w:type="gramStart"/>
      <w:r w:rsidRPr="003B4F2A">
        <w:rPr>
          <w:lang w:val="en-US"/>
        </w:rPr>
        <w:t>religious</w:t>
      </w:r>
      <w:proofErr w:type="gramEnd"/>
      <w:r w:rsidRPr="003B4F2A">
        <w:rPr>
          <w:lang w:val="en-US"/>
        </w:rPr>
        <w:t xml:space="preserve"> and other minorities.</w:t>
      </w:r>
      <w:r w:rsidR="009B17E5">
        <w:rPr>
          <w:lang w:val="en-US"/>
        </w:rPr>
        <w:t xml:space="preserve"> </w:t>
      </w:r>
    </w:p>
    <w:p w14:paraId="197AF7D7" w14:textId="1D25374F" w:rsidR="00D705F5" w:rsidRPr="00CB6198" w:rsidRDefault="00A40262" w:rsidP="0074456D">
      <w:pPr>
        <w:pStyle w:val="SingleTxtG"/>
        <w:numPr>
          <w:ilvl w:val="0"/>
          <w:numId w:val="15"/>
        </w:numPr>
        <w:ind w:left="1170" w:firstLine="0"/>
        <w:rPr>
          <w:lang w:val="en-US"/>
        </w:rPr>
      </w:pPr>
      <w:r w:rsidRPr="00CB6198">
        <w:rPr>
          <w:lang w:val="en-US"/>
        </w:rPr>
        <w:t xml:space="preserve">The use of any of these administrative measures, or a combination thereof, can </w:t>
      </w:r>
      <w:r w:rsidR="00CB6198">
        <w:rPr>
          <w:lang w:val="en-US"/>
        </w:rPr>
        <w:t>operate as a</w:t>
      </w:r>
      <w:r w:rsidRPr="00CB6198">
        <w:rPr>
          <w:lang w:val="en-US"/>
        </w:rPr>
        <w:t xml:space="preserve"> gateway to a range of other legal interferences and is generally never experienced as a singular interaction with the State but builds on sustained points of intrusion. Connectedly, the evidence used for administrative measures is generally subject to national security restrictions meaning it will not be fully disclosed—limiting in turn the scope for lawyers to meaningfully review the intelligence basis for the measures and posing challenges for the right to full and meaningful legal representation</w:t>
      </w:r>
      <w:r w:rsidR="004D55B2">
        <w:rPr>
          <w:lang w:val="en-US"/>
        </w:rPr>
        <w:t xml:space="preserve">. </w:t>
      </w:r>
      <w:r w:rsidRPr="00CB6198">
        <w:rPr>
          <w:lang w:val="en-US"/>
        </w:rPr>
        <w:t xml:space="preserve">The result is that the pernicious drag of an administrative measure can have extraordinary consequences for the </w:t>
      </w:r>
      <w:r w:rsidR="00FD5ADC">
        <w:rPr>
          <w:lang w:val="en-US"/>
        </w:rPr>
        <w:t>affected</w:t>
      </w:r>
      <w:r w:rsidR="00FD5ADC" w:rsidRPr="00CB6198">
        <w:rPr>
          <w:lang w:val="en-US"/>
        </w:rPr>
        <w:t xml:space="preserve"> </w:t>
      </w:r>
      <w:r w:rsidRPr="00CB6198">
        <w:rPr>
          <w:lang w:val="en-US"/>
        </w:rPr>
        <w:t>individual.</w:t>
      </w:r>
    </w:p>
    <w:p w14:paraId="7CC74E8F" w14:textId="780C9689" w:rsidR="00FC5C36" w:rsidRDefault="0074456D" w:rsidP="00343245">
      <w:pPr>
        <w:pStyle w:val="H23G"/>
        <w:rPr>
          <w:lang w:val="en-US"/>
        </w:rPr>
      </w:pPr>
      <w:r>
        <w:rPr>
          <w:lang w:val="en-US"/>
        </w:rPr>
        <w:tab/>
        <w:t>(c)</w:t>
      </w:r>
      <w:r>
        <w:rPr>
          <w:lang w:val="en-US"/>
        </w:rPr>
        <w:tab/>
      </w:r>
      <w:r w:rsidR="00E20510" w:rsidRPr="00AC717D">
        <w:rPr>
          <w:lang w:val="en-US"/>
        </w:rPr>
        <w:t xml:space="preserve">Misuse </w:t>
      </w:r>
      <w:r w:rsidR="00E20510">
        <w:rPr>
          <w:lang w:val="en-US"/>
        </w:rPr>
        <w:t>a</w:t>
      </w:r>
      <w:r w:rsidR="00E20510" w:rsidRPr="00AC717D">
        <w:rPr>
          <w:lang w:val="en-US"/>
        </w:rPr>
        <w:t xml:space="preserve">nd Misapplication </w:t>
      </w:r>
      <w:r w:rsidR="00E20510">
        <w:rPr>
          <w:lang w:val="en-US"/>
        </w:rPr>
        <w:t>o</w:t>
      </w:r>
      <w:r w:rsidR="00E20510" w:rsidRPr="00AC717D">
        <w:rPr>
          <w:lang w:val="en-US"/>
        </w:rPr>
        <w:t>f Counter-Terrorism Financing Standards</w:t>
      </w:r>
    </w:p>
    <w:p w14:paraId="265CBAEE" w14:textId="697208B0" w:rsidR="003B4F2A" w:rsidRDefault="00A40262" w:rsidP="0074456D">
      <w:pPr>
        <w:pStyle w:val="SingleTxtG"/>
        <w:numPr>
          <w:ilvl w:val="0"/>
          <w:numId w:val="15"/>
        </w:numPr>
        <w:ind w:left="1170" w:firstLine="0"/>
        <w:rPr>
          <w:lang w:val="en-US"/>
        </w:rPr>
      </w:pPr>
      <w:r w:rsidRPr="00A40262">
        <w:rPr>
          <w:lang w:val="en-US"/>
        </w:rPr>
        <w:t xml:space="preserve">Across regions, human rights defenders, humanitarians, political dissidents, journalists, lawyers, religious leaders, environmentalists, </w:t>
      </w:r>
      <w:proofErr w:type="gramStart"/>
      <w:r w:rsidRPr="00A40262">
        <w:rPr>
          <w:lang w:val="en-US"/>
        </w:rPr>
        <w:t>migrants</w:t>
      </w:r>
      <w:proofErr w:type="gramEnd"/>
      <w:r w:rsidRPr="00A40262">
        <w:rPr>
          <w:lang w:val="en-US"/>
        </w:rPr>
        <w:t xml:space="preserve"> and other civil society </w:t>
      </w:r>
      <w:r w:rsidRPr="00A40262">
        <w:rPr>
          <w:lang w:val="en-US"/>
        </w:rPr>
        <w:lastRenderedPageBreak/>
        <w:t>actors have been subject to countering the financing of terrorism (CFT) measures. These come in the forms of non-profit registration and reporting requirements, and a range of preventive, disciplinary, and enforcement measures like dissolution, surveillance, office raids, asset freezing, bank de-risking, and prosecutorial action. State implementation of CFT measures is often incentivized by global compliance pressures, including pursuant to the soft-law Financial Action Task Force Standards (FATF).</w:t>
      </w:r>
    </w:p>
    <w:p w14:paraId="26DEAC0C" w14:textId="5CDDFC18" w:rsidR="00E20510" w:rsidRPr="003B4F2A" w:rsidRDefault="00A40262" w:rsidP="0074456D">
      <w:pPr>
        <w:pStyle w:val="SingleTxtG"/>
        <w:numPr>
          <w:ilvl w:val="0"/>
          <w:numId w:val="15"/>
        </w:numPr>
        <w:ind w:left="1170" w:firstLine="0"/>
        <w:rPr>
          <w:lang w:val="en-US"/>
        </w:rPr>
      </w:pPr>
      <w:r w:rsidRPr="003B4F2A">
        <w:rPr>
          <w:lang w:val="en-US"/>
        </w:rPr>
        <w:t xml:space="preserve">Whether intentionally or not, many stakeholders have erred towards a zero-risk approach to </w:t>
      </w:r>
      <w:r w:rsidR="00204E9A">
        <w:rPr>
          <w:lang w:val="en-US"/>
        </w:rPr>
        <w:t>CFT</w:t>
      </w:r>
      <w:r w:rsidRPr="003B4F2A">
        <w:rPr>
          <w:lang w:val="en-US"/>
        </w:rPr>
        <w:t xml:space="preserve">, often presuming without evidence that the non-profit and charitable sector </w:t>
      </w:r>
      <w:proofErr w:type="gramStart"/>
      <w:r w:rsidRPr="003B4F2A">
        <w:rPr>
          <w:lang w:val="en-US"/>
        </w:rPr>
        <w:t>as a whole is</w:t>
      </w:r>
      <w:proofErr w:type="gramEnd"/>
      <w:r w:rsidRPr="003B4F2A">
        <w:rPr>
          <w:lang w:val="en-US"/>
        </w:rPr>
        <w:t xml:space="preserve"> at high-risk and adopting undue, disproportionate, and discriminatory measures. The legal, political, economic, reputational, and cultural impacts of undue CFT measures, not only to </w:t>
      </w:r>
      <w:r w:rsidR="00204E9A">
        <w:rPr>
          <w:lang w:val="en-US"/>
        </w:rPr>
        <w:t>CSOs</w:t>
      </w:r>
      <w:r w:rsidRPr="003B4F2A">
        <w:rPr>
          <w:lang w:val="en-US"/>
        </w:rPr>
        <w:t xml:space="preserve"> and their operations, but also their staff and families, beneficiaries, and communities, is well documented and raises serious human rights challenges, as well as practical questions of effectiveness</w:t>
      </w:r>
      <w:r w:rsidR="00052575">
        <w:rPr>
          <w:lang w:val="en-US"/>
        </w:rPr>
        <w:t>.</w:t>
      </w:r>
    </w:p>
    <w:p w14:paraId="217CDBAD" w14:textId="03AAB62D" w:rsidR="00E20510" w:rsidRPr="00E20510" w:rsidRDefault="00A40262" w:rsidP="0074456D">
      <w:pPr>
        <w:pStyle w:val="SingleTxtG"/>
        <w:numPr>
          <w:ilvl w:val="0"/>
          <w:numId w:val="15"/>
        </w:numPr>
        <w:ind w:left="1170" w:firstLine="0"/>
        <w:rPr>
          <w:lang w:val="en-US"/>
        </w:rPr>
      </w:pPr>
      <w:r w:rsidRPr="00E20510">
        <w:rPr>
          <w:lang w:val="en-US"/>
        </w:rPr>
        <w:t>The starting point for the design of any CFT measure must be an assessment of terrorist financing risk. Risk assessments are the prerequisite for ensuring a necessary, proportionate CFT measure in line with both international human rights law and the FATF risk-based approach</w:t>
      </w:r>
      <w:r w:rsidR="004D55B2">
        <w:rPr>
          <w:lang w:val="en-US"/>
        </w:rPr>
        <w:t>.</w:t>
      </w:r>
      <w:r w:rsidRPr="00E20510">
        <w:rPr>
          <w:lang w:val="en-US"/>
        </w:rPr>
        <w:t xml:space="preserve"> In practice, risk assessments are rarely undertaken with sufficient regularity, specificity, and public consultation.</w:t>
      </w:r>
      <w:r w:rsidR="009B17E5">
        <w:rPr>
          <w:lang w:val="en-US"/>
        </w:rPr>
        <w:t xml:space="preserve"> </w:t>
      </w:r>
      <w:r w:rsidRPr="00E20510">
        <w:rPr>
          <w:lang w:val="en-US"/>
        </w:rPr>
        <w:t>Although discrete good practices of collaborative and participatory multi-stakeholder risk assessments have begun to emerge, most Global Study civil society respondents claimed that no sectoral risk assessment had been performed in their country of operation.</w:t>
      </w:r>
      <w:r w:rsidR="009B17E5">
        <w:rPr>
          <w:lang w:val="en-US"/>
        </w:rPr>
        <w:t xml:space="preserve"> </w:t>
      </w:r>
      <w:r w:rsidRPr="001C6417">
        <w:rPr>
          <w:lang w:val="en-US"/>
        </w:rPr>
        <w:t>Where respondents identified the existence of a non-profit risk assessment, they commonly expressed concern that there was little to no public consultation,</w:t>
      </w:r>
      <w:r w:rsidRPr="00F17C7B">
        <w:rPr>
          <w:lang w:val="en-US"/>
        </w:rPr>
        <w:t xml:space="preserve"> resulting in some cases with a shadow risk assessment undertaken by civil society and coming to completely different findings;</w:t>
      </w:r>
      <w:r w:rsidR="00052575">
        <w:rPr>
          <w:lang w:val="en-US"/>
        </w:rPr>
        <w:t xml:space="preserve"> for example,</w:t>
      </w:r>
      <w:r w:rsidRPr="00F17C7B">
        <w:rPr>
          <w:lang w:val="en-US"/>
        </w:rPr>
        <w:t xml:space="preserve"> that existing regulatory requirements and non-profit self-governance measures were not </w:t>
      </w:r>
      <w:proofErr w:type="gramStart"/>
      <w:r w:rsidRPr="00F17C7B">
        <w:rPr>
          <w:lang w:val="en-US"/>
        </w:rPr>
        <w:t>taken into account</w:t>
      </w:r>
      <w:proofErr w:type="gramEnd"/>
      <w:r w:rsidRPr="00F17C7B">
        <w:rPr>
          <w:lang w:val="en-US"/>
        </w:rPr>
        <w:t>. As of November 2021, out of 118 Mutual Evaluations, just six jurisdictions were found Compliant with FATF Recommendation 8, which requires a risk-based approach to terrorist financing risks in the non-profit sector.</w:t>
      </w:r>
      <w:r w:rsidRPr="00E20510">
        <w:rPr>
          <w:lang w:val="en-US"/>
        </w:rPr>
        <w:t xml:space="preserve"> </w:t>
      </w:r>
    </w:p>
    <w:p w14:paraId="053E7348" w14:textId="5203DD67" w:rsidR="00E20510" w:rsidRPr="00E20510" w:rsidRDefault="00A40262" w:rsidP="0074456D">
      <w:pPr>
        <w:pStyle w:val="SingleTxtG"/>
        <w:numPr>
          <w:ilvl w:val="0"/>
          <w:numId w:val="15"/>
        </w:numPr>
        <w:ind w:left="1170" w:firstLine="0"/>
        <w:rPr>
          <w:lang w:val="en-US"/>
        </w:rPr>
      </w:pPr>
      <w:r w:rsidRPr="00E20510">
        <w:rPr>
          <w:lang w:val="en-US"/>
        </w:rPr>
        <w:t xml:space="preserve">Many States have focused their CFT efforts on restricting funding, typically foreign funding, to local civil society organizations, which can be especially debilitating for </w:t>
      </w:r>
      <w:r w:rsidR="00204E9A">
        <w:rPr>
          <w:lang w:val="en-US"/>
        </w:rPr>
        <w:t>CSOs</w:t>
      </w:r>
      <w:r w:rsidRPr="00E20510">
        <w:rPr>
          <w:lang w:val="en-US"/>
        </w:rPr>
        <w:t xml:space="preserve"> with missions focused on, </w:t>
      </w:r>
      <w:r w:rsidRPr="00E20510">
        <w:rPr>
          <w:i/>
          <w:lang w:val="en-US"/>
        </w:rPr>
        <w:t>inter alia</w:t>
      </w:r>
      <w:r w:rsidRPr="00E20510">
        <w:rPr>
          <w:lang w:val="en-US"/>
        </w:rPr>
        <w:t>, women, gender identity and sexual orientation, and ethnic and religious minorities, given their reliance on foreign donors. Restrictions range from banning or severely restricting non-profit organizations from receiving any foreign funds;</w:t>
      </w:r>
      <w:r w:rsidR="009B17E5">
        <w:rPr>
          <w:lang w:val="en-US"/>
        </w:rPr>
        <w:t xml:space="preserve"> </w:t>
      </w:r>
      <w:r w:rsidRPr="00E20510">
        <w:rPr>
          <w:lang w:val="en-US"/>
        </w:rPr>
        <w:t xml:space="preserve">requiring registration as “foreign agents” or other prior governmental approval to receive </w:t>
      </w:r>
      <w:r w:rsidR="00204E9A">
        <w:rPr>
          <w:lang w:val="en-US"/>
        </w:rPr>
        <w:t>and tax</w:t>
      </w:r>
      <w:r w:rsidR="00345992">
        <w:rPr>
          <w:lang w:val="en-US"/>
        </w:rPr>
        <w:t>ing</w:t>
      </w:r>
      <w:r w:rsidR="00204E9A">
        <w:rPr>
          <w:lang w:val="en-US"/>
        </w:rPr>
        <w:t xml:space="preserve"> </w:t>
      </w:r>
      <w:r w:rsidRPr="00E20510">
        <w:rPr>
          <w:lang w:val="en-US"/>
        </w:rPr>
        <w:t xml:space="preserve">foreign funds. </w:t>
      </w:r>
      <w:r w:rsidR="00F17C7B" w:rsidRPr="00E20510">
        <w:rPr>
          <w:lang w:val="en-US"/>
        </w:rPr>
        <w:t xml:space="preserve">It is also well documented that civil society organizations have been subject to forced dissolution and de-registration </w:t>
      </w:r>
      <w:proofErr w:type="gramStart"/>
      <w:r w:rsidR="00F17C7B" w:rsidRPr="00E20510">
        <w:rPr>
          <w:lang w:val="en-US"/>
        </w:rPr>
        <w:t>on the basis of</w:t>
      </w:r>
      <w:proofErr w:type="gramEnd"/>
      <w:r w:rsidR="00F17C7B" w:rsidRPr="00E20510">
        <w:rPr>
          <w:lang w:val="en-US"/>
        </w:rPr>
        <w:t xml:space="preserve"> CFT. </w:t>
      </w:r>
      <w:r w:rsidR="009B17E5" w:rsidRPr="009B17E5">
        <w:rPr>
          <w:lang w:val="en-US"/>
        </w:rPr>
        <w:t>Notably, successful appeals and/or judicial review of these registration and reporting requirements are rare though emerging, including in France and Nigeria.</w:t>
      </w:r>
    </w:p>
    <w:p w14:paraId="40483DE4" w14:textId="1257DCCD" w:rsidR="00A40262" w:rsidRDefault="00A40262" w:rsidP="0074456D">
      <w:pPr>
        <w:pStyle w:val="SingleTxtG"/>
        <w:numPr>
          <w:ilvl w:val="0"/>
          <w:numId w:val="15"/>
        </w:numPr>
        <w:ind w:left="1170" w:firstLine="0"/>
        <w:rPr>
          <w:lang w:val="en-US"/>
        </w:rPr>
      </w:pPr>
      <w:r w:rsidRPr="00E20510">
        <w:rPr>
          <w:lang w:val="en-US"/>
        </w:rPr>
        <w:t>Banks and financial intermediaries have played a central role in implementing CFT measures that affect civil society, particularly in adopting de-risking measures that terminate or otherwise restrict banking and other business relationships with civil society “to avoid, rather than manage, risk.”</w:t>
      </w:r>
      <w:r w:rsidRPr="00E20510">
        <w:rPr>
          <w:vertAlign w:val="superscript"/>
          <w:lang w:val="en-US"/>
        </w:rPr>
        <w:footnoteReference w:id="10"/>
      </w:r>
      <w:r w:rsidRPr="00E20510">
        <w:rPr>
          <w:lang w:val="en-US"/>
        </w:rPr>
        <w:t xml:space="preserve"> </w:t>
      </w:r>
      <w:r w:rsidRPr="00F17C7B">
        <w:rPr>
          <w:lang w:val="en-US"/>
        </w:rPr>
        <w:t>In every Global Study regional consultation, participants identified de-risking incidents, including blocked or significantly delayed money transfers and bank account closures or inability to open a bank account, that significantly affected their ability to operate and deliver core activities.</w:t>
      </w:r>
      <w:r w:rsidRPr="00AC717D">
        <w:rPr>
          <w:lang w:val="en-US"/>
        </w:rPr>
        <w:t xml:space="preserve"> </w:t>
      </w:r>
    </w:p>
    <w:p w14:paraId="220FF60E" w14:textId="32E9A3AE" w:rsidR="00A40262" w:rsidRPr="00A40262" w:rsidRDefault="0074456D" w:rsidP="00343245">
      <w:pPr>
        <w:pStyle w:val="H23G"/>
        <w:rPr>
          <w:lang w:val="en-US"/>
        </w:rPr>
      </w:pPr>
      <w:r>
        <w:tab/>
        <w:t>(d)</w:t>
      </w:r>
      <w:r>
        <w:tab/>
      </w:r>
      <w:r w:rsidR="00E20510" w:rsidRPr="00A40262">
        <w:t xml:space="preserve">Human Rights </w:t>
      </w:r>
      <w:r w:rsidR="00E20510">
        <w:t>and</w:t>
      </w:r>
      <w:r w:rsidR="00E20510" w:rsidRPr="00A40262">
        <w:t xml:space="preserve"> Humanitarian Harms </w:t>
      </w:r>
      <w:r w:rsidR="00E20510">
        <w:t>of</w:t>
      </w:r>
      <w:r w:rsidR="00E20510" w:rsidRPr="00A40262">
        <w:t xml:space="preserve"> Sanctions </w:t>
      </w:r>
      <w:r w:rsidR="00E20510">
        <w:t>and</w:t>
      </w:r>
      <w:r w:rsidR="00E20510" w:rsidRPr="00A40262">
        <w:t xml:space="preserve"> Listing</w:t>
      </w:r>
    </w:p>
    <w:p w14:paraId="6D2F1C66" w14:textId="6389E5BA" w:rsidR="00A40262" w:rsidRPr="00866E73" w:rsidRDefault="00204E9A" w:rsidP="0074456D">
      <w:pPr>
        <w:pStyle w:val="SingleTxtG"/>
        <w:numPr>
          <w:ilvl w:val="0"/>
          <w:numId w:val="15"/>
        </w:numPr>
        <w:ind w:left="1170" w:firstLine="0"/>
      </w:pPr>
      <w:r>
        <w:t>CSOs</w:t>
      </w:r>
      <w:r w:rsidR="00A40262" w:rsidRPr="00A40262">
        <w:t xml:space="preserve"> face cross-cutting challenges in the use of sanctions and listing related to terrorism, including through domestic implementation of UN counter-terrorism targeted sanctions and the use of domestic </w:t>
      </w:r>
      <w:r w:rsidR="00047CF1">
        <w:t xml:space="preserve">listing </w:t>
      </w:r>
      <w:r w:rsidR="00A40262" w:rsidRPr="00A40262">
        <w:t xml:space="preserve">regimes untethered to international regimes that create broad opportunities for misuse under the guise of </w:t>
      </w:r>
      <w:r w:rsidR="00047CF1">
        <w:t xml:space="preserve">countering </w:t>
      </w:r>
      <w:r w:rsidR="00A40262" w:rsidRPr="00A40262">
        <w:t xml:space="preserve">terrorism. Domestic level </w:t>
      </w:r>
      <w:r w:rsidR="00047CF1">
        <w:t>mis</w:t>
      </w:r>
      <w:r w:rsidR="00A40262" w:rsidRPr="00A40262">
        <w:t>use is often tied to the cover provided by</w:t>
      </w:r>
      <w:r w:rsidR="00047CF1">
        <w:t xml:space="preserve"> the</w:t>
      </w:r>
      <w:r w:rsidR="00A40262" w:rsidRPr="00A40262">
        <w:t xml:space="preserve"> </w:t>
      </w:r>
      <w:r w:rsidR="00047CF1">
        <w:t xml:space="preserve">sustained </w:t>
      </w:r>
      <w:r w:rsidR="00A40262" w:rsidRPr="00A40262">
        <w:t>global focus on the obligation of States to address terrorism</w:t>
      </w:r>
      <w:r w:rsidR="00047CF1">
        <w:t xml:space="preserve"> including through UN Security Council resolutions.</w:t>
      </w:r>
      <w:r w:rsidR="00A40262" w:rsidRPr="00A40262">
        <w:t xml:space="preserve"> </w:t>
      </w:r>
      <w:r w:rsidR="00A40262" w:rsidRPr="00A40262">
        <w:lastRenderedPageBreak/>
        <w:t xml:space="preserve">The </w:t>
      </w:r>
      <w:r w:rsidR="005247CC">
        <w:t>SR</w:t>
      </w:r>
      <w:r w:rsidR="00A40262" w:rsidRPr="00A40262">
        <w:t xml:space="preserve"> has previously noted how abusive designations have been made easier by the broadened criteria introduced </w:t>
      </w:r>
      <w:r>
        <w:t>in</w:t>
      </w:r>
      <w:r w:rsidR="006932D6">
        <w:t xml:space="preserve"> </w:t>
      </w:r>
      <w:r w:rsidR="00A40262" w:rsidRPr="00A40262">
        <w:t xml:space="preserve">Security </w:t>
      </w:r>
      <w:r w:rsidR="00A40262" w:rsidRPr="00866E73">
        <w:t>Council resolution 1617 (2005) under the targeted terrorism sanction regime.</w:t>
      </w:r>
      <w:r w:rsidR="00A40262" w:rsidRPr="00866E73">
        <w:rPr>
          <w:rStyle w:val="FootnoteReference"/>
          <w:sz w:val="20"/>
        </w:rPr>
        <w:footnoteReference w:id="11"/>
      </w:r>
      <w:r w:rsidR="00A40262" w:rsidRPr="00866E73">
        <w:t xml:space="preserve"> </w:t>
      </w:r>
      <w:r w:rsidR="00A40262" w:rsidRPr="00A83C38">
        <w:t>Multiple submissions to the Study emphasized the negative use</w:t>
      </w:r>
      <w:r w:rsidR="00A40262" w:rsidRPr="00A83C38" w:rsidDel="005665E5">
        <w:t xml:space="preserve"> </w:t>
      </w:r>
      <w:r w:rsidR="00A40262" w:rsidRPr="00A83C38">
        <w:t xml:space="preserve">of sanctions and listing to target humanitarian actors operating in conflict sites, with devastating consequences for access to food, medicine, </w:t>
      </w:r>
      <w:proofErr w:type="gramStart"/>
      <w:r w:rsidR="00A40262" w:rsidRPr="00A83C38">
        <w:t>shelter</w:t>
      </w:r>
      <w:proofErr w:type="gramEnd"/>
      <w:r w:rsidR="00A40262" w:rsidRPr="00A83C38">
        <w:t xml:space="preserve"> and the essential means for the civilian population to survive.</w:t>
      </w:r>
      <w:r w:rsidR="00A40262" w:rsidRPr="00866E73">
        <w:t xml:space="preserve"> </w:t>
      </w:r>
      <w:r w:rsidR="00A40262" w:rsidRPr="00A83C38">
        <w:t xml:space="preserve">The </w:t>
      </w:r>
      <w:r w:rsidR="005247CC">
        <w:t>SR</w:t>
      </w:r>
      <w:r w:rsidR="00A40262" w:rsidRPr="00A83C38">
        <w:t xml:space="preserve"> welcom</w:t>
      </w:r>
      <w:r w:rsidR="005247CC">
        <w:t>es</w:t>
      </w:r>
      <w:r w:rsidR="00A40262" w:rsidRPr="00A83C38">
        <w:t xml:space="preserve"> the passage of UNSCR 2664 (2022) in response to civil society advocacy and human rights and humanitarian documentation, which established a limited, standing humanitarian-related “carve out” from Council agreed asset freezes.</w:t>
      </w:r>
      <w:r w:rsidR="00A40262" w:rsidRPr="00866E73">
        <w:t xml:space="preserve">  </w:t>
      </w:r>
      <w:r w:rsidR="00A40262" w:rsidRPr="00A83C38">
        <w:t xml:space="preserve">Member States must now, in line with operational paragraph 4, assess the compliance of their implementation of UN sanctions, including and for the purposes of this Study specifically counter-terrorism targeted sanctions regimes, with the exemption. </w:t>
      </w:r>
    </w:p>
    <w:p w14:paraId="45873D73" w14:textId="1E4268C4" w:rsidR="00AC717D" w:rsidRPr="0074456D" w:rsidRDefault="0074456D" w:rsidP="00343245">
      <w:pPr>
        <w:pStyle w:val="H23G"/>
      </w:pPr>
      <w:r>
        <w:tab/>
        <w:t>(e)</w:t>
      </w:r>
      <w:r>
        <w:tab/>
      </w:r>
      <w:r w:rsidR="00E20510" w:rsidRPr="0074456D">
        <w:t>Weaponization of New Technologies Against Civil Society</w:t>
      </w:r>
    </w:p>
    <w:p w14:paraId="541E31C3" w14:textId="628E7A0D" w:rsidR="00E20510" w:rsidRDefault="00A40262" w:rsidP="0074456D">
      <w:pPr>
        <w:pStyle w:val="SingleTxtG"/>
        <w:numPr>
          <w:ilvl w:val="0"/>
          <w:numId w:val="15"/>
        </w:numPr>
        <w:ind w:left="1170" w:firstLine="0"/>
      </w:pPr>
      <w:r w:rsidRPr="00A40262">
        <w:t xml:space="preserve">The development of new technologies promises enormously positive benefits for civil society, providing new possibilities for deepening connection and communication, promoting new educational and professional opportunities, and offering heightened security and efficiency. Those benefits, when distributed equally, transparently, and without discrimination, can make technology a partner in the strengthening of civil society and the promotion and protection of civil, political, economic, </w:t>
      </w:r>
      <w:proofErr w:type="gramStart"/>
      <w:r w:rsidRPr="00A40262">
        <w:t>social</w:t>
      </w:r>
      <w:proofErr w:type="gramEnd"/>
      <w:r w:rsidRPr="00A40262">
        <w:t xml:space="preserve"> and cultural rights for people worldwide. The various ways in which new technological capacities are being deployed in the name of </w:t>
      </w:r>
      <w:proofErr w:type="gramStart"/>
      <w:r w:rsidRPr="00A40262">
        <w:t>counter-terrorism</w:t>
      </w:r>
      <w:proofErr w:type="gramEnd"/>
      <w:r w:rsidRPr="00A40262">
        <w:t xml:space="preserve"> and P/CVE, however, represent a fundamental threat to civil society and </w:t>
      </w:r>
      <w:r w:rsidR="008929CF">
        <w:t xml:space="preserve">its </w:t>
      </w:r>
      <w:r w:rsidRPr="00A40262">
        <w:t xml:space="preserve">meaningful participation. </w:t>
      </w:r>
    </w:p>
    <w:p w14:paraId="0092DB05" w14:textId="2995E9A4" w:rsidR="00E20510" w:rsidRDefault="00A40262" w:rsidP="0074456D">
      <w:pPr>
        <w:pStyle w:val="SingleTxtG"/>
        <w:numPr>
          <w:ilvl w:val="0"/>
          <w:numId w:val="15"/>
        </w:numPr>
        <w:ind w:left="1170" w:firstLine="0"/>
      </w:pPr>
      <w:r w:rsidRPr="0074456D">
        <w:rPr>
          <w:lang w:val="en-US"/>
        </w:rPr>
        <w:t>Drawing</w:t>
      </w:r>
      <w:r w:rsidRPr="00A40262">
        <w:t xml:space="preserve"> </w:t>
      </w:r>
      <w:r w:rsidR="00CB6198">
        <w:t>on</w:t>
      </w:r>
      <w:r w:rsidR="00CB6198" w:rsidRPr="00A40262">
        <w:t xml:space="preserve"> </w:t>
      </w:r>
      <w:r w:rsidRPr="00A40262">
        <w:t xml:space="preserve">Global Study data, </w:t>
      </w:r>
      <w:r w:rsidR="00047CF1">
        <w:t>th</w:t>
      </w:r>
      <w:r w:rsidR="00F75037">
        <w:t>e present</w:t>
      </w:r>
      <w:r w:rsidR="00047CF1">
        <w:t xml:space="preserve"> </w:t>
      </w:r>
      <w:r w:rsidR="005247CC">
        <w:t>Report assesses</w:t>
      </w:r>
      <w:r w:rsidR="005247CC" w:rsidRPr="00A40262">
        <w:t xml:space="preserve"> </w:t>
      </w:r>
      <w:r w:rsidRPr="00A40262">
        <w:t xml:space="preserve">how the development and deployment of new technologies for </w:t>
      </w:r>
      <w:proofErr w:type="gramStart"/>
      <w:r w:rsidRPr="00A40262">
        <w:t>counter-terrorism</w:t>
      </w:r>
      <w:proofErr w:type="gramEnd"/>
      <w:r w:rsidRPr="00A40262">
        <w:t xml:space="preserve"> and P/CVE purposes—namely surveillance, content moderation, </w:t>
      </w:r>
      <w:r w:rsidR="00F75037">
        <w:t>i</w:t>
      </w:r>
      <w:r w:rsidRPr="00A40262">
        <w:t>nternet shutdowns, biometrics and facial technology, and drones—have substantially limited the ability of civil society to exercise their fundamental rights and implement their core human rights, humanitarian, and other activities.</w:t>
      </w:r>
      <w:r w:rsidR="00CB6198">
        <w:t xml:space="preserve"> </w:t>
      </w:r>
      <w:r w:rsidR="00CB6198" w:rsidRPr="00A40262">
        <w:t>Th</w:t>
      </w:r>
      <w:r w:rsidR="00CB6198">
        <w:t xml:space="preserve">e Global Study’s findings build upon </w:t>
      </w:r>
      <w:r w:rsidR="00CB6198" w:rsidRPr="00A40262">
        <w:t>the Special Rapporteur’s 2023 report to the Human Rights Council.</w:t>
      </w:r>
      <w:r w:rsidR="00CB6198" w:rsidRPr="00A40262">
        <w:rPr>
          <w:rStyle w:val="FootnoteReference"/>
          <w:sz w:val="20"/>
        </w:rPr>
        <w:footnoteReference w:id="12"/>
      </w:r>
    </w:p>
    <w:p w14:paraId="3C8C3771" w14:textId="723C0ACF" w:rsidR="00B634F5" w:rsidRDefault="00A40262" w:rsidP="0074456D">
      <w:pPr>
        <w:pStyle w:val="SingleTxtG"/>
        <w:numPr>
          <w:ilvl w:val="0"/>
          <w:numId w:val="15"/>
        </w:numPr>
        <w:ind w:left="1170" w:firstLine="0"/>
      </w:pPr>
      <w:r w:rsidRPr="00A40262">
        <w:t xml:space="preserve">The ubiquity of sophisticated communications surveillance poses obvious threats to civil society actors and organizations’ rights </w:t>
      </w:r>
      <w:r w:rsidR="00B634F5">
        <w:t>to</w:t>
      </w:r>
      <w:r w:rsidR="00B634F5" w:rsidRPr="00A40262">
        <w:t xml:space="preserve"> </w:t>
      </w:r>
      <w:r w:rsidRPr="00A40262">
        <w:t>privacy and free expression, as well as related rights like the freedom of assembly</w:t>
      </w:r>
      <w:r w:rsidR="00F75037">
        <w:t xml:space="preserve"> and</w:t>
      </w:r>
      <w:r w:rsidRPr="00A40262">
        <w:t xml:space="preserve"> association, and freedom to manifest one’s religion.</w:t>
      </w:r>
      <w:r w:rsidRPr="00A40262">
        <w:rPr>
          <w:vertAlign w:val="superscript"/>
        </w:rPr>
        <w:footnoteReference w:id="13"/>
      </w:r>
      <w:r w:rsidRPr="00A40262">
        <w:t xml:space="preserve"> </w:t>
      </w:r>
      <w:r w:rsidRPr="00C453CA">
        <w:t>Many Global Study respondents reported experiences of digital surveillance and</w:t>
      </w:r>
      <w:r w:rsidR="00CB6198">
        <w:t xml:space="preserve"> the</w:t>
      </w:r>
      <w:r w:rsidRPr="00C453CA">
        <w:t xml:space="preserve"> transfer of their private data across Europe, the Middle East</w:t>
      </w:r>
      <w:r w:rsidR="00866E73" w:rsidRPr="00C453CA">
        <w:t>,</w:t>
      </w:r>
      <w:r w:rsidRPr="00C453CA">
        <w:t xml:space="preserve"> Africa, Latin America,</w:t>
      </w:r>
      <w:r w:rsidR="00345992">
        <w:rPr>
          <w:rStyle w:val="FootnoteReference"/>
        </w:rPr>
        <w:footnoteReference w:id="14"/>
      </w:r>
      <w:r w:rsidRPr="00C453CA">
        <w:t xml:space="preserve"> North America, and Asia &amp; the Pacific,</w:t>
      </w:r>
      <w:r w:rsidR="00866E73" w:rsidRPr="00C453CA">
        <w:t xml:space="preserve"> </w:t>
      </w:r>
      <w:r w:rsidRPr="00C453CA">
        <w:t xml:space="preserve">leading to </w:t>
      </w:r>
      <w:r w:rsidR="00CB6198">
        <w:t xml:space="preserve">deep </w:t>
      </w:r>
      <w:r w:rsidRPr="00C453CA">
        <w:t xml:space="preserve">concerns </w:t>
      </w:r>
      <w:r w:rsidR="00AB2F5A">
        <w:t xml:space="preserve">amongst civil society </w:t>
      </w:r>
      <w:r w:rsidRPr="00C453CA">
        <w:t xml:space="preserve">about </w:t>
      </w:r>
      <w:r w:rsidR="00AB2F5A">
        <w:t>permissive</w:t>
      </w:r>
      <w:r w:rsidR="00CB6198">
        <w:t xml:space="preserve"> surveillance and data sharing arrangements,</w:t>
      </w:r>
      <w:r w:rsidRPr="00C453CA">
        <w:t xml:space="preserve"> </w:t>
      </w:r>
      <w:r w:rsidR="00B634F5">
        <w:t xml:space="preserve">and </w:t>
      </w:r>
      <w:r w:rsidR="00B634F5" w:rsidRPr="00A40262">
        <w:t>a dearth of regulation and due diligence</w:t>
      </w:r>
      <w:r w:rsidR="00B634F5">
        <w:t xml:space="preserve"> with respect to both States and private companies. </w:t>
      </w:r>
      <w:r w:rsidR="00345992">
        <w:t xml:space="preserve"> The lack of regulation for private cybersecurity firms is profoundly concerning. </w:t>
      </w:r>
      <w:r w:rsidR="00B634F5">
        <w:t>The pernicious effect of unchecked and unregulated surveillance on civil society has been vividly demonstrated in the field of spyware. The Mandate’s position paper sets out in detail the inadequacy of the existing regulatory regime and identifies the minimum features of a rights-respecting approach to the unique challenge of spyware</w:t>
      </w:r>
      <w:r w:rsidR="000E69C6">
        <w:t>.</w:t>
      </w:r>
    </w:p>
    <w:p w14:paraId="76D95EE4" w14:textId="29804419" w:rsidR="00AB2F5A" w:rsidRDefault="00AB2F5A" w:rsidP="0074456D">
      <w:pPr>
        <w:pStyle w:val="SingleTxtG"/>
        <w:numPr>
          <w:ilvl w:val="0"/>
          <w:numId w:val="15"/>
        </w:numPr>
        <w:ind w:left="1170" w:firstLine="0"/>
      </w:pPr>
      <w:r>
        <w:t>The Global Study also records how States</w:t>
      </w:r>
      <w:r w:rsidR="00A40262" w:rsidRPr="00A40262">
        <w:t xml:space="preserve"> deploy the blunt instrument of intentional Internet disruption as a public order mechanism purportedly in response to unrest—often </w:t>
      </w:r>
      <w:r w:rsidR="00E479F4">
        <w:t>using</w:t>
      </w:r>
      <w:r w:rsidR="00A40262" w:rsidRPr="00A40262">
        <w:t xml:space="preserve"> national security</w:t>
      </w:r>
      <w:r w:rsidR="00E479F4">
        <w:t xml:space="preserve"> as a pretext</w:t>
      </w:r>
      <w:r w:rsidR="00A40262" w:rsidRPr="00A40262">
        <w:t>. Despite access to the Internet being widely recognized as an indispensable enabler of a broad range of human rights,</w:t>
      </w:r>
      <w:r w:rsidR="00866E73">
        <w:t xml:space="preserve"> </w:t>
      </w:r>
      <w:r w:rsidR="00A40262" w:rsidRPr="00A40262">
        <w:t>there were at least 18</w:t>
      </w:r>
      <w:r w:rsidR="006A7E97">
        <w:t>4</w:t>
      </w:r>
      <w:r w:rsidR="00A40262" w:rsidRPr="00A40262">
        <w:t xml:space="preserve"> Internet shutdowns in 34 countries in 2021 according to Access Now (compared to 159 shutdowns in 29 countries in 2020).</w:t>
      </w:r>
      <w:r w:rsidR="00A40262" w:rsidRPr="00A40262">
        <w:rPr>
          <w:vertAlign w:val="superscript"/>
        </w:rPr>
        <w:footnoteReference w:id="15"/>
      </w:r>
      <w:r w:rsidR="00A40262" w:rsidRPr="00A40262">
        <w:t xml:space="preserve"> A relatively small number of countries are responsible for </w:t>
      </w:r>
      <w:proofErr w:type="gramStart"/>
      <w:r w:rsidR="00A40262" w:rsidRPr="00A40262">
        <w:t>the vast majority of</w:t>
      </w:r>
      <w:proofErr w:type="gramEnd"/>
      <w:r w:rsidR="00A40262" w:rsidRPr="00A40262">
        <w:t xml:space="preserve"> such disruptions: in 2021, there were 85 Internet shutdowns in Jammu and Kashmir and 15 in Myanmar. </w:t>
      </w:r>
    </w:p>
    <w:p w14:paraId="3F7B9E17" w14:textId="63D895F5" w:rsidR="00A40262" w:rsidRDefault="00035A92" w:rsidP="0074456D">
      <w:pPr>
        <w:pStyle w:val="SingleTxtG"/>
        <w:numPr>
          <w:ilvl w:val="0"/>
          <w:numId w:val="15"/>
        </w:numPr>
        <w:ind w:left="1170" w:firstLine="0"/>
      </w:pPr>
      <w:r w:rsidRPr="0074456D">
        <w:rPr>
          <w:lang w:val="en-US"/>
        </w:rPr>
        <w:lastRenderedPageBreak/>
        <w:t>The</w:t>
      </w:r>
      <w:r>
        <w:t xml:space="preserve"> Global Study further addresse</w:t>
      </w:r>
      <w:r w:rsidR="00AB2F5A">
        <w:t>s</w:t>
      </w:r>
      <w:r>
        <w:t xml:space="preserve"> how biometric</w:t>
      </w:r>
      <w:r w:rsidR="00E479F4">
        <w:t>s</w:t>
      </w:r>
      <w:r>
        <w:t xml:space="preserve"> surveillance</w:t>
      </w:r>
      <w:r w:rsidRPr="00A40262">
        <w:t xml:space="preserve"> systems have been controversially used </w:t>
      </w:r>
      <w:r w:rsidR="00C453CA">
        <w:t xml:space="preserve">and underscored the threats to the life, </w:t>
      </w:r>
      <w:proofErr w:type="gramStart"/>
      <w:r w:rsidR="00C453CA">
        <w:t>security</w:t>
      </w:r>
      <w:proofErr w:type="gramEnd"/>
      <w:r w:rsidR="00C453CA">
        <w:t xml:space="preserve"> and privacy of civil society actors from the misuse of biometric</w:t>
      </w:r>
      <w:r w:rsidR="00345992">
        <w:t xml:space="preserve"> data collection processes</w:t>
      </w:r>
      <w:r w:rsidR="00E479F4">
        <w:t>.</w:t>
      </w:r>
    </w:p>
    <w:p w14:paraId="4E76A14B" w14:textId="7529F30F" w:rsidR="000B147E" w:rsidRPr="00CB23ED" w:rsidRDefault="001C340C" w:rsidP="004A5115">
      <w:pPr>
        <w:pStyle w:val="H1G"/>
        <w:rPr>
          <w:lang w:val="en-US"/>
        </w:rPr>
      </w:pPr>
      <w:r>
        <w:rPr>
          <w:lang w:val="en-US"/>
        </w:rPr>
        <w:tab/>
        <w:t>C.</w:t>
      </w:r>
      <w:r>
        <w:rPr>
          <w:lang w:val="en-US"/>
        </w:rPr>
        <w:tab/>
      </w:r>
      <w:r w:rsidR="00FD35C2" w:rsidRPr="00CB23ED">
        <w:rPr>
          <w:lang w:val="en-US"/>
        </w:rPr>
        <w:t xml:space="preserve">Meaningful Participation of Civil Society, </w:t>
      </w:r>
      <w:r w:rsidR="00345992" w:rsidRPr="00CB23ED">
        <w:rPr>
          <w:lang w:val="en-US"/>
        </w:rPr>
        <w:t>UN</w:t>
      </w:r>
      <w:r w:rsidR="00FD35C2" w:rsidRPr="00CB23ED">
        <w:rPr>
          <w:lang w:val="en-US"/>
        </w:rPr>
        <w:t xml:space="preserve"> Architecture, and the Role of </w:t>
      </w:r>
      <w:r w:rsidR="00345992" w:rsidRPr="00CB23ED">
        <w:rPr>
          <w:lang w:val="en-US"/>
        </w:rPr>
        <w:t>UN</w:t>
      </w:r>
      <w:r w:rsidR="00FD35C2" w:rsidRPr="00CB23ED">
        <w:rPr>
          <w:lang w:val="en-US"/>
        </w:rPr>
        <w:t xml:space="preserve"> Human Rights Mechanisms </w:t>
      </w:r>
    </w:p>
    <w:p w14:paraId="525EE943" w14:textId="4959B40D" w:rsidR="00FD35C2" w:rsidRDefault="00FD35C2" w:rsidP="005D07DE">
      <w:pPr>
        <w:pStyle w:val="SingleTxtG"/>
        <w:numPr>
          <w:ilvl w:val="0"/>
          <w:numId w:val="15"/>
        </w:numPr>
        <w:ind w:left="1170" w:firstLine="0"/>
        <w:rPr>
          <w:lang w:val="en-US"/>
        </w:rPr>
      </w:pPr>
      <w:r>
        <w:rPr>
          <w:lang w:val="en-US"/>
        </w:rPr>
        <w:t xml:space="preserve">The Global Study undertakes critical analyses of the </w:t>
      </w:r>
      <w:proofErr w:type="gramStart"/>
      <w:r>
        <w:rPr>
          <w:lang w:val="en-US"/>
        </w:rPr>
        <w:t>current status</w:t>
      </w:r>
      <w:proofErr w:type="gramEnd"/>
      <w:r>
        <w:rPr>
          <w:lang w:val="en-US"/>
        </w:rPr>
        <w:t xml:space="preserve"> of civil society</w:t>
      </w:r>
      <w:r w:rsidR="00AB2F5A">
        <w:rPr>
          <w:lang w:val="en-US"/>
        </w:rPr>
        <w:t xml:space="preserve">’s meaningful participation </w:t>
      </w:r>
      <w:r>
        <w:rPr>
          <w:lang w:val="en-US"/>
        </w:rPr>
        <w:t>in efforts to prevent and counter-terrorism, including through Member State, regional</w:t>
      </w:r>
      <w:r w:rsidR="00AB2F5A">
        <w:rPr>
          <w:lang w:val="en-US"/>
        </w:rPr>
        <w:t xml:space="preserve"> and </w:t>
      </w:r>
      <w:r w:rsidR="00204E9A">
        <w:rPr>
          <w:lang w:val="en-US"/>
        </w:rPr>
        <w:t>UN</w:t>
      </w:r>
      <w:r>
        <w:rPr>
          <w:lang w:val="en-US"/>
        </w:rPr>
        <w:t xml:space="preserve"> engagement. It </w:t>
      </w:r>
      <w:r w:rsidR="00AB2F5A">
        <w:rPr>
          <w:lang w:val="en-US"/>
        </w:rPr>
        <w:t xml:space="preserve">also draws on </w:t>
      </w:r>
      <w:r w:rsidR="00204E9A">
        <w:rPr>
          <w:lang w:val="en-US"/>
        </w:rPr>
        <w:t>UN</w:t>
      </w:r>
      <w:r>
        <w:rPr>
          <w:lang w:val="en-US"/>
        </w:rPr>
        <w:t xml:space="preserve"> Human Rights Mechanisms</w:t>
      </w:r>
      <w:r w:rsidR="00AB2F5A">
        <w:rPr>
          <w:lang w:val="en-US"/>
        </w:rPr>
        <w:t>’ documentation</w:t>
      </w:r>
      <w:r>
        <w:rPr>
          <w:lang w:val="en-US"/>
        </w:rPr>
        <w:t xml:space="preserve"> </w:t>
      </w:r>
      <w:r w:rsidR="00AB2F5A">
        <w:rPr>
          <w:lang w:val="en-US"/>
        </w:rPr>
        <w:t>of the range and extent of violations to draw out data on the</w:t>
      </w:r>
      <w:r>
        <w:rPr>
          <w:lang w:val="en-US"/>
        </w:rPr>
        <w:t xml:space="preserve"> impact of </w:t>
      </w:r>
      <w:proofErr w:type="gramStart"/>
      <w:r>
        <w:rPr>
          <w:lang w:val="en-US"/>
        </w:rPr>
        <w:t>counter-terrorism</w:t>
      </w:r>
      <w:proofErr w:type="gramEnd"/>
      <w:r>
        <w:rPr>
          <w:lang w:val="en-US"/>
        </w:rPr>
        <w:t xml:space="preserve"> and </w:t>
      </w:r>
      <w:r w:rsidR="00E479F4">
        <w:rPr>
          <w:lang w:val="en-US"/>
        </w:rPr>
        <w:t>P/CVE</w:t>
      </w:r>
      <w:r>
        <w:rPr>
          <w:lang w:val="en-US"/>
        </w:rPr>
        <w:t xml:space="preserve"> measures on civil society. </w:t>
      </w:r>
    </w:p>
    <w:p w14:paraId="275AC23D" w14:textId="022F6314" w:rsidR="00FD35C2" w:rsidRPr="00226BEF" w:rsidRDefault="00226BEF" w:rsidP="004A5115">
      <w:pPr>
        <w:pStyle w:val="H23G"/>
        <w:rPr>
          <w:lang w:val="en-US"/>
        </w:rPr>
      </w:pPr>
      <w:r>
        <w:rPr>
          <w:lang w:val="en-US"/>
        </w:rPr>
        <w:tab/>
        <w:t>(a)</w:t>
      </w:r>
      <w:r>
        <w:rPr>
          <w:lang w:val="en-US"/>
        </w:rPr>
        <w:tab/>
      </w:r>
      <w:r w:rsidR="00FD35C2" w:rsidRPr="00226BEF">
        <w:rPr>
          <w:lang w:val="en-US"/>
        </w:rPr>
        <w:t xml:space="preserve">Meaningful Participation of Civil Society </w:t>
      </w:r>
    </w:p>
    <w:p w14:paraId="221A891E" w14:textId="22A3B40B" w:rsidR="00F84ED7" w:rsidRDefault="00A40262" w:rsidP="005D07DE">
      <w:pPr>
        <w:pStyle w:val="SingleTxtG"/>
        <w:numPr>
          <w:ilvl w:val="0"/>
          <w:numId w:val="15"/>
        </w:numPr>
        <w:ind w:left="1170" w:firstLine="0"/>
        <w:rPr>
          <w:lang w:val="en-US"/>
        </w:rPr>
      </w:pPr>
      <w:r w:rsidRPr="00A40262">
        <w:rPr>
          <w:lang w:val="en-US"/>
        </w:rPr>
        <w:t xml:space="preserve">The trends of misuse identified throughout </w:t>
      </w:r>
      <w:r w:rsidR="009C4AF9">
        <w:rPr>
          <w:lang w:val="en-US"/>
        </w:rPr>
        <w:t>the Global Study</w:t>
      </w:r>
      <w:r w:rsidRPr="00A40262">
        <w:rPr>
          <w:lang w:val="en-US"/>
        </w:rPr>
        <w:t xml:space="preserve"> cannot be fully addressed without documenting what </w:t>
      </w:r>
      <w:r w:rsidR="00AB2F5A">
        <w:rPr>
          <w:lang w:val="en-US"/>
        </w:rPr>
        <w:t>they</w:t>
      </w:r>
      <w:r w:rsidRPr="00A40262">
        <w:rPr>
          <w:lang w:val="en-US"/>
        </w:rPr>
        <w:t xml:space="preserve"> mean for the fundamental rights of civil society to full, equal, and meaningful participation in their society’s decision-making and governance, including in </w:t>
      </w:r>
      <w:proofErr w:type="gramStart"/>
      <w:r w:rsidRPr="00A40262">
        <w:rPr>
          <w:lang w:val="en-US"/>
        </w:rPr>
        <w:t>counter-terrorism</w:t>
      </w:r>
      <w:proofErr w:type="gramEnd"/>
      <w:r w:rsidRPr="00A40262">
        <w:rPr>
          <w:lang w:val="en-US"/>
        </w:rPr>
        <w:t xml:space="preserve"> and national security. The current level of threat is unacceptable and an absolute barrier to </w:t>
      </w:r>
      <w:r w:rsidRPr="00A40262">
        <w:rPr>
          <w:i/>
          <w:iCs/>
          <w:lang w:val="en-US"/>
        </w:rPr>
        <w:t xml:space="preserve">any </w:t>
      </w:r>
      <w:r w:rsidRPr="00A40262">
        <w:rPr>
          <w:lang w:val="en-US"/>
        </w:rPr>
        <w:t>participation</w:t>
      </w:r>
      <w:r w:rsidR="00E479F4">
        <w:rPr>
          <w:lang w:val="en-US"/>
        </w:rPr>
        <w:t xml:space="preserve"> and would constitute an unacceptable level of risk for any actor, </w:t>
      </w:r>
      <w:r w:rsidRPr="00A40262">
        <w:rPr>
          <w:lang w:val="en-US"/>
        </w:rPr>
        <w:t xml:space="preserve">yet civil society partners continue to show up, committed, and trusting that the dial will move. </w:t>
      </w:r>
    </w:p>
    <w:p w14:paraId="4F1DA2D2" w14:textId="4385E801" w:rsidR="00A40262" w:rsidRPr="00A40262" w:rsidRDefault="00A40262" w:rsidP="005D07DE">
      <w:pPr>
        <w:pStyle w:val="SingleTxtG"/>
        <w:numPr>
          <w:ilvl w:val="0"/>
          <w:numId w:val="15"/>
        </w:numPr>
        <w:ind w:left="1170" w:firstLine="0"/>
        <w:rPr>
          <w:lang w:val="en-US"/>
        </w:rPr>
      </w:pPr>
      <w:r w:rsidRPr="00A40262">
        <w:rPr>
          <w:lang w:val="en-US"/>
        </w:rPr>
        <w:t xml:space="preserve">Beyond these challenges, civil society is also faced with complex dynamics in their engagement with security actors. Security arenas, from intelligence services to interior ministries, are often places where civil society </w:t>
      </w:r>
      <w:r w:rsidR="00AB2F5A">
        <w:rPr>
          <w:lang w:val="en-US"/>
        </w:rPr>
        <w:t>are</w:t>
      </w:r>
      <w:r w:rsidR="00AB2F5A" w:rsidRPr="00A40262">
        <w:rPr>
          <w:lang w:val="en-US"/>
        </w:rPr>
        <w:t xml:space="preserve"> </w:t>
      </w:r>
      <w:r w:rsidRPr="00A40262">
        <w:rPr>
          <w:lang w:val="en-US"/>
        </w:rPr>
        <w:t xml:space="preserve">not welcome. </w:t>
      </w:r>
      <w:r w:rsidR="00AB2F5A">
        <w:rPr>
          <w:lang w:val="en-US"/>
        </w:rPr>
        <w:t xml:space="preserve">Participants reported that </w:t>
      </w:r>
      <w:r w:rsidR="00E479F4">
        <w:rPr>
          <w:lang w:val="en-US"/>
        </w:rPr>
        <w:t>CSOs</w:t>
      </w:r>
      <w:r w:rsidRPr="00A40262">
        <w:rPr>
          <w:lang w:val="en-US"/>
        </w:rPr>
        <w:t xml:space="preserve"> closely aligned with government are included to the exclusion of diverse and critical voices. Governments, and sometimes the UN, view </w:t>
      </w:r>
      <w:r w:rsidR="00AB2F5A">
        <w:rPr>
          <w:lang w:val="en-US"/>
        </w:rPr>
        <w:t xml:space="preserve">civil society </w:t>
      </w:r>
      <w:r w:rsidRPr="00A40262">
        <w:rPr>
          <w:lang w:val="en-US"/>
        </w:rPr>
        <w:t xml:space="preserve">participation in many security contexts as a </w:t>
      </w:r>
      <w:r w:rsidR="00AB2F5A">
        <w:rPr>
          <w:lang w:val="en-US"/>
        </w:rPr>
        <w:t xml:space="preserve">mostly </w:t>
      </w:r>
      <w:r w:rsidRPr="00A40262">
        <w:rPr>
          <w:lang w:val="en-US"/>
        </w:rPr>
        <w:t xml:space="preserve">cumbersome and unwelcome ‘box-ticking’ exercise. </w:t>
      </w:r>
    </w:p>
    <w:p w14:paraId="6589D276" w14:textId="7D26BC07" w:rsidR="00A40262" w:rsidRDefault="00A40262" w:rsidP="005D07DE">
      <w:pPr>
        <w:pStyle w:val="SingleTxtG"/>
        <w:numPr>
          <w:ilvl w:val="0"/>
          <w:numId w:val="15"/>
        </w:numPr>
        <w:ind w:left="1170" w:firstLine="0"/>
        <w:rPr>
          <w:lang w:val="en-US"/>
        </w:rPr>
      </w:pPr>
      <w:r w:rsidRPr="00A40262">
        <w:rPr>
          <w:lang w:val="en-US"/>
        </w:rPr>
        <w:t>At the national level there are no quick fixes to meaningful participation. Trust must be built.</w:t>
      </w:r>
      <w:r w:rsidR="00AB2F5A">
        <w:rPr>
          <w:lang w:val="en-US"/>
        </w:rPr>
        <w:t xml:space="preserve"> At a minimum, States must</w:t>
      </w:r>
      <w:r w:rsidRPr="00A40262">
        <w:rPr>
          <w:lang w:val="en-US"/>
        </w:rPr>
        <w:t xml:space="preserve"> address </w:t>
      </w:r>
      <w:r w:rsidR="00AB2F5A">
        <w:rPr>
          <w:lang w:val="en-US"/>
        </w:rPr>
        <w:t xml:space="preserve">historic </w:t>
      </w:r>
      <w:r w:rsidRPr="00A40262">
        <w:rPr>
          <w:lang w:val="en-US"/>
        </w:rPr>
        <w:t xml:space="preserve">human rights violations </w:t>
      </w:r>
      <w:r w:rsidR="00AB2F5A">
        <w:rPr>
          <w:lang w:val="en-US"/>
        </w:rPr>
        <w:t>perpetrated</w:t>
      </w:r>
      <w:r w:rsidRPr="00A40262">
        <w:rPr>
          <w:lang w:val="en-US"/>
        </w:rPr>
        <w:t xml:space="preserve"> by the security sector, promot</w:t>
      </w:r>
      <w:r w:rsidR="00AB2F5A">
        <w:rPr>
          <w:lang w:val="en-US"/>
        </w:rPr>
        <w:t>e</w:t>
      </w:r>
      <w:r w:rsidRPr="00A40262">
        <w:rPr>
          <w:lang w:val="en-US"/>
        </w:rPr>
        <w:t xml:space="preserve"> security sector reform, and mak</w:t>
      </w:r>
      <w:r w:rsidR="00AB2F5A">
        <w:rPr>
          <w:lang w:val="en-US"/>
        </w:rPr>
        <w:t>e</w:t>
      </w:r>
      <w:r w:rsidRPr="00A40262">
        <w:rPr>
          <w:lang w:val="en-US"/>
        </w:rPr>
        <w:t xml:space="preserve"> concrete commitments to abide by human rights compliant practices in the future.  </w:t>
      </w:r>
      <w:proofErr w:type="gramStart"/>
      <w:r w:rsidRPr="00A40262">
        <w:rPr>
          <w:lang w:val="en-US"/>
        </w:rPr>
        <w:t xml:space="preserve">In order </w:t>
      </w:r>
      <w:r w:rsidR="00E479F4">
        <w:rPr>
          <w:lang w:val="en-US"/>
        </w:rPr>
        <w:t>for</w:t>
      </w:r>
      <w:proofErr w:type="gramEnd"/>
      <w:r w:rsidRPr="00A40262">
        <w:rPr>
          <w:lang w:val="en-US"/>
        </w:rPr>
        <w:t xml:space="preserve"> civil society </w:t>
      </w:r>
      <w:r w:rsidR="00E479F4">
        <w:rPr>
          <w:lang w:val="en-US"/>
        </w:rPr>
        <w:t xml:space="preserve">to meaningfully participate </w:t>
      </w:r>
      <w:r w:rsidRPr="00A40262">
        <w:rPr>
          <w:lang w:val="en-US"/>
        </w:rPr>
        <w:t xml:space="preserve">in the work of collective security, </w:t>
      </w:r>
      <w:r w:rsidR="00E479F4">
        <w:rPr>
          <w:lang w:val="en-US"/>
        </w:rPr>
        <w:t>it</w:t>
      </w:r>
      <w:r w:rsidRPr="00A40262">
        <w:rPr>
          <w:lang w:val="en-US"/>
        </w:rPr>
        <w:t xml:space="preserve"> must be safe. Member States cannot on the one hand endorse civil society inclusion in international fora, and kill, injure, disappear, arbitrarily detain, and sanction </w:t>
      </w:r>
      <w:r w:rsidR="00E479F4">
        <w:rPr>
          <w:lang w:val="en-US"/>
        </w:rPr>
        <w:t>them</w:t>
      </w:r>
      <w:r w:rsidRPr="00A40262">
        <w:rPr>
          <w:lang w:val="en-US"/>
        </w:rPr>
        <w:t xml:space="preserve"> at home.  Trust building</w:t>
      </w:r>
      <w:r w:rsidR="00A4776A">
        <w:rPr>
          <w:lang w:val="en-US"/>
        </w:rPr>
        <w:t xml:space="preserve"> requires</w:t>
      </w:r>
      <w:r w:rsidRPr="00A40262">
        <w:rPr>
          <w:lang w:val="en-US"/>
        </w:rPr>
        <w:t xml:space="preserve"> confidence building-measures</w:t>
      </w:r>
      <w:r w:rsidR="00AB2F5A">
        <w:rPr>
          <w:lang w:val="en-US"/>
        </w:rPr>
        <w:t xml:space="preserve"> and</w:t>
      </w:r>
      <w:r w:rsidRPr="00A40262">
        <w:rPr>
          <w:lang w:val="en-US"/>
        </w:rPr>
        <w:t xml:space="preserve"> must be sustained by concrete </w:t>
      </w:r>
      <w:r w:rsidR="00AB2F5A">
        <w:rPr>
          <w:lang w:val="en-US"/>
        </w:rPr>
        <w:t xml:space="preserve">and consistent </w:t>
      </w:r>
      <w:r w:rsidRPr="00A40262">
        <w:rPr>
          <w:lang w:val="en-US"/>
        </w:rPr>
        <w:t>action</w:t>
      </w:r>
      <w:r w:rsidR="00AB2F5A">
        <w:rPr>
          <w:lang w:val="en-US"/>
        </w:rPr>
        <w:t>.</w:t>
      </w:r>
    </w:p>
    <w:p w14:paraId="1FBB8211" w14:textId="52E10400" w:rsidR="00A40262" w:rsidRPr="00A40262" w:rsidRDefault="00DA6A3B" w:rsidP="005D07DE">
      <w:pPr>
        <w:pStyle w:val="SingleTxtG"/>
        <w:numPr>
          <w:ilvl w:val="0"/>
          <w:numId w:val="15"/>
        </w:numPr>
        <w:ind w:left="1170" w:firstLine="0"/>
        <w:rPr>
          <w:lang w:val="en-US"/>
        </w:rPr>
      </w:pPr>
      <w:r>
        <w:t>Some areas</w:t>
      </w:r>
      <w:r w:rsidR="00A40262" w:rsidRPr="0087613F">
        <w:t xml:space="preserve"> of the UN system are </w:t>
      </w:r>
      <w:r>
        <w:t>practised in</w:t>
      </w:r>
      <w:r w:rsidR="00A40262" w:rsidRPr="0087613F">
        <w:t xml:space="preserve"> engaging civil society (such as UN Women whose mandate directly responds to feminist movements of civil society within the UN system)</w:t>
      </w:r>
      <w:r>
        <w:t xml:space="preserve">. In </w:t>
      </w:r>
      <w:r w:rsidR="00052ECB">
        <w:t>contrast</w:t>
      </w:r>
      <w:r>
        <w:t>,</w:t>
      </w:r>
      <w:r w:rsidR="00A40262" w:rsidRPr="0087613F">
        <w:t xml:space="preserve"> counter-terrorism arenas at the UN have</w:t>
      </w:r>
      <w:r w:rsidR="00E479F4">
        <w:t>, been</w:t>
      </w:r>
      <w:r w:rsidR="00A40262" w:rsidRPr="0087613F">
        <w:t xml:space="preserve"> historically closed and inaccessible to civil society. </w:t>
      </w:r>
      <w:r>
        <w:t>There have been some</w:t>
      </w:r>
      <w:r w:rsidR="00E479F4">
        <w:t xml:space="preserve"> </w:t>
      </w:r>
      <w:r>
        <w:t>positive developments</w:t>
      </w:r>
      <w:r w:rsidR="00E479F4">
        <w:t xml:space="preserve"> assisted</w:t>
      </w:r>
      <w:r>
        <w:t xml:space="preserve"> by the </w:t>
      </w:r>
      <w:r w:rsidR="00A40262" w:rsidRPr="0087613F">
        <w:t>UN</w:t>
      </w:r>
      <w:r w:rsidR="000E69C6">
        <w:t>SG’s</w:t>
      </w:r>
      <w:r w:rsidR="00A40262" w:rsidRPr="0087613F">
        <w:t xml:space="preserve"> Office</w:t>
      </w:r>
      <w:r>
        <w:t>’s state</w:t>
      </w:r>
      <w:r w:rsidR="00226CDD">
        <w:t>d</w:t>
      </w:r>
      <w:r>
        <w:t xml:space="preserve"> prioritisation of </w:t>
      </w:r>
      <w:r w:rsidR="00A40262" w:rsidRPr="0087613F">
        <w:t xml:space="preserve">promoting civic space. One </w:t>
      </w:r>
      <w:r w:rsidR="00E479F4">
        <w:t>such</w:t>
      </w:r>
      <w:r w:rsidR="00E479F4" w:rsidRPr="0087613F">
        <w:t xml:space="preserve"> </w:t>
      </w:r>
      <w:r w:rsidR="00A40262" w:rsidRPr="0087613F">
        <w:t xml:space="preserve">example includes the formal recognition in the UN Global Counter-Terrorism Strategy of the value of civil society engagement. </w:t>
      </w:r>
      <w:r w:rsidR="00052ECB">
        <w:t>A few</w:t>
      </w:r>
      <w:r>
        <w:t xml:space="preserve"> </w:t>
      </w:r>
      <w:r w:rsidR="00A40262" w:rsidRPr="0087613F">
        <w:t>quarterly briefings to UN Member States from the UN Counter-Terrorism Coordination Compact have featured some civil society speakers,</w:t>
      </w:r>
      <w:r>
        <w:t xml:space="preserve"> but</w:t>
      </w:r>
      <w:r w:rsidR="00A40262" w:rsidRPr="0087613F">
        <w:t xml:space="preserve"> civil society briefers to the UN Security Council, including women briefers, continue to face reprisal and threat from Member States. </w:t>
      </w:r>
      <w:r w:rsidR="00052ECB">
        <w:t>G</w:t>
      </w:r>
      <w:r w:rsidR="00A40262" w:rsidRPr="0087613F">
        <w:t>reater ambition, consistency, and reorientation is needed to foster a meaningful and participatory space for civil society</w:t>
      </w:r>
      <w:r w:rsidR="00E479F4">
        <w:t xml:space="preserve">, if </w:t>
      </w:r>
      <w:r w:rsidR="00A40262" w:rsidRPr="0087613F">
        <w:t xml:space="preserve">the UN is </w:t>
      </w:r>
      <w:r w:rsidR="00E479F4">
        <w:t xml:space="preserve">to lead </w:t>
      </w:r>
      <w:r w:rsidR="00A40262" w:rsidRPr="0087613F">
        <w:t>by example</w:t>
      </w:r>
      <w:r w:rsidR="00E479F4">
        <w:t>.</w:t>
      </w:r>
    </w:p>
    <w:p w14:paraId="570FF5E7" w14:textId="1ED4752A" w:rsidR="00A40262" w:rsidRPr="00A40262" w:rsidRDefault="00A40262" w:rsidP="005D07DE">
      <w:pPr>
        <w:pStyle w:val="SingleTxtG"/>
        <w:numPr>
          <w:ilvl w:val="0"/>
          <w:numId w:val="15"/>
        </w:numPr>
        <w:ind w:left="1170" w:firstLine="0"/>
        <w:rPr>
          <w:lang w:val="en-US"/>
        </w:rPr>
      </w:pPr>
      <w:r w:rsidRPr="0087613F">
        <w:t xml:space="preserve">The Study received numerous inputs which highlighted </w:t>
      </w:r>
      <w:r w:rsidR="00226CDD">
        <w:t xml:space="preserve">civil society’s </w:t>
      </w:r>
      <w:r w:rsidRPr="0087613F">
        <w:t>frustration</w:t>
      </w:r>
      <w:r w:rsidR="00226CDD">
        <w:t xml:space="preserve">s </w:t>
      </w:r>
      <w:r w:rsidRPr="0087613F">
        <w:t xml:space="preserve">with </w:t>
      </w:r>
      <w:r w:rsidR="00226CDD">
        <w:t>the</w:t>
      </w:r>
      <w:r w:rsidRPr="0087613F">
        <w:t xml:space="preserve"> lack of consistent, timely and meaningful engagement with the UN Security Council (specifically the Counter-Terrorism Committee), General Assembly</w:t>
      </w:r>
      <w:r w:rsidR="00052ECB">
        <w:t xml:space="preserve"> and the CT entities specifically the </w:t>
      </w:r>
      <w:r w:rsidRPr="0087613F">
        <w:t xml:space="preserve">special political mission of the UN CTED and </w:t>
      </w:r>
      <w:r w:rsidRPr="006D12DE">
        <w:t xml:space="preserve">UNOCT. </w:t>
      </w:r>
      <w:r w:rsidRPr="00D03CA3">
        <w:t xml:space="preserve">The Security Council (including the CTC), as a prerequisite to the meaningful participation of civil society in </w:t>
      </w:r>
      <w:proofErr w:type="gramStart"/>
      <w:r w:rsidRPr="00D03CA3">
        <w:t>counter-terrorism</w:t>
      </w:r>
      <w:proofErr w:type="gramEnd"/>
      <w:r w:rsidRPr="00D03CA3">
        <w:t xml:space="preserve"> and P/CVE, must substantively address the misuse of counter-terrorism measures as a grave risk to peace and security.</w:t>
      </w:r>
      <w:r w:rsidRPr="00866E73">
        <w:t xml:space="preserve"> While the UN has robust procedures and policies on reprisals, including an Assistant Secretary-General level focal point within the system on acts of reprisal and intimidation, further systematized and dedicated </w:t>
      </w:r>
      <w:r w:rsidRPr="00866E73">
        <w:lastRenderedPageBreak/>
        <w:t xml:space="preserve">approaches are necessary to capture the level of State targeting of civil society under the guise of </w:t>
      </w:r>
      <w:proofErr w:type="gramStart"/>
      <w:r w:rsidRPr="00866E73">
        <w:t>counter-terrorism</w:t>
      </w:r>
      <w:proofErr w:type="gramEnd"/>
      <w:r w:rsidRPr="00866E73">
        <w:t xml:space="preserve"> and PCVE at the national level.</w:t>
      </w:r>
      <w:r w:rsidRPr="0087613F">
        <w:t xml:space="preserve"> </w:t>
      </w:r>
    </w:p>
    <w:p w14:paraId="5013A1B6" w14:textId="3523F5BA" w:rsidR="00BA4A7B" w:rsidRPr="00A40262" w:rsidRDefault="00A40262" w:rsidP="005D07DE">
      <w:pPr>
        <w:pStyle w:val="SingleTxtG"/>
        <w:numPr>
          <w:ilvl w:val="0"/>
          <w:numId w:val="15"/>
        </w:numPr>
        <w:ind w:left="1170" w:firstLine="0"/>
        <w:rPr>
          <w:lang w:val="en-US"/>
        </w:rPr>
      </w:pPr>
      <w:r w:rsidRPr="0087613F">
        <w:t>The</w:t>
      </w:r>
      <w:r w:rsidR="002C676B">
        <w:t xml:space="preserve"> UNOCT’s</w:t>
      </w:r>
      <w:r w:rsidRPr="0087613F">
        <w:t xml:space="preserve"> lack of compliance with existing UN</w:t>
      </w:r>
      <w:r w:rsidR="002C676B">
        <w:t xml:space="preserve"> due diligence</w:t>
      </w:r>
      <w:r w:rsidRPr="0087613F">
        <w:t xml:space="preserve"> standards and </w:t>
      </w:r>
      <w:r w:rsidR="002C676B">
        <w:t xml:space="preserve">related </w:t>
      </w:r>
      <w:r w:rsidRPr="0087613F">
        <w:t xml:space="preserve">guidelines is a reality that civil society is closely attuned to, particularly </w:t>
      </w:r>
      <w:r w:rsidR="002C676B">
        <w:t>given</w:t>
      </w:r>
      <w:r w:rsidRPr="0087613F">
        <w:t xml:space="preserve"> the</w:t>
      </w:r>
      <w:r w:rsidR="002C676B">
        <w:t>ir experience of</w:t>
      </w:r>
      <w:r w:rsidRPr="0087613F">
        <w:t xml:space="preserve"> UNOCT as an increasingly programmatically engaged entity at the country level. While the UNCTED has increased its engagement with civil society since its establishment, including through country-visit discussions and addition</w:t>
      </w:r>
      <w:r w:rsidR="00226CDD">
        <w:t>s</w:t>
      </w:r>
      <w:r w:rsidRPr="0087613F">
        <w:t xml:space="preserve"> to thematic meetings, civil society identified other challenges in the implementation of the UNCTED’s mandate</w:t>
      </w:r>
      <w:r w:rsidR="00226CDD">
        <w:t>. These challenges</w:t>
      </w:r>
      <w:r w:rsidRPr="0087613F">
        <w:t xml:space="preserve"> includ</w:t>
      </w:r>
      <w:r w:rsidR="00226CDD">
        <w:t>e a</w:t>
      </w:r>
      <w:r w:rsidRPr="0087613F">
        <w:t xml:space="preserve"> continued lack of advance notification of country assessment</w:t>
      </w:r>
      <w:r w:rsidR="00226CDD">
        <w:t>s</w:t>
      </w:r>
      <w:r w:rsidRPr="0087613F">
        <w:t xml:space="preserve"> </w:t>
      </w:r>
      <w:r w:rsidR="002C676B">
        <w:t xml:space="preserve">notwithstanding </w:t>
      </w:r>
      <w:r w:rsidRPr="0087613F">
        <w:t>its revised mandate</w:t>
      </w:r>
      <w:r w:rsidR="00226CDD">
        <w:t xml:space="preserve"> as well as </w:t>
      </w:r>
      <w:r w:rsidR="002C676B">
        <w:t xml:space="preserve">a lack </w:t>
      </w:r>
      <w:r w:rsidR="00226CDD">
        <w:t>of</w:t>
      </w:r>
      <w:r w:rsidRPr="0087613F">
        <w:t xml:space="preserve"> transparency </w:t>
      </w:r>
      <w:r w:rsidR="00226CDD">
        <w:t>as to</w:t>
      </w:r>
      <w:r w:rsidR="00226CDD" w:rsidRPr="0087613F">
        <w:t xml:space="preserve"> </w:t>
      </w:r>
      <w:r w:rsidRPr="0087613F">
        <w:t xml:space="preserve">how </w:t>
      </w:r>
      <w:r w:rsidR="002C676B">
        <w:t xml:space="preserve">it </w:t>
      </w:r>
      <w:r w:rsidR="00226CDD">
        <w:t>undertake</w:t>
      </w:r>
      <w:r w:rsidR="002C676B">
        <w:t>s</w:t>
      </w:r>
      <w:r w:rsidR="00226CDD">
        <w:t xml:space="preserve"> and</w:t>
      </w:r>
      <w:r w:rsidRPr="0087613F">
        <w:t xml:space="preserve"> integrate</w:t>
      </w:r>
      <w:r w:rsidR="002C676B">
        <w:t>s</w:t>
      </w:r>
      <w:r w:rsidRPr="0087613F">
        <w:t xml:space="preserve"> assessment</w:t>
      </w:r>
      <w:r w:rsidR="00226CDD">
        <w:t>s</w:t>
      </w:r>
      <w:r w:rsidRPr="0087613F">
        <w:t xml:space="preserve"> of the impact of counter-terrorism measures on civil society and civic space.</w:t>
      </w:r>
    </w:p>
    <w:p w14:paraId="58425DCD" w14:textId="7736105A" w:rsidR="00A40262" w:rsidRPr="00A40262" w:rsidRDefault="007A3365" w:rsidP="005D07DE">
      <w:pPr>
        <w:pStyle w:val="SingleTxtG"/>
        <w:numPr>
          <w:ilvl w:val="0"/>
          <w:numId w:val="15"/>
        </w:numPr>
        <w:ind w:left="1170" w:firstLine="0"/>
        <w:rPr>
          <w:lang w:val="en-US"/>
        </w:rPr>
      </w:pPr>
      <w:r>
        <w:t xml:space="preserve"> </w:t>
      </w:r>
      <w:r w:rsidRPr="0087613F">
        <w:t>If the UN counter-terrorism architecture is unable to model good practice in relation to civil society inclusion it will be hard to persuade Member States to do the same.</w:t>
      </w:r>
      <w:r>
        <w:t xml:space="preserve"> </w:t>
      </w:r>
      <w:r w:rsidR="000E69C6">
        <w:t>Notably,</w:t>
      </w:r>
      <w:r w:rsidR="00A40262" w:rsidRPr="0087613F">
        <w:t xml:space="preserve"> there are </w:t>
      </w:r>
      <w:r w:rsidR="00226CDD">
        <w:t>positive</w:t>
      </w:r>
      <w:r w:rsidR="00226CDD" w:rsidRPr="0087613F">
        <w:t xml:space="preserve"> </w:t>
      </w:r>
      <w:r w:rsidR="00A40262" w:rsidRPr="0087613F">
        <w:t>examples</w:t>
      </w:r>
      <w:r w:rsidR="00226CDD">
        <w:t xml:space="preserve"> of meaningful civil society consultation and engagement</w:t>
      </w:r>
      <w:r w:rsidR="00A40262" w:rsidRPr="0087613F">
        <w:t xml:space="preserve">, such as in the Financial Action Task Force’s engagement with the NPO Coalition on FATF and its private sector forum, as well as by the European Union in its formal process to adduce civil society input to legislative enactments and policy. </w:t>
      </w:r>
    </w:p>
    <w:p w14:paraId="776D7200" w14:textId="7D4D5AC4" w:rsidR="00A40262" w:rsidRPr="0087613F" w:rsidRDefault="00226BEF" w:rsidP="004A5115">
      <w:pPr>
        <w:pStyle w:val="H23G"/>
      </w:pPr>
      <w:r>
        <w:rPr>
          <w:lang w:val="en-US"/>
        </w:rPr>
        <w:tab/>
        <w:t>(b)</w:t>
      </w:r>
      <w:r>
        <w:rPr>
          <w:lang w:val="en-US"/>
        </w:rPr>
        <w:tab/>
      </w:r>
      <w:r w:rsidR="00FD35C2" w:rsidRPr="00226BEF">
        <w:rPr>
          <w:lang w:val="en-US"/>
        </w:rPr>
        <w:t xml:space="preserve">The Role of </w:t>
      </w:r>
      <w:r w:rsidR="000E69C6" w:rsidRPr="00226BEF">
        <w:rPr>
          <w:lang w:val="en-US"/>
        </w:rPr>
        <w:t>UN</w:t>
      </w:r>
      <w:r w:rsidR="00FD35C2" w:rsidRPr="00226BEF">
        <w:rPr>
          <w:lang w:val="en-US"/>
        </w:rPr>
        <w:t xml:space="preserve"> Human Rights Mechanisms </w:t>
      </w:r>
    </w:p>
    <w:p w14:paraId="5D163A05" w14:textId="56FBBC61" w:rsidR="00C71AC9" w:rsidRDefault="00A40262" w:rsidP="005D07DE">
      <w:pPr>
        <w:pStyle w:val="SingleTxtG"/>
        <w:numPr>
          <w:ilvl w:val="0"/>
          <w:numId w:val="15"/>
        </w:numPr>
        <w:ind w:left="1170" w:firstLine="0"/>
        <w:rPr>
          <w:lang w:val="en-US"/>
        </w:rPr>
      </w:pPr>
      <w:r w:rsidRPr="00A40262">
        <w:rPr>
          <w:lang w:val="en-US"/>
        </w:rPr>
        <w:t xml:space="preserve">The Global Study </w:t>
      </w:r>
      <w:r w:rsidR="00096724">
        <w:rPr>
          <w:lang w:val="en-US"/>
        </w:rPr>
        <w:t xml:space="preserve">presented original research documenting </w:t>
      </w:r>
      <w:r w:rsidR="00226CDD">
        <w:rPr>
          <w:lang w:val="en-US"/>
        </w:rPr>
        <w:t xml:space="preserve">how </w:t>
      </w:r>
      <w:r w:rsidRPr="00A40262">
        <w:rPr>
          <w:lang w:val="en-US"/>
        </w:rPr>
        <w:t>H</w:t>
      </w:r>
      <w:r w:rsidR="00FD35C2">
        <w:rPr>
          <w:lang w:val="en-US"/>
        </w:rPr>
        <w:t>uman Rights and Treaty Bod</w:t>
      </w:r>
      <w:r w:rsidR="00204E9A">
        <w:rPr>
          <w:lang w:val="en-US"/>
        </w:rPr>
        <w:t>ies’</w:t>
      </w:r>
      <w:r w:rsidR="00D03CA3">
        <w:rPr>
          <w:lang w:val="en-US"/>
        </w:rPr>
        <w:t xml:space="preserve"> (HRTBs)</w:t>
      </w:r>
      <w:r w:rsidR="00FD35C2">
        <w:rPr>
          <w:lang w:val="en-US"/>
        </w:rPr>
        <w:t xml:space="preserve"> </w:t>
      </w:r>
      <w:r w:rsidRPr="00A40262">
        <w:rPr>
          <w:lang w:val="en-US"/>
        </w:rPr>
        <w:t xml:space="preserve">concerns and recommendations relating to the use of </w:t>
      </w:r>
      <w:proofErr w:type="gramStart"/>
      <w:r w:rsidR="00096724">
        <w:rPr>
          <w:lang w:val="en-US"/>
        </w:rPr>
        <w:t>counter-terrorism</w:t>
      </w:r>
      <w:proofErr w:type="gramEnd"/>
      <w:r w:rsidR="00096724">
        <w:rPr>
          <w:lang w:val="en-US"/>
        </w:rPr>
        <w:t xml:space="preserve"> and </w:t>
      </w:r>
      <w:r w:rsidR="00204E9A">
        <w:rPr>
          <w:lang w:val="en-US"/>
        </w:rPr>
        <w:t>C</w:t>
      </w:r>
      <w:r w:rsidR="00F33995">
        <w:rPr>
          <w:lang w:val="en-US"/>
        </w:rPr>
        <w:t>/PVE</w:t>
      </w:r>
      <w:r w:rsidRPr="00A40262">
        <w:rPr>
          <w:lang w:val="en-US"/>
        </w:rPr>
        <w:t xml:space="preserve"> targeting civic space has increased over time, particularly since 2015</w:t>
      </w:r>
      <w:r w:rsidR="004A78AD">
        <w:rPr>
          <w:lang w:val="en-US"/>
        </w:rPr>
        <w:t>.</w:t>
      </w:r>
      <w:r w:rsidRPr="00A40262">
        <w:rPr>
          <w:vertAlign w:val="superscript"/>
          <w:lang w:val="en-US"/>
        </w:rPr>
        <w:footnoteReference w:id="16"/>
      </w:r>
      <w:r w:rsidRPr="00A40262">
        <w:rPr>
          <w:lang w:val="en-US"/>
        </w:rPr>
        <w:t xml:space="preserve"> Following the terrorist attacks of September 11, 2001, </w:t>
      </w:r>
      <w:r w:rsidR="00226CDD">
        <w:rPr>
          <w:lang w:val="en-US"/>
        </w:rPr>
        <w:t xml:space="preserve">and </w:t>
      </w:r>
      <w:r w:rsidRPr="00A40262">
        <w:rPr>
          <w:lang w:val="en-US"/>
        </w:rPr>
        <w:t xml:space="preserve">as expansive CT measures increased, UN human rights mechanisms began to address ways in which these measures conflicted </w:t>
      </w:r>
      <w:r w:rsidRPr="00C71AC9">
        <w:rPr>
          <w:lang w:val="en-US"/>
        </w:rPr>
        <w:t>with human rights standards. While these concerns were expressed generally, during the mid-2010s HRTBs beg</w:t>
      </w:r>
      <w:r w:rsidR="0079030B">
        <w:rPr>
          <w:lang w:val="en-US"/>
        </w:rPr>
        <w:t>a</w:t>
      </w:r>
      <w:r w:rsidRPr="00C71AC9">
        <w:rPr>
          <w:lang w:val="en-US"/>
        </w:rPr>
        <w:t xml:space="preserve">n to turn their attention to the increasingly extensive use of security measures directed at civil society actors documenting a range of harms. </w:t>
      </w:r>
      <w:r w:rsidR="00E50CFF">
        <w:rPr>
          <w:lang w:val="en-US"/>
        </w:rPr>
        <w:t>Since 2013</w:t>
      </w:r>
      <w:r w:rsidRPr="00C71AC9">
        <w:rPr>
          <w:lang w:val="en-US"/>
        </w:rPr>
        <w:t xml:space="preserve">, </w:t>
      </w:r>
      <w:r w:rsidR="000E69C6">
        <w:rPr>
          <w:lang w:val="en-US"/>
        </w:rPr>
        <w:t>HRT</w:t>
      </w:r>
      <w:r w:rsidR="00204E9A">
        <w:rPr>
          <w:lang w:val="en-US"/>
        </w:rPr>
        <w:t>Bs</w:t>
      </w:r>
      <w:r w:rsidRPr="00C71AC9">
        <w:rPr>
          <w:lang w:val="en-US"/>
        </w:rPr>
        <w:t xml:space="preserve"> have begun to explicitly </w:t>
      </w:r>
      <w:r w:rsidR="00E50CFF">
        <w:rPr>
          <w:lang w:val="en-US"/>
        </w:rPr>
        <w:t>benchmark</w:t>
      </w:r>
      <w:r w:rsidRPr="00C71AC9">
        <w:rPr>
          <w:lang w:val="en-US"/>
        </w:rPr>
        <w:t xml:space="preserve"> ongoing use of extreme security measures </w:t>
      </w:r>
      <w:r w:rsidR="00E50CFF">
        <w:rPr>
          <w:lang w:val="en-US"/>
        </w:rPr>
        <w:t>and/</w:t>
      </w:r>
      <w:r w:rsidRPr="00C71AC9">
        <w:rPr>
          <w:lang w:val="en-US"/>
        </w:rPr>
        <w:t xml:space="preserve">or the ways in which rights restrictions for security purposes have begun to impinge on social and political life as well as civic space. Even where security measures or prescribed powers have not been used or have been used as a last resort, </w:t>
      </w:r>
      <w:r w:rsidR="000E69C6">
        <w:rPr>
          <w:lang w:val="en-US"/>
        </w:rPr>
        <w:t>HR</w:t>
      </w:r>
      <w:r w:rsidR="0079030B">
        <w:rPr>
          <w:lang w:val="en-US"/>
        </w:rPr>
        <w:t>TBs</w:t>
      </w:r>
      <w:r w:rsidRPr="00C71AC9">
        <w:rPr>
          <w:lang w:val="en-US"/>
        </w:rPr>
        <w:t xml:space="preserve"> remain</w:t>
      </w:r>
      <w:r w:rsidR="0079030B">
        <w:rPr>
          <w:lang w:val="en-US"/>
        </w:rPr>
        <w:t>ed</w:t>
      </w:r>
      <w:r w:rsidRPr="00C71AC9">
        <w:rPr>
          <w:lang w:val="en-US"/>
        </w:rPr>
        <w:t xml:space="preserve"> concerned “that there is a risk that such emergency [CT] measures could, over time, become the norm rather than the exception.”</w:t>
      </w:r>
      <w:r w:rsidRPr="00C71AC9">
        <w:rPr>
          <w:vertAlign w:val="superscript"/>
          <w:lang w:val="en-US"/>
        </w:rPr>
        <w:footnoteReference w:id="17"/>
      </w:r>
    </w:p>
    <w:p w14:paraId="39C8332D" w14:textId="5947C968" w:rsidR="00A40262" w:rsidRPr="00A40262" w:rsidRDefault="00A40262" w:rsidP="005D07DE">
      <w:pPr>
        <w:pStyle w:val="SingleTxtG"/>
        <w:numPr>
          <w:ilvl w:val="0"/>
          <w:numId w:val="15"/>
        </w:numPr>
        <w:ind w:left="1170" w:firstLine="0"/>
        <w:rPr>
          <w:lang w:val="en-US"/>
        </w:rPr>
      </w:pPr>
      <w:r w:rsidRPr="00A40262">
        <w:rPr>
          <w:lang w:val="en-US"/>
        </w:rPr>
        <w:t>Given the human rights remit of the H</w:t>
      </w:r>
      <w:r w:rsidR="0079030B">
        <w:rPr>
          <w:lang w:val="en-US"/>
        </w:rPr>
        <w:t xml:space="preserve">uman </w:t>
      </w:r>
      <w:r w:rsidRPr="00A40262">
        <w:rPr>
          <w:lang w:val="en-US"/>
        </w:rPr>
        <w:t>R</w:t>
      </w:r>
      <w:r w:rsidR="0079030B">
        <w:rPr>
          <w:lang w:val="en-US"/>
        </w:rPr>
        <w:t xml:space="preserve">ights </w:t>
      </w:r>
      <w:r w:rsidRPr="00A40262">
        <w:rPr>
          <w:lang w:val="en-US"/>
        </w:rPr>
        <w:t>C</w:t>
      </w:r>
      <w:r w:rsidR="0079030B">
        <w:rPr>
          <w:lang w:val="en-US"/>
        </w:rPr>
        <w:t>ommittee (HRC)</w:t>
      </w:r>
      <w:r w:rsidRPr="00A40262">
        <w:rPr>
          <w:lang w:val="en-US"/>
        </w:rPr>
        <w:t xml:space="preserve">, it has understandably addressed a broader range of measures than </w:t>
      </w:r>
      <w:r w:rsidR="00F33995">
        <w:rPr>
          <w:lang w:val="en-US"/>
        </w:rPr>
        <w:t xml:space="preserve">has </w:t>
      </w:r>
      <w:r w:rsidRPr="00A40262">
        <w:rPr>
          <w:lang w:val="en-US"/>
        </w:rPr>
        <w:t xml:space="preserve">the CAT and CEDAW. All three committees, however, frequently address verbal and physical harassment, intimidation, and persecution, with CEDAW focusing predominantly on gender-based violence and harassment. HRC and CAT have </w:t>
      </w:r>
      <w:r w:rsidR="0079030B">
        <w:rPr>
          <w:lang w:val="en-US"/>
        </w:rPr>
        <w:t xml:space="preserve">further </w:t>
      </w:r>
      <w:r w:rsidRPr="00A40262">
        <w:rPr>
          <w:lang w:val="en-US"/>
        </w:rPr>
        <w:t xml:space="preserve">raised </w:t>
      </w:r>
      <w:r w:rsidR="00E50CFF">
        <w:rPr>
          <w:lang w:val="en-US"/>
        </w:rPr>
        <w:t>ongoing concerns about</w:t>
      </w:r>
      <w:r w:rsidRPr="00A40262">
        <w:rPr>
          <w:lang w:val="en-US"/>
        </w:rPr>
        <w:t xml:space="preserve"> security legislation that is indiscriminate, overbroad, or that violates Convention rights compared to other types of measures</w:t>
      </w:r>
      <w:r w:rsidR="00E50CFF">
        <w:rPr>
          <w:lang w:val="en-US"/>
        </w:rPr>
        <w:t>.</w:t>
      </w:r>
      <w:r w:rsidRPr="00A40262">
        <w:rPr>
          <w:lang w:val="en-US"/>
        </w:rPr>
        <w:t xml:space="preserve"> For both committees, half of all these concerns relate explicitly to the targeting of civic space. The following section details these concerns and subsequent HRTB recommendations for each type of measure or practice.</w:t>
      </w:r>
    </w:p>
    <w:p w14:paraId="46DB14D3" w14:textId="1C8AF38C" w:rsidR="00A40262" w:rsidRDefault="00A40262" w:rsidP="005D07DE">
      <w:pPr>
        <w:pStyle w:val="SingleTxtG"/>
        <w:numPr>
          <w:ilvl w:val="0"/>
          <w:numId w:val="15"/>
        </w:numPr>
        <w:ind w:left="1170" w:firstLine="0"/>
        <w:rPr>
          <w:lang w:val="en-US"/>
        </w:rPr>
      </w:pPr>
      <w:r w:rsidRPr="00A40262">
        <w:rPr>
          <w:lang w:val="en-US"/>
        </w:rPr>
        <w:t xml:space="preserve">The UN </w:t>
      </w:r>
      <w:r w:rsidR="0079030B">
        <w:rPr>
          <w:lang w:val="en-US"/>
        </w:rPr>
        <w:t>HRTB</w:t>
      </w:r>
      <w:r w:rsidRPr="00A40262">
        <w:rPr>
          <w:lang w:val="en-US"/>
        </w:rPr>
        <w:t xml:space="preserve"> system has </w:t>
      </w:r>
      <w:r w:rsidR="00F61F64">
        <w:rPr>
          <w:lang w:val="en-US"/>
        </w:rPr>
        <w:t xml:space="preserve">widely </w:t>
      </w:r>
      <w:r w:rsidRPr="00A40262">
        <w:rPr>
          <w:lang w:val="en-US"/>
        </w:rPr>
        <w:t xml:space="preserve">documented trends </w:t>
      </w:r>
      <w:r w:rsidR="00F61F64">
        <w:rPr>
          <w:lang w:val="en-US"/>
        </w:rPr>
        <w:t xml:space="preserve">across </w:t>
      </w:r>
      <w:r w:rsidRPr="00A40262">
        <w:rPr>
          <w:lang w:val="en-US"/>
        </w:rPr>
        <w:t xml:space="preserve">the </w:t>
      </w:r>
      <w:r w:rsidR="00E50CFF">
        <w:rPr>
          <w:lang w:val="en-US"/>
        </w:rPr>
        <w:t xml:space="preserve">categories of </w:t>
      </w:r>
      <w:r w:rsidRPr="00A40262">
        <w:rPr>
          <w:lang w:val="en-US"/>
        </w:rPr>
        <w:t xml:space="preserve">misuse documented </w:t>
      </w:r>
      <w:r w:rsidR="00226CDD">
        <w:rPr>
          <w:lang w:val="en-US"/>
        </w:rPr>
        <w:t>in</w:t>
      </w:r>
      <w:r w:rsidR="00226CDD" w:rsidRPr="00A40262">
        <w:rPr>
          <w:lang w:val="en-US"/>
        </w:rPr>
        <w:t xml:space="preserve"> </w:t>
      </w:r>
      <w:r w:rsidRPr="00A40262">
        <w:rPr>
          <w:lang w:val="en-US"/>
        </w:rPr>
        <w:t>this report.</w:t>
      </w:r>
      <w:r w:rsidRPr="00A40262">
        <w:rPr>
          <w:vertAlign w:val="superscript"/>
          <w:lang w:val="en-US"/>
        </w:rPr>
        <w:footnoteReference w:id="18"/>
      </w:r>
      <w:r w:rsidRPr="00A40262">
        <w:rPr>
          <w:lang w:val="en-US"/>
        </w:rPr>
        <w:t xml:space="preserve"> While treaty bodies </w:t>
      </w:r>
      <w:r w:rsidR="000E69C6">
        <w:rPr>
          <w:lang w:val="en-US"/>
        </w:rPr>
        <w:t>have not</w:t>
      </w:r>
      <w:r w:rsidRPr="00A40262">
        <w:rPr>
          <w:lang w:val="en-US"/>
        </w:rPr>
        <w:t xml:space="preserve"> systematically address</w:t>
      </w:r>
      <w:r w:rsidR="000E69C6">
        <w:rPr>
          <w:lang w:val="en-US"/>
        </w:rPr>
        <w:t>ed</w:t>
      </w:r>
      <w:r w:rsidRPr="00A40262">
        <w:rPr>
          <w:lang w:val="en-US"/>
        </w:rPr>
        <w:t xml:space="preserve"> and explicitly call</w:t>
      </w:r>
      <w:r w:rsidR="000E69C6">
        <w:rPr>
          <w:lang w:val="en-US"/>
        </w:rPr>
        <w:t>ed</w:t>
      </w:r>
      <w:r w:rsidRPr="00A40262">
        <w:rPr>
          <w:lang w:val="en-US"/>
        </w:rPr>
        <w:t xml:space="preserve"> out the effects </w:t>
      </w:r>
      <w:r w:rsidR="0079030B">
        <w:rPr>
          <w:lang w:val="en-US"/>
        </w:rPr>
        <w:t>of</w:t>
      </w:r>
      <w:r w:rsidR="0079030B" w:rsidRPr="00A40262">
        <w:rPr>
          <w:lang w:val="en-US"/>
        </w:rPr>
        <w:t xml:space="preserve"> </w:t>
      </w:r>
      <w:r w:rsidRPr="00A40262">
        <w:rPr>
          <w:lang w:val="en-US"/>
        </w:rPr>
        <w:t xml:space="preserve">continued efforts to counter terrorism and new measures </w:t>
      </w:r>
      <w:r w:rsidRPr="00A40262">
        <w:rPr>
          <w:lang w:val="en-US"/>
        </w:rPr>
        <w:lastRenderedPageBreak/>
        <w:t xml:space="preserve">to prevent and counter violent extremism on civic space, </w:t>
      </w:r>
      <w:proofErr w:type="gramStart"/>
      <w:r w:rsidRPr="00A40262">
        <w:rPr>
          <w:lang w:val="en-US"/>
        </w:rPr>
        <w:t>it is clear that their</w:t>
      </w:r>
      <w:proofErr w:type="gramEnd"/>
      <w:r w:rsidRPr="00A40262">
        <w:rPr>
          <w:lang w:val="en-US"/>
        </w:rPr>
        <w:t xml:space="preserve"> increased documentation runs counter to the trends of increased UN support to government-led action in this field. The </w:t>
      </w:r>
      <w:r w:rsidR="0079030B">
        <w:rPr>
          <w:lang w:val="en-US"/>
        </w:rPr>
        <w:t>HRC</w:t>
      </w:r>
      <w:r w:rsidR="00D03CA3" w:rsidRPr="00A40262">
        <w:rPr>
          <w:lang w:val="en-US"/>
        </w:rPr>
        <w:t xml:space="preserve"> </w:t>
      </w:r>
      <w:r w:rsidRPr="00A40262">
        <w:rPr>
          <w:lang w:val="en-US"/>
        </w:rPr>
        <w:t xml:space="preserve">has thus taken a welcome lead in increasingly raising concerns about these trends and identifying such trends in granular and specific ways. The Study generally finds that the lack of integration of these trends in the risk and human rights analyses of the UN’s counter-terrorism architectures </w:t>
      </w:r>
      <w:r w:rsidR="000E69C6">
        <w:rPr>
          <w:lang w:val="en-US"/>
        </w:rPr>
        <w:t xml:space="preserve">is rooted </w:t>
      </w:r>
      <w:proofErr w:type="gramStart"/>
      <w:r w:rsidR="000E69C6">
        <w:rPr>
          <w:lang w:val="en-US"/>
        </w:rPr>
        <w:t xml:space="preserve">in </w:t>
      </w:r>
      <w:r w:rsidRPr="00A40262">
        <w:rPr>
          <w:lang w:val="en-US"/>
        </w:rPr>
        <w:t xml:space="preserve"> a</w:t>
      </w:r>
      <w:proofErr w:type="gramEnd"/>
      <w:r w:rsidRPr="00A40262">
        <w:rPr>
          <w:lang w:val="en-US"/>
        </w:rPr>
        <w:t xml:space="preserve"> lack of political will to address these challenges in the UN Security Council and General Assembly, noting however, the positive call for such integration included in the 7</w:t>
      </w:r>
      <w:r w:rsidRPr="00A40262">
        <w:rPr>
          <w:vertAlign w:val="superscript"/>
          <w:lang w:val="en-US"/>
        </w:rPr>
        <w:t>th</w:t>
      </w:r>
      <w:r w:rsidRPr="00A40262">
        <w:rPr>
          <w:lang w:val="en-US"/>
        </w:rPr>
        <w:t xml:space="preserve"> Review of the GCTS. The Study finds that increased </w:t>
      </w:r>
      <w:r w:rsidR="00D03CA3">
        <w:rPr>
          <w:lang w:val="en-US"/>
        </w:rPr>
        <w:t>integration of the</w:t>
      </w:r>
      <w:r w:rsidRPr="00A40262">
        <w:rPr>
          <w:lang w:val="en-US"/>
        </w:rPr>
        <w:t xml:space="preserve"> CAT and CEDAW</w:t>
      </w:r>
      <w:r w:rsidR="00D03CA3">
        <w:rPr>
          <w:lang w:val="en-US"/>
        </w:rPr>
        <w:t xml:space="preserve"> recommendations</w:t>
      </w:r>
      <w:r w:rsidRPr="00A40262">
        <w:rPr>
          <w:lang w:val="en-US"/>
        </w:rPr>
        <w:t xml:space="preserve"> would advance the objectives of promoting and protecting civil society and civic space in these areas.  In addition to the HRTBs, SPs have also been taking an active role in calling attention to how proposed or enacted security legislation and other measures to counter terrorism and violent extremism may impact civil society </w:t>
      </w:r>
      <w:r w:rsidR="006D7759">
        <w:rPr>
          <w:lang w:val="en-US"/>
        </w:rPr>
        <w:t>running</w:t>
      </w:r>
      <w:r w:rsidRPr="00A40262">
        <w:rPr>
          <w:lang w:val="en-US"/>
        </w:rPr>
        <w:t xml:space="preserve"> counter to international human rights standards. </w:t>
      </w:r>
      <w:r w:rsidRPr="00D03CA3">
        <w:rPr>
          <w:lang w:val="en-US"/>
        </w:rPr>
        <w:t>Nearly one hundred of the communications analyzed for this study contain</w:t>
      </w:r>
      <w:r w:rsidR="0079030B">
        <w:rPr>
          <w:lang w:val="en-US"/>
        </w:rPr>
        <w:t>ed</w:t>
      </w:r>
      <w:r w:rsidRPr="00D03CA3">
        <w:rPr>
          <w:lang w:val="en-US"/>
        </w:rPr>
        <w:t xml:space="preserve"> detailed and nuanced analyses of provisions within national security, emergency, CT, P/CVE, immigration, and cybersecurity laws as well as measures regulating the existence and operation of civil society organizations.</w:t>
      </w:r>
      <w:r w:rsidRPr="00A40262">
        <w:rPr>
          <w:lang w:val="en-US"/>
        </w:rPr>
        <w:t xml:space="preserve"> Special Procedure mandate holders use these communications to encourage review and reconsideration of key aspects of a measure such that security legislation is brought into compliance with international human rights obligations, as well as to provide practical guidance to Member States on how to meet their international law obligations.</w:t>
      </w:r>
      <w:r w:rsidR="00D03CA3">
        <w:rPr>
          <w:lang w:val="en-US"/>
        </w:rPr>
        <w:t xml:space="preserve"> Regrettably, little of this guidance is implemented.</w:t>
      </w:r>
    </w:p>
    <w:p w14:paraId="5DBACB10" w14:textId="4BC7B0C7" w:rsidR="00A40262" w:rsidRDefault="00A40262" w:rsidP="005D07DE">
      <w:pPr>
        <w:pStyle w:val="SingleTxtG"/>
        <w:numPr>
          <w:ilvl w:val="0"/>
          <w:numId w:val="15"/>
        </w:numPr>
        <w:ind w:left="1170" w:firstLine="0"/>
        <w:rPr>
          <w:lang w:val="en-US"/>
        </w:rPr>
      </w:pPr>
      <w:r w:rsidRPr="00A40262">
        <w:rPr>
          <w:lang w:val="en-US"/>
        </w:rPr>
        <w:t xml:space="preserve">These communications frequently address one or more definitions (or lack thereof) for key terms or activities within security legislation, </w:t>
      </w:r>
      <w:r w:rsidRPr="00A40262">
        <w:rPr>
          <w:i/>
          <w:iCs/>
          <w:lang w:val="en-US"/>
        </w:rPr>
        <w:t>inter alia</w:t>
      </w:r>
      <w:r w:rsidRPr="00A40262">
        <w:rPr>
          <w:lang w:val="en-US"/>
        </w:rPr>
        <w:t>: “national security,”</w:t>
      </w:r>
      <w:r w:rsidRPr="00A40262">
        <w:rPr>
          <w:vertAlign w:val="superscript"/>
          <w:lang w:val="en-US"/>
        </w:rPr>
        <w:footnoteReference w:id="19"/>
      </w:r>
      <w:r w:rsidRPr="00A40262">
        <w:rPr>
          <w:lang w:val="en-US"/>
        </w:rPr>
        <w:t xml:space="preserve"> “religiously motivated extremist association,”</w:t>
      </w:r>
      <w:r w:rsidRPr="00A40262">
        <w:rPr>
          <w:vertAlign w:val="superscript"/>
          <w:lang w:val="en-US"/>
        </w:rPr>
        <w:footnoteReference w:id="20"/>
      </w:r>
      <w:r w:rsidRPr="00A40262">
        <w:rPr>
          <w:lang w:val="en-US"/>
        </w:rPr>
        <w:t xml:space="preserve"> “terrorist result,” “opposing the State” or “non-allegiance to its leadership,”</w:t>
      </w:r>
      <w:r w:rsidRPr="00A40262">
        <w:rPr>
          <w:vertAlign w:val="superscript"/>
          <w:lang w:val="en-US"/>
        </w:rPr>
        <w:footnoteReference w:id="21"/>
      </w:r>
      <w:r w:rsidRPr="00A40262">
        <w:rPr>
          <w:lang w:val="en-US"/>
        </w:rPr>
        <w:t xml:space="preserve"> “promoting terrorism,”</w:t>
      </w:r>
      <w:r w:rsidRPr="00A40262">
        <w:rPr>
          <w:vertAlign w:val="superscript"/>
          <w:lang w:val="en-US"/>
        </w:rPr>
        <w:footnoteReference w:id="22"/>
      </w:r>
      <w:r w:rsidRPr="00A40262">
        <w:rPr>
          <w:lang w:val="en-US"/>
        </w:rPr>
        <w:t xml:space="preserve"> “widespread terror through political extremism” and “serious social disturbance.”</w:t>
      </w:r>
      <w:r w:rsidRPr="00A40262">
        <w:rPr>
          <w:vertAlign w:val="superscript"/>
          <w:lang w:val="en-US"/>
        </w:rPr>
        <w:footnoteReference w:id="23"/>
      </w:r>
      <w:r w:rsidRPr="00A40262">
        <w:rPr>
          <w:lang w:val="en-US"/>
        </w:rPr>
        <w:t xml:space="preserve"> </w:t>
      </w:r>
      <w:r w:rsidR="00392070">
        <w:rPr>
          <w:lang w:val="en-US"/>
        </w:rPr>
        <w:t>M</w:t>
      </w:r>
      <w:r w:rsidRPr="00A40262">
        <w:rPr>
          <w:lang w:val="en-US"/>
        </w:rPr>
        <w:t>andate holders have noted that broad, vague, or subjective concepts and terminology may create ambiguity as to what the State deems a prohibited offence and be used to unlawfully restrict human rights.</w:t>
      </w:r>
      <w:r w:rsidRPr="00A40262">
        <w:rPr>
          <w:vertAlign w:val="superscript"/>
          <w:lang w:val="en-US"/>
        </w:rPr>
        <w:footnoteReference w:id="24"/>
      </w:r>
      <w:r w:rsidRPr="00A40262">
        <w:rPr>
          <w:lang w:val="en-US"/>
        </w:rPr>
        <w:t xml:space="preserve"> Failure to use precise and unambiguous language in relation to terrorist or security offences may fundamentally affect the protection of several fundamental rights and freedoms.</w:t>
      </w:r>
      <w:r w:rsidRPr="00A40262">
        <w:rPr>
          <w:vertAlign w:val="superscript"/>
          <w:lang w:val="en-US"/>
        </w:rPr>
        <w:footnoteReference w:id="25"/>
      </w:r>
      <w:r w:rsidRPr="00A40262">
        <w:rPr>
          <w:lang w:val="en-US"/>
        </w:rPr>
        <w:t xml:space="preserve"> </w:t>
      </w:r>
      <w:r w:rsidR="00F33995">
        <w:rPr>
          <w:lang w:val="en-US"/>
        </w:rPr>
        <w:t xml:space="preserve">Some of the many trends </w:t>
      </w:r>
      <w:r w:rsidRPr="00A40262">
        <w:rPr>
          <w:lang w:val="en-US"/>
        </w:rPr>
        <w:t>identified by HRTBs, includ</w:t>
      </w:r>
      <w:r w:rsidR="00F33995">
        <w:rPr>
          <w:lang w:val="en-US"/>
        </w:rPr>
        <w:t>e</w:t>
      </w:r>
      <w:r w:rsidR="00226CDD">
        <w:rPr>
          <w:lang w:val="en-US"/>
        </w:rPr>
        <w:t xml:space="preserve"> the matter of</w:t>
      </w:r>
      <w:r w:rsidRPr="00A40262">
        <w:rPr>
          <w:lang w:val="en-US"/>
        </w:rPr>
        <w:t xml:space="preserve"> 'permanent state</w:t>
      </w:r>
      <w:r w:rsidR="00F33995">
        <w:rPr>
          <w:lang w:val="en-US"/>
        </w:rPr>
        <w:t>[s]</w:t>
      </w:r>
      <w:r w:rsidRPr="00A40262">
        <w:rPr>
          <w:lang w:val="en-US"/>
        </w:rPr>
        <w:t xml:space="preserve"> of emergency,’</w:t>
      </w:r>
      <w:r w:rsidRPr="00A40262">
        <w:rPr>
          <w:vertAlign w:val="superscript"/>
          <w:lang w:val="en-US"/>
        </w:rPr>
        <w:footnoteReference w:id="26"/>
      </w:r>
      <w:r w:rsidRPr="00A40262">
        <w:rPr>
          <w:lang w:val="en-US"/>
        </w:rPr>
        <w:t xml:space="preserve"> States </w:t>
      </w:r>
      <w:r w:rsidR="00F33995">
        <w:rPr>
          <w:lang w:val="en-US"/>
        </w:rPr>
        <w:t xml:space="preserve">use </w:t>
      </w:r>
      <w:r w:rsidR="003D0792">
        <w:rPr>
          <w:lang w:val="en-US"/>
        </w:rPr>
        <w:t xml:space="preserve">of </w:t>
      </w:r>
      <w:r w:rsidRPr="00A40262">
        <w:rPr>
          <w:lang w:val="en-US"/>
        </w:rPr>
        <w:t xml:space="preserve">overly broad </w:t>
      </w:r>
      <w:r w:rsidR="006D7759">
        <w:rPr>
          <w:lang w:val="en-US"/>
        </w:rPr>
        <w:t>actions as</w:t>
      </w:r>
      <w:r w:rsidRPr="00A40262">
        <w:rPr>
          <w:lang w:val="en-US"/>
        </w:rPr>
        <w:t xml:space="preserve"> support</w:t>
      </w:r>
      <w:r w:rsidR="006D7759">
        <w:rPr>
          <w:lang w:val="en-US"/>
        </w:rPr>
        <w:t>ing</w:t>
      </w:r>
      <w:r w:rsidRPr="00A40262">
        <w:rPr>
          <w:lang w:val="en-US"/>
        </w:rPr>
        <w:t xml:space="preserve"> terrorism or indirect support to terrorism provisions, may “capture a range of legitimate activities and that would restrict the work of civil society, lawyers, journalist, and human rights defenders in particular</w:t>
      </w:r>
      <w:r w:rsidR="003D0792">
        <w:rPr>
          <w:lang w:val="en-US"/>
        </w:rPr>
        <w:t>.</w:t>
      </w:r>
      <w:r w:rsidRPr="00A40262">
        <w:rPr>
          <w:lang w:val="en-US"/>
        </w:rPr>
        <w:t>”</w:t>
      </w:r>
      <w:r w:rsidRPr="00A40262">
        <w:rPr>
          <w:vertAlign w:val="superscript"/>
          <w:lang w:val="en-US"/>
        </w:rPr>
        <w:footnoteReference w:id="27"/>
      </w:r>
      <w:r w:rsidRPr="00A40262">
        <w:rPr>
          <w:lang w:val="en-US"/>
        </w:rPr>
        <w:t xml:space="preserve"> </w:t>
      </w:r>
      <w:r w:rsidR="003D0792">
        <w:rPr>
          <w:lang w:val="en-US"/>
        </w:rPr>
        <w:t xml:space="preserve">Also identified was </w:t>
      </w:r>
      <w:r w:rsidRPr="00A40262">
        <w:rPr>
          <w:lang w:val="en-US"/>
        </w:rPr>
        <w:t xml:space="preserve">the use of legislation to create unnecessary burdens, restrict financing, introduce bureaucratic hurdles, and even shut down CSOs </w:t>
      </w:r>
      <w:r w:rsidR="003D0792">
        <w:rPr>
          <w:lang w:val="en-US"/>
        </w:rPr>
        <w:t xml:space="preserve">which </w:t>
      </w:r>
      <w:r w:rsidRPr="00A40262">
        <w:rPr>
          <w:lang w:val="en-US"/>
        </w:rPr>
        <w:t>“has the effect of limiting, restricting and controlling civil society,”</w:t>
      </w:r>
      <w:r w:rsidRPr="00A40262">
        <w:rPr>
          <w:vertAlign w:val="superscript"/>
          <w:lang w:val="en-US"/>
        </w:rPr>
        <w:footnoteReference w:id="28"/>
      </w:r>
      <w:r w:rsidRPr="00A40262">
        <w:rPr>
          <w:lang w:val="en-US"/>
        </w:rPr>
        <w:t xml:space="preserve"> </w:t>
      </w:r>
      <w:r w:rsidR="003D0792">
        <w:rPr>
          <w:lang w:val="en-US"/>
        </w:rPr>
        <w:t xml:space="preserve">and </w:t>
      </w:r>
      <w:r w:rsidRPr="00A40262">
        <w:rPr>
          <w:lang w:val="en-US"/>
        </w:rPr>
        <w:t>expansive security surveillance powers which “creates incentives for self-censorship and directly undermines the ability of journalists and human rights defenders</w:t>
      </w:r>
      <w:r w:rsidR="003D0792">
        <w:rPr>
          <w:lang w:val="en-US"/>
        </w:rPr>
        <w:t>.</w:t>
      </w:r>
      <w:r w:rsidRPr="00A40262">
        <w:rPr>
          <w:lang w:val="en-US"/>
        </w:rPr>
        <w:t>”</w:t>
      </w:r>
      <w:r w:rsidRPr="00A40262">
        <w:rPr>
          <w:vertAlign w:val="superscript"/>
          <w:lang w:val="en-US"/>
        </w:rPr>
        <w:footnoteReference w:id="29"/>
      </w:r>
      <w:r w:rsidRPr="00A40262">
        <w:rPr>
          <w:lang w:val="en-US"/>
        </w:rPr>
        <w:t xml:space="preserve"> </w:t>
      </w:r>
      <w:r w:rsidR="003D0792">
        <w:rPr>
          <w:lang w:val="en-US"/>
        </w:rPr>
        <w:t>In</w:t>
      </w:r>
      <w:r w:rsidRPr="00A40262">
        <w:rPr>
          <w:lang w:val="en-US"/>
        </w:rPr>
        <w:t xml:space="preserve"> regards to P/CVE, </w:t>
      </w:r>
      <w:r w:rsidR="003D0792">
        <w:rPr>
          <w:lang w:val="en-US"/>
        </w:rPr>
        <w:t xml:space="preserve">HRTBs have consistently held </w:t>
      </w:r>
      <w:r w:rsidRPr="00A40262">
        <w:rPr>
          <w:lang w:val="en-US"/>
        </w:rPr>
        <w:t>that employing the term ‘extremism’ as a criminal legal category is “irreconcilable with the principle of legal certainty and is per se incompatible with the exercise of certain fundamental human rights,” particularly when it “is deployed, not part of a strategy to counter violent extremism, but as an offence in itself.”</w:t>
      </w:r>
      <w:r w:rsidRPr="00A40262">
        <w:rPr>
          <w:vertAlign w:val="superscript"/>
          <w:lang w:val="en-US"/>
        </w:rPr>
        <w:footnoteReference w:id="30"/>
      </w:r>
      <w:r w:rsidRPr="00A40262">
        <w:rPr>
          <w:lang w:val="en-US"/>
        </w:rPr>
        <w:t xml:space="preserve"> </w:t>
      </w:r>
    </w:p>
    <w:p w14:paraId="620D1654" w14:textId="6C778EB0" w:rsidR="00A40262" w:rsidRDefault="00A40262" w:rsidP="005D07DE">
      <w:pPr>
        <w:pStyle w:val="SingleTxtG"/>
        <w:numPr>
          <w:ilvl w:val="0"/>
          <w:numId w:val="15"/>
        </w:numPr>
        <w:ind w:left="1170" w:firstLine="0"/>
        <w:rPr>
          <w:lang w:val="en-US"/>
        </w:rPr>
      </w:pPr>
      <w:r w:rsidRPr="00A40262">
        <w:rPr>
          <w:lang w:val="en-US"/>
        </w:rPr>
        <w:t xml:space="preserve">As it relates to recommendations specific to participation, </w:t>
      </w:r>
      <w:r w:rsidR="006D7759">
        <w:rPr>
          <w:lang w:val="en-US"/>
        </w:rPr>
        <w:t xml:space="preserve">Special Procedure </w:t>
      </w:r>
      <w:r w:rsidRPr="00A40262">
        <w:rPr>
          <w:lang w:val="en-US"/>
        </w:rPr>
        <w:t xml:space="preserve">mandate holders often recommend that the process of legislative revision be “transparent and </w:t>
      </w:r>
      <w:r w:rsidRPr="00A40262">
        <w:rPr>
          <w:lang w:val="en-US"/>
        </w:rPr>
        <w:lastRenderedPageBreak/>
        <w:t>accessible, inviting the widest possible engagement from stakeholders,”</w:t>
      </w:r>
      <w:r w:rsidRPr="00A40262">
        <w:rPr>
          <w:vertAlign w:val="superscript"/>
          <w:lang w:val="en-US"/>
        </w:rPr>
        <w:footnoteReference w:id="31"/>
      </w:r>
      <w:r w:rsidRPr="00A40262">
        <w:rPr>
          <w:lang w:val="en-US"/>
        </w:rPr>
        <w:t xml:space="preserve"> and that States “open a public space for discussion with civil society and experts to ensure conformity with international human rights standards.”</w:t>
      </w:r>
      <w:r w:rsidRPr="00A40262">
        <w:rPr>
          <w:vertAlign w:val="superscript"/>
          <w:lang w:val="en-US"/>
        </w:rPr>
        <w:footnoteReference w:id="32"/>
      </w:r>
      <w:r w:rsidRPr="00A40262">
        <w:rPr>
          <w:lang w:val="en-US"/>
        </w:rPr>
        <w:t xml:space="preserve"> Communications further call on governments to ensure that security legislation be subject to regular parliamentary process to ensure a robust, public debate, and not fast-tracked through urgent parliamentary processes.</w:t>
      </w:r>
      <w:r w:rsidRPr="00A40262">
        <w:rPr>
          <w:vertAlign w:val="superscript"/>
          <w:lang w:val="en-US"/>
        </w:rPr>
        <w:footnoteReference w:id="33"/>
      </w:r>
      <w:r w:rsidRPr="00A40262">
        <w:rPr>
          <w:lang w:val="en-US"/>
        </w:rPr>
        <w:t xml:space="preserve"> </w:t>
      </w:r>
    </w:p>
    <w:p w14:paraId="6C08B870" w14:textId="5CE530C3" w:rsidR="00DD76CB" w:rsidRPr="00177A65" w:rsidRDefault="00177A65" w:rsidP="00177A65">
      <w:pPr>
        <w:pStyle w:val="HChG"/>
      </w:pPr>
      <w:r>
        <w:tab/>
      </w:r>
      <w:r w:rsidR="00343245" w:rsidRPr="00177A65">
        <w:t>IV</w:t>
      </w:r>
      <w:r w:rsidR="00DD76CB" w:rsidRPr="00177A65">
        <w:t>.</w:t>
      </w:r>
      <w:r w:rsidR="00DD76CB" w:rsidRPr="00177A65">
        <w:tab/>
        <w:t>Assessment of and Responsibility for Human Rights and Humanitarian Law Violations in Detention Facilities in Northeast Syria</w:t>
      </w:r>
    </w:p>
    <w:p w14:paraId="2E215A4F" w14:textId="1C415425" w:rsidR="00454A9D" w:rsidRPr="00343245" w:rsidRDefault="00177A65" w:rsidP="00177A65">
      <w:pPr>
        <w:pStyle w:val="H1G"/>
        <w:rPr>
          <w:lang w:val="en-US"/>
        </w:rPr>
      </w:pPr>
      <w:r>
        <w:rPr>
          <w:lang w:val="en-US"/>
        </w:rPr>
        <w:tab/>
        <w:t>A.</w:t>
      </w:r>
      <w:r>
        <w:rPr>
          <w:lang w:val="en-US"/>
        </w:rPr>
        <w:tab/>
      </w:r>
      <w:r w:rsidR="00AD6EC8" w:rsidRPr="00343245">
        <w:rPr>
          <w:lang w:val="en-US"/>
        </w:rPr>
        <w:t>Violations of International Law</w:t>
      </w:r>
    </w:p>
    <w:p w14:paraId="6386D999" w14:textId="77777777" w:rsidR="005F0068" w:rsidRDefault="00C45B8E" w:rsidP="00177A65">
      <w:pPr>
        <w:pStyle w:val="SingleTxtG"/>
        <w:numPr>
          <w:ilvl w:val="0"/>
          <w:numId w:val="15"/>
        </w:numPr>
        <w:ind w:left="1170" w:firstLine="0"/>
        <w:rPr>
          <w:lang w:val="en-US"/>
        </w:rPr>
      </w:pPr>
      <w:r w:rsidRPr="00C45B8E">
        <w:rPr>
          <w:lang w:val="en-US"/>
        </w:rPr>
        <w:t xml:space="preserve">The </w:t>
      </w:r>
      <w:r w:rsidR="00F00FF5">
        <w:rPr>
          <w:lang w:val="en-US"/>
        </w:rPr>
        <w:t>SR</w:t>
      </w:r>
      <w:r w:rsidRPr="00C45B8E">
        <w:rPr>
          <w:lang w:val="en-US"/>
        </w:rPr>
        <w:t xml:space="preserve"> conducted a technical visit to the Northeast of the Syrian Arab Republic from 15-20 July 2023, at the invitation </w:t>
      </w:r>
      <w:r w:rsidR="00125F57">
        <w:rPr>
          <w:lang w:val="en-US"/>
        </w:rPr>
        <w:t xml:space="preserve">of </w:t>
      </w:r>
      <w:r w:rsidRPr="00C45B8E">
        <w:rPr>
          <w:lang w:val="en-US"/>
        </w:rPr>
        <w:t xml:space="preserve">and </w:t>
      </w:r>
      <w:r w:rsidR="002E1B6A">
        <w:rPr>
          <w:lang w:val="en-US"/>
        </w:rPr>
        <w:t xml:space="preserve">with constructive </w:t>
      </w:r>
      <w:r w:rsidRPr="00C45B8E">
        <w:rPr>
          <w:lang w:val="en-US"/>
        </w:rPr>
        <w:t xml:space="preserve">facilitation </w:t>
      </w:r>
      <w:r w:rsidR="002E1B6A">
        <w:rPr>
          <w:lang w:val="en-US"/>
        </w:rPr>
        <w:t>by</w:t>
      </w:r>
      <w:r w:rsidRPr="00C45B8E">
        <w:rPr>
          <w:lang w:val="en-US"/>
        </w:rPr>
        <w:t xml:space="preserve"> the Government of the Syrian Arab Republic.  The access to multiple places of detention was practically enabled in a </w:t>
      </w:r>
      <w:r w:rsidR="00125F57">
        <w:rPr>
          <w:lang w:val="en-US"/>
        </w:rPr>
        <w:t xml:space="preserve">facilitative </w:t>
      </w:r>
      <w:r w:rsidRPr="00C45B8E">
        <w:rPr>
          <w:lang w:val="en-US"/>
        </w:rPr>
        <w:t>manner by the detaining authority.</w:t>
      </w:r>
      <w:r w:rsidRPr="00C45B8E">
        <w:rPr>
          <w:vertAlign w:val="superscript"/>
          <w:lang w:val="en-US"/>
        </w:rPr>
        <w:footnoteReference w:id="34"/>
      </w:r>
      <w:r>
        <w:rPr>
          <w:lang w:val="en-US"/>
        </w:rPr>
        <w:t xml:space="preserve"> The </w:t>
      </w:r>
      <w:r w:rsidR="002E1B6A">
        <w:rPr>
          <w:lang w:val="en-US"/>
        </w:rPr>
        <w:t>SR</w:t>
      </w:r>
      <w:r>
        <w:rPr>
          <w:lang w:val="en-US"/>
        </w:rPr>
        <w:t xml:space="preserve"> recognizes and acknowledges the grievous and scalar human rights</w:t>
      </w:r>
      <w:r w:rsidR="00125F57">
        <w:rPr>
          <w:lang w:val="en-US"/>
        </w:rPr>
        <w:t xml:space="preserve"> abuses</w:t>
      </w:r>
      <w:r>
        <w:rPr>
          <w:lang w:val="en-US"/>
        </w:rPr>
        <w:t xml:space="preserve"> and </w:t>
      </w:r>
      <w:r w:rsidR="00125F57">
        <w:rPr>
          <w:lang w:val="en-US"/>
        </w:rPr>
        <w:t xml:space="preserve">violations of </w:t>
      </w:r>
      <w:r>
        <w:rPr>
          <w:lang w:val="en-US"/>
        </w:rPr>
        <w:t>humanitarian law committed by Daesh in this territory and against its population, including core international crimes</w:t>
      </w:r>
      <w:r w:rsidR="002E1B6A">
        <w:rPr>
          <w:lang w:val="en-US"/>
        </w:rPr>
        <w:t>.</w:t>
      </w:r>
      <w:r w:rsidR="002E1B6A" w:rsidRPr="00C45B8E">
        <w:rPr>
          <w:vertAlign w:val="superscript"/>
          <w:lang w:val="en-US"/>
        </w:rPr>
        <w:footnoteReference w:id="35"/>
      </w:r>
      <w:r w:rsidR="002E1B6A">
        <w:rPr>
          <w:lang w:val="en-US"/>
        </w:rPr>
        <w:t xml:space="preserve"> She </w:t>
      </w:r>
      <w:r>
        <w:rPr>
          <w:lang w:val="en-US"/>
        </w:rPr>
        <w:t>also recognizes the ongoing investigations of alleged serious international law violations  in respect of the Syrian Arab Republic.</w:t>
      </w:r>
      <w:r w:rsidRPr="00C45B8E">
        <w:rPr>
          <w:vertAlign w:val="superscript"/>
          <w:lang w:val="en-US"/>
        </w:rPr>
        <w:footnoteReference w:id="36"/>
      </w:r>
      <w:r w:rsidRPr="00C45B8E">
        <w:rPr>
          <w:lang w:val="en-US"/>
        </w:rPr>
        <w:t xml:space="preserve"> She acknowledges the wide-ranging humanitarian </w:t>
      </w:r>
      <w:r w:rsidRPr="00531AA5">
        <w:rPr>
          <w:lang w:val="en-US"/>
        </w:rPr>
        <w:t>challenges experienced by the population in the region, as a whole, and particularly highlights the challenges of access to water, electricity, food and medicine</w:t>
      </w:r>
      <w:r w:rsidR="00531AA5">
        <w:rPr>
          <w:lang w:val="en-US"/>
        </w:rPr>
        <w:t>.</w:t>
      </w:r>
    </w:p>
    <w:p w14:paraId="66EF5653" w14:textId="63F96F7E" w:rsidR="00173EB9" w:rsidRPr="005F0068" w:rsidRDefault="00653415" w:rsidP="00177A65">
      <w:pPr>
        <w:pStyle w:val="SingleTxtG"/>
        <w:numPr>
          <w:ilvl w:val="0"/>
          <w:numId w:val="15"/>
        </w:numPr>
        <w:ind w:left="1170" w:firstLine="0"/>
        <w:rPr>
          <w:lang w:val="en-US"/>
        </w:rPr>
      </w:pPr>
      <w:r w:rsidRPr="00531AA5">
        <w:t xml:space="preserve">Based </w:t>
      </w:r>
      <w:r w:rsidR="00454A9D" w:rsidRPr="00531AA5">
        <w:t xml:space="preserve">on figures made available to the </w:t>
      </w:r>
      <w:r w:rsidR="00125F57" w:rsidRPr="00531AA5">
        <w:t>SR</w:t>
      </w:r>
      <w:r>
        <w:t>, during and after the visit,</w:t>
      </w:r>
      <w:r w:rsidR="00454A9D" w:rsidRPr="00531AA5">
        <w:t xml:space="preserve"> and her own findings</w:t>
      </w:r>
      <w:r w:rsidR="00566A46">
        <w:t>,</w:t>
      </w:r>
      <w:r w:rsidR="006D7759">
        <w:t xml:space="preserve"> </w:t>
      </w:r>
      <w:r w:rsidR="00454A9D" w:rsidRPr="00531AA5">
        <w:t xml:space="preserve">over 70,000 men, women and children </w:t>
      </w:r>
      <w:r w:rsidR="0074386C">
        <w:t xml:space="preserve">are </w:t>
      </w:r>
      <w:r w:rsidR="00392070">
        <w:t>currently</w:t>
      </w:r>
      <w:r w:rsidR="00392070" w:rsidRPr="00531AA5">
        <w:t xml:space="preserve"> </w:t>
      </w:r>
      <w:r w:rsidR="00454A9D" w:rsidRPr="00531AA5">
        <w:t>detained in Northeast Syria. This includes over 65,000 in the two largest camps, Al</w:t>
      </w:r>
      <w:r w:rsidR="00566A46">
        <w:t>-</w:t>
      </w:r>
      <w:proofErr w:type="spellStart"/>
      <w:r w:rsidR="00454A9D" w:rsidRPr="00531AA5">
        <w:t>Hol</w:t>
      </w:r>
      <w:proofErr w:type="spellEnd"/>
      <w:r w:rsidR="00454A9D" w:rsidRPr="00531AA5">
        <w:t xml:space="preserve"> and </w:t>
      </w:r>
      <w:r w:rsidR="00C45B8E" w:rsidRPr="00531AA5">
        <w:t>Al</w:t>
      </w:r>
      <w:r w:rsidR="00566A46">
        <w:t>-</w:t>
      </w:r>
      <w:r w:rsidR="00454A9D" w:rsidRPr="00531AA5">
        <w:t>Roj, of which over 31,000 are Iraqis and over 12,000 are third country nationals</w:t>
      </w:r>
      <w:r w:rsidR="0074386C">
        <w:t xml:space="preserve"> (TCNs)</w:t>
      </w:r>
      <w:r w:rsidR="00454A9D" w:rsidRPr="00531AA5">
        <w:t>. She notes that there are other closed camps in the region, including at least one that she has identified as under the control of a third State.</w:t>
      </w:r>
      <w:r w:rsidR="00454A9D" w:rsidRPr="00531AA5">
        <w:rPr>
          <w:rStyle w:val="FootnoteReference"/>
        </w:rPr>
        <w:footnoteReference w:id="37"/>
      </w:r>
      <w:r w:rsidR="00454A9D" w:rsidRPr="00531AA5">
        <w:t xml:space="preserve">  In addition, 10,000 men are detained in twelve known detention centres throughout the territory of Northeast Syria, including over 1,000 detainees who were apprehended as</w:t>
      </w:r>
      <w:r w:rsidR="00454A9D" w:rsidRPr="005F0068">
        <w:rPr>
          <w:b/>
          <w:bCs/>
        </w:rPr>
        <w:t xml:space="preserve"> </w:t>
      </w:r>
      <w:r w:rsidR="00454A9D" w:rsidRPr="00531AA5">
        <w:t>boy</w:t>
      </w:r>
      <w:r w:rsidR="007E6185">
        <w:t>-children</w:t>
      </w:r>
      <w:r w:rsidR="00454A9D" w:rsidRPr="00531AA5">
        <w:t xml:space="preserve"> and have since crossed the threshold into adulthood. Of these, approximately 3,000 are Iraqis and 2,000 are </w:t>
      </w:r>
      <w:r w:rsidR="0074386C">
        <w:t>TCNs</w:t>
      </w:r>
      <w:r w:rsidR="00454A9D" w:rsidRPr="00531AA5">
        <w:t xml:space="preserve">. The </w:t>
      </w:r>
      <w:r w:rsidR="00125F57" w:rsidRPr="00531AA5">
        <w:t>SR</w:t>
      </w:r>
      <w:r w:rsidR="00454A9D" w:rsidRPr="00531AA5">
        <w:t xml:space="preserve"> estimates that over 1,000 boy</w:t>
      </w:r>
      <w:r w:rsidR="007E6185">
        <w:t>-children</w:t>
      </w:r>
      <w:r w:rsidR="00454A9D" w:rsidRPr="00531AA5">
        <w:t xml:space="preserve"> are detained in the region, either in prisons or in closed rehabilitation centres. </w:t>
      </w:r>
      <w:r w:rsidR="00B43BC9">
        <w:t xml:space="preserve">She finds </w:t>
      </w:r>
      <w:r w:rsidR="00B43BC9" w:rsidRPr="005F0068">
        <w:rPr>
          <w:u w:val="single"/>
        </w:rPr>
        <w:t>all</w:t>
      </w:r>
      <w:r w:rsidR="00B43BC9">
        <w:t xml:space="preserve"> of sites and procedures of detention in the territory to be mass, arbitrary and indefinite in nature and therefore all engage serious and systematic breaches of international law.</w:t>
      </w:r>
      <w:r w:rsidR="00B43BC9">
        <w:rPr>
          <w:rStyle w:val="FootnoteReference"/>
        </w:rPr>
        <w:footnoteReference w:id="38"/>
      </w:r>
      <w:r w:rsidR="00B43BC9">
        <w:t xml:space="preserve">  </w:t>
      </w:r>
    </w:p>
    <w:p w14:paraId="0E5B6A50" w14:textId="53173271" w:rsidR="00AD6EC8" w:rsidRPr="00177A65" w:rsidRDefault="00AD6EC8" w:rsidP="00177A65">
      <w:pPr>
        <w:pStyle w:val="SingleTxtG"/>
        <w:numPr>
          <w:ilvl w:val="0"/>
          <w:numId w:val="15"/>
        </w:numPr>
        <w:ind w:left="1170" w:firstLine="0"/>
        <w:rPr>
          <w:lang w:val="en-US"/>
        </w:rPr>
      </w:pPr>
      <w:r>
        <w:rPr>
          <w:lang w:val="en-US"/>
        </w:rPr>
        <w:t>In this Report, the S</w:t>
      </w:r>
      <w:r w:rsidR="007F2F69">
        <w:rPr>
          <w:lang w:val="en-US"/>
        </w:rPr>
        <w:t>R</w:t>
      </w:r>
      <w:r>
        <w:rPr>
          <w:lang w:val="en-US"/>
        </w:rPr>
        <w:t xml:space="preserve"> solely addresses the scale of human rights and humanitarian law violations occurring in places of detention and constituting serious breaches of international law. She finds these</w:t>
      </w:r>
      <w:r w:rsidR="00323113">
        <w:rPr>
          <w:lang w:val="en-US"/>
        </w:rPr>
        <w:t xml:space="preserve"> to</w:t>
      </w:r>
      <w:r>
        <w:rPr>
          <w:lang w:val="en-US"/>
        </w:rPr>
        <w:t xml:space="preserve"> include: mass, indefinite arbitrary detention of adults </w:t>
      </w:r>
      <w:r>
        <w:rPr>
          <w:lang w:val="en-US"/>
        </w:rPr>
        <w:lastRenderedPageBreak/>
        <w:t>and children;</w:t>
      </w:r>
      <w:r>
        <w:rPr>
          <w:rStyle w:val="FootnoteReference"/>
          <w:lang w:val="en-US"/>
        </w:rPr>
        <w:footnoteReference w:id="39"/>
      </w:r>
      <w:r>
        <w:rPr>
          <w:lang w:val="en-US"/>
        </w:rPr>
        <w:t xml:space="preserve"> torture, cruel</w:t>
      </w:r>
      <w:r w:rsidR="00653415">
        <w:rPr>
          <w:lang w:val="en-US"/>
        </w:rPr>
        <w:t>,</w:t>
      </w:r>
      <w:r>
        <w:rPr>
          <w:lang w:val="en-US"/>
        </w:rPr>
        <w:t xml:space="preserve"> inhuman and degrading treatment and punishment,</w:t>
      </w:r>
      <w:r>
        <w:rPr>
          <w:rStyle w:val="FootnoteReference"/>
          <w:lang w:val="en-US"/>
        </w:rPr>
        <w:footnoteReference w:id="40"/>
      </w:r>
      <w:r>
        <w:rPr>
          <w:lang w:val="en-US"/>
        </w:rPr>
        <w:t xml:space="preserve"> sexual and gender-based violence and coercion;</w:t>
      </w:r>
      <w:r>
        <w:rPr>
          <w:rStyle w:val="FootnoteReference"/>
          <w:lang w:val="en-US"/>
        </w:rPr>
        <w:footnoteReference w:id="41"/>
      </w:r>
      <w:r>
        <w:rPr>
          <w:lang w:val="en-US"/>
        </w:rPr>
        <w:t xml:space="preserve"> </w:t>
      </w:r>
      <w:r w:rsidR="00173EB9">
        <w:rPr>
          <w:lang w:val="en-US"/>
        </w:rPr>
        <w:t>pr</w:t>
      </w:r>
      <w:r w:rsidR="00125F57">
        <w:rPr>
          <w:lang w:val="en-US"/>
        </w:rPr>
        <w:t xml:space="preserve">actices </w:t>
      </w:r>
      <w:r w:rsidR="00173EB9">
        <w:rPr>
          <w:lang w:val="en-US"/>
        </w:rPr>
        <w:t xml:space="preserve">of </w:t>
      </w:r>
      <w:r>
        <w:rPr>
          <w:lang w:val="en-US"/>
        </w:rPr>
        <w:t>trafficking and sexual exploitation;</w:t>
      </w:r>
      <w:r>
        <w:rPr>
          <w:rStyle w:val="FootnoteReference"/>
          <w:lang w:val="en-US"/>
        </w:rPr>
        <w:footnoteReference w:id="42"/>
      </w:r>
      <w:r>
        <w:rPr>
          <w:lang w:val="en-US"/>
        </w:rPr>
        <w:t xml:space="preserve"> </w:t>
      </w:r>
      <w:r w:rsidRPr="0092432B">
        <w:rPr>
          <w:lang w:val="en-US"/>
        </w:rPr>
        <w:t xml:space="preserve"> </w:t>
      </w:r>
      <w:r>
        <w:rPr>
          <w:lang w:val="en-US"/>
        </w:rPr>
        <w:t>mass forced transfer and abduction of boy children</w:t>
      </w:r>
      <w:r>
        <w:rPr>
          <w:rStyle w:val="FootnoteReference"/>
          <w:lang w:val="en-US"/>
        </w:rPr>
        <w:footnoteReference w:id="43"/>
      </w:r>
      <w:r>
        <w:rPr>
          <w:lang w:val="en-US"/>
        </w:rPr>
        <w:t xml:space="preserve"> </w:t>
      </w:r>
      <w:r w:rsidRPr="0092432B">
        <w:rPr>
          <w:lang w:val="en-US"/>
        </w:rPr>
        <w:t xml:space="preserve"> </w:t>
      </w:r>
      <w:r>
        <w:rPr>
          <w:lang w:val="en-US"/>
        </w:rPr>
        <w:t>and hostage taking;</w:t>
      </w:r>
      <w:r>
        <w:rPr>
          <w:rStyle w:val="FootnoteReference"/>
          <w:lang w:val="en-US"/>
        </w:rPr>
        <w:footnoteReference w:id="44"/>
      </w:r>
      <w:r>
        <w:rPr>
          <w:lang w:val="en-US"/>
        </w:rPr>
        <w:t xml:space="preserve"> deliberate denial of access for humanitarian relief and deprivation of access to essential medical treatment, which can endanger the right to life;</w:t>
      </w:r>
      <w:r>
        <w:rPr>
          <w:rStyle w:val="FootnoteReference"/>
          <w:lang w:val="en-US"/>
        </w:rPr>
        <w:footnoteReference w:id="45"/>
      </w:r>
      <w:r>
        <w:rPr>
          <w:lang w:val="en-US"/>
        </w:rPr>
        <w:t xml:space="preserve"> withholding of food (starvation) in detention;</w:t>
      </w:r>
      <w:r>
        <w:rPr>
          <w:rStyle w:val="FootnoteReference"/>
          <w:lang w:val="en-US"/>
        </w:rPr>
        <w:footnoteReference w:id="46"/>
      </w:r>
      <w:r>
        <w:rPr>
          <w:lang w:val="en-US"/>
        </w:rPr>
        <w:t>; coercive interrogations;</w:t>
      </w:r>
      <w:r w:rsidR="00531AA5">
        <w:rPr>
          <w:rStyle w:val="FootnoteReference"/>
          <w:lang w:val="en-US"/>
        </w:rPr>
        <w:footnoteReference w:id="47"/>
      </w:r>
      <w:r>
        <w:rPr>
          <w:lang w:val="en-US"/>
        </w:rPr>
        <w:t xml:space="preserve"> mass enforced disappearances;</w:t>
      </w:r>
      <w:r>
        <w:rPr>
          <w:rStyle w:val="FootnoteReference"/>
          <w:lang w:val="en-US"/>
        </w:rPr>
        <w:footnoteReference w:id="48"/>
      </w:r>
      <w:r>
        <w:rPr>
          <w:lang w:val="en-US"/>
        </w:rPr>
        <w:t xml:space="preserve"> and trials lack</w:t>
      </w:r>
      <w:r w:rsidR="00A8274C">
        <w:rPr>
          <w:lang w:val="en-US"/>
        </w:rPr>
        <w:t>ing</w:t>
      </w:r>
      <w:r>
        <w:rPr>
          <w:lang w:val="en-US"/>
        </w:rPr>
        <w:t xml:space="preserve"> the “basic </w:t>
      </w:r>
      <w:r w:rsidRPr="00177A65">
        <w:rPr>
          <w:lang w:val="en-US"/>
        </w:rPr>
        <w:t>judicial guarantees which are recognized as essential by civilized peoples”.</w:t>
      </w:r>
      <w:r w:rsidRPr="00177A65">
        <w:rPr>
          <w:rStyle w:val="FootnoteReference"/>
          <w:lang w:val="en-US"/>
        </w:rPr>
        <w:footnoteReference w:id="49"/>
      </w:r>
      <w:r w:rsidRPr="00177A65">
        <w:rPr>
          <w:lang w:val="en-US"/>
        </w:rPr>
        <w:t xml:space="preserve"> </w:t>
      </w:r>
    </w:p>
    <w:p w14:paraId="4D5C3837" w14:textId="45814AD7" w:rsidR="00B12051" w:rsidRPr="00177A65" w:rsidRDefault="00454A9D" w:rsidP="00177A65">
      <w:pPr>
        <w:pStyle w:val="SingleTxtG"/>
        <w:numPr>
          <w:ilvl w:val="0"/>
          <w:numId w:val="15"/>
        </w:numPr>
        <w:ind w:left="1170" w:firstLine="0"/>
        <w:rPr>
          <w:lang w:val="en-US"/>
        </w:rPr>
      </w:pPr>
      <w:r w:rsidRPr="00177A65">
        <w:t xml:space="preserve">She found all of sites and procedures of detention in the territory to </w:t>
      </w:r>
      <w:r w:rsidR="007E6185" w:rsidRPr="00177A65">
        <w:t xml:space="preserve">be </w:t>
      </w:r>
      <w:r w:rsidR="00ED1788" w:rsidRPr="00177A65">
        <w:t xml:space="preserve">imposed </w:t>
      </w:r>
      <w:r w:rsidR="00ED1788" w:rsidRPr="00177A65">
        <w:rPr>
          <w:lang w:val="en-US"/>
        </w:rPr>
        <w:t xml:space="preserve">without due process of law, legal basis or legal </w:t>
      </w:r>
      <w:r w:rsidR="007E6185" w:rsidRPr="00177A65">
        <w:rPr>
          <w:lang w:val="en-US"/>
        </w:rPr>
        <w:t>avenues of challenge</w:t>
      </w:r>
      <w:r w:rsidR="00ED1788" w:rsidRPr="00177A65">
        <w:rPr>
          <w:lang w:val="en-US"/>
        </w:rPr>
        <w:t xml:space="preserve"> for all the men, women and children</w:t>
      </w:r>
      <w:r w:rsidR="007E6185" w:rsidRPr="00177A65">
        <w:rPr>
          <w:lang w:val="en-US"/>
        </w:rPr>
        <w:t xml:space="preserve"> detained</w:t>
      </w:r>
      <w:r w:rsidR="00ED1788" w:rsidRPr="00177A65">
        <w:rPr>
          <w:lang w:val="en-US"/>
        </w:rPr>
        <w:t xml:space="preserve"> </w:t>
      </w:r>
      <w:r w:rsidRPr="00177A65">
        <w:t xml:space="preserve">and therefore engage profound </w:t>
      </w:r>
      <w:r w:rsidR="00A8274C" w:rsidRPr="00177A65">
        <w:t xml:space="preserve">and systematic </w:t>
      </w:r>
      <w:r w:rsidRPr="00177A65">
        <w:t>breaches of international law.</w:t>
      </w:r>
      <w:r w:rsidRPr="00177A65">
        <w:rPr>
          <w:rStyle w:val="FootnoteReference"/>
        </w:rPr>
        <w:footnoteReference w:id="50"/>
      </w:r>
      <w:r w:rsidRPr="00177A65">
        <w:t xml:space="preserve">  She underscores that the vast majority of those detained are children</w:t>
      </w:r>
      <w:r w:rsidR="00ED1788" w:rsidRPr="00177A65">
        <w:t>, rendering North</w:t>
      </w:r>
      <w:r w:rsidR="007E6185" w:rsidRPr="00177A65">
        <w:t>e</w:t>
      </w:r>
      <w:r w:rsidR="00ED1788" w:rsidRPr="00177A65">
        <w:t xml:space="preserve">ast Syria the largest </w:t>
      </w:r>
      <w:r w:rsidR="00EA455B" w:rsidRPr="00177A65">
        <w:t xml:space="preserve">site </w:t>
      </w:r>
      <w:r w:rsidR="00ED1788" w:rsidRPr="00177A65">
        <w:t xml:space="preserve">of detention of children for </w:t>
      </w:r>
      <w:r w:rsidR="00173EB9" w:rsidRPr="00177A65">
        <w:t>counter</w:t>
      </w:r>
      <w:r w:rsidR="007E6185" w:rsidRPr="00177A65">
        <w:t>-</w:t>
      </w:r>
      <w:r w:rsidR="00ED1788" w:rsidRPr="00177A65">
        <w:t xml:space="preserve">terrorism purposes </w:t>
      </w:r>
      <w:r w:rsidR="007E6185" w:rsidRPr="00177A65">
        <w:t>worldwide</w:t>
      </w:r>
      <w:r w:rsidR="00ED1788" w:rsidRPr="00177A65">
        <w:t>,</w:t>
      </w:r>
      <w:r w:rsidRPr="00177A65">
        <w:t xml:space="preserve"> and stresses that both under international human rights and </w:t>
      </w:r>
      <w:r w:rsidR="008C2E94" w:rsidRPr="00177A65">
        <w:t xml:space="preserve">humanitarian law </w:t>
      </w:r>
      <w:r w:rsidRPr="00177A65">
        <w:t>children are entitled to special protection including during armed conflict,</w:t>
      </w:r>
      <w:r w:rsidRPr="00177A65">
        <w:rPr>
          <w:rStyle w:val="FootnoteReference"/>
        </w:rPr>
        <w:footnoteReference w:id="51"/>
      </w:r>
      <w:r w:rsidRPr="00177A65">
        <w:t xml:space="preserve"> and that certain fundamental rights in respect of children constitute </w:t>
      </w:r>
      <w:proofErr w:type="spellStart"/>
      <w:r w:rsidRPr="00177A65">
        <w:rPr>
          <w:i/>
          <w:iCs/>
        </w:rPr>
        <w:t>erga</w:t>
      </w:r>
      <w:proofErr w:type="spellEnd"/>
      <w:r w:rsidRPr="00177A65">
        <w:rPr>
          <w:i/>
          <w:iCs/>
        </w:rPr>
        <w:t xml:space="preserve"> omnes</w:t>
      </w:r>
      <w:r w:rsidRPr="00177A65">
        <w:t xml:space="preserve"> obligations.</w:t>
      </w:r>
      <w:r w:rsidRPr="00177A65">
        <w:rPr>
          <w:rStyle w:val="FootnoteReference"/>
        </w:rPr>
        <w:footnoteReference w:id="52"/>
      </w:r>
    </w:p>
    <w:p w14:paraId="2E1021F0" w14:textId="60A8FE95" w:rsidR="00ED1788" w:rsidRPr="00454A9D" w:rsidRDefault="00ED1788" w:rsidP="00177A65">
      <w:pPr>
        <w:pStyle w:val="SingleTxtG"/>
        <w:numPr>
          <w:ilvl w:val="0"/>
          <w:numId w:val="15"/>
        </w:numPr>
        <w:ind w:left="1170" w:firstLine="0"/>
        <w:rPr>
          <w:lang w:val="en-US"/>
        </w:rPr>
      </w:pPr>
      <w:r w:rsidRPr="00531AA5">
        <w:rPr>
          <w:lang w:val="en-US"/>
        </w:rPr>
        <w:t xml:space="preserve">Torture, </w:t>
      </w:r>
      <w:r w:rsidR="00126E46">
        <w:rPr>
          <w:lang w:val="en-US"/>
        </w:rPr>
        <w:t>and other forms of ill-treatment</w:t>
      </w:r>
      <w:r w:rsidRPr="00531AA5">
        <w:rPr>
          <w:lang w:val="en-US"/>
        </w:rPr>
        <w:t>, including of persons deprived of their liberty, irrespective of the charges or alleged rationale for their confinement, is a breach of both customary and treaty law (</w:t>
      </w:r>
      <w:r w:rsidRPr="006D7759">
        <w:rPr>
          <w:i/>
          <w:iCs/>
          <w:lang w:val="en-US"/>
        </w:rPr>
        <w:t>jus cogens</w:t>
      </w:r>
      <w:r w:rsidRPr="00531AA5">
        <w:rPr>
          <w:lang w:val="en-US"/>
        </w:rPr>
        <w:t xml:space="preserve">), </w:t>
      </w:r>
      <w:r w:rsidR="007E6185">
        <w:rPr>
          <w:lang w:val="en-US"/>
        </w:rPr>
        <w:t xml:space="preserve">and </w:t>
      </w:r>
      <w:r w:rsidRPr="00531AA5">
        <w:rPr>
          <w:lang w:val="en-US"/>
        </w:rPr>
        <w:t>the prohibition and prevention of such abhorrent practices is a binding obligation for all actors in a conflict.</w:t>
      </w:r>
      <w:r w:rsidRPr="00531AA5">
        <w:rPr>
          <w:rStyle w:val="FootnoteReference"/>
          <w:lang w:val="en-US"/>
        </w:rPr>
        <w:footnoteReference w:id="53"/>
      </w:r>
      <w:r>
        <w:rPr>
          <w:lang w:val="en-US"/>
        </w:rPr>
        <w:t xml:space="preserve">  The prohibition of enforced disappearances is a </w:t>
      </w:r>
      <w:r w:rsidRPr="006D7759">
        <w:rPr>
          <w:i/>
          <w:iCs/>
          <w:lang w:val="en-US"/>
        </w:rPr>
        <w:t>jus cogens</w:t>
      </w:r>
      <w:r>
        <w:rPr>
          <w:lang w:val="en-US"/>
        </w:rPr>
        <w:t xml:space="preserve"> norm binding on both state and non-state actors.</w:t>
      </w:r>
      <w:r>
        <w:rPr>
          <w:rStyle w:val="FootnoteReference"/>
          <w:lang w:val="en-US"/>
        </w:rPr>
        <w:footnoteReference w:id="54"/>
      </w:r>
      <w:r>
        <w:rPr>
          <w:lang w:val="en-US"/>
        </w:rPr>
        <w:t xml:space="preserve"> The failure to provide medical treatment to those hors de combat is a breach of treaty and customary law,</w:t>
      </w:r>
      <w:r>
        <w:rPr>
          <w:rStyle w:val="FootnoteReference"/>
          <w:lang w:val="en-US"/>
        </w:rPr>
        <w:footnoteReference w:id="55"/>
      </w:r>
      <w:r>
        <w:rPr>
          <w:lang w:val="en-US"/>
        </w:rPr>
        <w:t xml:space="preserve"> obliging both state or non-state actor</w:t>
      </w:r>
      <w:r w:rsidR="002F0F35">
        <w:rPr>
          <w:lang w:val="en-US"/>
        </w:rPr>
        <w:t>s</w:t>
      </w:r>
      <w:r>
        <w:rPr>
          <w:lang w:val="en-US"/>
        </w:rPr>
        <w:t>.</w:t>
      </w:r>
      <w:r>
        <w:rPr>
          <w:rStyle w:val="FootnoteReference"/>
          <w:lang w:val="en-US"/>
        </w:rPr>
        <w:footnoteReference w:id="56"/>
      </w:r>
      <w:r>
        <w:rPr>
          <w:lang w:val="en-US"/>
        </w:rPr>
        <w:t xml:space="preserve"> Starvation of a detained population is a breach of international humanitarian law, including during a non-international armed conflict. The systematic separation of children in a situation of armed conflict is prohibited by the Fourth Geneva Convention in situations of inter-state armed conflict and may be viewed as an emerging norm in non-international armed conflicts. These violations are occurring in multiple sites of detention in Northeast Syria and provoke alarm regarding the treatment of a majority child detainee population in multiple ‘camps’, prisons and </w:t>
      </w:r>
      <w:r>
        <w:rPr>
          <w:lang w:val="en-US"/>
        </w:rPr>
        <w:lastRenderedPageBreak/>
        <w:t>‘rehabilitation facilities</w:t>
      </w:r>
      <w:r w:rsidR="00EA455B">
        <w:rPr>
          <w:lang w:val="en-US"/>
        </w:rPr>
        <w:t>.</w:t>
      </w:r>
      <w:r>
        <w:rPr>
          <w:lang w:val="en-US"/>
        </w:rPr>
        <w:t xml:space="preserve">’ </w:t>
      </w:r>
      <w:r>
        <w:t xml:space="preserve">The </w:t>
      </w:r>
      <w:r w:rsidR="00334987">
        <w:t>SR</w:t>
      </w:r>
      <w:r>
        <w:t xml:space="preserve"> recalls that n</w:t>
      </w:r>
      <w:r w:rsidRPr="008B46A2">
        <w:t xml:space="preserve">ot a single </w:t>
      </w:r>
      <w:r w:rsidRPr="002E763C">
        <w:t>woman or girl child in these camps, nor any boy held</w:t>
      </w:r>
      <w:r w:rsidRPr="0035532D">
        <w:t xml:space="preserve"> in “rehabilitation centres” has been subject to any legal process, much less a human rights</w:t>
      </w:r>
      <w:r w:rsidR="006D7759">
        <w:t>’</w:t>
      </w:r>
      <w:r w:rsidRPr="0035532D">
        <w:t xml:space="preserve"> or </w:t>
      </w:r>
      <w:r w:rsidR="00334987">
        <w:t>IHL</w:t>
      </w:r>
      <w:r w:rsidRPr="0035532D">
        <w:t xml:space="preserve"> compliant one. </w:t>
      </w:r>
      <w:r>
        <w:t>She highlight</w:t>
      </w:r>
      <w:r w:rsidR="00F31249">
        <w:t>s</w:t>
      </w:r>
      <w:r>
        <w:t xml:space="preserve"> the abject and abhorrent human rights conditions experienced by women and girls in </w:t>
      </w:r>
      <w:r w:rsidR="007D0142">
        <w:t>Al-</w:t>
      </w:r>
      <w:proofErr w:type="spellStart"/>
      <w:r>
        <w:t>Hol</w:t>
      </w:r>
      <w:proofErr w:type="spellEnd"/>
      <w:r>
        <w:t xml:space="preserve"> and </w:t>
      </w:r>
      <w:r w:rsidR="007D0142">
        <w:t>Al-</w:t>
      </w:r>
      <w:r>
        <w:t xml:space="preserve">Roj camp (housing, education, sanitary conditions) breaching a slew of fundamental both </w:t>
      </w:r>
      <w:proofErr w:type="spellStart"/>
      <w:r>
        <w:t>derogable</w:t>
      </w:r>
      <w:proofErr w:type="spellEnd"/>
      <w:r>
        <w:t xml:space="preserve"> and non-</w:t>
      </w:r>
      <w:proofErr w:type="spellStart"/>
      <w:r>
        <w:t>derogable</w:t>
      </w:r>
      <w:proofErr w:type="spellEnd"/>
      <w:r>
        <w:t xml:space="preserve"> norms.</w:t>
      </w:r>
    </w:p>
    <w:p w14:paraId="3F1B4E70" w14:textId="48620595" w:rsidR="00AD6EC8" w:rsidRPr="00AD6EC8" w:rsidRDefault="008622D4" w:rsidP="00AD6EC8">
      <w:pPr>
        <w:pStyle w:val="SingleTxtG"/>
        <w:numPr>
          <w:ilvl w:val="0"/>
          <w:numId w:val="15"/>
        </w:numPr>
        <w:ind w:left="1170" w:firstLine="0"/>
        <w:rPr>
          <w:bCs/>
        </w:rPr>
      </w:pPr>
      <w:r>
        <w:t>The Special Rapporteur holds that the conditions of detention of children may amount to grave violations against children in times of conflict</w:t>
      </w:r>
      <w:r w:rsidR="00ED1788">
        <w:t>,</w:t>
      </w:r>
      <w:r w:rsidR="00ED1788">
        <w:rPr>
          <w:rStyle w:val="FootnoteReference"/>
        </w:rPr>
        <w:footnoteReference w:id="57"/>
      </w:r>
      <w:r w:rsidR="00ED1788">
        <w:t xml:space="preserve"> </w:t>
      </w:r>
      <w:r>
        <w:t xml:space="preserve">including abduction of children, for those forcibly separated from their mothers, and use of children, particularly for </w:t>
      </w:r>
      <w:r w:rsidR="0022170D">
        <w:t>intelligence gathering</w:t>
      </w:r>
      <w:r>
        <w:t xml:space="preserve"> purposes</w:t>
      </w:r>
      <w:r w:rsidR="00ED1788">
        <w:t>,</w:t>
      </w:r>
      <w:r w:rsidR="00ED1788">
        <w:rPr>
          <w:rStyle w:val="FootnoteReference"/>
        </w:rPr>
        <w:footnoteReference w:id="58"/>
      </w:r>
      <w:r w:rsidR="00ED1788">
        <w:t xml:space="preserve"> </w:t>
      </w:r>
      <w:r>
        <w:t>killing or maiming of children, including through torture/inhumane and degrading treatment and sexual violence against children</w:t>
      </w:r>
      <w:r w:rsidR="008051FA">
        <w:t>,</w:t>
      </w:r>
      <w:r>
        <w:t xml:space="preserve"> as well as the denial of humanitarian access</w:t>
      </w:r>
      <w:r w:rsidR="00ED1788">
        <w:t>.</w:t>
      </w:r>
    </w:p>
    <w:p w14:paraId="7E9CF23D" w14:textId="0EBF22ED" w:rsidR="00AD6EC8" w:rsidRPr="008F30AA" w:rsidRDefault="00AD6EC8" w:rsidP="00AD6EC8">
      <w:pPr>
        <w:pStyle w:val="SingleTxtG"/>
        <w:numPr>
          <w:ilvl w:val="0"/>
          <w:numId w:val="15"/>
        </w:numPr>
        <w:ind w:left="1170" w:firstLine="0"/>
        <w:rPr>
          <w:bCs/>
        </w:rPr>
      </w:pPr>
      <w:r>
        <w:rPr>
          <w:lang w:val="en-US"/>
        </w:rPr>
        <w:t>The human rights and humanitarian law violations observed in places of detention in Northeast Syria, are not singular but systematic in nature.</w:t>
      </w:r>
      <w:r w:rsidRPr="00B646B8">
        <w:rPr>
          <w:rStyle w:val="FootnoteReference"/>
          <w:lang w:val="en-US"/>
        </w:rPr>
        <w:t xml:space="preserve"> </w:t>
      </w:r>
      <w:r>
        <w:rPr>
          <w:rStyle w:val="FootnoteReference"/>
          <w:lang w:val="en-US"/>
        </w:rPr>
        <w:footnoteReference w:id="59"/>
      </w:r>
      <w:r>
        <w:rPr>
          <w:lang w:val="en-US"/>
        </w:rPr>
        <w:t xml:space="preserve"> In respect of mass arbitrary detention</w:t>
      </w:r>
      <w:r w:rsidR="007D0142">
        <w:rPr>
          <w:rStyle w:val="FootnoteReference"/>
          <w:lang w:val="en-US"/>
        </w:rPr>
        <w:footnoteReference w:id="60"/>
      </w:r>
      <w:r>
        <w:rPr>
          <w:lang w:val="en-US"/>
        </w:rPr>
        <w:t xml:space="preserve">, the question may reasonably be posed as to whether the threshold for crimes against humanity is implicated by the scale, subjects and indefinite nature of </w:t>
      </w:r>
      <w:r w:rsidR="00EA455B">
        <w:rPr>
          <w:lang w:val="en-US"/>
        </w:rPr>
        <w:t xml:space="preserve">such </w:t>
      </w:r>
      <w:r>
        <w:rPr>
          <w:lang w:val="en-US"/>
        </w:rPr>
        <w:t xml:space="preserve">arbitrary detention and related practices. The </w:t>
      </w:r>
      <w:r w:rsidR="00EA455B">
        <w:rPr>
          <w:lang w:val="en-US"/>
        </w:rPr>
        <w:t xml:space="preserve">SR </w:t>
      </w:r>
      <w:r>
        <w:rPr>
          <w:lang w:val="en-US"/>
        </w:rPr>
        <w:t>highlights the following elements of such crimes</w:t>
      </w:r>
      <w:r w:rsidR="007D0142">
        <w:rPr>
          <w:lang w:val="en-US"/>
        </w:rPr>
        <w:t>, noting</w:t>
      </w:r>
      <w:r>
        <w:rPr>
          <w:lang w:val="en-US"/>
        </w:rPr>
        <w:t xml:space="preserve"> that crimes against humanity</w:t>
      </w:r>
      <w:r>
        <w:rPr>
          <w:rStyle w:val="FootnoteReference"/>
          <w:lang w:val="en-US"/>
        </w:rPr>
        <w:footnoteReference w:id="61"/>
      </w:r>
      <w:r>
        <w:rPr>
          <w:lang w:val="en-US"/>
        </w:rPr>
        <w:t xml:space="preserve"> have both a treaty and customary law basis.  There is a broad consensus that an ‘attack on the civilian population “</w:t>
      </w:r>
      <w:r w:rsidRPr="00460DA7">
        <w:t>need not necessarily be military in</w:t>
      </w:r>
      <w:r w:rsidRPr="00C36C96">
        <w:t xml:space="preserve"> </w:t>
      </w:r>
      <w:r w:rsidRPr="00460DA7">
        <w:t xml:space="preserve">nature and it may involve any form of violence against a civilian </w:t>
      </w:r>
      <w:r>
        <w:t>population”.</w:t>
      </w:r>
      <w:r>
        <w:rPr>
          <w:rStyle w:val="FootnoteReference"/>
        </w:rPr>
        <w:footnoteReference w:id="62"/>
      </w:r>
      <w:r>
        <w:t xml:space="preserve"> The course of conduct that can engage crimes against humanity </w:t>
      </w:r>
      <w:r w:rsidRPr="00C36C96">
        <w:t xml:space="preserve">embodies a systemic aspect as it describes a series or overall flow of events as </w:t>
      </w:r>
      <w:r w:rsidRPr="00890F67">
        <w:t>opposed to a mere aggregate of random acts</w:t>
      </w:r>
      <w:r w:rsidRPr="005D393E">
        <w:rPr>
          <w:b/>
          <w:bCs/>
        </w:rPr>
        <w:t>.</w:t>
      </w:r>
      <w:r>
        <w:rPr>
          <w:rStyle w:val="FootnoteReference"/>
          <w:b/>
          <w:bCs/>
        </w:rPr>
        <w:footnoteReference w:id="63"/>
      </w:r>
      <w:r>
        <w:rPr>
          <w:b/>
          <w:bCs/>
        </w:rPr>
        <w:t xml:space="preserve"> </w:t>
      </w:r>
      <w:r>
        <w:rPr>
          <w:bCs/>
        </w:rPr>
        <w:t xml:space="preserve">The </w:t>
      </w:r>
      <w:r w:rsidR="00EA455B">
        <w:rPr>
          <w:bCs/>
        </w:rPr>
        <w:t>SR</w:t>
      </w:r>
      <w:r>
        <w:rPr>
          <w:bCs/>
        </w:rPr>
        <w:t xml:space="preserve"> highlights the cumulative nature of the human rights and humanitarian law violations engaged by detention, particularly </w:t>
      </w:r>
      <w:r w:rsidR="00C35358">
        <w:rPr>
          <w:bCs/>
        </w:rPr>
        <w:t xml:space="preserve">of </w:t>
      </w:r>
      <w:r>
        <w:rPr>
          <w:bCs/>
        </w:rPr>
        <w:t>children</w:t>
      </w:r>
      <w:r w:rsidR="00C35358">
        <w:rPr>
          <w:bCs/>
        </w:rPr>
        <w:t>, the vast majority under the age of 12 years</w:t>
      </w:r>
      <w:r>
        <w:rPr>
          <w:bCs/>
        </w:rPr>
        <w:t xml:space="preserve">. She notes that crimes against humanity requires </w:t>
      </w:r>
      <w:proofErr w:type="gramStart"/>
      <w:r>
        <w:rPr>
          <w:bCs/>
        </w:rPr>
        <w:t>by definition an</w:t>
      </w:r>
      <w:proofErr w:type="gramEnd"/>
      <w:r>
        <w:rPr>
          <w:bCs/>
        </w:rPr>
        <w:t xml:space="preserve"> attack (e.g.</w:t>
      </w:r>
      <w:r w:rsidR="00151EE2">
        <w:rPr>
          <w:bCs/>
        </w:rPr>
        <w:t>,</w:t>
      </w:r>
      <w:r>
        <w:rPr>
          <w:bCs/>
        </w:rPr>
        <w:t xml:space="preserve"> torture, disappearance, transfer) on a civilian population. The jurisprudence of international criminal tribunals is clear that </w:t>
      </w:r>
      <w:r>
        <w:rPr>
          <w:b/>
          <w:bCs/>
        </w:rPr>
        <w:t>“</w:t>
      </w:r>
      <w:r w:rsidRPr="0008431A">
        <w:t>a person shall be considered to be a civilian for as long as there is a doubt as to his or her status</w:t>
      </w:r>
      <w:r w:rsidR="00AF1E4F">
        <w:t>”</w:t>
      </w:r>
      <w:r w:rsidR="00AF1E4F" w:rsidRPr="00F27D0D">
        <w:t>.</w:t>
      </w:r>
      <w:r w:rsidR="00AF1E4F" w:rsidRPr="007164AA">
        <w:rPr>
          <w:rStyle w:val="FootnoteReference"/>
        </w:rPr>
        <w:footnoteReference w:id="64"/>
      </w:r>
      <w:r>
        <w:t xml:space="preserve"> Notably,</w:t>
      </w:r>
      <w:r w:rsidRPr="00C36C96">
        <w:t xml:space="preserve"> the mere presence of some combatants (non-civilians) among the population does not nullify the characterisation or status of the population as civilian. </w:t>
      </w:r>
      <w:r w:rsidR="008C2E94">
        <w:t>T</w:t>
      </w:r>
      <w:r w:rsidRPr="00C36C96">
        <w:t xml:space="preserve">he term ‘civilian population’ means that the population must simply be </w:t>
      </w:r>
      <w:r w:rsidRPr="0008431A">
        <w:rPr>
          <w:b/>
          <w:bCs/>
        </w:rPr>
        <w:t>“</w:t>
      </w:r>
      <w:r w:rsidRPr="00BC512B">
        <w:t>predominantly civilian in nature”.</w:t>
      </w:r>
      <w:r w:rsidRPr="00BC512B">
        <w:rPr>
          <w:rStyle w:val="FootnoteReference"/>
        </w:rPr>
        <w:footnoteReference w:id="65"/>
      </w:r>
      <w:r>
        <w:rPr>
          <w:b/>
          <w:bCs/>
        </w:rPr>
        <w:t xml:space="preserve"> </w:t>
      </w:r>
      <w:r>
        <w:t xml:space="preserve">Crimes against humanity can also be committed not only against civilians in the strict sense but persons no longer taking part in hostilities, but against those </w:t>
      </w:r>
      <w:r w:rsidRPr="00AF1E4F">
        <w:rPr>
          <w:i/>
          <w:iCs/>
        </w:rPr>
        <w:t>hors de combat</w:t>
      </w:r>
      <w:r>
        <w:t>,</w:t>
      </w:r>
      <w:r>
        <w:rPr>
          <w:bCs/>
        </w:rPr>
        <w:t xml:space="preserve"> </w:t>
      </w:r>
      <w:r w:rsidRPr="00C36C96">
        <w:t>in particular, due to their wounds or their being detained.</w:t>
      </w:r>
      <w:r>
        <w:rPr>
          <w:rStyle w:val="FootnoteReference"/>
        </w:rPr>
        <w:footnoteReference w:id="66"/>
      </w:r>
      <w:r>
        <w:t xml:space="preserve"> The widespread nature of an attack on a civilian population can be quantitative or qualitative in nature; both requirements appear implicated in respect of the treatment of this detainee population.</w:t>
      </w:r>
      <w:r>
        <w:rPr>
          <w:rStyle w:val="FootnoteReference"/>
        </w:rPr>
        <w:footnoteReference w:id="67"/>
      </w:r>
      <w:r>
        <w:t xml:space="preserve">  She highlights that policies that reach the threshold of crimes against humanity need not be disseminated, formalized or engage a pre-established plan.</w:t>
      </w:r>
      <w:r>
        <w:rPr>
          <w:rStyle w:val="FootnoteReference"/>
        </w:rPr>
        <w:footnoteReference w:id="68"/>
      </w:r>
      <w:r>
        <w:t xml:space="preserve"> Knowledge of the </w:t>
      </w:r>
      <w:r>
        <w:lastRenderedPageBreak/>
        <w:t>conduct can be in general and not specific terms.</w:t>
      </w:r>
      <w:r>
        <w:rPr>
          <w:rStyle w:val="FootnoteReference"/>
        </w:rPr>
        <w:footnoteReference w:id="69"/>
      </w:r>
      <w:r>
        <w:t xml:space="preserve">  The existence of mass detention, also as an enabler for other serious human rights violations, including separation of children, </w:t>
      </w:r>
      <w:r w:rsidR="0050705A">
        <w:t xml:space="preserve"> </w:t>
      </w:r>
      <w:r>
        <w:t xml:space="preserve"> </w:t>
      </w:r>
      <w:r w:rsidR="00AF1E4F">
        <w:t xml:space="preserve">inhumane </w:t>
      </w:r>
      <w:r>
        <w:t>treatment of detainees, withholding of food and medical care leading to widespread contagion of infectious disease appear to be widely known to the detaining authority and Member States whose nationals are held in these facilities.</w:t>
      </w:r>
    </w:p>
    <w:p w14:paraId="291F500E" w14:textId="19ABE073" w:rsidR="00C45B8E" w:rsidRPr="00906C6C" w:rsidRDefault="00906C6C" w:rsidP="00906C6C">
      <w:pPr>
        <w:pStyle w:val="H1G"/>
      </w:pPr>
      <w:r>
        <w:tab/>
        <w:t>B.</w:t>
      </w:r>
      <w:r>
        <w:tab/>
      </w:r>
      <w:r w:rsidR="00AD6EC8" w:rsidRPr="00906C6C">
        <w:t xml:space="preserve">Specific Findings for Al </w:t>
      </w:r>
      <w:proofErr w:type="spellStart"/>
      <w:r w:rsidR="00AD6EC8" w:rsidRPr="00906C6C">
        <w:t>Hol</w:t>
      </w:r>
      <w:proofErr w:type="spellEnd"/>
      <w:r w:rsidR="00AD6EC8" w:rsidRPr="00906C6C">
        <w:t xml:space="preserve"> and </w:t>
      </w:r>
      <w:proofErr w:type="spellStart"/>
      <w:r w:rsidR="00AD6EC8" w:rsidRPr="00906C6C">
        <w:t>Gweiran</w:t>
      </w:r>
      <w:proofErr w:type="spellEnd"/>
      <w:r w:rsidR="00AD6EC8" w:rsidRPr="00906C6C">
        <w:t xml:space="preserve"> </w:t>
      </w:r>
      <w:proofErr w:type="spellStart"/>
      <w:r w:rsidR="00AD6EC8" w:rsidRPr="00906C6C">
        <w:t>Sina’a</w:t>
      </w:r>
      <w:proofErr w:type="spellEnd"/>
      <w:r w:rsidR="00AD6EC8" w:rsidRPr="00906C6C">
        <w:t xml:space="preserve"> (</w:t>
      </w:r>
      <w:proofErr w:type="spellStart"/>
      <w:r w:rsidR="00AD6EC8" w:rsidRPr="00906C6C">
        <w:t>Panamora</w:t>
      </w:r>
      <w:proofErr w:type="spellEnd"/>
      <w:r w:rsidR="00AD6EC8" w:rsidRPr="00906C6C">
        <w:t>) prison</w:t>
      </w:r>
    </w:p>
    <w:p w14:paraId="3D2D9D67" w14:textId="3EB955DB" w:rsidR="008B46A2" w:rsidRPr="00C45B8E" w:rsidRDefault="00C52343" w:rsidP="00550FDF">
      <w:pPr>
        <w:pStyle w:val="SingleTxtG"/>
        <w:numPr>
          <w:ilvl w:val="0"/>
          <w:numId w:val="15"/>
        </w:numPr>
        <w:ind w:left="1170" w:firstLine="0"/>
        <w:rPr>
          <w:lang w:val="en-US"/>
        </w:rPr>
      </w:pPr>
      <w:r w:rsidRPr="008B46A2">
        <w:rPr>
          <w:lang w:val="en-US"/>
        </w:rPr>
        <w:t>A</w:t>
      </w:r>
      <w:r w:rsidR="007D31A2" w:rsidRPr="008B46A2">
        <w:rPr>
          <w:lang w:val="en-US"/>
        </w:rPr>
        <w:t>ugmenting</w:t>
      </w:r>
      <w:r w:rsidR="00774367" w:rsidRPr="008B46A2">
        <w:rPr>
          <w:lang w:val="en-US"/>
        </w:rPr>
        <w:t xml:space="preserve"> the </w:t>
      </w:r>
      <w:r w:rsidR="00E34CBB" w:rsidRPr="008B46A2">
        <w:rPr>
          <w:lang w:val="en-US"/>
        </w:rPr>
        <w:t xml:space="preserve">various human rights concerns pertaining to detention in the Northeast of Syria </w:t>
      </w:r>
      <w:r w:rsidR="00E66E11" w:rsidRPr="008B46A2">
        <w:rPr>
          <w:lang w:val="en-US"/>
        </w:rPr>
        <w:t>highlighted</w:t>
      </w:r>
      <w:r w:rsidR="00AF1E4F">
        <w:rPr>
          <w:lang w:val="en-US"/>
        </w:rPr>
        <w:t xml:space="preserve"> by the </w:t>
      </w:r>
      <w:r w:rsidR="00FA7DD0">
        <w:rPr>
          <w:lang w:val="en-US"/>
        </w:rPr>
        <w:t>Special Rapporteur</w:t>
      </w:r>
      <w:r w:rsidR="00E66E11" w:rsidRPr="008B46A2">
        <w:rPr>
          <w:lang w:val="en-US"/>
        </w:rPr>
        <w:t xml:space="preserve"> in her </w:t>
      </w:r>
      <w:r w:rsidR="009370DF">
        <w:rPr>
          <w:lang w:val="en-US"/>
        </w:rPr>
        <w:t>technical visit’s findings</w:t>
      </w:r>
      <w:r w:rsidR="00E34CBB" w:rsidRPr="008B46A2">
        <w:rPr>
          <w:lang w:val="en-US"/>
        </w:rPr>
        <w:t xml:space="preserve">, </w:t>
      </w:r>
      <w:r w:rsidR="00E66E11" w:rsidRPr="008B46A2">
        <w:rPr>
          <w:lang w:val="en-US"/>
        </w:rPr>
        <w:t xml:space="preserve">she </w:t>
      </w:r>
      <w:r w:rsidR="007D31A2" w:rsidRPr="008B46A2">
        <w:rPr>
          <w:lang w:val="en-US"/>
        </w:rPr>
        <w:t xml:space="preserve">turns to </w:t>
      </w:r>
      <w:r w:rsidR="00E34CBB" w:rsidRPr="008B46A2">
        <w:rPr>
          <w:lang w:val="en-US"/>
        </w:rPr>
        <w:t xml:space="preserve">particularly </w:t>
      </w:r>
      <w:r w:rsidR="007D31A2" w:rsidRPr="008B46A2">
        <w:rPr>
          <w:lang w:val="en-US"/>
        </w:rPr>
        <w:t>address the</w:t>
      </w:r>
      <w:r w:rsidR="00E66E11" w:rsidRPr="008B46A2">
        <w:rPr>
          <w:lang w:val="en-US"/>
        </w:rPr>
        <w:t xml:space="preserve"> treatment of women in detention</w:t>
      </w:r>
      <w:r w:rsidR="00E34CBB" w:rsidRPr="008B46A2">
        <w:rPr>
          <w:lang w:val="en-US"/>
        </w:rPr>
        <w:t xml:space="preserve"> </w:t>
      </w:r>
      <w:r w:rsidR="008B46A2" w:rsidRPr="008B46A2">
        <w:rPr>
          <w:lang w:val="en-US"/>
        </w:rPr>
        <w:t>“</w:t>
      </w:r>
      <w:r w:rsidR="00E34CBB" w:rsidRPr="008B46A2">
        <w:rPr>
          <w:lang w:val="en-US"/>
        </w:rPr>
        <w:t>camps</w:t>
      </w:r>
      <w:r w:rsidR="008B46A2" w:rsidRPr="008B46A2">
        <w:rPr>
          <w:lang w:val="en-US"/>
        </w:rPr>
        <w:t>”</w:t>
      </w:r>
      <w:r w:rsidR="00E66E11" w:rsidRPr="008B46A2">
        <w:rPr>
          <w:lang w:val="en-US"/>
        </w:rPr>
        <w:t>, particularly</w:t>
      </w:r>
      <w:r w:rsidR="007D31A2" w:rsidRPr="008B46A2">
        <w:rPr>
          <w:lang w:val="en-US"/>
        </w:rPr>
        <w:t xml:space="preserve"> </w:t>
      </w:r>
      <w:r w:rsidR="00E66E11" w:rsidRPr="008B46A2">
        <w:rPr>
          <w:lang w:val="en-US"/>
        </w:rPr>
        <w:t>third country nationals</w:t>
      </w:r>
      <w:r w:rsidR="00E34CBB" w:rsidRPr="008B46A2">
        <w:rPr>
          <w:lang w:val="en-US"/>
        </w:rPr>
        <w:t>, in addition to</w:t>
      </w:r>
      <w:r w:rsidR="00E66E11" w:rsidRPr="008B46A2">
        <w:rPr>
          <w:lang w:val="en-US"/>
        </w:rPr>
        <w:t xml:space="preserve"> the treatment of men held in </w:t>
      </w:r>
      <w:proofErr w:type="spellStart"/>
      <w:r w:rsidR="00E66E11">
        <w:t>Gweiran</w:t>
      </w:r>
      <w:proofErr w:type="spellEnd"/>
      <w:r w:rsidR="00E66E11">
        <w:t xml:space="preserve"> </w:t>
      </w:r>
      <w:proofErr w:type="spellStart"/>
      <w:r w:rsidR="00E66E11">
        <w:t>Sina’a</w:t>
      </w:r>
      <w:proofErr w:type="spellEnd"/>
      <w:r w:rsidR="00E66E11">
        <w:t xml:space="preserve"> (</w:t>
      </w:r>
      <w:proofErr w:type="spellStart"/>
      <w:r w:rsidR="00E66E11">
        <w:t>Panamora</w:t>
      </w:r>
      <w:proofErr w:type="spellEnd"/>
      <w:r w:rsidR="00E66E11">
        <w:t>)</w:t>
      </w:r>
      <w:r w:rsidR="00E34CBB">
        <w:t xml:space="preserve"> prison</w:t>
      </w:r>
      <w:r w:rsidR="00E66E11">
        <w:t xml:space="preserve">. </w:t>
      </w:r>
    </w:p>
    <w:p w14:paraId="28BD4EEB" w14:textId="78736FF9" w:rsidR="002E763C" w:rsidRPr="00E612D8" w:rsidRDefault="00E66E11" w:rsidP="00550FDF">
      <w:pPr>
        <w:pStyle w:val="SingleTxtG"/>
        <w:numPr>
          <w:ilvl w:val="0"/>
          <w:numId w:val="15"/>
        </w:numPr>
        <w:ind w:left="1170" w:firstLine="0"/>
        <w:rPr>
          <w:lang w:val="en-US"/>
        </w:rPr>
      </w:pPr>
      <w:r>
        <w:t xml:space="preserve">The </w:t>
      </w:r>
      <w:r w:rsidR="00FA7DD0">
        <w:t>Special Rapporteur</w:t>
      </w:r>
      <w:r>
        <w:t xml:space="preserve"> has consistently communicated to governments on the situation of</w:t>
      </w:r>
      <w:r w:rsidR="004A4BCF">
        <w:t xml:space="preserve"> their nationals</w:t>
      </w:r>
      <w:r>
        <w:t xml:space="preserve"> </w:t>
      </w:r>
      <w:r w:rsidR="004A4BCF">
        <w:t>(</w:t>
      </w:r>
      <w:r>
        <w:t>women and girls</w:t>
      </w:r>
      <w:r w:rsidR="004A4BCF">
        <w:t>)</w:t>
      </w:r>
      <w:r>
        <w:t xml:space="preserve"> detained in </w:t>
      </w:r>
      <w:r w:rsidR="00C35358">
        <w:t>Al-</w:t>
      </w:r>
      <w:proofErr w:type="spellStart"/>
      <w:r>
        <w:t>Hol</w:t>
      </w:r>
      <w:proofErr w:type="spellEnd"/>
      <w:r>
        <w:t xml:space="preserve"> and </w:t>
      </w:r>
      <w:r w:rsidR="00C35358">
        <w:t>Al-</w:t>
      </w:r>
      <w:r>
        <w:t>Roj detention facilities.</w:t>
      </w:r>
      <w:r w:rsidR="000C5890">
        <w:rPr>
          <w:rStyle w:val="FootnoteReference"/>
        </w:rPr>
        <w:footnoteReference w:id="70"/>
      </w:r>
      <w:r>
        <w:t xml:space="preserve"> </w:t>
      </w:r>
      <w:r w:rsidR="007D31A2">
        <w:t>Her access to multiple sites of detention</w:t>
      </w:r>
      <w:r w:rsidR="000F0108">
        <w:t xml:space="preserve"> on this technical visit</w:t>
      </w:r>
      <w:r w:rsidR="005975CF">
        <w:t xml:space="preserve"> and </w:t>
      </w:r>
      <w:r w:rsidR="000F0108">
        <w:t xml:space="preserve"> complementary </w:t>
      </w:r>
      <w:r w:rsidR="005975CF">
        <w:t xml:space="preserve">fact finding </w:t>
      </w:r>
      <w:r w:rsidR="000F0108">
        <w:t>during</w:t>
      </w:r>
      <w:r w:rsidR="005975CF">
        <w:t xml:space="preserve"> </w:t>
      </w:r>
      <w:r w:rsidR="000F0108">
        <w:t xml:space="preserve">others </w:t>
      </w:r>
      <w:r w:rsidR="005975CF">
        <w:t>country visits</w:t>
      </w:r>
      <w:r w:rsidR="007D31A2">
        <w:t xml:space="preserve"> </w:t>
      </w:r>
      <w:r w:rsidR="004A4BCF">
        <w:t>affirm</w:t>
      </w:r>
      <w:r w:rsidR="007D31A2">
        <w:t xml:space="preserve"> the following human rights </w:t>
      </w:r>
      <w:r w:rsidR="00C378C5">
        <w:t>abuses</w:t>
      </w:r>
      <w:r w:rsidR="009C460F">
        <w:t>:</w:t>
      </w:r>
      <w:r w:rsidR="007D31A2">
        <w:t xml:space="preserve"> </w:t>
      </w:r>
      <w:r w:rsidR="009C460F">
        <w:t xml:space="preserve">(1) </w:t>
      </w:r>
      <w:r w:rsidR="00C378C5">
        <w:t xml:space="preserve">An </w:t>
      </w:r>
      <w:r w:rsidR="007D31A2">
        <w:t xml:space="preserve">absolute lack of independent human rights </w:t>
      </w:r>
      <w:r w:rsidR="009370DF">
        <w:t xml:space="preserve">oversight </w:t>
      </w:r>
      <w:r w:rsidR="008B46A2">
        <w:t xml:space="preserve">and </w:t>
      </w:r>
      <w:r w:rsidR="009370DF">
        <w:t xml:space="preserve">limited </w:t>
      </w:r>
      <w:r w:rsidR="008B46A2">
        <w:t xml:space="preserve">humanitarian </w:t>
      </w:r>
      <w:r w:rsidR="007D31A2">
        <w:t xml:space="preserve">access to women and girls held in </w:t>
      </w:r>
      <w:r w:rsidR="000F0108">
        <w:t xml:space="preserve">mass </w:t>
      </w:r>
      <w:r w:rsidR="007D31A2">
        <w:t xml:space="preserve">arbitrary detention in the </w:t>
      </w:r>
      <w:r w:rsidR="00C35358">
        <w:t>Al-</w:t>
      </w:r>
      <w:proofErr w:type="spellStart"/>
      <w:r w:rsidR="007D31A2">
        <w:t>Hol</w:t>
      </w:r>
      <w:proofErr w:type="spellEnd"/>
      <w:r w:rsidR="007D31A2">
        <w:t xml:space="preserve"> Annex</w:t>
      </w:r>
      <w:r w:rsidR="00C378C5">
        <w:t xml:space="preserve">, combined  with </w:t>
      </w:r>
      <w:r w:rsidR="007D31A2">
        <w:t xml:space="preserve"> </w:t>
      </w:r>
      <w:r w:rsidR="00C378C5">
        <w:t>a failure to keep records of persons in custody</w:t>
      </w:r>
      <w:r w:rsidR="0022170D">
        <w:t>,</w:t>
      </w:r>
      <w:r w:rsidR="00C378C5">
        <w:t xml:space="preserve"> a stated lack of knowledge as to who was in custody in the </w:t>
      </w:r>
      <w:r w:rsidR="00C35358">
        <w:t>Al-</w:t>
      </w:r>
      <w:proofErr w:type="spellStart"/>
      <w:r w:rsidR="00C378C5">
        <w:t>Hol</w:t>
      </w:r>
      <w:proofErr w:type="spellEnd"/>
      <w:r w:rsidR="00C378C5">
        <w:t xml:space="preserve"> Annex</w:t>
      </w:r>
      <w:r w:rsidR="0022170D">
        <w:t>, combined with a denial of contact with the outside world, notably legal counsel and family members,</w:t>
      </w:r>
      <w:r w:rsidR="00C378C5">
        <w:t xml:space="preserve"> </w:t>
      </w:r>
      <w:r w:rsidR="007D31A2">
        <w:t xml:space="preserve">which </w:t>
      </w:r>
      <w:r w:rsidR="008B46A2">
        <w:t xml:space="preserve">meets the threshold of mass incommunicado detention and </w:t>
      </w:r>
      <w:r w:rsidR="0022170D">
        <w:t>amount to</w:t>
      </w:r>
      <w:r w:rsidR="007D31A2">
        <w:t xml:space="preserve"> mass enforced disappearance under international law;</w:t>
      </w:r>
      <w:r w:rsidR="007D31A2">
        <w:rPr>
          <w:rStyle w:val="FootnoteReference"/>
        </w:rPr>
        <w:footnoteReference w:id="71"/>
      </w:r>
      <w:r w:rsidR="007D31A2">
        <w:t xml:space="preserve"> </w:t>
      </w:r>
      <w:r w:rsidR="009C460F">
        <w:t>(</w:t>
      </w:r>
      <w:r w:rsidR="00ED1788">
        <w:t>2</w:t>
      </w:r>
      <w:r w:rsidR="009C460F">
        <w:t xml:space="preserve">) </w:t>
      </w:r>
      <w:r w:rsidR="007D31A2">
        <w:t xml:space="preserve">evidenced lack of access to essential medical </w:t>
      </w:r>
      <w:r w:rsidR="005975CF">
        <w:t xml:space="preserve">treatment </w:t>
      </w:r>
      <w:r w:rsidR="007D31A2">
        <w:t>for women</w:t>
      </w:r>
      <w:r w:rsidR="005975CF">
        <w:t xml:space="preserve"> and girls</w:t>
      </w:r>
      <w:r w:rsidR="007D31A2">
        <w:t xml:space="preserve"> in the </w:t>
      </w:r>
      <w:r w:rsidR="00C35358">
        <w:t>Al-</w:t>
      </w:r>
      <w:proofErr w:type="spellStart"/>
      <w:r w:rsidR="007D31A2">
        <w:t>Hol</w:t>
      </w:r>
      <w:proofErr w:type="spellEnd"/>
      <w:r w:rsidR="007D31A2">
        <w:t xml:space="preserve"> </w:t>
      </w:r>
      <w:r w:rsidR="008B46A2">
        <w:t>A</w:t>
      </w:r>
      <w:r w:rsidR="007D31A2">
        <w:t>nnex</w:t>
      </w:r>
      <w:r w:rsidR="008B46A2">
        <w:t xml:space="preserve"> </w:t>
      </w:r>
      <w:r w:rsidR="000C5890">
        <w:t>demonstrated</w:t>
      </w:r>
      <w:r w:rsidR="007D31A2">
        <w:t xml:space="preserve"> by </w:t>
      </w:r>
      <w:r w:rsidR="000C5890">
        <w:t xml:space="preserve">observed </w:t>
      </w:r>
      <w:r w:rsidR="008B46A2">
        <w:t xml:space="preserve">extreme </w:t>
      </w:r>
      <w:r w:rsidR="007D31A2">
        <w:t xml:space="preserve">security measures </w:t>
      </w:r>
      <w:r w:rsidR="008B46A2">
        <w:t xml:space="preserve">leaving </w:t>
      </w:r>
      <w:r w:rsidR="007D31A2">
        <w:t xml:space="preserve">women </w:t>
      </w:r>
      <w:r w:rsidR="008B46A2">
        <w:t xml:space="preserve">to </w:t>
      </w:r>
      <w:r w:rsidR="007D31A2">
        <w:t xml:space="preserve">negotiate their access with </w:t>
      </w:r>
      <w:r w:rsidR="008B46A2">
        <w:t>guards</w:t>
      </w:r>
      <w:r w:rsidR="005C062E">
        <w:t xml:space="preserve">, </w:t>
      </w:r>
      <w:r w:rsidR="008B46A2">
        <w:t xml:space="preserve">and delinking </w:t>
      </w:r>
      <w:r w:rsidR="005975CF">
        <w:t xml:space="preserve">access </w:t>
      </w:r>
      <w:r w:rsidR="005C062E">
        <w:t>from</w:t>
      </w:r>
      <w:r w:rsidR="000C5890">
        <w:t xml:space="preserve"> objective </w:t>
      </w:r>
      <w:r w:rsidR="008B46A2">
        <w:t xml:space="preserve">and possibly urgent </w:t>
      </w:r>
      <w:r w:rsidR="000C5890">
        <w:t xml:space="preserve">medical need; </w:t>
      </w:r>
      <w:r w:rsidR="009C460F">
        <w:t>(</w:t>
      </w:r>
      <w:r w:rsidR="00ED1788">
        <w:t>3</w:t>
      </w:r>
      <w:r w:rsidR="009C460F">
        <w:t xml:space="preserve">) </w:t>
      </w:r>
      <w:r w:rsidR="000C5890">
        <w:t>evidence of coercive interrogation by</w:t>
      </w:r>
      <w:r w:rsidR="005975CF">
        <w:t xml:space="preserve"> both SDF and personnel of intelligence agencies of third countries</w:t>
      </w:r>
      <w:r w:rsidR="00C378C5">
        <w:t xml:space="preserve"> in the context of regular </w:t>
      </w:r>
      <w:r w:rsidR="0022170D">
        <w:t>interrogations</w:t>
      </w:r>
      <w:r w:rsidR="000C5890">
        <w:t>;</w:t>
      </w:r>
      <w:r w:rsidR="005975CF">
        <w:rPr>
          <w:rStyle w:val="FootnoteReference"/>
        </w:rPr>
        <w:footnoteReference w:id="72"/>
      </w:r>
      <w:r w:rsidR="000C5890">
        <w:t xml:space="preserve"> </w:t>
      </w:r>
      <w:r w:rsidR="009C460F">
        <w:t xml:space="preserve">(5) </w:t>
      </w:r>
      <w:r w:rsidR="000C5890">
        <w:t xml:space="preserve">evidence from former detainees concerning direct physical violence reaching the threshold of torture, inhuman and degrading </w:t>
      </w:r>
      <w:r w:rsidR="00D95BAE">
        <w:t>treatment</w:t>
      </w:r>
      <w:r w:rsidR="000C5890">
        <w:t xml:space="preserve"> </w:t>
      </w:r>
      <w:r w:rsidR="005975CF">
        <w:t xml:space="preserve">carried out by </w:t>
      </w:r>
      <w:r w:rsidR="000C5890">
        <w:t xml:space="preserve">other detained persons and the Guard force; </w:t>
      </w:r>
      <w:r w:rsidR="000F0108">
        <w:t xml:space="preserve">and </w:t>
      </w:r>
      <w:r w:rsidR="009C460F">
        <w:t xml:space="preserve">(6) </w:t>
      </w:r>
      <w:r w:rsidR="000C5890">
        <w:t xml:space="preserve">forced separation of children from their mothers causing extreme </w:t>
      </w:r>
      <w:r w:rsidR="009C460F">
        <w:t xml:space="preserve">mental pain and </w:t>
      </w:r>
      <w:r w:rsidR="000C5890">
        <w:t xml:space="preserve">suffering and </w:t>
      </w:r>
      <w:r w:rsidR="009C460F">
        <w:t xml:space="preserve">further </w:t>
      </w:r>
      <w:r w:rsidR="009C460F" w:rsidRPr="008B46A2">
        <w:t>trauma</w:t>
      </w:r>
      <w:r w:rsidR="008B46A2" w:rsidRPr="008B46A2">
        <w:t>;</w:t>
      </w:r>
      <w:r w:rsidR="00ED1788">
        <w:rPr>
          <w:rStyle w:val="FootnoteReference"/>
        </w:rPr>
        <w:footnoteReference w:id="73"/>
      </w:r>
      <w:r w:rsidR="00ED1788">
        <w:t xml:space="preserve">  </w:t>
      </w:r>
      <w:r w:rsidR="008B46A2" w:rsidRPr="008B46A2">
        <w:t>(7)</w:t>
      </w:r>
      <w:r w:rsidR="008B46A2" w:rsidRPr="00E612D8">
        <w:t xml:space="preserve"> </w:t>
      </w:r>
      <w:r w:rsidR="008B46A2">
        <w:t>e</w:t>
      </w:r>
      <w:r w:rsidR="008B46A2" w:rsidRPr="00E612D8">
        <w:t xml:space="preserve">videnced </w:t>
      </w:r>
      <w:r w:rsidR="008B46A2">
        <w:t xml:space="preserve">absence of </w:t>
      </w:r>
      <w:r w:rsidR="008B46A2" w:rsidRPr="00E612D8">
        <w:t>measures</w:t>
      </w:r>
      <w:r w:rsidR="008B46A2">
        <w:t xml:space="preserve"> to protect the life and physical integrity of the detained population, including no </w:t>
      </w:r>
      <w:r w:rsidR="008B46A2" w:rsidRPr="00F27D10">
        <w:rPr>
          <w:lang w:eastAsia="en-GB"/>
        </w:rPr>
        <w:t>capacity to report harm</w:t>
      </w:r>
      <w:r w:rsidR="008B46A2">
        <w:rPr>
          <w:lang w:eastAsia="en-GB"/>
        </w:rPr>
        <w:t>, obtain</w:t>
      </w:r>
      <w:r w:rsidR="008B46A2" w:rsidRPr="00F27D10">
        <w:rPr>
          <w:lang w:eastAsia="en-GB"/>
        </w:rPr>
        <w:t xml:space="preserve"> investigation</w:t>
      </w:r>
      <w:r w:rsidR="008B46A2">
        <w:rPr>
          <w:lang w:eastAsia="en-GB"/>
        </w:rPr>
        <w:t>s</w:t>
      </w:r>
      <w:r w:rsidR="008B46A2" w:rsidRPr="00F27D10">
        <w:rPr>
          <w:lang w:eastAsia="en-GB"/>
        </w:rPr>
        <w:t xml:space="preserve"> or measures to prevent reoccurrence</w:t>
      </w:r>
      <w:r w:rsidR="008B46A2">
        <w:rPr>
          <w:lang w:eastAsia="en-GB"/>
        </w:rPr>
        <w:t xml:space="preserve">, despite </w:t>
      </w:r>
      <w:r w:rsidR="008B46A2" w:rsidRPr="00E612D8">
        <w:rPr>
          <w:lang w:eastAsia="en-GB"/>
        </w:rPr>
        <w:t>insecurity pervad</w:t>
      </w:r>
      <w:r w:rsidR="008B46A2">
        <w:rPr>
          <w:lang w:eastAsia="en-GB"/>
        </w:rPr>
        <w:t>ing</w:t>
      </w:r>
      <w:r w:rsidR="008B46A2" w:rsidRPr="00E612D8">
        <w:rPr>
          <w:lang w:eastAsia="en-GB"/>
        </w:rPr>
        <w:t xml:space="preserve"> daily life in the camp, and incidents of violence including murder, physical harm, intimidation, and sexual assault by camp authorities and other detainees occur</w:t>
      </w:r>
      <w:r w:rsidR="008B46A2">
        <w:rPr>
          <w:lang w:eastAsia="en-GB"/>
        </w:rPr>
        <w:t xml:space="preserve">ring </w:t>
      </w:r>
      <w:r w:rsidR="008B46A2" w:rsidRPr="00E612D8">
        <w:rPr>
          <w:lang w:eastAsia="en-GB"/>
        </w:rPr>
        <w:t>with some regularity</w:t>
      </w:r>
      <w:r w:rsidR="000C5890" w:rsidRPr="008B46A2">
        <w:t xml:space="preserve">. </w:t>
      </w:r>
      <w:r w:rsidR="000C5890">
        <w:t xml:space="preserve"> The </w:t>
      </w:r>
      <w:r w:rsidR="00DB5BE3">
        <w:t>SR</w:t>
      </w:r>
      <w:r w:rsidR="000C5890">
        <w:t xml:space="preserve"> finds mass arbitrary detention of </w:t>
      </w:r>
      <w:r w:rsidR="00225C8A">
        <w:t>TCNs</w:t>
      </w:r>
      <w:r w:rsidR="000C5890">
        <w:t xml:space="preserve"> women </w:t>
      </w:r>
      <w:r w:rsidR="008B46A2">
        <w:t xml:space="preserve">and girls </w:t>
      </w:r>
      <w:r w:rsidR="000C5890">
        <w:t xml:space="preserve">as engaged in </w:t>
      </w:r>
      <w:r w:rsidR="00225C8A">
        <w:t>Al-</w:t>
      </w:r>
      <w:proofErr w:type="spellStart"/>
      <w:r w:rsidR="00D95BAE">
        <w:t>Hol</w:t>
      </w:r>
      <w:proofErr w:type="spellEnd"/>
      <w:r w:rsidR="00D95BAE">
        <w:t xml:space="preserve"> Annex to constitute fundamental breach</w:t>
      </w:r>
      <w:r w:rsidR="004A4BCF">
        <w:t>es</w:t>
      </w:r>
      <w:r w:rsidR="00D95BAE">
        <w:t xml:space="preserve"> of multiple international obligations, including </w:t>
      </w:r>
      <w:r w:rsidR="00D95BAE" w:rsidRPr="006D7759">
        <w:rPr>
          <w:i/>
          <w:iCs/>
        </w:rPr>
        <w:t>jus cogens</w:t>
      </w:r>
      <w:r w:rsidR="00D95BAE">
        <w:t xml:space="preserve"> norms, and engaging the prohibition </w:t>
      </w:r>
      <w:r w:rsidR="0022170D">
        <w:t xml:space="preserve">against </w:t>
      </w:r>
      <w:r w:rsidR="00D95BAE">
        <w:t>core crimes.</w:t>
      </w:r>
      <w:r w:rsidR="00AC1C2B">
        <w:t xml:space="preserve"> </w:t>
      </w:r>
    </w:p>
    <w:p w14:paraId="754FF028" w14:textId="77777777" w:rsidR="00151EE2" w:rsidRPr="00151EE2" w:rsidRDefault="009C460F" w:rsidP="00550FDF">
      <w:pPr>
        <w:pStyle w:val="SingleTxtG"/>
        <w:numPr>
          <w:ilvl w:val="0"/>
          <w:numId w:val="15"/>
        </w:numPr>
        <w:ind w:left="1170" w:firstLine="0"/>
        <w:rPr>
          <w:lang w:val="en-US"/>
        </w:rPr>
      </w:pPr>
      <w:r>
        <w:t xml:space="preserve">The treatment and conditions of detention of women, girls and boys held in </w:t>
      </w:r>
      <w:r w:rsidR="0019431D">
        <w:t>Al-</w:t>
      </w:r>
      <w:proofErr w:type="spellStart"/>
      <w:r>
        <w:t>Hol</w:t>
      </w:r>
      <w:proofErr w:type="spellEnd"/>
      <w:r>
        <w:t xml:space="preserve"> Annex, the</w:t>
      </w:r>
      <w:r w:rsidR="00D72A94">
        <w:t>ir</w:t>
      </w:r>
      <w:r>
        <w:t xml:space="preserve"> extreme </w:t>
      </w:r>
      <w:r w:rsidR="00D72A94">
        <w:t>psychological</w:t>
      </w:r>
      <w:r>
        <w:t xml:space="preserve"> suffering due to the uncertainty about their fate</w:t>
      </w:r>
      <w:r w:rsidR="00DB0D2D">
        <w:t xml:space="preserve"> and the arbitrariness of their detention</w:t>
      </w:r>
      <w:r w:rsidR="00454A9D">
        <w:t xml:space="preserve">, </w:t>
      </w:r>
      <w:r w:rsidR="00D72A94">
        <w:t>in addition to</w:t>
      </w:r>
      <w:r>
        <w:t xml:space="preserve"> the risk of </w:t>
      </w:r>
      <w:r w:rsidR="00D72A94">
        <w:t>further imprisonment and physical violence as a form of disciplinary punishment, cumulatively constitute systematic and widespread torture and other forms of ill-treatment</w:t>
      </w:r>
      <w:r w:rsidR="00DB5BE3">
        <w:t>.</w:t>
      </w:r>
      <w:r w:rsidR="00921863" w:rsidRPr="00921863">
        <w:t xml:space="preserve"> </w:t>
      </w:r>
      <w:r w:rsidR="00921863">
        <w:rPr>
          <w:rStyle w:val="FootnoteReference"/>
        </w:rPr>
        <w:footnoteReference w:id="74"/>
      </w:r>
      <w:r w:rsidR="00DB5BE3">
        <w:t xml:space="preserve"> Treatment and conditions are </w:t>
      </w:r>
      <w:r w:rsidR="00D72A94">
        <w:t>targeted against a group of persons based on their nationality, which</w:t>
      </w:r>
      <w:r w:rsidR="00DB0D2D">
        <w:t xml:space="preserve"> would</w:t>
      </w:r>
      <w:r w:rsidR="00D72A94">
        <w:t xml:space="preserve"> engage the responsibility of </w:t>
      </w:r>
      <w:r w:rsidR="00454A9D">
        <w:t>many</w:t>
      </w:r>
      <w:r w:rsidR="00D72A94">
        <w:t xml:space="preserve"> States with access to the Camp</w:t>
      </w:r>
      <w:r w:rsidR="00DB0D2D">
        <w:t>’s Annex</w:t>
      </w:r>
      <w:r w:rsidR="00D72A94">
        <w:t xml:space="preserve"> to the extraterritorial implementation of their obligation to </w:t>
      </w:r>
      <w:r w:rsidR="00DB0D2D">
        <w:t xml:space="preserve">refrain from and </w:t>
      </w:r>
      <w:r w:rsidR="00D72A94">
        <w:t xml:space="preserve">prevent torture by taking positive measures to stop these </w:t>
      </w:r>
      <w:r w:rsidR="00D72A94">
        <w:lastRenderedPageBreak/>
        <w:t xml:space="preserve">serious violations. Failure to </w:t>
      </w:r>
      <w:r w:rsidR="00DB0D2D">
        <w:t>act</w:t>
      </w:r>
      <w:r w:rsidR="00D72A94">
        <w:t>, or acceptance to interview women, girls, and children held in these conditions may amount to acquiescence or complicity</w:t>
      </w:r>
      <w:r w:rsidR="00D72A94">
        <w:rPr>
          <w:rStyle w:val="FootnoteReference"/>
        </w:rPr>
        <w:footnoteReference w:id="75"/>
      </w:r>
      <w:r w:rsidR="00D72A94">
        <w:t xml:space="preserve"> in the crime of torture, engaging </w:t>
      </w:r>
      <w:r w:rsidR="00DB0D2D">
        <w:t xml:space="preserve">both </w:t>
      </w:r>
      <w:r w:rsidR="00D72A94">
        <w:t xml:space="preserve">liability for torture </w:t>
      </w:r>
      <w:r w:rsidR="00DB0D2D">
        <w:t xml:space="preserve">practices </w:t>
      </w:r>
      <w:r w:rsidR="00D72A94">
        <w:t xml:space="preserve">and responsibility to grant compensation and redress </w:t>
      </w:r>
      <w:r w:rsidR="00DB0D2D">
        <w:t>to</w:t>
      </w:r>
      <w:r w:rsidR="00D72A94">
        <w:t xml:space="preserve"> victims. </w:t>
      </w:r>
    </w:p>
    <w:p w14:paraId="68BE771D" w14:textId="130EA7B2" w:rsidR="00D95BAE" w:rsidRPr="00151EE2" w:rsidRDefault="00D95BAE" w:rsidP="00550FDF">
      <w:pPr>
        <w:pStyle w:val="SingleTxtG"/>
        <w:numPr>
          <w:ilvl w:val="0"/>
          <w:numId w:val="15"/>
        </w:numPr>
        <w:ind w:left="1170" w:firstLine="0"/>
        <w:rPr>
          <w:lang w:val="en-US"/>
        </w:rPr>
      </w:pPr>
      <w:r w:rsidRPr="00151EE2">
        <w:rPr>
          <w:lang w:val="en-US"/>
        </w:rPr>
        <w:t xml:space="preserve">The </w:t>
      </w:r>
      <w:r w:rsidR="00DB5BE3" w:rsidRPr="00151EE2">
        <w:rPr>
          <w:lang w:val="en-US"/>
        </w:rPr>
        <w:t>SR</w:t>
      </w:r>
      <w:r w:rsidRPr="00151EE2">
        <w:rPr>
          <w:lang w:val="en-US"/>
        </w:rPr>
        <w:t xml:space="preserve"> visited </w:t>
      </w:r>
      <w:proofErr w:type="spellStart"/>
      <w:r>
        <w:t>Gweiran</w:t>
      </w:r>
      <w:proofErr w:type="spellEnd"/>
      <w:r>
        <w:t xml:space="preserve"> </w:t>
      </w:r>
      <w:proofErr w:type="spellStart"/>
      <w:r>
        <w:t>Sina’a</w:t>
      </w:r>
      <w:proofErr w:type="spellEnd"/>
      <w:r>
        <w:t xml:space="preserve"> (</w:t>
      </w:r>
      <w:proofErr w:type="spellStart"/>
      <w:r>
        <w:t>Panamora</w:t>
      </w:r>
      <w:proofErr w:type="spellEnd"/>
      <w:r>
        <w:t xml:space="preserve">) </w:t>
      </w:r>
      <w:r w:rsidR="00EC1564">
        <w:t xml:space="preserve">prison </w:t>
      </w:r>
      <w:r>
        <w:t>and acknowledges the importance of</w:t>
      </w:r>
      <w:r w:rsidR="00104BA6">
        <w:t xml:space="preserve"> the visit</w:t>
      </w:r>
      <w:r w:rsidR="00EC1564">
        <w:t>, as the first by a human rights expert. She insists on the necessity to ensure</w:t>
      </w:r>
      <w:r w:rsidR="00104BA6">
        <w:t xml:space="preserve"> </w:t>
      </w:r>
      <w:r w:rsidR="00EC1564">
        <w:t>sustained</w:t>
      </w:r>
      <w:r w:rsidR="00DB5BE3">
        <w:t>, uninterrupted</w:t>
      </w:r>
      <w:r w:rsidR="00FA7DD0">
        <w:t>,</w:t>
      </w:r>
      <w:r w:rsidR="009A05CB">
        <w:t xml:space="preserve"> and unhindered</w:t>
      </w:r>
      <w:r w:rsidR="00EC1564">
        <w:t xml:space="preserve"> </w:t>
      </w:r>
      <w:r>
        <w:t>access</w:t>
      </w:r>
      <w:r w:rsidR="00ED19B0">
        <w:t xml:space="preserve"> by independent human rights experts</w:t>
      </w:r>
      <w:r w:rsidR="009A05CB">
        <w:t xml:space="preserve"> and humanitarian agencies</w:t>
      </w:r>
      <w:r>
        <w:t xml:space="preserve"> to that site</w:t>
      </w:r>
      <w:r w:rsidR="00104BA6">
        <w:t xml:space="preserve"> by the detaining authority</w:t>
      </w:r>
      <w:r>
        <w:t xml:space="preserve">.  </w:t>
      </w:r>
      <w:r w:rsidR="00434D2C">
        <w:t>The site is purpose-built,</w:t>
      </w:r>
      <w:r w:rsidR="000F0108">
        <w:t xml:space="preserve"> high-security proofed</w:t>
      </w:r>
      <w:r w:rsidR="00434D2C">
        <w:t xml:space="preserve"> </w:t>
      </w:r>
      <w:r w:rsidR="000F0108">
        <w:t xml:space="preserve">and of a </w:t>
      </w:r>
      <w:r w:rsidR="00104BA6">
        <w:t xml:space="preserve">superior </w:t>
      </w:r>
      <w:r w:rsidR="00434D2C">
        <w:t xml:space="preserve">quality in terms of structure </w:t>
      </w:r>
      <w:r w:rsidR="00ED19B0">
        <w:t>and</w:t>
      </w:r>
      <w:r w:rsidR="00434D2C">
        <w:t xml:space="preserve"> building</w:t>
      </w:r>
      <w:r w:rsidR="00ED19B0">
        <w:t xml:space="preserve"> </w:t>
      </w:r>
      <w:r w:rsidR="00104BA6">
        <w:t>materials</w:t>
      </w:r>
      <w:r w:rsidR="00E67769">
        <w:t xml:space="preserve"> —</w:t>
      </w:r>
      <w:r w:rsidR="00104BA6">
        <w:t xml:space="preserve"> </w:t>
      </w:r>
      <w:r w:rsidR="00913EDC">
        <w:t xml:space="preserve">far </w:t>
      </w:r>
      <w:r w:rsidR="00104BA6">
        <w:t xml:space="preserve">above </w:t>
      </w:r>
      <w:r w:rsidR="00ED19B0">
        <w:t>any</w:t>
      </w:r>
      <w:r w:rsidR="00434D2C">
        <w:t xml:space="preserve"> other facility </w:t>
      </w:r>
      <w:r w:rsidR="009A05CB">
        <w:t xml:space="preserve">the </w:t>
      </w:r>
      <w:r w:rsidR="00DB5BE3">
        <w:t>SR</w:t>
      </w:r>
      <w:r w:rsidR="009A05CB">
        <w:t xml:space="preserve"> </w:t>
      </w:r>
      <w:r w:rsidR="00434D2C">
        <w:t>visited</w:t>
      </w:r>
      <w:r w:rsidR="000F0108">
        <w:t xml:space="preserve"> in the region</w:t>
      </w:r>
      <w:r w:rsidR="00434D2C">
        <w:t>.</w:t>
      </w:r>
      <w:r w:rsidR="00434D2C">
        <w:rPr>
          <w:rStyle w:val="FootnoteReference"/>
        </w:rPr>
        <w:footnoteReference w:id="76"/>
      </w:r>
      <w:r w:rsidR="00434D2C">
        <w:t xml:space="preserve"> </w:t>
      </w:r>
      <w:r w:rsidR="003F551D">
        <w:t>She observed large h</w:t>
      </w:r>
      <w:r w:rsidR="00913EDC">
        <w:t>olding r</w:t>
      </w:r>
      <w:r w:rsidR="00434D2C">
        <w:t>ooms</w:t>
      </w:r>
      <w:r w:rsidR="00913EDC">
        <w:t xml:space="preserve"> for </w:t>
      </w:r>
      <w:r w:rsidR="00FA7DD0">
        <w:t>detainees and</w:t>
      </w:r>
      <w:r w:rsidR="00434D2C">
        <w:t xml:space="preserve"> medical facilities, though no</w:t>
      </w:r>
      <w:r w:rsidR="00FA7DD0">
        <w:t>ne of the latter</w:t>
      </w:r>
      <w:r w:rsidR="00434D2C">
        <w:t xml:space="preserve"> were in use </w:t>
      </w:r>
      <w:r w:rsidR="00FA7DD0">
        <w:t>during her</w:t>
      </w:r>
      <w:r w:rsidR="00434D2C">
        <w:t xml:space="preserve"> visit. </w:t>
      </w:r>
      <w:r>
        <w:t xml:space="preserve">She was not able to interview any of the men </w:t>
      </w:r>
      <w:r w:rsidR="003F551D">
        <w:t xml:space="preserve">or meet </w:t>
      </w:r>
      <w:r w:rsidR="00AC1C2B">
        <w:t xml:space="preserve">any of </w:t>
      </w:r>
      <w:r w:rsidR="00ED19B0">
        <w:t xml:space="preserve">the </w:t>
      </w:r>
      <w:r w:rsidR="009A05CB">
        <w:t xml:space="preserve">reported </w:t>
      </w:r>
      <w:r>
        <w:t xml:space="preserve">700 boy children held in this prison. </w:t>
      </w:r>
      <w:r w:rsidR="005975CF">
        <w:t xml:space="preserve"> The detaining </w:t>
      </w:r>
      <w:r w:rsidR="00E67769">
        <w:t>authority</w:t>
      </w:r>
      <w:r w:rsidR="005975CF">
        <w:t xml:space="preserve"> confirmed</w:t>
      </w:r>
      <w:r w:rsidR="00913EDC">
        <w:t xml:space="preserve"> the presence of</w:t>
      </w:r>
      <w:r w:rsidR="005975CF">
        <w:t xml:space="preserve"> widespread tuberculos</w:t>
      </w:r>
      <w:r w:rsidR="0022170D">
        <w:t>is</w:t>
      </w:r>
      <w:r w:rsidR="005975CF">
        <w:t xml:space="preserve">, </w:t>
      </w:r>
      <w:r w:rsidR="00ED19B0">
        <w:t xml:space="preserve">then </w:t>
      </w:r>
      <w:r w:rsidR="005975CF">
        <w:t xml:space="preserve">involving at least 50% of the prison population including </w:t>
      </w:r>
      <w:r w:rsidR="00AC1C2B">
        <w:t xml:space="preserve">the detained </w:t>
      </w:r>
      <w:r w:rsidR="005975CF">
        <w:t>children</w:t>
      </w:r>
      <w:r w:rsidR="003F551D">
        <w:t>, with</w:t>
      </w:r>
      <w:r w:rsidR="005975CF">
        <w:t xml:space="preserve"> </w:t>
      </w:r>
      <w:r w:rsidR="003F551D">
        <w:t>n</w:t>
      </w:r>
      <w:r w:rsidR="00ED19B0">
        <w:t xml:space="preserve">o </w:t>
      </w:r>
      <w:r w:rsidR="00FA7DD0">
        <w:t xml:space="preserve">obvious </w:t>
      </w:r>
      <w:r w:rsidR="00ED19B0">
        <w:t>quarantine</w:t>
      </w:r>
      <w:r w:rsidR="00104BA6">
        <w:t xml:space="preserve"> or </w:t>
      </w:r>
      <w:r w:rsidR="00ED19B0">
        <w:t>separation procedures in place. At that time, the detaining authority confirmed that no tuberculos</w:t>
      </w:r>
      <w:r w:rsidR="0022170D">
        <w:t>is</w:t>
      </w:r>
      <w:r w:rsidR="00ED19B0">
        <w:t xml:space="preserve"> treatment program was in place</w:t>
      </w:r>
      <w:r w:rsidR="009A05CB">
        <w:t xml:space="preserve"> and reported fatalities among prisoners and guards, without providing numbers</w:t>
      </w:r>
      <w:r w:rsidR="00AC1C2B">
        <w:t xml:space="preserve">. </w:t>
      </w:r>
      <w:r w:rsidR="000F0108">
        <w:t xml:space="preserve">The </w:t>
      </w:r>
      <w:r w:rsidR="00DB5BE3">
        <w:t>SR</w:t>
      </w:r>
      <w:r w:rsidR="00341151">
        <w:t xml:space="preserve"> </w:t>
      </w:r>
      <w:r w:rsidR="000F0108">
        <w:t>recalls that untreated tuberculos</w:t>
      </w:r>
      <w:r w:rsidR="0022170D">
        <w:t>is</w:t>
      </w:r>
      <w:r w:rsidR="000F0108">
        <w:t xml:space="preserve"> is a life-threat</w:t>
      </w:r>
      <w:r w:rsidR="003F551D">
        <w:t>en</w:t>
      </w:r>
      <w:r w:rsidR="000F0108">
        <w:t xml:space="preserve">ing condition estimated by the </w:t>
      </w:r>
      <w:r w:rsidR="00913EDC">
        <w:t>WHO</w:t>
      </w:r>
      <w:r w:rsidR="000F0108">
        <w:t xml:space="preserve"> to cause fatality in 50% of cases. </w:t>
      </w:r>
      <w:r w:rsidR="00341151">
        <w:t>She</w:t>
      </w:r>
      <w:r w:rsidR="005975CF">
        <w:t xml:space="preserve"> had the opportunity to observe a discrete number of the detained adult </w:t>
      </w:r>
      <w:r w:rsidR="00ED19B0">
        <w:t>men as she walked through the facilities</w:t>
      </w:r>
      <w:r w:rsidR="005975CF">
        <w:t xml:space="preserve">.  </w:t>
      </w:r>
      <w:r w:rsidR="00454A9D">
        <w:t>They had</w:t>
      </w:r>
      <w:r w:rsidR="005975CF">
        <w:t xml:space="preserve"> shave</w:t>
      </w:r>
      <w:r w:rsidR="003F551D">
        <w:t>d</w:t>
      </w:r>
      <w:r w:rsidR="005975CF">
        <w:t xml:space="preserve"> heads</w:t>
      </w:r>
      <w:r w:rsidR="00454A9D">
        <w:t xml:space="preserve"> and were</w:t>
      </w:r>
      <w:r w:rsidR="005975CF">
        <w:t xml:space="preserve"> wearing unforms of a brown hue.  She found their physical condition to be of extreme concern</w:t>
      </w:r>
      <w:r w:rsidR="0022170D">
        <w:t>,</w:t>
      </w:r>
      <w:r w:rsidR="005975CF">
        <w:t xml:space="preserve"> what she could only describe as</w:t>
      </w:r>
      <w:r w:rsidR="00ED19B0">
        <w:t xml:space="preserve"> evidencing</w:t>
      </w:r>
      <w:r w:rsidR="00AC1C2B">
        <w:t xml:space="preserve"> physical signs</w:t>
      </w:r>
      <w:r w:rsidR="005975CF">
        <w:t xml:space="preserve"> </w:t>
      </w:r>
      <w:r w:rsidR="00913EDC">
        <w:t xml:space="preserve">of </w:t>
      </w:r>
      <w:r w:rsidR="005975CF">
        <w:t>emaciation</w:t>
      </w:r>
      <w:r w:rsidR="00AC1C2B">
        <w:t xml:space="preserve"> including thin limbs and pronounced or protruding bones</w:t>
      </w:r>
      <w:r w:rsidR="00434D2C">
        <w:t>.</w:t>
      </w:r>
      <w:r w:rsidR="00104BA6">
        <w:t xml:space="preserve"> </w:t>
      </w:r>
      <w:r w:rsidR="00E67769">
        <w:t xml:space="preserve">She </w:t>
      </w:r>
      <w:r w:rsidR="00BE2568">
        <w:t xml:space="preserve">was shocked by </w:t>
      </w:r>
      <w:r w:rsidR="00E67769">
        <w:t xml:space="preserve">the abject contradiction between the quality of the security infrastructure and reported training provided to the detaining </w:t>
      </w:r>
      <w:r w:rsidR="0022170D">
        <w:t>authority</w:t>
      </w:r>
      <w:r w:rsidR="00E67769">
        <w:t>,</w:t>
      </w:r>
      <w:r w:rsidR="00E67769">
        <w:rPr>
          <w:rStyle w:val="FootnoteReference"/>
        </w:rPr>
        <w:footnoteReference w:id="77"/>
      </w:r>
      <w:r w:rsidR="00E67769">
        <w:t xml:space="preserve"> and the absolute lack of the necessities for survival (food and essential medical treatment) to the detainee population. </w:t>
      </w:r>
    </w:p>
    <w:p w14:paraId="110FD1EE" w14:textId="344421FE" w:rsidR="009A05CB" w:rsidRPr="00104BA6" w:rsidRDefault="009A05CB" w:rsidP="00550FDF">
      <w:pPr>
        <w:pStyle w:val="SingleTxtG"/>
        <w:numPr>
          <w:ilvl w:val="0"/>
          <w:numId w:val="15"/>
        </w:numPr>
        <w:ind w:left="1170" w:firstLine="0"/>
        <w:rPr>
          <w:lang w:val="en-US"/>
        </w:rPr>
      </w:pPr>
      <w:r>
        <w:rPr>
          <w:lang w:val="en-US"/>
        </w:rPr>
        <w:t xml:space="preserve">The </w:t>
      </w:r>
      <w:r w:rsidR="00DB5BE3">
        <w:rPr>
          <w:lang w:val="en-US"/>
        </w:rPr>
        <w:t>SR</w:t>
      </w:r>
      <w:r>
        <w:rPr>
          <w:lang w:val="en-US"/>
        </w:rPr>
        <w:t xml:space="preserve"> notes with concern the </w:t>
      </w:r>
      <w:r w:rsidR="00454A9D">
        <w:rPr>
          <w:lang w:val="en-US"/>
        </w:rPr>
        <w:t xml:space="preserve">stated </w:t>
      </w:r>
      <w:r>
        <w:rPr>
          <w:lang w:val="en-US"/>
        </w:rPr>
        <w:t>inability of the detaining authorities to provide information about the prison population</w:t>
      </w:r>
      <w:r w:rsidR="00F62BBC">
        <w:rPr>
          <w:lang w:val="en-US"/>
        </w:rPr>
        <w:t xml:space="preserve">, </w:t>
      </w:r>
      <w:r>
        <w:rPr>
          <w:lang w:val="en-US"/>
        </w:rPr>
        <w:t xml:space="preserve">claiming that detainees often </w:t>
      </w:r>
      <w:r w:rsidR="00F62BBC">
        <w:rPr>
          <w:lang w:val="en-US"/>
        </w:rPr>
        <w:t>give contradictory identity details</w:t>
      </w:r>
      <w:r w:rsidR="00454A9D">
        <w:rPr>
          <w:lang w:val="en-US"/>
        </w:rPr>
        <w:t xml:space="preserve"> or were able to hide their identity, particularly after the January 2022</w:t>
      </w:r>
      <w:r w:rsidR="00B0563C">
        <w:rPr>
          <w:lang w:val="en-US"/>
        </w:rPr>
        <w:t xml:space="preserve"> prison</w:t>
      </w:r>
      <w:r w:rsidR="00454A9D">
        <w:rPr>
          <w:lang w:val="en-US"/>
        </w:rPr>
        <w:t xml:space="preserve"> attack</w:t>
      </w:r>
      <w:r w:rsidR="00F62BBC">
        <w:rPr>
          <w:lang w:val="en-US"/>
        </w:rPr>
        <w:t>. This claim seems to lack credibility due to the information gathering exercise she observed during her visit</w:t>
      </w:r>
      <w:r w:rsidR="00454A9D">
        <w:rPr>
          <w:lang w:val="en-US"/>
        </w:rPr>
        <w:t xml:space="preserve"> (</w:t>
      </w:r>
      <w:r w:rsidR="00454A9D">
        <w:t>a process of filming a group of detainees who were described as providing information)</w:t>
      </w:r>
      <w:r w:rsidR="00454A9D">
        <w:rPr>
          <w:lang w:val="en-US"/>
        </w:rPr>
        <w:t>, the reported transfer of detainees who survived the January 2022 attack</w:t>
      </w:r>
      <w:r w:rsidR="00454A9D" w:rsidDel="00454A9D">
        <w:rPr>
          <w:lang w:val="en-US"/>
        </w:rPr>
        <w:t xml:space="preserve"> </w:t>
      </w:r>
      <w:r w:rsidR="00454A9D">
        <w:rPr>
          <w:lang w:val="en-US"/>
        </w:rPr>
        <w:t>from the old prison to the new prison, and a</w:t>
      </w:r>
      <w:r>
        <w:rPr>
          <w:lang w:val="en-US"/>
        </w:rPr>
        <w:t xml:space="preserve"> </w:t>
      </w:r>
      <w:r w:rsidR="00454A9D">
        <w:rPr>
          <w:lang w:val="en-US"/>
        </w:rPr>
        <w:t xml:space="preserve">process of </w:t>
      </w:r>
      <w:r>
        <w:rPr>
          <w:lang w:val="en-US"/>
        </w:rPr>
        <w:t>collection of biometric information</w:t>
      </w:r>
      <w:r w:rsidR="00454A9D">
        <w:rPr>
          <w:lang w:val="en-US"/>
        </w:rPr>
        <w:t xml:space="preserve"> (</w:t>
      </w:r>
      <w:r w:rsidR="00F62BBC">
        <w:rPr>
          <w:lang w:val="en-US"/>
        </w:rPr>
        <w:t>confirmed by the prison administration</w:t>
      </w:r>
      <w:r w:rsidR="00454A9D">
        <w:rPr>
          <w:lang w:val="en-US"/>
        </w:rPr>
        <w:t>) which happened prior to the attack</w:t>
      </w:r>
      <w:r w:rsidR="00F62BBC">
        <w:rPr>
          <w:lang w:val="en-US"/>
        </w:rPr>
        <w:t xml:space="preserve">. </w:t>
      </w:r>
      <w:r w:rsidR="00B0563C">
        <w:rPr>
          <w:lang w:val="en-US"/>
        </w:rPr>
        <w:t>She finds</w:t>
      </w:r>
      <w:r w:rsidR="00454A9D">
        <w:rPr>
          <w:lang w:val="en-US"/>
        </w:rPr>
        <w:t xml:space="preserve"> that t</w:t>
      </w:r>
      <w:r w:rsidR="00F62BBC">
        <w:rPr>
          <w:lang w:val="en-US"/>
        </w:rPr>
        <w:t>he lack of information regarding a group of male adults and children, who are held incommunicado with no access to the outside wor</w:t>
      </w:r>
      <w:r w:rsidR="00B91366">
        <w:rPr>
          <w:lang w:val="en-US"/>
        </w:rPr>
        <w:t>ld</w:t>
      </w:r>
      <w:r w:rsidR="00F62BBC">
        <w:rPr>
          <w:lang w:val="en-US"/>
        </w:rPr>
        <w:t xml:space="preserve">, </w:t>
      </w:r>
      <w:r w:rsidR="0022170D">
        <w:rPr>
          <w:lang w:val="en-US"/>
        </w:rPr>
        <w:t>and no information on their fate</w:t>
      </w:r>
      <w:r w:rsidR="00F62BBC">
        <w:rPr>
          <w:lang w:val="en-US"/>
        </w:rPr>
        <w:t>, amount to systematic enforced disappearance</w:t>
      </w:r>
      <w:r w:rsidR="00286337">
        <w:rPr>
          <w:lang w:val="en-US"/>
        </w:rPr>
        <w:t xml:space="preserve"> under international law</w:t>
      </w:r>
      <w:r w:rsidR="00F62BBC">
        <w:rPr>
          <w:lang w:val="en-US"/>
        </w:rPr>
        <w:t>.</w:t>
      </w:r>
      <w:r w:rsidR="0022170D" w:rsidRPr="0022170D">
        <w:rPr>
          <w:lang w:val="en-US"/>
        </w:rPr>
        <w:t xml:space="preserve"> </w:t>
      </w:r>
      <w:r w:rsidR="0022170D">
        <w:rPr>
          <w:lang w:val="en-US"/>
        </w:rPr>
        <w:t>This situation is further exacerbated by the high risk of TB infection, and unreported fatalities.</w:t>
      </w:r>
      <w:r w:rsidR="0022170D" w:rsidDel="00B0563C">
        <w:rPr>
          <w:lang w:val="en-US"/>
        </w:rPr>
        <w:t xml:space="preserve"> </w:t>
      </w:r>
      <w:r w:rsidR="00B0563C" w:rsidDel="00B0563C">
        <w:rPr>
          <w:lang w:val="en-US"/>
        </w:rPr>
        <w:t xml:space="preserve"> </w:t>
      </w:r>
    </w:p>
    <w:p w14:paraId="6754344A" w14:textId="3C0EC542" w:rsidR="00AD6EC8" w:rsidRPr="00906C6C" w:rsidRDefault="00906C6C" w:rsidP="00906C6C">
      <w:pPr>
        <w:pStyle w:val="H1G"/>
      </w:pPr>
      <w:r>
        <w:tab/>
        <w:t>C.</w:t>
      </w:r>
      <w:r>
        <w:tab/>
      </w:r>
      <w:r w:rsidR="00AD6EC8" w:rsidRPr="00906C6C">
        <w:t xml:space="preserve">Considerations on the Question of Responsibility for Serious Human Rights Violations and Core International Crimes </w:t>
      </w:r>
    </w:p>
    <w:p w14:paraId="6E847D8E" w14:textId="34D8EE4E" w:rsidR="00AD6EC8" w:rsidRPr="009D0AA8" w:rsidRDefault="00F27D0D" w:rsidP="00550FDF">
      <w:pPr>
        <w:pStyle w:val="SingleTxtG"/>
        <w:numPr>
          <w:ilvl w:val="0"/>
          <w:numId w:val="15"/>
        </w:numPr>
        <w:ind w:left="1170" w:firstLine="0"/>
        <w:rPr>
          <w:lang w:val="en-US"/>
        </w:rPr>
      </w:pPr>
      <w:r w:rsidRPr="009D0AA8">
        <w:rPr>
          <w:lang w:val="en-US"/>
        </w:rPr>
        <w:t xml:space="preserve">The </w:t>
      </w:r>
      <w:r w:rsidR="00B0563C" w:rsidRPr="009D0AA8">
        <w:rPr>
          <w:lang w:val="en-US"/>
        </w:rPr>
        <w:t>SR</w:t>
      </w:r>
      <w:r w:rsidRPr="009D0AA8">
        <w:rPr>
          <w:lang w:val="en-US"/>
        </w:rPr>
        <w:t xml:space="preserve"> concludes by affirming that the primary responsibility for the material conditions and practices of </w:t>
      </w:r>
      <w:r w:rsidR="00AD6EC8" w:rsidRPr="009D0AA8">
        <w:rPr>
          <w:lang w:val="en-US"/>
        </w:rPr>
        <w:t>mass arbitrary detention and ensuing</w:t>
      </w:r>
      <w:r w:rsidR="009D0AA8">
        <w:rPr>
          <w:lang w:val="en-US"/>
        </w:rPr>
        <w:t xml:space="preserve"> serious</w:t>
      </w:r>
      <w:r w:rsidR="00AD6EC8" w:rsidRPr="009D0AA8">
        <w:rPr>
          <w:lang w:val="en-US"/>
        </w:rPr>
        <w:t xml:space="preserve"> </w:t>
      </w:r>
      <w:r w:rsidR="003F551D" w:rsidRPr="009D0AA8">
        <w:rPr>
          <w:lang w:val="en-US"/>
        </w:rPr>
        <w:t xml:space="preserve">international </w:t>
      </w:r>
      <w:r w:rsidR="00AD6EC8" w:rsidRPr="009D0AA8">
        <w:rPr>
          <w:lang w:val="en-US"/>
        </w:rPr>
        <w:t xml:space="preserve">human rights and humanitarian law violations </w:t>
      </w:r>
      <w:r w:rsidRPr="009D0AA8">
        <w:rPr>
          <w:lang w:val="en-US"/>
        </w:rPr>
        <w:t>rest with the detaining authority</w:t>
      </w:r>
      <w:r w:rsidR="00AD6EC8" w:rsidRPr="009D0AA8">
        <w:rPr>
          <w:lang w:val="en-US"/>
        </w:rPr>
        <w:t>. She underscores that</w:t>
      </w:r>
      <w:r w:rsidR="009D0AA8">
        <w:rPr>
          <w:lang w:val="en-US"/>
        </w:rPr>
        <w:t xml:space="preserve"> such</w:t>
      </w:r>
      <w:r w:rsidR="00AD6EC8" w:rsidRPr="009D0AA8">
        <w:rPr>
          <w:lang w:val="en-US"/>
        </w:rPr>
        <w:t xml:space="preserve"> serious violations can also implicate core international crimes</w:t>
      </w:r>
      <w:r w:rsidR="00490692">
        <w:rPr>
          <w:rStyle w:val="FootnoteReference"/>
          <w:lang w:val="en-US"/>
        </w:rPr>
        <w:footnoteReference w:id="78"/>
      </w:r>
      <w:r w:rsidR="00AD6EC8" w:rsidRPr="009D0AA8">
        <w:rPr>
          <w:lang w:val="en-US"/>
        </w:rPr>
        <w:t xml:space="preserve"> through individual</w:t>
      </w:r>
      <w:r w:rsidR="0022170D">
        <w:rPr>
          <w:lang w:val="en-US"/>
        </w:rPr>
        <w:t>,</w:t>
      </w:r>
      <w:r w:rsidR="00AD6EC8" w:rsidRPr="009D0AA8">
        <w:rPr>
          <w:lang w:val="en-US"/>
        </w:rPr>
        <w:t xml:space="preserve"> </w:t>
      </w:r>
      <w:r w:rsidR="0022170D">
        <w:rPr>
          <w:lang w:val="en-US"/>
        </w:rPr>
        <w:t xml:space="preserve">including </w:t>
      </w:r>
      <w:r w:rsidR="00AD6EC8" w:rsidRPr="009D0AA8">
        <w:rPr>
          <w:lang w:val="en-US"/>
        </w:rPr>
        <w:t xml:space="preserve">command criminal responsibility.  </w:t>
      </w:r>
    </w:p>
    <w:p w14:paraId="679AB7EA" w14:textId="5D92113D" w:rsidR="00490692" w:rsidRPr="00B0563C" w:rsidRDefault="00AD6EC8" w:rsidP="00550FDF">
      <w:pPr>
        <w:pStyle w:val="SingleTxtG"/>
        <w:numPr>
          <w:ilvl w:val="0"/>
          <w:numId w:val="15"/>
        </w:numPr>
        <w:ind w:left="1170" w:firstLine="0"/>
        <w:rPr>
          <w:lang w:val="en-US"/>
        </w:rPr>
      </w:pPr>
      <w:r>
        <w:rPr>
          <w:lang w:val="en-US"/>
        </w:rPr>
        <w:t xml:space="preserve">She </w:t>
      </w:r>
      <w:r w:rsidR="00B0563C">
        <w:rPr>
          <w:lang w:val="en-US"/>
        </w:rPr>
        <w:t>highlights</w:t>
      </w:r>
      <w:r>
        <w:rPr>
          <w:lang w:val="en-US"/>
        </w:rPr>
        <w:t xml:space="preserve"> the following elements relevant to the question of responsibility</w:t>
      </w:r>
      <w:r w:rsidR="00B0563C">
        <w:rPr>
          <w:lang w:val="en-US"/>
        </w:rPr>
        <w:t>.</w:t>
      </w:r>
      <w:r w:rsidRPr="00B0563C">
        <w:rPr>
          <w:lang w:val="en-US"/>
        </w:rPr>
        <w:t xml:space="preserve"> </w:t>
      </w:r>
      <w:r w:rsidR="006861C6" w:rsidRPr="00B0563C">
        <w:rPr>
          <w:lang w:val="en-US"/>
        </w:rPr>
        <w:t xml:space="preserve">She recalls </w:t>
      </w:r>
      <w:r w:rsidRPr="00B0563C">
        <w:rPr>
          <w:lang w:val="en-US"/>
        </w:rPr>
        <w:t xml:space="preserve">that </w:t>
      </w:r>
      <w:r w:rsidR="00E96E62" w:rsidRPr="00B0563C">
        <w:rPr>
          <w:lang w:val="en-US"/>
        </w:rPr>
        <w:t>under CA1 of the Geneva Conventions, States are bound to “ensure respect” for the provisions of IHL, including CA3 “in all circumstances”. She notes in particular the  Nicaragua dec</w:t>
      </w:r>
      <w:r w:rsidR="006861C6" w:rsidRPr="00B0563C">
        <w:rPr>
          <w:lang w:val="en-US"/>
        </w:rPr>
        <w:t xml:space="preserve">ision of the ICJ </w:t>
      </w:r>
      <w:r w:rsidR="00E96E62" w:rsidRPr="00B0563C">
        <w:rPr>
          <w:lang w:val="en-US"/>
        </w:rPr>
        <w:t>that States are “under an obligation</w:t>
      </w:r>
      <w:r w:rsidR="006861C6" w:rsidRPr="00B0563C">
        <w:rPr>
          <w:lang w:val="en-US"/>
        </w:rPr>
        <w:t xml:space="preserve"> not to encourage persons </w:t>
      </w:r>
      <w:r w:rsidR="006861C6" w:rsidRPr="00B0563C">
        <w:rPr>
          <w:lang w:val="en-US"/>
        </w:rPr>
        <w:lastRenderedPageBreak/>
        <w:t>or groups</w:t>
      </w:r>
      <w:r w:rsidR="00E96E62" w:rsidRPr="00B0563C">
        <w:rPr>
          <w:lang w:val="en-US"/>
        </w:rPr>
        <w:t xml:space="preserve"> (…)</w:t>
      </w:r>
      <w:r w:rsidR="006861C6" w:rsidRPr="00B0563C">
        <w:rPr>
          <w:lang w:val="en-US"/>
        </w:rPr>
        <w:t xml:space="preserve"> to act in violation of common Article 3 of the Geneva Conventions</w:t>
      </w:r>
      <w:r w:rsidR="00E96E62" w:rsidRPr="00B0563C">
        <w:rPr>
          <w:lang w:val="en-US"/>
        </w:rPr>
        <w:t>”</w:t>
      </w:r>
      <w:r w:rsidR="006861C6" w:rsidRPr="00B0563C">
        <w:rPr>
          <w:lang w:val="en-US"/>
        </w:rPr>
        <w:t>.</w:t>
      </w:r>
      <w:r w:rsidR="006861C6">
        <w:rPr>
          <w:rStyle w:val="FootnoteReference"/>
          <w:lang w:val="en-US"/>
        </w:rPr>
        <w:footnoteReference w:id="79"/>
      </w:r>
      <w:r w:rsidR="008D1919" w:rsidRPr="00B0563C">
        <w:rPr>
          <w:lang w:val="en-US"/>
        </w:rPr>
        <w:t xml:space="preserve"> She notes </w:t>
      </w:r>
      <w:r w:rsidR="00490692" w:rsidRPr="00B0563C">
        <w:rPr>
          <w:lang w:val="en-US"/>
        </w:rPr>
        <w:t xml:space="preserve">that in addition to this negative component, there is a </w:t>
      </w:r>
      <w:r w:rsidR="008D1919" w:rsidRPr="00B0563C">
        <w:rPr>
          <w:lang w:val="en-US"/>
        </w:rPr>
        <w:t>positive external component of CA1 that implies that States that are not a party to the conflict as well as international and regional organizations have an obligation to exert their influence and take every possible step to safeguard compliance with CA3 of the Geneva Conventions.</w:t>
      </w:r>
      <w:r w:rsidR="0022170D">
        <w:rPr>
          <w:rStyle w:val="FootnoteReference"/>
          <w:lang w:val="en-US"/>
        </w:rPr>
        <w:footnoteReference w:id="80"/>
      </w:r>
      <w:r w:rsidR="008D1919" w:rsidRPr="00B0563C">
        <w:rPr>
          <w:lang w:val="en-US"/>
        </w:rPr>
        <w:t xml:space="preserve"> Failure to act diligently and take necessary measures may incur international responsibility, something, which can only be evaluated on a case-by-case basis.</w:t>
      </w:r>
      <w:r w:rsidR="008D1919">
        <w:rPr>
          <w:rStyle w:val="FootnoteReference"/>
          <w:lang w:val="en-US"/>
        </w:rPr>
        <w:footnoteReference w:id="81"/>
      </w:r>
    </w:p>
    <w:p w14:paraId="1377949F" w14:textId="30D98AC4" w:rsidR="00151EE2" w:rsidRDefault="00E96E62" w:rsidP="00550FDF">
      <w:pPr>
        <w:pStyle w:val="SingleTxtG"/>
        <w:numPr>
          <w:ilvl w:val="0"/>
          <w:numId w:val="15"/>
        </w:numPr>
        <w:ind w:left="1170" w:firstLine="0"/>
        <w:rPr>
          <w:lang w:val="en-US"/>
        </w:rPr>
      </w:pPr>
      <w:r>
        <w:rPr>
          <w:lang w:val="en-US"/>
        </w:rPr>
        <w:t>She further highlights the obligations of Member States to prevent and suppress serious violation of international law, particularly regarding those obligations that are peremptory norms</w:t>
      </w:r>
      <w:r w:rsidR="00490692">
        <w:rPr>
          <w:lang w:val="en-US"/>
        </w:rPr>
        <w:t xml:space="preserve"> under international law (jus cogens),</w:t>
      </w:r>
      <w:r w:rsidR="00490692">
        <w:rPr>
          <w:rStyle w:val="FootnoteReference"/>
          <w:lang w:val="en-US"/>
        </w:rPr>
        <w:footnoteReference w:id="82"/>
      </w:r>
      <w:r w:rsidR="00490692">
        <w:rPr>
          <w:lang w:val="en-US"/>
        </w:rPr>
        <w:t xml:space="preserve"> highlighting that a number of violations identified </w:t>
      </w:r>
      <w:r w:rsidR="00B0563C">
        <w:rPr>
          <w:lang w:val="en-US"/>
        </w:rPr>
        <w:t>in this Report</w:t>
      </w:r>
      <w:r w:rsidR="00490692">
        <w:rPr>
          <w:lang w:val="en-US"/>
        </w:rPr>
        <w:t xml:space="preserve"> qualify as jus cogens</w:t>
      </w:r>
      <w:r>
        <w:rPr>
          <w:lang w:val="en-US"/>
        </w:rPr>
        <w:t>.</w:t>
      </w:r>
      <w:r w:rsidR="00490692">
        <w:rPr>
          <w:rStyle w:val="FootnoteReference"/>
          <w:lang w:val="en-US"/>
        </w:rPr>
        <w:footnoteReference w:id="83"/>
      </w:r>
      <w:r>
        <w:rPr>
          <w:lang w:val="en-US"/>
        </w:rPr>
        <w:t xml:space="preserve"> She recalls the general regime of state responsibility, particularly that States are under an obligation not to knowingly aid and assist in the commission of violations of international law or international human rights law,</w:t>
      </w:r>
      <w:r>
        <w:rPr>
          <w:rStyle w:val="FootnoteReference"/>
          <w:lang w:val="en-US"/>
        </w:rPr>
        <w:footnoteReference w:id="84"/>
      </w:r>
      <w:r>
        <w:rPr>
          <w:lang w:val="en-US"/>
        </w:rPr>
        <w:t xml:space="preserve"> including by knowingly pro</w:t>
      </w:r>
      <w:r w:rsidR="008D1919">
        <w:rPr>
          <w:lang w:val="en-US"/>
        </w:rPr>
        <w:t>v</w:t>
      </w:r>
      <w:r>
        <w:rPr>
          <w:lang w:val="en-US"/>
        </w:rPr>
        <w:t>iding an essential facility or financing the activity in question.</w:t>
      </w:r>
      <w:r>
        <w:rPr>
          <w:rStyle w:val="FootnoteReference"/>
          <w:lang w:val="en-US"/>
        </w:rPr>
        <w:footnoteReference w:id="85"/>
      </w:r>
      <w:r w:rsidR="00490692" w:rsidRPr="00490692">
        <w:rPr>
          <w:lang w:val="en-US"/>
        </w:rPr>
        <w:t xml:space="preserve"> The </w:t>
      </w:r>
      <w:r w:rsidR="00B0563C">
        <w:rPr>
          <w:lang w:val="en-US"/>
        </w:rPr>
        <w:t>SR</w:t>
      </w:r>
      <w:r w:rsidR="00490692" w:rsidRPr="00490692">
        <w:rPr>
          <w:lang w:val="en-US"/>
        </w:rPr>
        <w:t xml:space="preserve"> highlights that </w:t>
      </w:r>
      <w:r w:rsidR="0022170D">
        <w:rPr>
          <w:lang w:val="en-US"/>
        </w:rPr>
        <w:t xml:space="preserve">international </w:t>
      </w:r>
      <w:r w:rsidR="00490692" w:rsidRPr="00490692">
        <w:rPr>
          <w:lang w:val="en-US"/>
        </w:rPr>
        <w:t xml:space="preserve">core crimes may implicate Member States </w:t>
      </w:r>
      <w:r w:rsidR="0019431D">
        <w:rPr>
          <w:lang w:val="en-US"/>
        </w:rPr>
        <w:t>by</w:t>
      </w:r>
      <w:r w:rsidR="00490692" w:rsidRPr="00490692">
        <w:rPr>
          <w:lang w:val="en-US"/>
        </w:rPr>
        <w:t xml:space="preserve"> omission or failure to act if situated to prevent serious violations of international law. </w:t>
      </w:r>
    </w:p>
    <w:p w14:paraId="06A54C47" w14:textId="6EA6E3A1" w:rsidR="00ED1788" w:rsidRPr="00151EE2" w:rsidRDefault="00ED1788" w:rsidP="00550FDF">
      <w:pPr>
        <w:pStyle w:val="SingleTxtG"/>
        <w:numPr>
          <w:ilvl w:val="0"/>
          <w:numId w:val="15"/>
        </w:numPr>
        <w:ind w:left="1170" w:firstLine="0"/>
        <w:rPr>
          <w:lang w:val="en-US"/>
        </w:rPr>
      </w:pPr>
      <w:r w:rsidRPr="00151EE2">
        <w:rPr>
          <w:lang w:val="en-US"/>
        </w:rPr>
        <w:t>The Special Rapporteur underscores that the only international law compliant solution to the situation of mass arbitrary detention in Northeast Syria remains repatriation (in line with the jus cogens norm of non-refoulement), reintegration and prosecution as appropriate</w:t>
      </w:r>
      <w:r w:rsidR="00965E6D" w:rsidRPr="00151EE2">
        <w:rPr>
          <w:lang w:val="en-US"/>
        </w:rPr>
        <w:t xml:space="preserve">.  </w:t>
      </w:r>
      <w:proofErr w:type="gramStart"/>
      <w:r w:rsidR="00965E6D" w:rsidRPr="00151EE2">
        <w:rPr>
          <w:lang w:val="en-US"/>
        </w:rPr>
        <w:t>It</w:t>
      </w:r>
      <w:r w:rsidRPr="00151EE2">
        <w:rPr>
          <w:lang w:val="en-US"/>
        </w:rPr>
        <w:t xml:space="preserve"> is clear that the</w:t>
      </w:r>
      <w:proofErr w:type="gramEnd"/>
      <w:r w:rsidRPr="00151EE2">
        <w:rPr>
          <w:lang w:val="en-US"/>
        </w:rPr>
        <w:t xml:space="preserve"> length and breadth of detention practices in the region can never be reconciled with the principles of necessity and proportionality. She acknowledges that </w:t>
      </w:r>
      <w:proofErr w:type="gramStart"/>
      <w:r w:rsidRPr="00151EE2">
        <w:rPr>
          <w:lang w:val="en-US"/>
        </w:rPr>
        <w:t>a number of</w:t>
      </w:r>
      <w:proofErr w:type="gramEnd"/>
      <w:r w:rsidRPr="00151EE2">
        <w:rPr>
          <w:lang w:val="en-US"/>
        </w:rPr>
        <w:t xml:space="preserve"> States have made significant efforts in repatriation, but many others have been regrettably unwilling to resolve the grievous situation of their nationals, particularly children.</w:t>
      </w:r>
    </w:p>
    <w:p w14:paraId="56C1A3AB" w14:textId="5A73D497" w:rsidR="00FE027A" w:rsidRPr="00DE4F4B" w:rsidRDefault="00DE4F4B" w:rsidP="00DE4F4B">
      <w:pPr>
        <w:pStyle w:val="HChG"/>
      </w:pPr>
      <w:r>
        <w:tab/>
      </w:r>
      <w:r w:rsidR="00FE027A" w:rsidRPr="00DE4F4B">
        <w:t>V</w:t>
      </w:r>
      <w:r w:rsidRPr="00DE4F4B">
        <w:t>.</w:t>
      </w:r>
      <w:r w:rsidRPr="00DE4F4B">
        <w:tab/>
      </w:r>
      <w:r w:rsidR="003A2843" w:rsidRPr="00DE4F4B">
        <w:t>Conclusions</w:t>
      </w:r>
    </w:p>
    <w:p w14:paraId="0EEA90BB" w14:textId="63DC30BC" w:rsidR="00177E00" w:rsidRPr="00DE4F4B" w:rsidRDefault="00DE4F4B" w:rsidP="00DE4F4B">
      <w:pPr>
        <w:pStyle w:val="H1G"/>
      </w:pPr>
      <w:r>
        <w:tab/>
        <w:t>A.</w:t>
      </w:r>
      <w:r>
        <w:tab/>
      </w:r>
      <w:r w:rsidRPr="00DE4F4B">
        <w:t>Global study</w:t>
      </w:r>
    </w:p>
    <w:p w14:paraId="5AC3464B" w14:textId="0089D591" w:rsidR="00AC717D" w:rsidRPr="00711387" w:rsidRDefault="00B61E0F" w:rsidP="00D35C4F">
      <w:pPr>
        <w:pStyle w:val="SingleTxtG"/>
        <w:numPr>
          <w:ilvl w:val="0"/>
          <w:numId w:val="15"/>
        </w:numPr>
        <w:ind w:left="1170" w:firstLine="0"/>
        <w:rPr>
          <w:b/>
        </w:rPr>
      </w:pPr>
      <w:r w:rsidRPr="00711387">
        <w:rPr>
          <w:b/>
        </w:rPr>
        <w:t>The findings of the</w:t>
      </w:r>
      <w:r w:rsidR="00AC717D" w:rsidRPr="00711387">
        <w:rPr>
          <w:b/>
        </w:rPr>
        <w:t xml:space="preserve"> Global Study require pause and recognition of the resilience, positive </w:t>
      </w:r>
      <w:proofErr w:type="gramStart"/>
      <w:r w:rsidR="00AC717D" w:rsidRPr="00711387">
        <w:rPr>
          <w:b/>
        </w:rPr>
        <w:t>force</w:t>
      </w:r>
      <w:proofErr w:type="gramEnd"/>
      <w:r w:rsidR="00AC717D" w:rsidRPr="00711387">
        <w:rPr>
          <w:b/>
        </w:rPr>
        <w:t xml:space="preserve"> and sheer determination of civil society across the globe which seeks to realize peaceful, just and inclusive societies. Notwithstanding the hardship, challenges, and undulating Sisyphean task of advancing rights in complex and closing spaces civil society consistently shows up, takes risks for rights, defends the vulnerable, strives for the greater good, and is tireless in its advocacy, hard work, reliability, and solidarity.  The individuals that took risks to give evidence to </w:t>
      </w:r>
      <w:r w:rsidRPr="00711387">
        <w:rPr>
          <w:b/>
        </w:rPr>
        <w:t xml:space="preserve">the Global </w:t>
      </w:r>
      <w:r w:rsidR="00AC717D" w:rsidRPr="00711387">
        <w:rPr>
          <w:b/>
        </w:rPr>
        <w:t xml:space="preserve">Study, who take risks every day for the dignity and humanity of others deserve recognition, support, protection, </w:t>
      </w:r>
      <w:proofErr w:type="spellStart"/>
      <w:r w:rsidR="00AC717D" w:rsidRPr="00711387">
        <w:rPr>
          <w:b/>
        </w:rPr>
        <w:t>defense</w:t>
      </w:r>
      <w:proofErr w:type="spellEnd"/>
      <w:r w:rsidR="00AC717D" w:rsidRPr="00711387">
        <w:rPr>
          <w:b/>
        </w:rPr>
        <w:t xml:space="preserve">, and care.  </w:t>
      </w:r>
    </w:p>
    <w:p w14:paraId="46E7DAB7" w14:textId="0D3480CD" w:rsidR="0008431A" w:rsidRPr="00711387" w:rsidRDefault="00AC717D" w:rsidP="00D35C4F">
      <w:pPr>
        <w:pStyle w:val="SingleTxtG"/>
        <w:numPr>
          <w:ilvl w:val="0"/>
          <w:numId w:val="15"/>
        </w:numPr>
        <w:ind w:left="1170" w:firstLine="0"/>
        <w:rPr>
          <w:rStyle w:val="Heading3Char"/>
          <w:b/>
        </w:rPr>
      </w:pPr>
      <w:r w:rsidRPr="00711387">
        <w:rPr>
          <w:b/>
        </w:rPr>
        <w:t>The terrain described</w:t>
      </w:r>
      <w:r w:rsidR="00B61E0F" w:rsidRPr="00711387">
        <w:rPr>
          <w:b/>
        </w:rPr>
        <w:t xml:space="preserve"> in the Global Study </w:t>
      </w:r>
      <w:r w:rsidRPr="00711387">
        <w:rPr>
          <w:b/>
        </w:rPr>
        <w:t xml:space="preserve">is exceedingly difficult and the scale of harms experienced is indisputable and unacceptable. It should also be self-evident that effective </w:t>
      </w:r>
      <w:proofErr w:type="gramStart"/>
      <w:r w:rsidRPr="00711387">
        <w:rPr>
          <w:b/>
        </w:rPr>
        <w:t>counter-terrorism</w:t>
      </w:r>
      <w:proofErr w:type="gramEnd"/>
      <w:r w:rsidRPr="00711387">
        <w:rPr>
          <w:b/>
        </w:rPr>
        <w:t xml:space="preserve"> is not being realized by the widespread, systemic targeting of civil society.  Precisely the opposite is true.  The kinds of violations revealed </w:t>
      </w:r>
      <w:r w:rsidRPr="00711387">
        <w:rPr>
          <w:b/>
        </w:rPr>
        <w:lastRenderedPageBreak/>
        <w:t>by th</w:t>
      </w:r>
      <w:r w:rsidR="00B61E0F" w:rsidRPr="00711387">
        <w:rPr>
          <w:b/>
        </w:rPr>
        <w:t>e Global</w:t>
      </w:r>
      <w:r w:rsidR="0051703F" w:rsidRPr="00711387">
        <w:rPr>
          <w:b/>
        </w:rPr>
        <w:t xml:space="preserve"> </w:t>
      </w:r>
      <w:r w:rsidRPr="00711387">
        <w:rPr>
          <w:b/>
        </w:rPr>
        <w:t xml:space="preserve">Study demonstrate that security is not the goal of abusive State practice but rather its opposite, namely the continuance of instability, insecurity, and cultures of impunity and violence. </w:t>
      </w:r>
      <w:r w:rsidR="00B61E0F" w:rsidRPr="00711387">
        <w:rPr>
          <w:b/>
        </w:rPr>
        <w:t xml:space="preserve">The </w:t>
      </w:r>
      <w:r w:rsidR="00802B3C" w:rsidRPr="00711387">
        <w:rPr>
          <w:b/>
        </w:rPr>
        <w:t>SR</w:t>
      </w:r>
      <w:r w:rsidR="00B61E0F" w:rsidRPr="00711387">
        <w:rPr>
          <w:b/>
        </w:rPr>
        <w:t xml:space="preserve"> reiterates the full scope of recommendations found in the Global Study and their importance for Member States, the United Nations, regional organizations, the private sector, and civil society. She calls for full review an implementation of these recommendations.</w:t>
      </w:r>
      <w:r w:rsidR="00890F67" w:rsidRPr="00711387">
        <w:rPr>
          <w:b/>
        </w:rPr>
        <w:t xml:space="preserve"> </w:t>
      </w:r>
    </w:p>
    <w:p w14:paraId="109DDFFC" w14:textId="09F7C6A1" w:rsidR="00863EEC" w:rsidRPr="00711387" w:rsidRDefault="00863EEC" w:rsidP="00DE4F4B">
      <w:pPr>
        <w:pStyle w:val="H23G"/>
      </w:pPr>
      <w:r w:rsidRPr="00711387">
        <w:tab/>
      </w:r>
      <w:r w:rsidR="00151EE2" w:rsidRPr="00711387">
        <w:tab/>
      </w:r>
      <w:r w:rsidRPr="00711387">
        <w:t>Recommendations for States</w:t>
      </w:r>
    </w:p>
    <w:p w14:paraId="17FE067A" w14:textId="7395C37F" w:rsidR="00AC717D" w:rsidRPr="00711387" w:rsidRDefault="00AC717D" w:rsidP="00DE4F4B">
      <w:pPr>
        <w:pStyle w:val="SingleTxtG"/>
        <w:numPr>
          <w:ilvl w:val="0"/>
          <w:numId w:val="15"/>
        </w:numPr>
        <w:ind w:left="1170" w:firstLine="0"/>
        <w:rPr>
          <w:b/>
        </w:rPr>
      </w:pPr>
      <w:r w:rsidRPr="00711387">
        <w:rPr>
          <w:b/>
        </w:rPr>
        <w:t xml:space="preserve">Reorient militarized approaches to counter-terrorisms that respond to the deep evidence on strategies and investments that lead to successful prevention of violence advancing </w:t>
      </w:r>
      <w:r w:rsidR="003A2843" w:rsidRPr="00711387">
        <w:rPr>
          <w:b/>
        </w:rPr>
        <w:t>peace-making</w:t>
      </w:r>
      <w:r w:rsidRPr="00711387">
        <w:rPr>
          <w:b/>
        </w:rPr>
        <w:t xml:space="preserve"> and peacebuilding alternatives. </w:t>
      </w:r>
    </w:p>
    <w:p w14:paraId="39D74BD0" w14:textId="605FBE16" w:rsidR="00A40262" w:rsidRPr="00711387" w:rsidRDefault="00AC717D" w:rsidP="00DE4F4B">
      <w:pPr>
        <w:pStyle w:val="SingleTxtG"/>
        <w:numPr>
          <w:ilvl w:val="0"/>
          <w:numId w:val="15"/>
        </w:numPr>
        <w:ind w:left="1170" w:firstLine="0"/>
        <w:rPr>
          <w:rStyle w:val="normaltextrun"/>
          <w:b/>
        </w:rPr>
      </w:pPr>
      <w:r w:rsidRPr="00711387">
        <w:rPr>
          <w:rStyle w:val="normaltextrun"/>
          <w:b/>
        </w:rPr>
        <w:t xml:space="preserve">Diligently pursue deliberate and intentional pruning of national, regional, and international counter-terrorism architectures that have bulged over the last twenty years to bring balance and human rights compliance in this arena.  </w:t>
      </w:r>
    </w:p>
    <w:p w14:paraId="6CEAC21C" w14:textId="64347AE0" w:rsidR="00AC717D" w:rsidRPr="00711387" w:rsidRDefault="00AC717D" w:rsidP="00DE4F4B">
      <w:pPr>
        <w:pStyle w:val="SingleTxtG"/>
        <w:numPr>
          <w:ilvl w:val="0"/>
          <w:numId w:val="15"/>
        </w:numPr>
        <w:ind w:left="1170" w:firstLine="0"/>
        <w:rPr>
          <w:b/>
        </w:rPr>
      </w:pPr>
      <w:r w:rsidRPr="00711387">
        <w:rPr>
          <w:b/>
        </w:rPr>
        <w:t xml:space="preserve">Use the decades of documentation and implement recommendations by the </w:t>
      </w:r>
      <w:r w:rsidR="001833A6" w:rsidRPr="00711387">
        <w:rPr>
          <w:b/>
        </w:rPr>
        <w:t>HRTB</w:t>
      </w:r>
      <w:r w:rsidR="0019431D" w:rsidRPr="00711387">
        <w:rPr>
          <w:b/>
        </w:rPr>
        <w:t>s</w:t>
      </w:r>
      <w:r w:rsidRPr="00711387">
        <w:rPr>
          <w:b/>
        </w:rPr>
        <w:t xml:space="preserve"> and </w:t>
      </w:r>
      <w:r w:rsidR="00D35C4F" w:rsidRPr="00711387">
        <w:rPr>
          <w:b/>
        </w:rPr>
        <w:t>SP</w:t>
      </w:r>
      <w:r w:rsidR="003A2843" w:rsidRPr="00711387">
        <w:rPr>
          <w:b/>
        </w:rPr>
        <w:t>s</w:t>
      </w:r>
      <w:r w:rsidRPr="00711387">
        <w:rPr>
          <w:b/>
        </w:rPr>
        <w:t xml:space="preserve"> as a tool to achieve increased human rights and rule of law compliant responses to terrorism and violence. </w:t>
      </w:r>
    </w:p>
    <w:p w14:paraId="0525A75C" w14:textId="77777777" w:rsidR="00AC717D" w:rsidRPr="00711387" w:rsidRDefault="00AC717D" w:rsidP="00DE4F4B">
      <w:pPr>
        <w:pStyle w:val="SingleTxtG"/>
        <w:numPr>
          <w:ilvl w:val="0"/>
          <w:numId w:val="15"/>
        </w:numPr>
        <w:ind w:left="1170" w:firstLine="0"/>
        <w:rPr>
          <w:b/>
        </w:rPr>
      </w:pPr>
      <w:r w:rsidRPr="00711387">
        <w:rPr>
          <w:b/>
        </w:rPr>
        <w:t xml:space="preserve">Establish effective and transparent accountability mechanisms for violations of human rights resulting from the misuse of </w:t>
      </w:r>
      <w:proofErr w:type="gramStart"/>
      <w:r w:rsidRPr="00711387">
        <w:rPr>
          <w:b/>
        </w:rPr>
        <w:t>counter-terrorism</w:t>
      </w:r>
      <w:proofErr w:type="gramEnd"/>
      <w:r w:rsidRPr="00711387">
        <w:rPr>
          <w:b/>
        </w:rPr>
        <w:t xml:space="preserve"> and P/CVE measures.</w:t>
      </w:r>
    </w:p>
    <w:p w14:paraId="10921937" w14:textId="4B39F76D" w:rsidR="00AC717D" w:rsidRPr="00711387" w:rsidRDefault="00AC717D" w:rsidP="00DE4F4B">
      <w:pPr>
        <w:pStyle w:val="SingleTxtG"/>
        <w:numPr>
          <w:ilvl w:val="0"/>
          <w:numId w:val="15"/>
        </w:numPr>
        <w:ind w:left="1170" w:firstLine="0"/>
        <w:rPr>
          <w:rStyle w:val="normaltextrun"/>
          <w:rFonts w:eastAsia="Calibri"/>
          <w:b/>
          <w:lang w:eastAsia="en-GB" w:bidi="he-IL"/>
        </w:rPr>
      </w:pPr>
      <w:r w:rsidRPr="00711387">
        <w:rPr>
          <w:b/>
        </w:rPr>
        <w:t>Rebalance domestic budgets and allocations to address the prevention of violence in a sustained and meaningful way. This requires participatory budget processes, budgeting, and allocation of adequate resources to strengthening of the rule of law, the institutionalization of human rights; advance accountability, mainstreaming anti-corruption and structural commitments to ensure prevention</w:t>
      </w:r>
      <w:r w:rsidR="00802B3C" w:rsidRPr="00711387">
        <w:rPr>
          <w:b/>
        </w:rPr>
        <w:t>.</w:t>
      </w:r>
    </w:p>
    <w:p w14:paraId="03F39B40" w14:textId="018BD0F4" w:rsidR="00997478" w:rsidRPr="00711387" w:rsidRDefault="00997478" w:rsidP="00DE4F4B">
      <w:pPr>
        <w:pStyle w:val="H23G"/>
      </w:pPr>
      <w:r w:rsidRPr="00711387">
        <w:tab/>
      </w:r>
      <w:r w:rsidR="00151EE2" w:rsidRPr="00711387">
        <w:tab/>
      </w:r>
      <w:r w:rsidRPr="00711387">
        <w:t>Recommendations for the U</w:t>
      </w:r>
      <w:r w:rsidR="00C52B21" w:rsidRPr="00711387">
        <w:t xml:space="preserve">nited </w:t>
      </w:r>
      <w:r w:rsidRPr="00711387">
        <w:t>N</w:t>
      </w:r>
      <w:r w:rsidR="00C52B21" w:rsidRPr="00711387">
        <w:t>ations</w:t>
      </w:r>
      <w:r w:rsidRPr="00711387">
        <w:t xml:space="preserve"> </w:t>
      </w:r>
    </w:p>
    <w:p w14:paraId="31D11310" w14:textId="520DE226" w:rsidR="00AC717D" w:rsidRPr="00711387" w:rsidRDefault="00AC717D" w:rsidP="00DE4F4B">
      <w:pPr>
        <w:pStyle w:val="SingleTxtG"/>
        <w:numPr>
          <w:ilvl w:val="0"/>
          <w:numId w:val="15"/>
        </w:numPr>
        <w:ind w:left="1170" w:firstLine="0"/>
        <w:rPr>
          <w:b/>
        </w:rPr>
      </w:pPr>
      <w:r w:rsidRPr="00711387">
        <w:rPr>
          <w:b/>
        </w:rPr>
        <w:t>Prioritize investments in rule of law-based approaches, throughout all UN entities, focused on addressing the conditions conducive to terrorism and violence rather than simple technocratically labe</w:t>
      </w:r>
      <w:r w:rsidR="00A85830" w:rsidRPr="00711387">
        <w:rPr>
          <w:b/>
        </w:rPr>
        <w:t>l</w:t>
      </w:r>
      <w:r w:rsidRPr="00711387">
        <w:rPr>
          <w:b/>
        </w:rPr>
        <w:t xml:space="preserve">led </w:t>
      </w:r>
      <w:proofErr w:type="gramStart"/>
      <w:r w:rsidRPr="00711387">
        <w:rPr>
          <w:b/>
        </w:rPr>
        <w:t>counter-terrorism</w:t>
      </w:r>
      <w:proofErr w:type="gramEnd"/>
      <w:r w:rsidRPr="00711387">
        <w:rPr>
          <w:b/>
        </w:rPr>
        <w:t xml:space="preserve"> and P/CVE programming. This includes agencies, funds and programs that specialize in legal and security sector reform, good governance, gender equality and women’s peacebuilding, and broader community-based violence prevention to focus on those core areas of work rather than adapting programming to demands of </w:t>
      </w:r>
      <w:proofErr w:type="gramStart"/>
      <w:r w:rsidRPr="00711387">
        <w:rPr>
          <w:b/>
        </w:rPr>
        <w:t>counter-terrorism</w:t>
      </w:r>
      <w:proofErr w:type="gramEnd"/>
      <w:r w:rsidRPr="00711387">
        <w:rPr>
          <w:b/>
        </w:rPr>
        <w:t xml:space="preserve"> and P/CVE narratives.  </w:t>
      </w:r>
    </w:p>
    <w:p w14:paraId="3CD50DC7" w14:textId="39388009" w:rsidR="00AC717D" w:rsidRPr="00711387" w:rsidRDefault="00AC717D" w:rsidP="00DE4F4B">
      <w:pPr>
        <w:pStyle w:val="SingleTxtG"/>
        <w:numPr>
          <w:ilvl w:val="0"/>
          <w:numId w:val="15"/>
        </w:numPr>
        <w:ind w:left="1170" w:firstLine="0"/>
        <w:rPr>
          <w:b/>
        </w:rPr>
      </w:pPr>
      <w:r w:rsidRPr="00711387">
        <w:rPr>
          <w:b/>
        </w:rPr>
        <w:t xml:space="preserve">Establish consistent, UN-wide public, principled, and official stances on the impact of </w:t>
      </w:r>
      <w:proofErr w:type="gramStart"/>
      <w:r w:rsidRPr="00711387">
        <w:rPr>
          <w:b/>
        </w:rPr>
        <w:t>counter-terrorism</w:t>
      </w:r>
      <w:proofErr w:type="gramEnd"/>
      <w:r w:rsidRPr="00711387">
        <w:rPr>
          <w:b/>
        </w:rPr>
        <w:t xml:space="preserve"> and P/CVE measures on civil society and civic space aimed at advancing the</w:t>
      </w:r>
      <w:r w:rsidR="00126E46" w:rsidRPr="00711387">
        <w:rPr>
          <w:b/>
        </w:rPr>
        <w:t>ir compliance with</w:t>
      </w:r>
      <w:r w:rsidRPr="00711387">
        <w:rPr>
          <w:b/>
        </w:rPr>
        <w:t xml:space="preserve"> human rights and rule of law. This includes addressing the lack of visibility among senior UN officials as outspoken and clear on the documented impacts of </w:t>
      </w:r>
      <w:proofErr w:type="gramStart"/>
      <w:r w:rsidRPr="00711387">
        <w:rPr>
          <w:b/>
        </w:rPr>
        <w:t>counter-terrorism</w:t>
      </w:r>
      <w:proofErr w:type="gramEnd"/>
      <w:r w:rsidRPr="00711387">
        <w:rPr>
          <w:b/>
        </w:rPr>
        <w:t xml:space="preserve"> on civil society and civic space. </w:t>
      </w:r>
    </w:p>
    <w:p w14:paraId="547E5146" w14:textId="77777777" w:rsidR="00AC717D" w:rsidRPr="00711387" w:rsidRDefault="00AC717D" w:rsidP="00DE4F4B">
      <w:pPr>
        <w:pStyle w:val="SingleTxtG"/>
        <w:numPr>
          <w:ilvl w:val="0"/>
          <w:numId w:val="15"/>
        </w:numPr>
        <w:ind w:left="1170" w:firstLine="0"/>
        <w:rPr>
          <w:b/>
        </w:rPr>
      </w:pPr>
      <w:r w:rsidRPr="00711387">
        <w:rPr>
          <w:b/>
        </w:rPr>
        <w:t xml:space="preserve">Collect global disaggregated data in line with principles of do-no-harm, informed consent, and human rights due diligence, to identify discriminatory and group-based patterns of misuse of </w:t>
      </w:r>
      <w:proofErr w:type="gramStart"/>
      <w:r w:rsidRPr="00711387">
        <w:rPr>
          <w:b/>
        </w:rPr>
        <w:t>counter-terrorism</w:t>
      </w:r>
      <w:proofErr w:type="gramEnd"/>
      <w:r w:rsidRPr="00711387">
        <w:rPr>
          <w:b/>
        </w:rPr>
        <w:t xml:space="preserve"> and P/CVE measures in a sustained way utilizing the findings of this Study as a baseline. </w:t>
      </w:r>
    </w:p>
    <w:p w14:paraId="0D00DD4C" w14:textId="643C4BF4" w:rsidR="00AC717D" w:rsidRPr="00711387" w:rsidRDefault="00AC717D" w:rsidP="00DE4F4B">
      <w:pPr>
        <w:pStyle w:val="SingleTxtG"/>
        <w:numPr>
          <w:ilvl w:val="0"/>
          <w:numId w:val="15"/>
        </w:numPr>
        <w:ind w:left="1170" w:firstLine="0"/>
        <w:rPr>
          <w:b/>
        </w:rPr>
      </w:pPr>
      <w:r w:rsidRPr="00711387">
        <w:rPr>
          <w:b/>
        </w:rPr>
        <w:t xml:space="preserve">Assume accountability for existing commitments to concretely mainstream gender equality and human rights, specifically through transparent and urgent implementation of the gender-marker within the UNOCT, in consultation with UN-Women and the Controller’s Office as suggested by the Secretary-General’s latest report (A/77/718) and adopt overdue procedures on the allocation of a minimum 15 per cent of all funds for counter-terrorism efforts to human rights and gender equality, as originally recommended in 2015 by the </w:t>
      </w:r>
      <w:r w:rsidR="00126E46" w:rsidRPr="00711387">
        <w:rPr>
          <w:b/>
        </w:rPr>
        <w:t>UN</w:t>
      </w:r>
      <w:r w:rsidRPr="00711387">
        <w:rPr>
          <w:b/>
        </w:rPr>
        <w:t xml:space="preserve"> Secretary-General. </w:t>
      </w:r>
    </w:p>
    <w:p w14:paraId="59468FDA" w14:textId="01CC3EFD" w:rsidR="00F235F6" w:rsidRPr="00711387" w:rsidRDefault="00AC717D" w:rsidP="00DE4F4B">
      <w:pPr>
        <w:pStyle w:val="SingleTxtG"/>
        <w:numPr>
          <w:ilvl w:val="0"/>
          <w:numId w:val="15"/>
        </w:numPr>
        <w:ind w:left="1170" w:firstLine="0"/>
        <w:rPr>
          <w:b/>
        </w:rPr>
      </w:pPr>
      <w:r w:rsidRPr="00711387">
        <w:rPr>
          <w:b/>
        </w:rPr>
        <w:t xml:space="preserve">Implement all </w:t>
      </w:r>
      <w:r w:rsidR="00126E46" w:rsidRPr="00711387">
        <w:rPr>
          <w:b/>
        </w:rPr>
        <w:t xml:space="preserve">relevant </w:t>
      </w:r>
      <w:r w:rsidRPr="00711387">
        <w:rPr>
          <w:b/>
        </w:rPr>
        <w:t xml:space="preserve">recommendations of UN Women’s Global Digital Consultation and report on their implementation in appropriate forums. </w:t>
      </w:r>
    </w:p>
    <w:p w14:paraId="1DEAF1AF" w14:textId="21001FAB" w:rsidR="00F235F6" w:rsidRPr="00711387" w:rsidRDefault="00DE4F4B" w:rsidP="00DE4F4B">
      <w:pPr>
        <w:pStyle w:val="H1G"/>
      </w:pPr>
      <w:r w:rsidRPr="00711387">
        <w:lastRenderedPageBreak/>
        <w:tab/>
        <w:t>B.</w:t>
      </w:r>
      <w:r w:rsidRPr="00711387">
        <w:tab/>
      </w:r>
      <w:r w:rsidR="00F235F6" w:rsidRPr="00711387">
        <w:t xml:space="preserve">Recommendations concerning </w:t>
      </w:r>
      <w:r w:rsidR="00230F93" w:rsidRPr="00711387">
        <w:t>Serious Violation of International Law</w:t>
      </w:r>
      <w:r w:rsidR="00F235F6" w:rsidRPr="00711387">
        <w:t xml:space="preserve"> in </w:t>
      </w:r>
      <w:r w:rsidR="00151EE2" w:rsidRPr="00711387">
        <w:t xml:space="preserve">the </w:t>
      </w:r>
      <w:r w:rsidR="00F235F6" w:rsidRPr="00711387">
        <w:t xml:space="preserve">Northeast </w:t>
      </w:r>
      <w:r w:rsidR="00151EE2" w:rsidRPr="00711387">
        <w:t xml:space="preserve">of </w:t>
      </w:r>
      <w:r w:rsidR="00F235F6" w:rsidRPr="00711387">
        <w:t>Syria</w:t>
      </w:r>
    </w:p>
    <w:p w14:paraId="1273D2DA" w14:textId="501C2048" w:rsidR="00F235F6" w:rsidRPr="00711387" w:rsidRDefault="00F235F6" w:rsidP="00DE4F4B">
      <w:pPr>
        <w:pStyle w:val="SingleTxtG"/>
        <w:numPr>
          <w:ilvl w:val="0"/>
          <w:numId w:val="15"/>
        </w:numPr>
        <w:ind w:left="1170" w:firstLine="0"/>
        <w:rPr>
          <w:b/>
        </w:rPr>
      </w:pPr>
      <w:r w:rsidRPr="00711387">
        <w:rPr>
          <w:b/>
        </w:rPr>
        <w:t>Mass</w:t>
      </w:r>
      <w:r w:rsidR="00B77DDC">
        <w:rPr>
          <w:b/>
        </w:rPr>
        <w:t xml:space="preserve">, </w:t>
      </w:r>
      <w:proofErr w:type="gramStart"/>
      <w:r w:rsidRPr="00711387">
        <w:rPr>
          <w:b/>
        </w:rPr>
        <w:t>arbitrary</w:t>
      </w:r>
      <w:proofErr w:type="gramEnd"/>
      <w:r w:rsidR="00FE027A" w:rsidRPr="00711387">
        <w:rPr>
          <w:b/>
        </w:rPr>
        <w:t xml:space="preserve"> and indefinite</w:t>
      </w:r>
      <w:r w:rsidRPr="00711387">
        <w:rPr>
          <w:b/>
        </w:rPr>
        <w:t xml:space="preserve"> detention of men, women and children</w:t>
      </w:r>
      <w:r w:rsidR="00FE027A" w:rsidRPr="00711387">
        <w:rPr>
          <w:b/>
        </w:rPr>
        <w:t xml:space="preserve"> in Northeast Syria</w:t>
      </w:r>
      <w:r w:rsidRPr="00711387">
        <w:rPr>
          <w:b/>
        </w:rPr>
        <w:t xml:space="preserve"> must end. Repatriation of persons from </w:t>
      </w:r>
      <w:r w:rsidR="00D35C4F" w:rsidRPr="00711387">
        <w:rPr>
          <w:b/>
        </w:rPr>
        <w:t xml:space="preserve">all </w:t>
      </w:r>
      <w:r w:rsidRPr="00711387">
        <w:rPr>
          <w:b/>
        </w:rPr>
        <w:t xml:space="preserve">detention facilities must be advanced, </w:t>
      </w:r>
      <w:r w:rsidR="006B338B" w:rsidRPr="00711387">
        <w:rPr>
          <w:b/>
        </w:rPr>
        <w:t xml:space="preserve">in full observance of the absolute obligation </w:t>
      </w:r>
      <w:r w:rsidRPr="00711387">
        <w:rPr>
          <w:b/>
        </w:rPr>
        <w:t xml:space="preserve">to non-refoulement. </w:t>
      </w:r>
    </w:p>
    <w:p w14:paraId="3F0E1AF6" w14:textId="5764CF66" w:rsidR="00D35C4F" w:rsidRPr="00711387" w:rsidRDefault="00FE027A" w:rsidP="00DE4F4B">
      <w:pPr>
        <w:pStyle w:val="SingleTxtG"/>
        <w:numPr>
          <w:ilvl w:val="0"/>
          <w:numId w:val="15"/>
        </w:numPr>
        <w:ind w:left="1170" w:firstLine="0"/>
        <w:rPr>
          <w:b/>
        </w:rPr>
      </w:pPr>
      <w:r w:rsidRPr="00711387">
        <w:rPr>
          <w:b/>
        </w:rPr>
        <w:t>The policy of mass separation of adolescent and younger boy</w:t>
      </w:r>
      <w:r w:rsidR="00FA7DD0" w:rsidRPr="00711387">
        <w:rPr>
          <w:b/>
        </w:rPr>
        <w:t>-children</w:t>
      </w:r>
      <w:r w:rsidR="006B338B" w:rsidRPr="00711387">
        <w:rPr>
          <w:b/>
        </w:rPr>
        <w:t xml:space="preserve"> from their mothers</w:t>
      </w:r>
      <w:r w:rsidRPr="00711387">
        <w:rPr>
          <w:b/>
        </w:rPr>
        <w:t xml:space="preserve"> by the detaining authorities implicates core international crimes and must be ended as a matter of urgency. </w:t>
      </w:r>
      <w:r w:rsidR="0095646A" w:rsidRPr="00711387">
        <w:rPr>
          <w:b/>
        </w:rPr>
        <w:t>Boy children must have meaningful and sustained contact with their family members</w:t>
      </w:r>
      <w:r w:rsidR="00D35C4F" w:rsidRPr="00711387">
        <w:rPr>
          <w:b/>
        </w:rPr>
        <w:t>.</w:t>
      </w:r>
      <w:r w:rsidR="0095646A" w:rsidRPr="00711387">
        <w:rPr>
          <w:b/>
        </w:rPr>
        <w:t xml:space="preserve"> </w:t>
      </w:r>
      <w:r w:rsidRPr="00711387">
        <w:rPr>
          <w:b/>
        </w:rPr>
        <w:t>States with influence on the practices of the detaining authority must act to prevent serious violations of international law being committed against children in all places of detention</w:t>
      </w:r>
      <w:r w:rsidR="00D35C4F" w:rsidRPr="00711387">
        <w:rPr>
          <w:b/>
        </w:rPr>
        <w:t>.</w:t>
      </w:r>
    </w:p>
    <w:p w14:paraId="5A99B581" w14:textId="1CA6ACCA" w:rsidR="00FE027A" w:rsidRPr="00711387" w:rsidRDefault="00FE027A" w:rsidP="00DE4F4B">
      <w:pPr>
        <w:pStyle w:val="SingleTxtG"/>
        <w:numPr>
          <w:ilvl w:val="0"/>
          <w:numId w:val="15"/>
        </w:numPr>
        <w:ind w:left="1170" w:firstLine="0"/>
        <w:rPr>
          <w:b/>
        </w:rPr>
      </w:pPr>
      <w:r w:rsidRPr="00711387">
        <w:rPr>
          <w:b/>
        </w:rPr>
        <w:t xml:space="preserve">The denial of medical care and the systematic lack of access to food in male high-security prisons must end as </w:t>
      </w:r>
      <w:r w:rsidR="0095646A" w:rsidRPr="00711387">
        <w:rPr>
          <w:b/>
        </w:rPr>
        <w:t>such</w:t>
      </w:r>
      <w:r w:rsidRPr="00711387">
        <w:rPr>
          <w:b/>
        </w:rPr>
        <w:t xml:space="preserve"> practices constitute</w:t>
      </w:r>
      <w:r w:rsidR="0095646A" w:rsidRPr="00711387">
        <w:rPr>
          <w:b/>
        </w:rPr>
        <w:t>,</w:t>
      </w:r>
      <w:r w:rsidRPr="00711387">
        <w:rPr>
          <w:b/>
        </w:rPr>
        <w:t xml:space="preserve"> at a </w:t>
      </w:r>
      <w:r w:rsidR="0095646A" w:rsidRPr="00711387">
        <w:rPr>
          <w:b/>
        </w:rPr>
        <w:t>minimum, a violation</w:t>
      </w:r>
      <w:r w:rsidRPr="00711387">
        <w:rPr>
          <w:b/>
        </w:rPr>
        <w:t xml:space="preserve"> of common Article 3 of the Geneva Conventions</w:t>
      </w:r>
      <w:r w:rsidR="0095646A" w:rsidRPr="00711387">
        <w:rPr>
          <w:b/>
        </w:rPr>
        <w:t xml:space="preserve"> (1949)</w:t>
      </w:r>
      <w:r w:rsidR="006B338B" w:rsidRPr="00711387">
        <w:rPr>
          <w:b/>
        </w:rPr>
        <w:t>, and articles 1 and 16 of the Convention against Torture</w:t>
      </w:r>
      <w:r w:rsidRPr="00711387">
        <w:rPr>
          <w:b/>
        </w:rPr>
        <w:t xml:space="preserve">. </w:t>
      </w:r>
      <w:r w:rsidR="0095646A" w:rsidRPr="00711387">
        <w:rPr>
          <w:b/>
        </w:rPr>
        <w:t xml:space="preserve">Children must urgently be removed from facilities where they face an imminent threat to life </w:t>
      </w:r>
      <w:r w:rsidR="00FA7DD0" w:rsidRPr="00711387">
        <w:rPr>
          <w:b/>
        </w:rPr>
        <w:t>because of</w:t>
      </w:r>
      <w:r w:rsidR="0095646A" w:rsidRPr="00711387">
        <w:rPr>
          <w:b/>
        </w:rPr>
        <w:t xml:space="preserve"> exposure to contagious disease without adequate treatment or nourishment.</w:t>
      </w:r>
    </w:p>
    <w:p w14:paraId="0C978A26" w14:textId="36494152" w:rsidR="00D35C4F" w:rsidRPr="00711387" w:rsidRDefault="0029237C" w:rsidP="00DE4F4B">
      <w:pPr>
        <w:pStyle w:val="SingleTxtG"/>
        <w:numPr>
          <w:ilvl w:val="0"/>
          <w:numId w:val="15"/>
        </w:numPr>
        <w:ind w:left="1170" w:firstLine="0"/>
        <w:rPr>
          <w:b/>
        </w:rPr>
      </w:pPr>
      <w:r w:rsidRPr="00711387">
        <w:rPr>
          <w:b/>
        </w:rPr>
        <w:t xml:space="preserve">The de-facto authorities in Northeast Syria </w:t>
      </w:r>
      <w:r w:rsidR="00226B30" w:rsidRPr="00711387">
        <w:rPr>
          <w:b/>
        </w:rPr>
        <w:t>are required under international humanitarian law</w:t>
      </w:r>
      <w:r w:rsidRPr="00711387">
        <w:rPr>
          <w:b/>
        </w:rPr>
        <w:t xml:space="preserve"> to treat </w:t>
      </w:r>
      <w:r w:rsidR="00965E6D" w:rsidRPr="00711387">
        <w:rPr>
          <w:b/>
        </w:rPr>
        <w:t xml:space="preserve">all </w:t>
      </w:r>
      <w:r w:rsidRPr="00711387">
        <w:rPr>
          <w:b/>
        </w:rPr>
        <w:t xml:space="preserve">detainees </w:t>
      </w:r>
      <w:r w:rsidR="00226B30" w:rsidRPr="00711387">
        <w:rPr>
          <w:b/>
        </w:rPr>
        <w:t>in</w:t>
      </w:r>
      <w:r w:rsidRPr="00711387">
        <w:rPr>
          <w:b/>
        </w:rPr>
        <w:t xml:space="preserve"> their control humanely</w:t>
      </w:r>
      <w:r w:rsidR="00126E46" w:rsidRPr="00711387">
        <w:rPr>
          <w:b/>
        </w:rPr>
        <w:t>, without discrimination,</w:t>
      </w:r>
      <w:r w:rsidRPr="00711387">
        <w:rPr>
          <w:b/>
        </w:rPr>
        <w:t xml:space="preserve"> and in respect of their inherent dignity</w:t>
      </w:r>
      <w:r w:rsidR="00226B30" w:rsidRPr="00711387">
        <w:rPr>
          <w:b/>
        </w:rPr>
        <w:t xml:space="preserve">. </w:t>
      </w:r>
    </w:p>
    <w:p w14:paraId="7C41250E" w14:textId="021CCC8C" w:rsidR="005C062E" w:rsidRPr="00711387" w:rsidRDefault="008622D4" w:rsidP="00D35C4F">
      <w:pPr>
        <w:pStyle w:val="ListParagraph"/>
        <w:numPr>
          <w:ilvl w:val="0"/>
          <w:numId w:val="15"/>
        </w:numPr>
        <w:pBdr>
          <w:top w:val="nil"/>
          <w:left w:val="nil"/>
          <w:bottom w:val="nil"/>
          <w:right w:val="nil"/>
          <w:between w:val="nil"/>
        </w:pBdr>
        <w:suppressAutoHyphens w:val="0"/>
        <w:spacing w:after="160" w:line="259" w:lineRule="auto"/>
        <w:ind w:left="1170" w:right="909" w:firstLine="0"/>
        <w:jc w:val="both"/>
        <w:rPr>
          <w:b/>
        </w:rPr>
      </w:pPr>
      <w:r w:rsidRPr="008622D4">
        <w:rPr>
          <w:b/>
        </w:rPr>
        <w:t>Consideration should be given to addressing the grave violations against children in times of conflict through the CAAC agenda</w:t>
      </w:r>
      <w:r w:rsidR="00F22D4F" w:rsidRPr="00711387">
        <w:rPr>
          <w:b/>
        </w:rPr>
        <w:t>.</w:t>
      </w:r>
    </w:p>
    <w:p w14:paraId="111BED8B" w14:textId="2ADEE313" w:rsidR="0095646A" w:rsidRPr="00711387" w:rsidRDefault="00422540" w:rsidP="00DE4F4B">
      <w:pPr>
        <w:pStyle w:val="SingleTxtG"/>
        <w:numPr>
          <w:ilvl w:val="0"/>
          <w:numId w:val="15"/>
        </w:numPr>
        <w:ind w:left="1170" w:firstLine="0"/>
        <w:rPr>
          <w:b/>
        </w:rPr>
      </w:pPr>
      <w:r w:rsidRPr="00711387">
        <w:rPr>
          <w:b/>
        </w:rPr>
        <w:t>Impartial h</w:t>
      </w:r>
      <w:r w:rsidR="0095646A" w:rsidRPr="00711387">
        <w:rPr>
          <w:b/>
        </w:rPr>
        <w:t xml:space="preserve">umanitarian actors must </w:t>
      </w:r>
      <w:r w:rsidR="00D35C4F" w:rsidRPr="00711387">
        <w:rPr>
          <w:b/>
        </w:rPr>
        <w:t xml:space="preserve">urgently </w:t>
      </w:r>
      <w:r w:rsidR="0095646A" w:rsidRPr="00711387">
        <w:rPr>
          <w:b/>
        </w:rPr>
        <w:t>have sustained and meaningful access to</w:t>
      </w:r>
      <w:r w:rsidR="00D35C4F" w:rsidRPr="00711387">
        <w:rPr>
          <w:b/>
        </w:rPr>
        <w:t xml:space="preserve"> all places of detention especially those holding</w:t>
      </w:r>
      <w:r w:rsidR="0095646A" w:rsidRPr="00711387">
        <w:rPr>
          <w:b/>
        </w:rPr>
        <w:t xml:space="preserve"> children in Northeast Syria.</w:t>
      </w:r>
    </w:p>
    <w:p w14:paraId="4053D899" w14:textId="209EFFDE" w:rsidR="00FA725A" w:rsidRPr="00257175" w:rsidRDefault="00112244" w:rsidP="00FA725A">
      <w:pPr>
        <w:spacing w:before="240"/>
        <w:ind w:left="1134" w:right="1134"/>
        <w:jc w:val="center"/>
        <w:rPr>
          <w:u w:val="single"/>
        </w:rPr>
      </w:pPr>
      <w:r>
        <w:rPr>
          <w:u w:val="single"/>
        </w:rPr>
        <w:tab/>
      </w:r>
      <w:r>
        <w:rPr>
          <w:u w:val="single"/>
        </w:rPr>
        <w:tab/>
      </w:r>
      <w:r>
        <w:rPr>
          <w:u w:val="single"/>
        </w:rPr>
        <w:tab/>
      </w:r>
    </w:p>
    <w:sectPr w:rsidR="00FA725A" w:rsidRPr="00257175" w:rsidSect="005F0068">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170"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9F0F" w14:textId="77777777" w:rsidR="00ED3F1B" w:rsidRDefault="00ED3F1B">
      <w:r>
        <w:separator/>
      </w:r>
    </w:p>
  </w:endnote>
  <w:endnote w:type="continuationSeparator" w:id="0">
    <w:p w14:paraId="0574A1F0" w14:textId="77777777" w:rsidR="00ED3F1B" w:rsidRDefault="00ED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7816" w14:textId="3B60F14E" w:rsidR="00FA725A" w:rsidRDefault="00FA725A">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F018CC">
      <w:rPr>
        <w:b/>
        <w:noProof/>
        <w:sz w:val="18"/>
      </w:rPr>
      <w:t>18</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CC7A" w14:textId="16F9F13B" w:rsidR="00FA725A" w:rsidRDefault="00FA725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F018CC">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402" w14:textId="77777777" w:rsidR="00493088" w:rsidRDefault="0049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A9C" w14:textId="77777777" w:rsidR="00ED3F1B" w:rsidRDefault="00ED3F1B">
      <w:pPr>
        <w:tabs>
          <w:tab w:val="right" w:pos="2155"/>
        </w:tabs>
        <w:spacing w:after="80"/>
        <w:ind w:left="680"/>
        <w:rPr>
          <w:u w:val="single"/>
        </w:rPr>
      </w:pPr>
      <w:r>
        <w:rPr>
          <w:u w:val="single"/>
        </w:rPr>
        <w:tab/>
      </w:r>
    </w:p>
  </w:footnote>
  <w:footnote w:type="continuationSeparator" w:id="0">
    <w:p w14:paraId="59B92FDA" w14:textId="77777777" w:rsidR="00ED3F1B" w:rsidRDefault="00ED3F1B">
      <w:pPr>
        <w:tabs>
          <w:tab w:val="left" w:pos="2155"/>
        </w:tabs>
        <w:spacing w:after="80"/>
        <w:ind w:left="680"/>
        <w:rPr>
          <w:u w:val="single"/>
        </w:rPr>
      </w:pPr>
      <w:r>
        <w:rPr>
          <w:u w:val="single"/>
        </w:rPr>
        <w:tab/>
      </w:r>
    </w:p>
  </w:footnote>
  <w:footnote w:id="1">
    <w:p w14:paraId="0199D7F3" w14:textId="3623263A" w:rsidR="007A7DCB" w:rsidRPr="00531AA5" w:rsidRDefault="007A7DCB" w:rsidP="00087631">
      <w:pPr>
        <w:pStyle w:val="FootnoteText"/>
        <w:rPr>
          <w:rFonts w:asciiTheme="majorBidi" w:hAnsiTheme="majorBidi" w:cstheme="majorBidi"/>
          <w:szCs w:val="18"/>
        </w:rPr>
      </w:pPr>
      <w:r w:rsidRPr="00531AA5">
        <w:rPr>
          <w:rStyle w:val="FootnoteReference"/>
          <w:rFonts w:asciiTheme="majorBidi" w:hAnsiTheme="majorBidi" w:cstheme="majorBidi"/>
          <w:szCs w:val="18"/>
        </w:rPr>
        <w:tab/>
      </w:r>
      <w:r w:rsidRPr="00531AA5">
        <w:rPr>
          <w:rStyle w:val="FootnoteReference"/>
          <w:rFonts w:asciiTheme="majorBidi" w:hAnsiTheme="majorBidi" w:cstheme="majorBidi"/>
          <w:szCs w:val="18"/>
          <w:vertAlign w:val="baseline"/>
        </w:rPr>
        <w:t>*</w:t>
      </w:r>
      <w:r w:rsidRPr="00531AA5">
        <w:rPr>
          <w:rStyle w:val="FootnoteReference"/>
          <w:rFonts w:asciiTheme="majorBidi" w:hAnsiTheme="majorBidi" w:cstheme="majorBidi"/>
          <w:szCs w:val="18"/>
          <w:vertAlign w:val="baseline"/>
        </w:rPr>
        <w:tab/>
      </w:r>
      <w:r w:rsidRPr="00531AA5">
        <w:rPr>
          <w:rFonts w:asciiTheme="majorBidi" w:hAnsiTheme="majorBidi" w:cstheme="majorBidi"/>
          <w:szCs w:val="18"/>
        </w:rPr>
        <w:t>A/7</w:t>
      </w:r>
      <w:r w:rsidR="00635AFE">
        <w:rPr>
          <w:rFonts w:asciiTheme="majorBidi" w:hAnsiTheme="majorBidi" w:cstheme="majorBidi"/>
          <w:szCs w:val="18"/>
        </w:rPr>
        <w:t>8</w:t>
      </w:r>
      <w:r w:rsidRPr="00531AA5">
        <w:rPr>
          <w:rFonts w:asciiTheme="majorBidi" w:hAnsiTheme="majorBidi" w:cstheme="majorBidi"/>
          <w:szCs w:val="18"/>
        </w:rPr>
        <w:t>/150.</w:t>
      </w:r>
    </w:p>
  </w:footnote>
  <w:footnote w:id="2">
    <w:p w14:paraId="3CD0C8D4" w14:textId="77777777" w:rsidR="00C52B21" w:rsidRPr="00531AA5" w:rsidRDefault="00C52B21" w:rsidP="00087631">
      <w:pPr>
        <w:pStyle w:val="FootnoteText"/>
        <w:rPr>
          <w:rFonts w:asciiTheme="majorBidi" w:hAnsiTheme="majorBidi" w:cstheme="majorBidi"/>
          <w:szCs w:val="18"/>
        </w:rPr>
      </w:pPr>
      <w:r w:rsidRPr="00531AA5">
        <w:rPr>
          <w:rStyle w:val="FootnoteReference"/>
          <w:rFonts w:asciiTheme="majorBidi" w:hAnsiTheme="majorBidi" w:cstheme="majorBidi"/>
          <w:szCs w:val="18"/>
        </w:rPr>
        <w:tab/>
      </w:r>
      <w:r w:rsidRPr="00531AA5">
        <w:rPr>
          <w:rStyle w:val="FootnoteReference"/>
          <w:rFonts w:asciiTheme="majorBidi" w:hAnsiTheme="majorBidi" w:cstheme="majorBidi"/>
          <w:szCs w:val="18"/>
          <w:vertAlign w:val="baseline"/>
        </w:rPr>
        <w:t>**</w:t>
      </w:r>
      <w:r w:rsidRPr="00531AA5">
        <w:rPr>
          <w:rStyle w:val="FootnoteReference"/>
          <w:rFonts w:asciiTheme="majorBidi" w:hAnsiTheme="majorBidi" w:cstheme="majorBidi"/>
          <w:szCs w:val="18"/>
          <w:vertAlign w:val="baseline"/>
        </w:rPr>
        <w:tab/>
        <w:t>The present report was submitted after the deadline in order to reflect the most recent information.</w:t>
      </w:r>
    </w:p>
  </w:footnote>
  <w:footnote w:id="3">
    <w:p w14:paraId="26460DCC" w14:textId="69B662B2" w:rsidR="002C39A8" w:rsidRPr="00531AA5" w:rsidRDefault="00087631" w:rsidP="00087631">
      <w:pPr>
        <w:pStyle w:val="FootnoteText"/>
        <w:rPr>
          <w:rFonts w:asciiTheme="majorBidi" w:hAnsiTheme="majorBidi" w:cstheme="majorBidi"/>
          <w:szCs w:val="18"/>
        </w:rPr>
      </w:pPr>
      <w:r>
        <w:rPr>
          <w:rFonts w:asciiTheme="majorBidi" w:hAnsiTheme="majorBidi" w:cstheme="majorBidi"/>
          <w:szCs w:val="18"/>
        </w:rPr>
        <w:tab/>
      </w:r>
      <w:r w:rsidR="002C39A8" w:rsidRPr="00531AA5">
        <w:rPr>
          <w:rStyle w:val="FootnoteReference"/>
          <w:rFonts w:asciiTheme="majorBidi" w:hAnsiTheme="majorBidi" w:cstheme="majorBidi"/>
          <w:szCs w:val="18"/>
        </w:rPr>
        <w:footnoteRef/>
      </w:r>
      <w:r w:rsidR="002C39A8" w:rsidRPr="00531AA5">
        <w:rPr>
          <w:rFonts w:asciiTheme="majorBidi" w:hAnsiTheme="majorBidi" w:cstheme="majorBidi"/>
          <w:szCs w:val="18"/>
        </w:rPr>
        <w:t xml:space="preserve"> </w:t>
      </w:r>
      <w:r>
        <w:rPr>
          <w:rFonts w:asciiTheme="majorBidi" w:hAnsiTheme="majorBidi" w:cstheme="majorBidi"/>
          <w:szCs w:val="18"/>
        </w:rPr>
        <w:tab/>
      </w:r>
      <w:r w:rsidR="00520C2D" w:rsidRPr="00531AA5">
        <w:rPr>
          <w:rFonts w:asciiTheme="majorBidi" w:hAnsiTheme="majorBidi" w:cstheme="majorBidi"/>
          <w:szCs w:val="18"/>
        </w:rPr>
        <w:t>Global Regulation of the Counter-Terrorism Spyware Technology Trade: Scoping Proposals for a Human-Rights Compliant Approach (April 2023)</w:t>
      </w:r>
      <w:r w:rsidR="001852CC" w:rsidRPr="00531AA5">
        <w:rPr>
          <w:rFonts w:asciiTheme="majorBidi" w:hAnsiTheme="majorBidi" w:cstheme="majorBidi"/>
          <w:szCs w:val="18"/>
        </w:rPr>
        <w:t>.</w:t>
      </w:r>
    </w:p>
  </w:footnote>
  <w:footnote w:id="4">
    <w:p w14:paraId="479B010A" w14:textId="0A6E18E0" w:rsidR="009B17E5" w:rsidRPr="00531AA5" w:rsidRDefault="00087631" w:rsidP="00087631">
      <w:pPr>
        <w:pStyle w:val="FootnoteText"/>
        <w:rPr>
          <w:rFonts w:asciiTheme="majorBidi" w:hAnsiTheme="majorBidi" w:cstheme="majorBidi"/>
          <w:szCs w:val="18"/>
          <w:lang w:val="en-US"/>
        </w:rPr>
      </w:pPr>
      <w:r>
        <w:rPr>
          <w:rFonts w:asciiTheme="majorBidi" w:hAnsiTheme="majorBidi" w:cstheme="majorBidi"/>
          <w:szCs w:val="18"/>
        </w:rPr>
        <w:tab/>
      </w:r>
      <w:r w:rsidR="009B17E5" w:rsidRPr="00531AA5">
        <w:rPr>
          <w:rStyle w:val="FootnoteReference"/>
          <w:rFonts w:asciiTheme="majorBidi" w:hAnsiTheme="majorBidi" w:cstheme="majorBidi"/>
          <w:szCs w:val="18"/>
        </w:rPr>
        <w:footnoteRef/>
      </w:r>
      <w:r w:rsidR="009B17E5" w:rsidRPr="00531AA5">
        <w:rPr>
          <w:rFonts w:asciiTheme="majorBidi" w:hAnsiTheme="majorBidi" w:cstheme="majorBidi"/>
          <w:szCs w:val="18"/>
        </w:rPr>
        <w:t xml:space="preserve"> </w:t>
      </w:r>
      <w:r>
        <w:rPr>
          <w:rFonts w:asciiTheme="majorBidi" w:hAnsiTheme="majorBidi" w:cstheme="majorBidi"/>
          <w:szCs w:val="18"/>
        </w:rPr>
        <w:tab/>
      </w:r>
      <w:r w:rsidR="009B17E5" w:rsidRPr="00531AA5">
        <w:rPr>
          <w:rFonts w:asciiTheme="majorBidi" w:hAnsiTheme="majorBidi" w:cstheme="majorBidi"/>
          <w:szCs w:val="18"/>
          <w:lang w:val="en-US"/>
        </w:rPr>
        <w:t xml:space="preserve">All citations unless otherwise noted are attributable to the Global Study on the Impact of Counter-Terrorism Measures on Civil Society and Civic Space. </w:t>
      </w:r>
      <w:r w:rsidR="00147CD8" w:rsidRPr="00531AA5">
        <w:rPr>
          <w:rFonts w:asciiTheme="majorBidi" w:hAnsiTheme="majorBidi" w:cstheme="majorBidi"/>
          <w:szCs w:val="18"/>
        </w:rPr>
        <w:t>[hereinafter Global Study]</w:t>
      </w:r>
      <w:r w:rsidR="00CC0D46">
        <w:rPr>
          <w:rFonts w:asciiTheme="majorBidi" w:hAnsiTheme="majorBidi" w:cstheme="majorBidi"/>
          <w:szCs w:val="18"/>
        </w:rPr>
        <w:t xml:space="preserve"> available at defendcivicspace.com</w:t>
      </w:r>
      <w:r>
        <w:rPr>
          <w:rFonts w:asciiTheme="majorBidi" w:hAnsiTheme="majorBidi" w:cstheme="majorBidi"/>
          <w:szCs w:val="18"/>
        </w:rPr>
        <w:t>.</w:t>
      </w:r>
    </w:p>
  </w:footnote>
  <w:footnote w:id="5">
    <w:p w14:paraId="6B326FA0" w14:textId="3B3FDEEF" w:rsidR="00DA1C37" w:rsidRPr="00531AA5" w:rsidRDefault="00087631" w:rsidP="00087631">
      <w:pPr>
        <w:pStyle w:val="FootnoteText"/>
        <w:rPr>
          <w:rFonts w:asciiTheme="majorBidi" w:hAnsiTheme="majorBidi" w:cstheme="majorBidi"/>
          <w:szCs w:val="18"/>
        </w:rPr>
      </w:pPr>
      <w:r>
        <w:rPr>
          <w:rFonts w:asciiTheme="majorBidi" w:hAnsiTheme="majorBidi" w:cstheme="majorBidi"/>
          <w:szCs w:val="18"/>
        </w:rPr>
        <w:tab/>
      </w:r>
      <w:r w:rsidR="00DA1C37" w:rsidRPr="00531AA5">
        <w:rPr>
          <w:rStyle w:val="FootnoteReference"/>
          <w:rFonts w:asciiTheme="majorBidi" w:hAnsiTheme="majorBidi" w:cstheme="majorBidi"/>
          <w:szCs w:val="18"/>
        </w:rPr>
        <w:footnoteRef/>
      </w:r>
      <w:r w:rsidR="00DA1C37" w:rsidRPr="00531AA5">
        <w:rPr>
          <w:rFonts w:asciiTheme="majorBidi" w:hAnsiTheme="majorBidi" w:cstheme="majorBidi"/>
          <w:szCs w:val="18"/>
        </w:rPr>
        <w:t xml:space="preserve"> </w:t>
      </w:r>
      <w:r>
        <w:rPr>
          <w:rFonts w:asciiTheme="majorBidi" w:hAnsiTheme="majorBidi" w:cstheme="majorBidi"/>
          <w:szCs w:val="18"/>
        </w:rPr>
        <w:tab/>
      </w:r>
      <w:r w:rsidR="00DA1C37" w:rsidRPr="00531AA5">
        <w:rPr>
          <w:rFonts w:asciiTheme="majorBidi" w:hAnsiTheme="majorBidi" w:cstheme="majorBidi"/>
          <w:szCs w:val="18"/>
        </w:rPr>
        <w:t xml:space="preserve">Global Study, </w:t>
      </w:r>
      <w:r w:rsidR="00DA1C37" w:rsidRPr="00531AA5">
        <w:rPr>
          <w:rFonts w:asciiTheme="majorBidi" w:hAnsiTheme="majorBidi" w:cstheme="majorBidi"/>
          <w:i/>
          <w:iCs/>
          <w:szCs w:val="18"/>
        </w:rPr>
        <w:t xml:space="preserve">citing </w:t>
      </w:r>
      <w:r w:rsidR="00DA1C37" w:rsidRPr="00531AA5">
        <w:rPr>
          <w:rFonts w:asciiTheme="majorBidi" w:hAnsiTheme="majorBidi" w:cstheme="majorBidi"/>
          <w:color w:val="000000" w:themeColor="text1"/>
          <w:szCs w:val="18"/>
        </w:rPr>
        <w:t xml:space="preserve">CIVICUS, “Civic Space in Numbers,” </w:t>
      </w:r>
      <w:proofErr w:type="spellStart"/>
      <w:r w:rsidR="00DA1C37" w:rsidRPr="00531AA5">
        <w:rPr>
          <w:rFonts w:asciiTheme="majorBidi" w:hAnsiTheme="majorBidi" w:cstheme="majorBidi"/>
          <w:color w:val="000000" w:themeColor="text1"/>
          <w:szCs w:val="18"/>
        </w:rPr>
        <w:t>Civicus</w:t>
      </w:r>
      <w:proofErr w:type="spellEnd"/>
      <w:r w:rsidR="00DA1C37" w:rsidRPr="00531AA5">
        <w:rPr>
          <w:rFonts w:asciiTheme="majorBidi" w:hAnsiTheme="majorBidi" w:cstheme="majorBidi"/>
          <w:color w:val="000000" w:themeColor="text1"/>
          <w:szCs w:val="18"/>
        </w:rPr>
        <w:t xml:space="preserve"> Monitor. Available at: </w:t>
      </w:r>
      <w:hyperlink r:id="rId1" w:history="1">
        <w:r w:rsidR="00DA1C37" w:rsidRPr="00531AA5">
          <w:rPr>
            <w:rStyle w:val="Hyperlink"/>
            <w:rFonts w:asciiTheme="majorBidi" w:hAnsiTheme="majorBidi" w:cstheme="majorBidi"/>
            <w:i/>
            <w:iCs/>
            <w:szCs w:val="18"/>
          </w:rPr>
          <w:t>https://monitor.civicus.org/facts/</w:t>
        </w:r>
      </w:hyperlink>
      <w:r w:rsidR="00DA1C37" w:rsidRPr="00531AA5">
        <w:rPr>
          <w:rFonts w:asciiTheme="majorBidi" w:hAnsiTheme="majorBidi" w:cstheme="majorBidi"/>
          <w:i/>
          <w:color w:val="000000" w:themeColor="text1"/>
          <w:szCs w:val="18"/>
        </w:rPr>
        <w:t xml:space="preserve"> </w:t>
      </w:r>
      <w:r w:rsidR="00DA1C37" w:rsidRPr="00531AA5">
        <w:rPr>
          <w:rFonts w:asciiTheme="majorBidi" w:hAnsiTheme="majorBidi" w:cstheme="majorBidi"/>
          <w:iCs/>
          <w:color w:val="000000" w:themeColor="text1"/>
          <w:szCs w:val="18"/>
        </w:rPr>
        <w:t>(accessed on 28 May 2023).</w:t>
      </w:r>
    </w:p>
  </w:footnote>
  <w:footnote w:id="6">
    <w:p w14:paraId="3F0668B8" w14:textId="3CBD0DC9" w:rsidR="000D06B8" w:rsidRPr="00531AA5" w:rsidRDefault="00087631" w:rsidP="00087631">
      <w:pPr>
        <w:pStyle w:val="FootnoteText"/>
        <w:rPr>
          <w:rFonts w:asciiTheme="majorBidi" w:hAnsiTheme="majorBidi" w:cstheme="majorBidi"/>
          <w:szCs w:val="18"/>
          <w:lang w:val="en-US"/>
        </w:rPr>
      </w:pPr>
      <w:r>
        <w:rPr>
          <w:rFonts w:asciiTheme="majorBidi" w:hAnsiTheme="majorBidi" w:cstheme="majorBidi"/>
          <w:szCs w:val="18"/>
        </w:rPr>
        <w:tab/>
      </w:r>
      <w:r w:rsidR="000D06B8" w:rsidRPr="00531AA5">
        <w:rPr>
          <w:rStyle w:val="FootnoteReference"/>
          <w:rFonts w:asciiTheme="majorBidi" w:hAnsiTheme="majorBidi" w:cstheme="majorBidi"/>
          <w:szCs w:val="18"/>
        </w:rPr>
        <w:footnoteRef/>
      </w:r>
      <w:r w:rsidR="000D06B8" w:rsidRPr="00531AA5">
        <w:rPr>
          <w:rFonts w:asciiTheme="majorBidi" w:hAnsiTheme="majorBidi" w:cstheme="majorBidi"/>
          <w:szCs w:val="18"/>
        </w:rPr>
        <w:t xml:space="preserve"> </w:t>
      </w:r>
      <w:r>
        <w:rPr>
          <w:rFonts w:asciiTheme="majorBidi" w:hAnsiTheme="majorBidi" w:cstheme="majorBidi"/>
          <w:szCs w:val="18"/>
        </w:rPr>
        <w:tab/>
      </w:r>
      <w:r w:rsidR="000D06B8" w:rsidRPr="00531AA5">
        <w:rPr>
          <w:rFonts w:asciiTheme="majorBidi" w:hAnsiTheme="majorBidi" w:cstheme="majorBidi"/>
          <w:szCs w:val="18"/>
        </w:rPr>
        <w:t>A/HRC/40/52</w:t>
      </w:r>
      <w:r>
        <w:rPr>
          <w:rFonts w:asciiTheme="majorBidi" w:hAnsiTheme="majorBidi" w:cstheme="majorBidi"/>
          <w:szCs w:val="18"/>
        </w:rPr>
        <w:t>.</w:t>
      </w:r>
    </w:p>
  </w:footnote>
  <w:footnote w:id="7">
    <w:p w14:paraId="23B90CE4" w14:textId="3BC6ABA4" w:rsidR="008D582A" w:rsidRPr="00531AA5" w:rsidRDefault="00087631" w:rsidP="00087631">
      <w:pPr>
        <w:pStyle w:val="FootnoteText"/>
        <w:rPr>
          <w:rFonts w:asciiTheme="majorBidi" w:hAnsiTheme="majorBidi" w:cstheme="majorBidi"/>
          <w:szCs w:val="18"/>
        </w:rPr>
      </w:pPr>
      <w:r>
        <w:rPr>
          <w:rFonts w:asciiTheme="majorBidi" w:hAnsiTheme="majorBidi" w:cstheme="majorBidi"/>
          <w:szCs w:val="18"/>
        </w:rPr>
        <w:tab/>
      </w:r>
      <w:r w:rsidR="008D582A" w:rsidRPr="00531AA5">
        <w:rPr>
          <w:rStyle w:val="FootnoteReference"/>
          <w:rFonts w:asciiTheme="majorBidi" w:hAnsiTheme="majorBidi" w:cstheme="majorBidi"/>
          <w:szCs w:val="18"/>
        </w:rPr>
        <w:footnoteRef/>
      </w:r>
      <w:r w:rsidR="008D582A" w:rsidRPr="00531AA5">
        <w:rPr>
          <w:rFonts w:asciiTheme="majorBidi" w:hAnsiTheme="majorBidi" w:cstheme="majorBidi"/>
          <w:szCs w:val="18"/>
        </w:rPr>
        <w:t xml:space="preserve"> </w:t>
      </w:r>
      <w:r>
        <w:rPr>
          <w:rFonts w:asciiTheme="majorBidi" w:hAnsiTheme="majorBidi" w:cstheme="majorBidi"/>
          <w:szCs w:val="18"/>
        </w:rPr>
        <w:tab/>
      </w:r>
      <w:r w:rsidR="008D582A" w:rsidRPr="00531AA5">
        <w:rPr>
          <w:rFonts w:asciiTheme="majorBidi" w:hAnsiTheme="majorBidi" w:cstheme="majorBidi"/>
          <w:szCs w:val="18"/>
        </w:rPr>
        <w:t xml:space="preserve">Full text accessible at: </w:t>
      </w:r>
      <w:r w:rsidR="008D582A" w:rsidRPr="00531AA5">
        <w:rPr>
          <w:rFonts w:asciiTheme="majorBidi" w:hAnsiTheme="majorBidi" w:cstheme="majorBidi"/>
          <w:szCs w:val="18"/>
          <w:lang w:val="en-US"/>
        </w:rPr>
        <w:t>defendcivicspace.</w:t>
      </w:r>
      <w:r w:rsidR="00CB6198" w:rsidRPr="00531AA5">
        <w:rPr>
          <w:rFonts w:asciiTheme="majorBidi" w:hAnsiTheme="majorBidi" w:cstheme="majorBidi"/>
          <w:szCs w:val="18"/>
          <w:lang w:val="en-US"/>
        </w:rPr>
        <w:t>com</w:t>
      </w:r>
      <w:r>
        <w:rPr>
          <w:rFonts w:asciiTheme="majorBidi" w:hAnsiTheme="majorBidi" w:cstheme="majorBidi"/>
          <w:szCs w:val="18"/>
          <w:lang w:val="en-US"/>
        </w:rPr>
        <w:t>.</w:t>
      </w:r>
    </w:p>
  </w:footnote>
  <w:footnote w:id="8">
    <w:p w14:paraId="4FBAB279" w14:textId="654C7C71" w:rsidR="00AC717D" w:rsidRPr="00531AA5" w:rsidRDefault="00087631" w:rsidP="00087631">
      <w:pPr>
        <w:tabs>
          <w:tab w:val="right" w:pos="1021"/>
        </w:tabs>
        <w:spacing w:line="220" w:lineRule="exact"/>
        <w:ind w:left="1134" w:right="1134" w:hanging="1134"/>
        <w:rPr>
          <w:rFonts w:asciiTheme="majorBidi" w:hAnsiTheme="majorBidi" w:cstheme="majorBidi"/>
          <w:sz w:val="18"/>
          <w:szCs w:val="18"/>
        </w:rPr>
      </w:pPr>
      <w:r>
        <w:rPr>
          <w:rFonts w:asciiTheme="majorBidi" w:hAnsiTheme="majorBidi" w:cstheme="majorBidi"/>
          <w:sz w:val="18"/>
          <w:szCs w:val="18"/>
        </w:rPr>
        <w:tab/>
      </w:r>
      <w:r w:rsidR="00AC717D" w:rsidRPr="00087631">
        <w:rPr>
          <w:rStyle w:val="FootnoteReference"/>
          <w:rFonts w:asciiTheme="majorBidi" w:hAnsiTheme="majorBidi"/>
          <w:lang w:eastAsia="en-US" w:bidi="ar-SA"/>
        </w:rPr>
        <w:footnoteRef/>
      </w:r>
      <w:r>
        <w:rPr>
          <w:rFonts w:asciiTheme="majorBidi" w:hAnsiTheme="majorBidi" w:cstheme="majorBidi"/>
          <w:sz w:val="18"/>
          <w:szCs w:val="18"/>
        </w:rPr>
        <w:tab/>
      </w:r>
      <w:r w:rsidR="00AC717D" w:rsidRPr="00087631">
        <w:rPr>
          <w:rStyle w:val="FootnoteTextChar"/>
          <w:lang w:val="en-US" w:bidi="ar-SA"/>
        </w:rPr>
        <w:t>According to a review of Human Rights Committee Concluding Observations, there were 16 concerning application of the death penalty, with 18.8% of those cases involving counter-terrorism measures against civil society</w:t>
      </w:r>
      <w:r w:rsidR="00AC717D" w:rsidRPr="00087631">
        <w:rPr>
          <w:rFonts w:asciiTheme="majorBidi" w:hAnsiTheme="majorBidi" w:cstheme="majorBidi"/>
          <w:sz w:val="18"/>
          <w:szCs w:val="18"/>
          <w:lang w:val="en-US" w:eastAsia="en-US" w:bidi="ar-SA"/>
        </w:rPr>
        <w:t>.</w:t>
      </w:r>
    </w:p>
  </w:footnote>
  <w:footnote w:id="9">
    <w:p w14:paraId="7B270198" w14:textId="06992635" w:rsidR="00FD5ADC" w:rsidRPr="00EC776B" w:rsidRDefault="00087631" w:rsidP="00087631">
      <w:pPr>
        <w:pStyle w:val="FootnoteText"/>
      </w:pPr>
      <w:r>
        <w:tab/>
      </w:r>
      <w:r w:rsidR="00FD5ADC">
        <w:rPr>
          <w:rStyle w:val="FootnoteReference"/>
        </w:rPr>
        <w:footnoteRef/>
      </w:r>
      <w:r w:rsidR="00FD5ADC">
        <w:t xml:space="preserve"> </w:t>
      </w:r>
      <w:r>
        <w:tab/>
      </w:r>
      <w:r w:rsidR="006932D6" w:rsidRPr="00531AA5">
        <w:rPr>
          <w:rFonts w:asciiTheme="majorBidi" w:hAnsiTheme="majorBidi" w:cstheme="majorBidi"/>
          <w:szCs w:val="18"/>
        </w:rPr>
        <w:t>Global Study,</w:t>
      </w:r>
      <w:r w:rsidR="006932D6" w:rsidDel="006932D6">
        <w:t xml:space="preserve"> </w:t>
      </w:r>
      <w:r w:rsidR="00EC776B">
        <w:rPr>
          <w:i/>
          <w:iCs/>
        </w:rPr>
        <w:t xml:space="preserve">citing </w:t>
      </w:r>
      <w:r w:rsidR="00EC776B">
        <w:t>Interaction (2021)</w:t>
      </w:r>
      <w:r>
        <w:t>.</w:t>
      </w:r>
    </w:p>
  </w:footnote>
  <w:footnote w:id="10">
    <w:p w14:paraId="40D85899" w14:textId="39A64E8D" w:rsidR="00A40262" w:rsidRPr="00531AA5" w:rsidRDefault="00087631" w:rsidP="00087631">
      <w:pPr>
        <w:tabs>
          <w:tab w:val="right" w:pos="1021"/>
        </w:tabs>
        <w:spacing w:line="220" w:lineRule="exact"/>
        <w:ind w:left="1134" w:right="1134" w:hanging="1134"/>
        <w:rPr>
          <w:rFonts w:asciiTheme="majorBidi" w:hAnsiTheme="majorBidi" w:cstheme="majorBidi"/>
          <w:sz w:val="18"/>
          <w:szCs w:val="18"/>
        </w:rPr>
      </w:pPr>
      <w:r>
        <w:rPr>
          <w:rFonts w:asciiTheme="majorBidi" w:hAnsiTheme="majorBidi" w:cstheme="majorBidi"/>
          <w:sz w:val="18"/>
          <w:szCs w:val="18"/>
        </w:rPr>
        <w:tab/>
      </w:r>
      <w:r w:rsidR="00A40262" w:rsidRPr="00015387">
        <w:rPr>
          <w:rStyle w:val="FootnoteReference"/>
        </w:rPr>
        <w:footnoteRef/>
      </w:r>
      <w:r>
        <w:rPr>
          <w:rFonts w:asciiTheme="majorBidi" w:hAnsiTheme="majorBidi" w:cstheme="majorBidi"/>
          <w:sz w:val="18"/>
          <w:szCs w:val="18"/>
        </w:rPr>
        <w:tab/>
      </w:r>
      <w:r w:rsidR="00A40262" w:rsidRPr="00015387">
        <w:rPr>
          <w:rStyle w:val="FootnoteTextChar"/>
        </w:rPr>
        <w:t xml:space="preserve">FATF clarifies risk-based approach: case-by-case, not wholesale de-risking, October 2014. Available at: </w:t>
      </w:r>
      <w:r w:rsidR="00761092" w:rsidRPr="00015387">
        <w:rPr>
          <w:rStyle w:val="FootnoteTextChar"/>
        </w:rPr>
        <w:t>https://www.fatf-gafi.org/en/publications/Fatfgeneral/Rba-and-de-risking.html</w:t>
      </w:r>
      <w:r w:rsidRPr="00015387">
        <w:rPr>
          <w:rStyle w:val="FootnoteTextChar"/>
        </w:rPr>
        <w:t>.</w:t>
      </w:r>
    </w:p>
  </w:footnote>
  <w:footnote w:id="11">
    <w:p w14:paraId="056B57E9" w14:textId="74A0959A" w:rsidR="00A40262" w:rsidRPr="00531AA5" w:rsidRDefault="00015387" w:rsidP="00087631">
      <w:pPr>
        <w:pStyle w:val="FootnoteText"/>
        <w:rPr>
          <w:rFonts w:asciiTheme="majorBidi" w:hAnsiTheme="majorBidi" w:cstheme="majorBidi"/>
          <w:color w:val="000000" w:themeColor="text1"/>
          <w:szCs w:val="18"/>
          <w:lang w:val="en-US"/>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sidR="00A40262" w:rsidRPr="00531AA5">
        <w:rPr>
          <w:rFonts w:asciiTheme="majorBidi" w:hAnsiTheme="majorBidi" w:cstheme="majorBidi"/>
          <w:szCs w:val="18"/>
        </w:rPr>
        <w:t xml:space="preserve"> </w:t>
      </w:r>
      <w:r>
        <w:rPr>
          <w:rFonts w:asciiTheme="majorBidi" w:hAnsiTheme="majorBidi" w:cstheme="majorBidi"/>
          <w:szCs w:val="18"/>
        </w:rPr>
        <w:tab/>
      </w:r>
      <w:r w:rsidR="00A40262" w:rsidRPr="00531AA5">
        <w:rPr>
          <w:rFonts w:asciiTheme="majorBidi" w:hAnsiTheme="majorBidi" w:cstheme="majorBidi"/>
          <w:szCs w:val="18"/>
        </w:rPr>
        <w:t>A</w:t>
      </w:r>
      <w:r w:rsidR="00A40262" w:rsidRPr="00531AA5">
        <w:rPr>
          <w:rFonts w:asciiTheme="majorBidi" w:hAnsiTheme="majorBidi" w:cstheme="majorBidi"/>
          <w:color w:val="000000" w:themeColor="text1"/>
          <w:szCs w:val="18"/>
        </w:rPr>
        <w:t xml:space="preserve">/73/361, para. </w:t>
      </w:r>
      <w:r w:rsidR="00A40262" w:rsidRPr="00531AA5">
        <w:rPr>
          <w:rFonts w:asciiTheme="majorBidi" w:hAnsiTheme="majorBidi" w:cstheme="majorBidi"/>
          <w:color w:val="000000" w:themeColor="text1"/>
          <w:szCs w:val="18"/>
          <w:lang w:val="en-US"/>
        </w:rPr>
        <w:t>19; A/65/258</w:t>
      </w:r>
      <w:r w:rsidR="00FA0B1F" w:rsidRPr="00531AA5">
        <w:rPr>
          <w:rFonts w:asciiTheme="majorBidi" w:hAnsiTheme="majorBidi" w:cstheme="majorBidi"/>
          <w:color w:val="000000" w:themeColor="text1"/>
          <w:szCs w:val="18"/>
          <w:lang w:val="en-US"/>
        </w:rPr>
        <w:t>,</w:t>
      </w:r>
      <w:r w:rsidR="00BE755E" w:rsidRPr="00531AA5">
        <w:rPr>
          <w:rFonts w:asciiTheme="majorBidi" w:hAnsiTheme="majorBidi" w:cstheme="majorBidi"/>
          <w:color w:val="000000" w:themeColor="text1"/>
          <w:szCs w:val="18"/>
          <w:lang w:val="en-US"/>
        </w:rPr>
        <w:t xml:space="preserve"> see </w:t>
      </w:r>
      <w:proofErr w:type="gramStart"/>
      <w:r w:rsidR="00BE755E" w:rsidRPr="00531AA5">
        <w:rPr>
          <w:rFonts w:asciiTheme="majorBidi" w:hAnsiTheme="majorBidi" w:cstheme="majorBidi"/>
          <w:color w:val="000000" w:themeColor="text1"/>
          <w:szCs w:val="18"/>
          <w:lang w:val="en-US"/>
        </w:rPr>
        <w:t>in particular</w:t>
      </w:r>
      <w:r w:rsidR="00FA0B1F" w:rsidRPr="00531AA5">
        <w:rPr>
          <w:rFonts w:asciiTheme="majorBidi" w:hAnsiTheme="majorBidi" w:cstheme="majorBidi"/>
          <w:color w:val="000000" w:themeColor="text1"/>
          <w:szCs w:val="18"/>
          <w:lang w:val="en-US"/>
        </w:rPr>
        <w:t xml:space="preserve"> paras</w:t>
      </w:r>
      <w:proofErr w:type="gramEnd"/>
      <w:r w:rsidR="00FA0B1F" w:rsidRPr="00531AA5">
        <w:rPr>
          <w:rFonts w:asciiTheme="majorBidi" w:hAnsiTheme="majorBidi" w:cstheme="majorBidi"/>
          <w:color w:val="000000" w:themeColor="text1"/>
          <w:szCs w:val="18"/>
          <w:lang w:val="en-US"/>
        </w:rPr>
        <w:t xml:space="preserve"> 53-58</w:t>
      </w:r>
      <w:r w:rsidR="00A40262" w:rsidRPr="00531AA5">
        <w:rPr>
          <w:rFonts w:asciiTheme="majorBidi" w:hAnsiTheme="majorBidi" w:cstheme="majorBidi"/>
          <w:color w:val="000000" w:themeColor="text1"/>
          <w:szCs w:val="18"/>
          <w:lang w:val="en-US"/>
        </w:rPr>
        <w:t>; A/67/396; A/HRC/34/61</w:t>
      </w:r>
      <w:r w:rsidR="00BE755E" w:rsidRPr="00531AA5">
        <w:rPr>
          <w:rFonts w:asciiTheme="majorBidi" w:hAnsiTheme="majorBidi" w:cstheme="majorBidi"/>
          <w:color w:val="000000" w:themeColor="text1"/>
          <w:szCs w:val="18"/>
          <w:lang w:val="en-US"/>
        </w:rPr>
        <w:t>, paras 17-20</w:t>
      </w:r>
      <w:r w:rsidR="00A40262" w:rsidRPr="00531AA5">
        <w:rPr>
          <w:rFonts w:asciiTheme="majorBidi" w:hAnsiTheme="majorBidi" w:cstheme="majorBidi"/>
          <w:color w:val="000000" w:themeColor="text1"/>
          <w:szCs w:val="18"/>
          <w:lang w:val="en-US"/>
        </w:rPr>
        <w:t>.</w:t>
      </w:r>
    </w:p>
  </w:footnote>
  <w:footnote w:id="12">
    <w:p w14:paraId="46E7C97F" w14:textId="5787D9BD" w:rsidR="00CB6198"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CB6198" w:rsidRPr="00531AA5">
        <w:rPr>
          <w:rStyle w:val="FootnoteReference"/>
          <w:rFonts w:asciiTheme="majorBidi" w:hAnsiTheme="majorBidi" w:cstheme="majorBidi"/>
          <w:szCs w:val="18"/>
        </w:rPr>
        <w:footnoteRef/>
      </w:r>
      <w:r w:rsidR="00CB6198" w:rsidRPr="00531AA5">
        <w:rPr>
          <w:rFonts w:asciiTheme="majorBidi" w:hAnsiTheme="majorBidi" w:cstheme="majorBidi"/>
          <w:szCs w:val="18"/>
        </w:rPr>
        <w:t xml:space="preserve"> </w:t>
      </w:r>
      <w:r>
        <w:rPr>
          <w:rFonts w:asciiTheme="majorBidi" w:hAnsiTheme="majorBidi" w:cstheme="majorBidi"/>
          <w:szCs w:val="18"/>
        </w:rPr>
        <w:tab/>
      </w:r>
      <w:r w:rsidR="00CB6198" w:rsidRPr="00531AA5">
        <w:rPr>
          <w:rFonts w:asciiTheme="majorBidi" w:hAnsiTheme="majorBidi" w:cstheme="majorBidi"/>
          <w:szCs w:val="18"/>
        </w:rPr>
        <w:t>A/HRC/52/39</w:t>
      </w:r>
      <w:r>
        <w:rPr>
          <w:rFonts w:asciiTheme="majorBidi" w:hAnsiTheme="majorBidi" w:cstheme="majorBidi"/>
          <w:szCs w:val="18"/>
        </w:rPr>
        <w:t>.</w:t>
      </w:r>
    </w:p>
  </w:footnote>
  <w:footnote w:id="13">
    <w:p w14:paraId="0F015A02" w14:textId="11B9C3A9"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sidR="00A40262" w:rsidRPr="00531AA5">
        <w:rPr>
          <w:rFonts w:asciiTheme="majorBidi" w:hAnsiTheme="majorBidi" w:cstheme="majorBidi"/>
          <w:szCs w:val="18"/>
        </w:rPr>
        <w:t xml:space="preserve"> </w:t>
      </w:r>
      <w:r>
        <w:rPr>
          <w:rFonts w:asciiTheme="majorBidi" w:hAnsiTheme="majorBidi" w:cstheme="majorBidi"/>
          <w:szCs w:val="18"/>
        </w:rPr>
        <w:tab/>
      </w:r>
      <w:r w:rsidR="00A40262" w:rsidRPr="00531AA5">
        <w:rPr>
          <w:rFonts w:asciiTheme="majorBidi" w:hAnsiTheme="majorBidi" w:cstheme="majorBidi"/>
          <w:i/>
          <w:iCs/>
          <w:szCs w:val="18"/>
        </w:rPr>
        <w:t xml:space="preserve">Position paper of the Special Rapporteur on the Global Regulation of the Counter-Terrorism Spyware Technology Trade </w:t>
      </w:r>
      <w:r w:rsidR="00A40262" w:rsidRPr="00531AA5">
        <w:rPr>
          <w:rFonts w:asciiTheme="majorBidi" w:hAnsiTheme="majorBidi" w:cstheme="majorBidi"/>
          <w:szCs w:val="18"/>
        </w:rPr>
        <w:t>(Spyware Position Paper) (2023), paras. 36-47.</w:t>
      </w:r>
    </w:p>
  </w:footnote>
  <w:footnote w:id="14">
    <w:p w14:paraId="193312F1" w14:textId="2A6E5D47" w:rsidR="00345992" w:rsidRDefault="00015387" w:rsidP="00087631">
      <w:pPr>
        <w:pStyle w:val="FootnoteText"/>
      </w:pPr>
      <w:r>
        <w:tab/>
      </w:r>
      <w:r w:rsidR="00345992">
        <w:rPr>
          <w:rStyle w:val="FootnoteReference"/>
        </w:rPr>
        <w:footnoteRef/>
      </w:r>
      <w:r w:rsidR="00345992">
        <w:t xml:space="preserve"> </w:t>
      </w:r>
      <w:r>
        <w:tab/>
      </w:r>
      <w:r w:rsidR="00345992" w:rsidRPr="00531AA5">
        <w:rPr>
          <w:rFonts w:asciiTheme="majorBidi" w:hAnsiTheme="majorBidi" w:cstheme="majorBidi"/>
          <w:szCs w:val="18"/>
        </w:rPr>
        <w:t>Consultation with respondents from Latin America &amp; the Caribbean as part of the Global Study</w:t>
      </w:r>
      <w:r w:rsidR="00345992">
        <w:rPr>
          <w:rFonts w:asciiTheme="majorBidi" w:hAnsiTheme="majorBidi" w:cstheme="majorBidi"/>
          <w:szCs w:val="18"/>
        </w:rPr>
        <w:t>.</w:t>
      </w:r>
    </w:p>
  </w:footnote>
  <w:footnote w:id="15">
    <w:p w14:paraId="52C2FF69" w14:textId="11B91D60"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sidR="00A40262" w:rsidRPr="00531AA5">
        <w:rPr>
          <w:rFonts w:asciiTheme="majorBidi" w:hAnsiTheme="majorBidi" w:cstheme="majorBidi"/>
          <w:szCs w:val="18"/>
        </w:rPr>
        <w:t xml:space="preserve"> </w:t>
      </w:r>
      <w:r>
        <w:rPr>
          <w:rFonts w:asciiTheme="majorBidi" w:hAnsiTheme="majorBidi" w:cstheme="majorBidi"/>
          <w:szCs w:val="18"/>
        </w:rPr>
        <w:tab/>
      </w:r>
      <w:proofErr w:type="gramStart"/>
      <w:r w:rsidR="00A40262" w:rsidRPr="00531AA5">
        <w:rPr>
          <w:rFonts w:asciiTheme="majorBidi" w:hAnsiTheme="majorBidi" w:cstheme="majorBidi"/>
          <w:szCs w:val="18"/>
        </w:rPr>
        <w:t>https://www.accessnow.org/keepiton.</w:t>
      </w:r>
      <w:r>
        <w:rPr>
          <w:rFonts w:asciiTheme="majorBidi" w:hAnsiTheme="majorBidi" w:cstheme="majorBidi"/>
          <w:szCs w:val="18"/>
        </w:rPr>
        <w:t>.</w:t>
      </w:r>
      <w:proofErr w:type="gramEnd"/>
      <w:r w:rsidR="00A40262" w:rsidRPr="00531AA5">
        <w:rPr>
          <w:rFonts w:asciiTheme="majorBidi" w:hAnsiTheme="majorBidi" w:cstheme="majorBidi"/>
          <w:szCs w:val="18"/>
        </w:rPr>
        <w:t xml:space="preserve"> </w:t>
      </w:r>
    </w:p>
  </w:footnote>
  <w:footnote w:id="16">
    <w:p w14:paraId="49D8977C" w14:textId="385B144D"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sidR="00A40262" w:rsidRPr="00531AA5">
        <w:rPr>
          <w:rFonts w:asciiTheme="majorBidi" w:hAnsiTheme="majorBidi" w:cstheme="majorBidi"/>
          <w:szCs w:val="18"/>
        </w:rPr>
        <w:t xml:space="preserve"> </w:t>
      </w:r>
      <w:r>
        <w:rPr>
          <w:rFonts w:asciiTheme="majorBidi" w:hAnsiTheme="majorBidi" w:cstheme="majorBidi"/>
          <w:szCs w:val="18"/>
        </w:rPr>
        <w:tab/>
      </w:r>
      <w:r w:rsidR="00520C2D" w:rsidRPr="00531AA5">
        <w:rPr>
          <w:rFonts w:asciiTheme="majorBidi" w:hAnsiTheme="majorBidi" w:cstheme="majorBidi"/>
          <w:szCs w:val="18"/>
        </w:rPr>
        <w:t>All reference to data</w:t>
      </w:r>
      <w:r w:rsidR="00E50CFF" w:rsidRPr="00531AA5">
        <w:rPr>
          <w:rFonts w:asciiTheme="majorBidi" w:hAnsiTheme="majorBidi" w:cstheme="majorBidi"/>
          <w:szCs w:val="18"/>
        </w:rPr>
        <w:t xml:space="preserve">, research briefs </w:t>
      </w:r>
      <w:r w:rsidR="00520C2D" w:rsidRPr="00531AA5">
        <w:rPr>
          <w:rFonts w:asciiTheme="majorBidi" w:hAnsiTheme="majorBidi" w:cstheme="majorBidi"/>
          <w:szCs w:val="18"/>
        </w:rPr>
        <w:t>and findings in this section are available via the Global Study</w:t>
      </w:r>
      <w:r w:rsidR="00E50CFF" w:rsidRPr="00531AA5">
        <w:rPr>
          <w:rFonts w:asciiTheme="majorBidi" w:hAnsiTheme="majorBidi" w:cstheme="majorBidi"/>
          <w:szCs w:val="18"/>
        </w:rPr>
        <w:t>;</w:t>
      </w:r>
      <w:r w:rsidR="00520C2D" w:rsidRPr="00531AA5">
        <w:rPr>
          <w:rFonts w:asciiTheme="majorBidi" w:hAnsiTheme="majorBidi" w:cstheme="majorBidi"/>
          <w:szCs w:val="18"/>
        </w:rPr>
        <w:t xml:space="preserve"> See: https://unglobalstudy.wpengine.com/wp-content/uploads/2023/06/SRCT_GlobalStudy_Thematic-Brief_UN-Human-Rights-Treaty-Bodies.pdf), Special Procedures &amp; the Misuse of </w:t>
      </w:r>
      <w:proofErr w:type="gramStart"/>
      <w:r w:rsidR="00520C2D" w:rsidRPr="00531AA5">
        <w:rPr>
          <w:rFonts w:asciiTheme="majorBidi" w:hAnsiTheme="majorBidi" w:cstheme="majorBidi"/>
          <w:szCs w:val="18"/>
        </w:rPr>
        <w:t>Counter-Terrorism</w:t>
      </w:r>
      <w:proofErr w:type="gramEnd"/>
      <w:r w:rsidR="00520C2D" w:rsidRPr="00531AA5">
        <w:rPr>
          <w:rFonts w:asciiTheme="majorBidi" w:hAnsiTheme="majorBidi" w:cstheme="majorBidi"/>
          <w:szCs w:val="18"/>
        </w:rPr>
        <w:t xml:space="preserve"> and P/CVE (online: https://unglobalstudy.wpengine.com/wp-content/uploads/2023/06/SRCT_Global_Study_Thematic-Brief_CTHR-Policy-Report-SPs.pdf)</w:t>
      </w:r>
      <w:r>
        <w:rPr>
          <w:rFonts w:asciiTheme="majorBidi" w:hAnsiTheme="majorBidi" w:cstheme="majorBidi"/>
          <w:szCs w:val="18"/>
        </w:rPr>
        <w:t>.</w:t>
      </w:r>
    </w:p>
  </w:footnote>
  <w:footnote w:id="17">
    <w:p w14:paraId="2AFBC0B3" w14:textId="19B1FD78" w:rsidR="00A40262" w:rsidRPr="00531AA5" w:rsidRDefault="00015387" w:rsidP="00087631">
      <w:pPr>
        <w:pStyle w:val="FootnoteText"/>
        <w:rPr>
          <w:rFonts w:asciiTheme="majorBidi" w:hAnsiTheme="majorBidi" w:cstheme="majorBidi"/>
          <w:szCs w:val="18"/>
        </w:rPr>
      </w:pPr>
      <w:r w:rsidRPr="008622D4">
        <w:rPr>
          <w:rFonts w:asciiTheme="majorBidi" w:hAnsiTheme="majorBidi" w:cstheme="majorBidi"/>
          <w:szCs w:val="18"/>
        </w:rPr>
        <w:tab/>
      </w:r>
      <w:r w:rsidR="00A40262" w:rsidRPr="00531AA5">
        <w:rPr>
          <w:rStyle w:val="FootnoteReference"/>
          <w:rFonts w:asciiTheme="majorBidi" w:hAnsiTheme="majorBidi" w:cstheme="majorBidi"/>
          <w:szCs w:val="18"/>
        </w:rPr>
        <w:footnoteRef/>
      </w:r>
      <w:r w:rsidR="00A40262" w:rsidRPr="00635AFE">
        <w:rPr>
          <w:rFonts w:asciiTheme="majorBidi" w:hAnsiTheme="majorBidi" w:cstheme="majorBidi"/>
          <w:szCs w:val="18"/>
          <w:lang w:val="es-ES"/>
        </w:rPr>
        <w:t xml:space="preserve"> </w:t>
      </w:r>
      <w:r>
        <w:rPr>
          <w:rFonts w:asciiTheme="majorBidi" w:hAnsiTheme="majorBidi" w:cstheme="majorBidi"/>
          <w:szCs w:val="18"/>
          <w:lang w:val="es-ES"/>
        </w:rPr>
        <w:tab/>
      </w:r>
      <w:r w:rsidR="00A40262" w:rsidRPr="00635AFE">
        <w:rPr>
          <w:rFonts w:asciiTheme="majorBidi" w:hAnsiTheme="majorBidi" w:cstheme="majorBidi"/>
          <w:szCs w:val="18"/>
          <w:lang w:val="es-ES"/>
        </w:rPr>
        <w:t xml:space="preserve">CCPR/C/AUS/CO/6, para. </w:t>
      </w:r>
      <w:r w:rsidR="00A40262" w:rsidRPr="00531AA5">
        <w:rPr>
          <w:rFonts w:asciiTheme="majorBidi" w:hAnsiTheme="majorBidi" w:cstheme="majorBidi"/>
          <w:szCs w:val="18"/>
        </w:rPr>
        <w:t>15.</w:t>
      </w:r>
    </w:p>
  </w:footnote>
  <w:footnote w:id="18">
    <w:p w14:paraId="15DB2847" w14:textId="1926A2B8" w:rsidR="00A40262" w:rsidRPr="00531AA5" w:rsidRDefault="00015387" w:rsidP="00087631">
      <w:pPr>
        <w:pStyle w:val="FootnoteText"/>
        <w:rPr>
          <w:rFonts w:asciiTheme="majorBidi" w:hAnsiTheme="majorBidi" w:cstheme="majorBidi"/>
          <w:szCs w:val="18"/>
        </w:rPr>
      </w:pPr>
      <w:r>
        <w:rPr>
          <w:rFonts w:asciiTheme="majorBidi" w:hAnsiTheme="majorBidi" w:cstheme="majorBidi"/>
          <w:color w:val="000000" w:themeColor="text1"/>
          <w:szCs w:val="18"/>
        </w:rPr>
        <w:tab/>
      </w:r>
      <w:r w:rsidR="00A40262" w:rsidRPr="00531AA5">
        <w:rPr>
          <w:rStyle w:val="FootnoteReference"/>
          <w:rFonts w:asciiTheme="majorBidi" w:hAnsiTheme="majorBidi" w:cstheme="majorBidi"/>
          <w:color w:val="000000" w:themeColor="text1"/>
          <w:szCs w:val="18"/>
        </w:rPr>
        <w:footnoteRef/>
      </w:r>
      <w:r w:rsidR="00A40262" w:rsidRPr="00531AA5">
        <w:rPr>
          <w:rFonts w:asciiTheme="majorBidi" w:hAnsiTheme="majorBidi" w:cstheme="majorBidi"/>
          <w:color w:val="000000" w:themeColor="text1"/>
          <w:szCs w:val="18"/>
        </w:rPr>
        <w:t xml:space="preserve"> </w:t>
      </w:r>
      <w:r>
        <w:rPr>
          <w:rFonts w:asciiTheme="majorBidi" w:hAnsiTheme="majorBidi" w:cstheme="majorBidi"/>
          <w:color w:val="000000" w:themeColor="text1"/>
          <w:szCs w:val="18"/>
        </w:rPr>
        <w:tab/>
      </w:r>
      <w:r w:rsidR="00E50CFF" w:rsidRPr="00531AA5">
        <w:rPr>
          <w:rFonts w:asciiTheme="majorBidi" w:hAnsiTheme="majorBidi" w:cstheme="majorBidi"/>
          <w:color w:val="000000" w:themeColor="text1"/>
          <w:szCs w:val="18"/>
        </w:rPr>
        <w:t>See full data set</w:t>
      </w:r>
      <w:r w:rsidR="00520C2D" w:rsidRPr="00531AA5">
        <w:rPr>
          <w:rFonts w:asciiTheme="majorBidi" w:hAnsiTheme="majorBidi" w:cstheme="majorBidi"/>
          <w:color w:val="000000" w:themeColor="text1"/>
          <w:szCs w:val="18"/>
        </w:rPr>
        <w:t>: https://unglobalstudy.wpengine.com/wp-content/uploads/2023/06/SRCT_GlobalStudy_Thematic-Brief_UN-Human-Rights-Treaty-Bodies.pdf</w:t>
      </w:r>
      <w:r>
        <w:rPr>
          <w:rFonts w:asciiTheme="majorBidi" w:hAnsiTheme="majorBidi" w:cstheme="majorBidi"/>
          <w:color w:val="000000" w:themeColor="text1"/>
          <w:szCs w:val="18"/>
        </w:rPr>
        <w:t>.</w:t>
      </w:r>
    </w:p>
  </w:footnote>
  <w:footnote w:id="19">
    <w:p w14:paraId="13A4F60D" w14:textId="051F4E14"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033250" w:rsidRPr="00531AA5">
        <w:rPr>
          <w:rFonts w:asciiTheme="majorBidi" w:hAnsiTheme="majorBidi" w:cstheme="majorBidi"/>
          <w:szCs w:val="18"/>
        </w:rPr>
        <w:t>AUS 2/2018</w:t>
      </w:r>
      <w:r w:rsidR="00A40262" w:rsidRPr="00531AA5">
        <w:rPr>
          <w:rFonts w:asciiTheme="majorBidi" w:hAnsiTheme="majorBidi" w:cstheme="majorBidi"/>
          <w:szCs w:val="18"/>
        </w:rPr>
        <w:t>.</w:t>
      </w:r>
    </w:p>
  </w:footnote>
  <w:footnote w:id="20">
    <w:p w14:paraId="3A80046D" w14:textId="1D02FF61"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033250" w:rsidRPr="00531AA5">
        <w:rPr>
          <w:rFonts w:asciiTheme="majorBidi" w:hAnsiTheme="majorBidi" w:cstheme="majorBidi"/>
          <w:szCs w:val="18"/>
        </w:rPr>
        <w:t>AUT 2/2021</w:t>
      </w:r>
      <w:r w:rsidR="00A40262" w:rsidRPr="00531AA5">
        <w:rPr>
          <w:rFonts w:asciiTheme="majorBidi" w:hAnsiTheme="majorBidi" w:cstheme="majorBidi"/>
          <w:szCs w:val="18"/>
        </w:rPr>
        <w:t>.</w:t>
      </w:r>
    </w:p>
  </w:footnote>
  <w:footnote w:id="21">
    <w:p w14:paraId="5C3689CF" w14:textId="02EBC501"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033250" w:rsidRPr="00531AA5">
        <w:rPr>
          <w:rFonts w:asciiTheme="majorBidi" w:hAnsiTheme="majorBidi" w:cstheme="majorBidi"/>
          <w:szCs w:val="18"/>
        </w:rPr>
        <w:t>ARE 6/2020</w:t>
      </w:r>
      <w:r>
        <w:rPr>
          <w:rFonts w:asciiTheme="majorBidi" w:hAnsiTheme="majorBidi" w:cstheme="majorBidi"/>
          <w:szCs w:val="18"/>
        </w:rPr>
        <w:t>.</w:t>
      </w:r>
    </w:p>
  </w:footnote>
  <w:footnote w:id="22">
    <w:p w14:paraId="3351BD97" w14:textId="29F15C28"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E62343" w:rsidRPr="00531AA5">
        <w:rPr>
          <w:rFonts w:asciiTheme="majorBidi" w:hAnsiTheme="majorBidi" w:cstheme="majorBidi"/>
          <w:szCs w:val="18"/>
        </w:rPr>
        <w:t>CAN 1/2015</w:t>
      </w:r>
      <w:r>
        <w:rPr>
          <w:rFonts w:asciiTheme="majorBidi" w:hAnsiTheme="majorBidi" w:cstheme="majorBidi"/>
          <w:szCs w:val="18"/>
        </w:rPr>
        <w:t>.</w:t>
      </w:r>
    </w:p>
  </w:footnote>
  <w:footnote w:id="23">
    <w:p w14:paraId="61E31934" w14:textId="2B692521"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E62343" w:rsidRPr="00531AA5">
        <w:rPr>
          <w:rFonts w:asciiTheme="majorBidi" w:hAnsiTheme="majorBidi" w:cstheme="majorBidi"/>
          <w:szCs w:val="18"/>
        </w:rPr>
        <w:t>BRA 8/2015</w:t>
      </w:r>
      <w:r>
        <w:rPr>
          <w:rFonts w:asciiTheme="majorBidi" w:hAnsiTheme="majorBidi" w:cstheme="majorBidi"/>
          <w:szCs w:val="18"/>
        </w:rPr>
        <w:t>.</w:t>
      </w:r>
    </w:p>
  </w:footnote>
  <w:footnote w:id="24">
    <w:p w14:paraId="604AC771" w14:textId="1289BAB2"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E62343" w:rsidRPr="00531AA5">
        <w:rPr>
          <w:rFonts w:asciiTheme="majorBidi" w:hAnsiTheme="majorBidi" w:cstheme="majorBidi"/>
          <w:szCs w:val="18"/>
        </w:rPr>
        <w:t>BRA 2/2014</w:t>
      </w:r>
      <w:r w:rsidR="00A40262" w:rsidRPr="00531AA5">
        <w:rPr>
          <w:rFonts w:asciiTheme="majorBidi" w:hAnsiTheme="majorBidi" w:cstheme="majorBidi"/>
          <w:szCs w:val="18"/>
        </w:rPr>
        <w:t>, p. 2.</w:t>
      </w:r>
    </w:p>
  </w:footnote>
  <w:footnote w:id="25">
    <w:p w14:paraId="2FD214F1" w14:textId="7BC22F1D" w:rsidR="00A40262" w:rsidRPr="00531AA5"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6F5C26" w:rsidRPr="00531AA5">
        <w:rPr>
          <w:rFonts w:asciiTheme="majorBidi" w:hAnsiTheme="majorBidi" w:cstheme="majorBidi"/>
          <w:szCs w:val="18"/>
        </w:rPr>
        <w:t>ARE 6/</w:t>
      </w:r>
      <w:proofErr w:type="gramStart"/>
      <w:r w:rsidR="006F5C26" w:rsidRPr="00531AA5">
        <w:rPr>
          <w:rFonts w:asciiTheme="majorBidi" w:hAnsiTheme="majorBidi" w:cstheme="majorBidi"/>
          <w:szCs w:val="18"/>
        </w:rPr>
        <w:t>2020</w:t>
      </w:r>
      <w:r w:rsidR="00A40262" w:rsidRPr="00531AA5">
        <w:rPr>
          <w:rFonts w:asciiTheme="majorBidi" w:hAnsiTheme="majorBidi" w:cstheme="majorBidi"/>
          <w:szCs w:val="18"/>
        </w:rPr>
        <w:t>;</w:t>
      </w:r>
      <w:r w:rsidR="006F5C26" w:rsidRPr="00531AA5">
        <w:rPr>
          <w:rFonts w:asciiTheme="majorBidi" w:hAnsiTheme="majorBidi" w:cstheme="majorBidi"/>
          <w:szCs w:val="18"/>
        </w:rPr>
        <w:t>,</w:t>
      </w:r>
      <w:proofErr w:type="gramEnd"/>
      <w:r w:rsidR="006F5C26" w:rsidRPr="00531AA5">
        <w:rPr>
          <w:rFonts w:asciiTheme="majorBidi" w:hAnsiTheme="majorBidi" w:cstheme="majorBidi"/>
          <w:szCs w:val="18"/>
        </w:rPr>
        <w:t xml:space="preserve"> DNK 3/2021</w:t>
      </w:r>
      <w:r>
        <w:rPr>
          <w:rFonts w:asciiTheme="majorBidi" w:hAnsiTheme="majorBidi" w:cstheme="majorBidi"/>
          <w:szCs w:val="18"/>
        </w:rPr>
        <w:t>.</w:t>
      </w:r>
    </w:p>
  </w:footnote>
  <w:footnote w:id="26">
    <w:p w14:paraId="297A21B1" w14:textId="51CD6F7E" w:rsidR="00A40262" w:rsidRPr="00531AA5" w:rsidRDefault="00015387" w:rsidP="00087631">
      <w:pPr>
        <w:pStyle w:val="FootnoteText"/>
        <w:rPr>
          <w:rFonts w:asciiTheme="majorBidi" w:hAnsiTheme="majorBidi" w:cstheme="majorBidi"/>
          <w:szCs w:val="18"/>
          <w:lang w:val="en-US"/>
        </w:rPr>
      </w:pPr>
      <w:r>
        <w:rPr>
          <w:rFonts w:asciiTheme="majorBidi" w:hAnsiTheme="majorBidi" w:cstheme="majorBidi"/>
          <w:szCs w:val="18"/>
          <w:lang w:val="en-US"/>
        </w:rPr>
        <w:tab/>
      </w:r>
      <w:r w:rsidR="00A40262" w:rsidRPr="00531AA5">
        <w:rPr>
          <w:rStyle w:val="FootnoteReference"/>
          <w:rFonts w:asciiTheme="majorBidi" w:hAnsiTheme="majorBidi" w:cstheme="majorBidi"/>
          <w:szCs w:val="18"/>
        </w:rPr>
        <w:footnoteRef/>
      </w:r>
      <w:r>
        <w:rPr>
          <w:rFonts w:asciiTheme="majorBidi" w:hAnsiTheme="majorBidi" w:cstheme="majorBidi"/>
          <w:szCs w:val="18"/>
          <w:lang w:val="en-US"/>
        </w:rPr>
        <w:tab/>
      </w:r>
      <w:r w:rsidR="006F5C26" w:rsidRPr="00531AA5">
        <w:rPr>
          <w:rFonts w:asciiTheme="majorBidi" w:hAnsiTheme="majorBidi" w:cstheme="majorBidi"/>
          <w:szCs w:val="18"/>
          <w:lang w:val="en-US"/>
        </w:rPr>
        <w:t>FRA 2/2020</w:t>
      </w:r>
      <w:r w:rsidR="00A40262" w:rsidRPr="00531AA5">
        <w:rPr>
          <w:rFonts w:asciiTheme="majorBidi" w:hAnsiTheme="majorBidi" w:cstheme="majorBidi"/>
          <w:szCs w:val="18"/>
          <w:lang w:val="en-US"/>
        </w:rPr>
        <w:t>, p. 4.</w:t>
      </w:r>
    </w:p>
  </w:footnote>
  <w:footnote w:id="27">
    <w:p w14:paraId="4D6B495C" w14:textId="49932963" w:rsidR="00A40262" w:rsidRPr="00531AA5" w:rsidRDefault="00015387" w:rsidP="00087631">
      <w:pPr>
        <w:pStyle w:val="FootnoteText"/>
        <w:rPr>
          <w:rFonts w:asciiTheme="majorBidi" w:hAnsiTheme="majorBidi" w:cstheme="majorBidi"/>
          <w:szCs w:val="18"/>
          <w:lang w:val="en-US"/>
        </w:rPr>
      </w:pPr>
      <w:r>
        <w:rPr>
          <w:rFonts w:asciiTheme="majorBidi" w:hAnsiTheme="majorBidi" w:cstheme="majorBidi"/>
          <w:szCs w:val="18"/>
          <w:lang w:val="en-US"/>
        </w:rPr>
        <w:tab/>
      </w:r>
      <w:r w:rsidR="00A40262" w:rsidRPr="00531AA5">
        <w:rPr>
          <w:rStyle w:val="FootnoteReference"/>
          <w:rFonts w:asciiTheme="majorBidi" w:hAnsiTheme="majorBidi" w:cstheme="majorBidi"/>
          <w:szCs w:val="18"/>
        </w:rPr>
        <w:footnoteRef/>
      </w:r>
      <w:r>
        <w:rPr>
          <w:rFonts w:asciiTheme="majorBidi" w:hAnsiTheme="majorBidi" w:cstheme="majorBidi"/>
          <w:szCs w:val="18"/>
          <w:lang w:val="en-US"/>
        </w:rPr>
        <w:tab/>
      </w:r>
      <w:r w:rsidR="006F5C26" w:rsidRPr="00531AA5">
        <w:rPr>
          <w:rFonts w:asciiTheme="majorBidi" w:hAnsiTheme="majorBidi" w:cstheme="majorBidi"/>
          <w:szCs w:val="18"/>
          <w:lang w:val="en-US"/>
        </w:rPr>
        <w:t>NZL 1/2021, p</w:t>
      </w:r>
      <w:r w:rsidR="00A40262" w:rsidRPr="00531AA5">
        <w:rPr>
          <w:rFonts w:asciiTheme="majorBidi" w:hAnsiTheme="majorBidi" w:cstheme="majorBidi"/>
          <w:szCs w:val="18"/>
          <w:lang w:val="en-US"/>
        </w:rPr>
        <w:t xml:space="preserve">. 4-5; </w:t>
      </w:r>
      <w:r w:rsidR="006F5C26" w:rsidRPr="00531AA5">
        <w:rPr>
          <w:rFonts w:asciiTheme="majorBidi" w:hAnsiTheme="majorBidi" w:cstheme="majorBidi"/>
          <w:szCs w:val="18"/>
          <w:lang w:val="en-US"/>
        </w:rPr>
        <w:t>ZMB 1/2021</w:t>
      </w:r>
      <w:r w:rsidR="00A40262" w:rsidRPr="00531AA5">
        <w:rPr>
          <w:rFonts w:asciiTheme="majorBidi" w:hAnsiTheme="majorBidi" w:cstheme="majorBidi"/>
          <w:szCs w:val="18"/>
          <w:lang w:val="en-US"/>
        </w:rPr>
        <w:t>, p. 4.</w:t>
      </w:r>
    </w:p>
  </w:footnote>
  <w:footnote w:id="28">
    <w:p w14:paraId="27EA21E5" w14:textId="513B179A" w:rsidR="00A40262" w:rsidRPr="003D0792" w:rsidRDefault="00015387" w:rsidP="00087631">
      <w:pPr>
        <w:pStyle w:val="FootnoteText"/>
        <w:rPr>
          <w:rFonts w:asciiTheme="majorBidi" w:hAnsiTheme="majorBidi" w:cstheme="majorBidi"/>
          <w:szCs w:val="18"/>
        </w:rPr>
      </w:pPr>
      <w:r>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A40262" w:rsidRPr="003D0792">
        <w:rPr>
          <w:rFonts w:asciiTheme="majorBidi" w:hAnsiTheme="majorBidi" w:cstheme="majorBidi"/>
          <w:szCs w:val="18"/>
        </w:rPr>
        <w:t>Ibid, pp. 6-7.</w:t>
      </w:r>
    </w:p>
  </w:footnote>
  <w:footnote w:id="29">
    <w:p w14:paraId="5C230F01" w14:textId="63055F30" w:rsidR="00A40262" w:rsidRPr="003D0792" w:rsidRDefault="00015387" w:rsidP="00087631">
      <w:pPr>
        <w:pStyle w:val="FootnoteText"/>
        <w:rPr>
          <w:rFonts w:asciiTheme="majorBidi" w:hAnsiTheme="majorBidi" w:cstheme="majorBidi"/>
          <w:szCs w:val="18"/>
          <w:lang w:val="es-ES"/>
        </w:rPr>
      </w:pPr>
      <w:r w:rsidRPr="008622D4">
        <w:rPr>
          <w:rFonts w:asciiTheme="majorBidi" w:hAnsiTheme="majorBidi" w:cstheme="majorBidi"/>
          <w:szCs w:val="18"/>
        </w:rPr>
        <w:tab/>
      </w:r>
      <w:r w:rsidR="00A40262" w:rsidRPr="00531AA5">
        <w:rPr>
          <w:rStyle w:val="FootnoteReference"/>
          <w:rFonts w:asciiTheme="majorBidi" w:hAnsiTheme="majorBidi" w:cstheme="majorBidi"/>
          <w:szCs w:val="18"/>
        </w:rPr>
        <w:footnoteRef/>
      </w:r>
      <w:r>
        <w:rPr>
          <w:rFonts w:asciiTheme="majorBidi" w:hAnsiTheme="majorBidi" w:cstheme="majorBidi"/>
          <w:szCs w:val="18"/>
          <w:lang w:val="es-ES"/>
        </w:rPr>
        <w:tab/>
      </w:r>
      <w:r w:rsidR="00A40262" w:rsidRPr="00635AFE">
        <w:rPr>
          <w:rFonts w:asciiTheme="majorBidi" w:hAnsiTheme="majorBidi" w:cstheme="majorBidi"/>
          <w:szCs w:val="18"/>
          <w:lang w:val="es-ES"/>
        </w:rPr>
        <w:t xml:space="preserve">A/HRC/41/35, para. </w:t>
      </w:r>
      <w:r w:rsidR="00A40262" w:rsidRPr="003D0792">
        <w:rPr>
          <w:rFonts w:asciiTheme="majorBidi" w:hAnsiTheme="majorBidi" w:cstheme="majorBidi"/>
          <w:szCs w:val="18"/>
          <w:lang w:val="es-ES"/>
        </w:rPr>
        <w:t>26.</w:t>
      </w:r>
    </w:p>
  </w:footnote>
  <w:footnote w:id="30">
    <w:p w14:paraId="480377C6" w14:textId="60219205" w:rsidR="00A40262" w:rsidRPr="005F0068" w:rsidRDefault="00015387" w:rsidP="00087631">
      <w:pPr>
        <w:pStyle w:val="FootnoteText"/>
        <w:rPr>
          <w:rFonts w:asciiTheme="majorBidi" w:hAnsiTheme="majorBidi" w:cstheme="majorBidi"/>
          <w:szCs w:val="18"/>
          <w:lang w:val="es-ES"/>
        </w:rPr>
      </w:pPr>
      <w:r>
        <w:rPr>
          <w:rFonts w:asciiTheme="majorBidi" w:hAnsiTheme="majorBidi" w:cstheme="majorBidi"/>
          <w:szCs w:val="18"/>
          <w:lang w:val="es-ES"/>
        </w:rPr>
        <w:tab/>
      </w:r>
      <w:r w:rsidR="00A40262" w:rsidRPr="00531AA5">
        <w:rPr>
          <w:rStyle w:val="FootnoteReference"/>
          <w:rFonts w:asciiTheme="majorBidi" w:hAnsiTheme="majorBidi" w:cstheme="majorBidi"/>
          <w:szCs w:val="18"/>
        </w:rPr>
        <w:footnoteRef/>
      </w:r>
      <w:r>
        <w:rPr>
          <w:rFonts w:asciiTheme="majorBidi" w:hAnsiTheme="majorBidi" w:cstheme="majorBidi"/>
          <w:szCs w:val="18"/>
          <w:lang w:val="es-ES"/>
        </w:rPr>
        <w:tab/>
      </w:r>
      <w:r w:rsidR="006F5C26" w:rsidRPr="005F0068">
        <w:rPr>
          <w:rFonts w:asciiTheme="majorBidi" w:hAnsiTheme="majorBidi" w:cstheme="majorBidi"/>
          <w:szCs w:val="18"/>
          <w:lang w:val="es-ES"/>
        </w:rPr>
        <w:t>ETH 3/2019</w:t>
      </w:r>
      <w:r w:rsidR="00A40262" w:rsidRPr="005F0068">
        <w:rPr>
          <w:rFonts w:asciiTheme="majorBidi" w:hAnsiTheme="majorBidi" w:cstheme="majorBidi"/>
          <w:szCs w:val="18"/>
          <w:lang w:val="es-ES"/>
        </w:rPr>
        <w:t xml:space="preserve">, p. 8; </w:t>
      </w:r>
      <w:r w:rsidR="00327DAF" w:rsidRPr="005F0068">
        <w:rPr>
          <w:rFonts w:asciiTheme="majorBidi" w:hAnsiTheme="majorBidi" w:cstheme="majorBidi"/>
          <w:szCs w:val="18"/>
          <w:lang w:val="es-ES"/>
        </w:rPr>
        <w:t>EGY 4/2020</w:t>
      </w:r>
      <w:r w:rsidR="00A40262" w:rsidRPr="005F0068">
        <w:rPr>
          <w:rFonts w:asciiTheme="majorBidi" w:hAnsiTheme="majorBidi" w:cstheme="majorBidi"/>
          <w:szCs w:val="18"/>
          <w:lang w:val="es-ES"/>
        </w:rPr>
        <w:t>, p. 2.</w:t>
      </w:r>
    </w:p>
  </w:footnote>
  <w:footnote w:id="31">
    <w:p w14:paraId="4816BBAC" w14:textId="7A04BBE5" w:rsidR="00A40262" w:rsidRPr="00531AA5" w:rsidRDefault="00015387" w:rsidP="00087631">
      <w:pPr>
        <w:pStyle w:val="FootnoteText"/>
        <w:rPr>
          <w:rFonts w:asciiTheme="majorBidi" w:hAnsiTheme="majorBidi" w:cstheme="majorBidi"/>
          <w:szCs w:val="18"/>
        </w:rPr>
      </w:pPr>
      <w:r w:rsidRPr="008622D4">
        <w:rPr>
          <w:rFonts w:asciiTheme="majorBidi" w:hAnsiTheme="majorBidi" w:cstheme="majorBidi"/>
          <w:szCs w:val="18"/>
          <w:lang w:val="es-ES"/>
        </w:rPr>
        <w:tab/>
      </w:r>
      <w:r w:rsidR="00A40262" w:rsidRPr="00531AA5">
        <w:rPr>
          <w:rStyle w:val="FootnoteReference"/>
          <w:rFonts w:asciiTheme="majorBidi" w:hAnsiTheme="majorBidi" w:cstheme="majorBidi"/>
          <w:szCs w:val="18"/>
        </w:rPr>
        <w:footnoteRef/>
      </w:r>
      <w:r>
        <w:rPr>
          <w:rFonts w:asciiTheme="majorBidi" w:hAnsiTheme="majorBidi" w:cstheme="majorBidi"/>
          <w:szCs w:val="18"/>
        </w:rPr>
        <w:tab/>
      </w:r>
      <w:r w:rsidR="00CF14B2" w:rsidRPr="00531AA5">
        <w:rPr>
          <w:rFonts w:asciiTheme="majorBidi" w:hAnsiTheme="majorBidi" w:cstheme="majorBidi"/>
          <w:szCs w:val="18"/>
        </w:rPr>
        <w:t xml:space="preserve">ETH 3/2019, </w:t>
      </w:r>
      <w:r w:rsidR="00A40262" w:rsidRPr="00531AA5">
        <w:rPr>
          <w:rFonts w:asciiTheme="majorBidi" w:hAnsiTheme="majorBidi" w:cstheme="majorBidi"/>
          <w:szCs w:val="18"/>
        </w:rPr>
        <w:t>p. 3.</w:t>
      </w:r>
    </w:p>
  </w:footnote>
  <w:footnote w:id="32">
    <w:p w14:paraId="2B2AA009" w14:textId="22A933A8" w:rsidR="00A40262" w:rsidRPr="0074386C" w:rsidRDefault="00015387" w:rsidP="00087631">
      <w:pPr>
        <w:pStyle w:val="FootnoteText"/>
        <w:rPr>
          <w:rFonts w:asciiTheme="majorBidi" w:hAnsiTheme="majorBidi" w:cstheme="majorBidi"/>
          <w:szCs w:val="18"/>
          <w:lang w:val="en-US"/>
        </w:rPr>
      </w:pPr>
      <w:r>
        <w:rPr>
          <w:rFonts w:asciiTheme="majorBidi" w:hAnsiTheme="majorBidi" w:cstheme="majorBidi"/>
          <w:szCs w:val="18"/>
          <w:lang w:val="en-US"/>
        </w:rPr>
        <w:tab/>
      </w:r>
      <w:r w:rsidR="00A40262" w:rsidRPr="00531AA5">
        <w:rPr>
          <w:rStyle w:val="FootnoteReference"/>
          <w:rFonts w:asciiTheme="majorBidi" w:hAnsiTheme="majorBidi" w:cstheme="majorBidi"/>
          <w:szCs w:val="18"/>
        </w:rPr>
        <w:footnoteRef/>
      </w:r>
      <w:r>
        <w:rPr>
          <w:rFonts w:asciiTheme="majorBidi" w:hAnsiTheme="majorBidi" w:cstheme="majorBidi"/>
          <w:szCs w:val="18"/>
          <w:lang w:val="en-US"/>
        </w:rPr>
        <w:tab/>
      </w:r>
      <w:r w:rsidR="00327DAF" w:rsidRPr="0074386C">
        <w:rPr>
          <w:rFonts w:asciiTheme="majorBidi" w:hAnsiTheme="majorBidi" w:cstheme="majorBidi"/>
          <w:szCs w:val="18"/>
          <w:lang w:val="en-US"/>
        </w:rPr>
        <w:t>BLR 2/2021</w:t>
      </w:r>
      <w:r w:rsidR="00A40262" w:rsidRPr="0074386C">
        <w:rPr>
          <w:rFonts w:asciiTheme="majorBidi" w:hAnsiTheme="majorBidi" w:cstheme="majorBidi"/>
          <w:szCs w:val="18"/>
          <w:lang w:val="en-US"/>
        </w:rPr>
        <w:t>, p. 9.</w:t>
      </w:r>
    </w:p>
  </w:footnote>
  <w:footnote w:id="33">
    <w:p w14:paraId="1D4A37FD" w14:textId="4ADE3BA2" w:rsidR="00A40262" w:rsidRPr="0074386C" w:rsidRDefault="00015387" w:rsidP="00087631">
      <w:pPr>
        <w:pStyle w:val="FootnoteText"/>
        <w:rPr>
          <w:rFonts w:asciiTheme="majorBidi" w:hAnsiTheme="majorBidi" w:cstheme="majorBidi"/>
          <w:szCs w:val="18"/>
          <w:lang w:val="en-US"/>
        </w:rPr>
      </w:pPr>
      <w:r>
        <w:rPr>
          <w:rFonts w:asciiTheme="majorBidi" w:hAnsiTheme="majorBidi" w:cstheme="majorBidi"/>
          <w:szCs w:val="18"/>
          <w:lang w:val="en-US"/>
        </w:rPr>
        <w:tab/>
      </w:r>
      <w:r w:rsidR="00A40262" w:rsidRPr="00531AA5">
        <w:rPr>
          <w:rStyle w:val="FootnoteReference"/>
          <w:rFonts w:asciiTheme="majorBidi" w:hAnsiTheme="majorBidi" w:cstheme="majorBidi"/>
          <w:szCs w:val="18"/>
        </w:rPr>
        <w:footnoteRef/>
      </w:r>
      <w:r>
        <w:rPr>
          <w:rFonts w:asciiTheme="majorBidi" w:hAnsiTheme="majorBidi" w:cstheme="majorBidi"/>
          <w:szCs w:val="18"/>
          <w:lang w:val="en-US"/>
        </w:rPr>
        <w:tab/>
      </w:r>
      <w:r w:rsidR="00327DAF" w:rsidRPr="0074386C">
        <w:rPr>
          <w:rFonts w:asciiTheme="majorBidi" w:hAnsiTheme="majorBidi" w:cstheme="majorBidi"/>
          <w:szCs w:val="18"/>
          <w:lang w:val="en-US"/>
        </w:rPr>
        <w:t>BRA 6/2021</w:t>
      </w:r>
      <w:r w:rsidR="00A40262" w:rsidRPr="0074386C">
        <w:rPr>
          <w:rFonts w:asciiTheme="majorBidi" w:hAnsiTheme="majorBidi" w:cstheme="majorBidi"/>
          <w:szCs w:val="18"/>
          <w:lang w:val="en-US"/>
        </w:rPr>
        <w:t xml:space="preserve">, p. 4; </w:t>
      </w:r>
      <w:r w:rsidR="00327DAF" w:rsidRPr="0074386C">
        <w:rPr>
          <w:rFonts w:asciiTheme="majorBidi" w:hAnsiTheme="majorBidi" w:cstheme="majorBidi"/>
          <w:szCs w:val="18"/>
          <w:lang w:val="en-US"/>
        </w:rPr>
        <w:t>EGY 6/</w:t>
      </w:r>
      <w:r w:rsidR="0091608B" w:rsidRPr="0074386C">
        <w:rPr>
          <w:rFonts w:asciiTheme="majorBidi" w:hAnsiTheme="majorBidi" w:cstheme="majorBidi"/>
          <w:szCs w:val="18"/>
          <w:lang w:val="en-US"/>
        </w:rPr>
        <w:t>2021, p.</w:t>
      </w:r>
      <w:r w:rsidR="00A40262" w:rsidRPr="0074386C">
        <w:rPr>
          <w:rFonts w:asciiTheme="majorBidi" w:hAnsiTheme="majorBidi" w:cstheme="majorBidi"/>
          <w:szCs w:val="18"/>
          <w:lang w:val="en-US"/>
        </w:rPr>
        <w:t xml:space="preserve"> 5.</w:t>
      </w:r>
    </w:p>
  </w:footnote>
  <w:footnote w:id="34">
    <w:p w14:paraId="18136D07" w14:textId="48EEA8BF" w:rsidR="00C45B8E" w:rsidRPr="00531AA5" w:rsidRDefault="00C45B8E" w:rsidP="00087631">
      <w:pPr>
        <w:pStyle w:val="FootnoteText"/>
        <w:rPr>
          <w:rFonts w:asciiTheme="majorBidi" w:hAnsiTheme="majorBidi" w:cstheme="majorBidi"/>
          <w:szCs w:val="18"/>
        </w:rPr>
      </w:pPr>
      <w:r w:rsidRPr="0074386C">
        <w:rPr>
          <w:rFonts w:asciiTheme="majorBidi" w:hAnsiTheme="majorBidi" w:cstheme="majorBidi"/>
          <w:szCs w:val="18"/>
          <w:lang w:val="en-US"/>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r>
      <w:r w:rsidR="009370DF">
        <w:rPr>
          <w:rFonts w:asciiTheme="majorBidi" w:hAnsiTheme="majorBidi" w:cstheme="majorBidi"/>
          <w:szCs w:val="18"/>
        </w:rPr>
        <w:t>End of Mission Statement (</w:t>
      </w:r>
      <w:proofErr w:type="spellStart"/>
      <w:r w:rsidRPr="00531AA5">
        <w:rPr>
          <w:rFonts w:asciiTheme="majorBidi" w:hAnsiTheme="majorBidi" w:cstheme="majorBidi"/>
          <w:szCs w:val="18"/>
        </w:rPr>
        <w:t>EoM</w:t>
      </w:r>
      <w:proofErr w:type="spellEnd"/>
      <w:r w:rsidR="009370DF">
        <w:rPr>
          <w:rFonts w:asciiTheme="majorBidi" w:hAnsiTheme="majorBidi" w:cstheme="majorBidi"/>
          <w:szCs w:val="18"/>
        </w:rPr>
        <w:t>)</w:t>
      </w:r>
      <w:r w:rsidRPr="00531AA5">
        <w:rPr>
          <w:rFonts w:asciiTheme="majorBidi" w:hAnsiTheme="majorBidi" w:cstheme="majorBidi"/>
          <w:szCs w:val="18"/>
        </w:rPr>
        <w:t xml:space="preserve">, access was provided to </w:t>
      </w:r>
      <w:r w:rsidR="0074386C" w:rsidRPr="00531AA5">
        <w:rPr>
          <w:rFonts w:asciiTheme="majorBidi" w:hAnsiTheme="majorBidi" w:cstheme="majorBidi"/>
          <w:szCs w:val="18"/>
        </w:rPr>
        <w:t>al</w:t>
      </w:r>
      <w:r w:rsidR="0074386C">
        <w:rPr>
          <w:rFonts w:asciiTheme="majorBidi" w:hAnsiTheme="majorBidi" w:cstheme="majorBidi"/>
          <w:szCs w:val="18"/>
        </w:rPr>
        <w:t>-</w:t>
      </w:r>
      <w:proofErr w:type="spellStart"/>
      <w:r w:rsidRPr="00531AA5">
        <w:rPr>
          <w:rFonts w:asciiTheme="majorBidi" w:hAnsiTheme="majorBidi" w:cstheme="majorBidi"/>
          <w:szCs w:val="18"/>
        </w:rPr>
        <w:t>Hol</w:t>
      </w:r>
      <w:proofErr w:type="spellEnd"/>
      <w:r w:rsidRPr="00531AA5">
        <w:rPr>
          <w:rFonts w:asciiTheme="majorBidi" w:hAnsiTheme="majorBidi" w:cstheme="majorBidi"/>
          <w:szCs w:val="18"/>
        </w:rPr>
        <w:t xml:space="preserve"> and </w:t>
      </w:r>
      <w:r w:rsidR="0074386C" w:rsidRPr="00531AA5">
        <w:rPr>
          <w:rFonts w:asciiTheme="majorBidi" w:hAnsiTheme="majorBidi" w:cstheme="majorBidi"/>
          <w:szCs w:val="18"/>
        </w:rPr>
        <w:t>al</w:t>
      </w:r>
      <w:r w:rsidR="0074386C">
        <w:rPr>
          <w:rFonts w:asciiTheme="majorBidi" w:hAnsiTheme="majorBidi" w:cstheme="majorBidi"/>
          <w:szCs w:val="18"/>
        </w:rPr>
        <w:t>-</w:t>
      </w:r>
      <w:r w:rsidRPr="00531AA5">
        <w:rPr>
          <w:rFonts w:asciiTheme="majorBidi" w:hAnsiTheme="majorBidi" w:cstheme="majorBidi"/>
          <w:szCs w:val="18"/>
        </w:rPr>
        <w:t xml:space="preserve">Roj camps, </w:t>
      </w:r>
      <w:proofErr w:type="spellStart"/>
      <w:r w:rsidRPr="00531AA5">
        <w:rPr>
          <w:rFonts w:asciiTheme="majorBidi" w:hAnsiTheme="majorBidi" w:cstheme="majorBidi"/>
          <w:szCs w:val="18"/>
        </w:rPr>
        <w:t>Gweiran</w:t>
      </w:r>
      <w:proofErr w:type="spellEnd"/>
      <w:r w:rsidRPr="00531AA5">
        <w:rPr>
          <w:rFonts w:asciiTheme="majorBidi" w:hAnsiTheme="majorBidi" w:cstheme="majorBidi"/>
          <w:szCs w:val="18"/>
        </w:rPr>
        <w:t xml:space="preserve"> </w:t>
      </w:r>
      <w:proofErr w:type="spellStart"/>
      <w:r w:rsidRPr="00531AA5">
        <w:rPr>
          <w:rFonts w:asciiTheme="majorBidi" w:hAnsiTheme="majorBidi" w:cstheme="majorBidi"/>
          <w:szCs w:val="18"/>
        </w:rPr>
        <w:t>Sina’a</w:t>
      </w:r>
      <w:proofErr w:type="spellEnd"/>
      <w:r w:rsidRPr="00531AA5">
        <w:rPr>
          <w:rFonts w:asciiTheme="majorBidi" w:hAnsiTheme="majorBidi" w:cstheme="majorBidi"/>
          <w:szCs w:val="18"/>
        </w:rPr>
        <w:t xml:space="preserve"> (</w:t>
      </w:r>
      <w:proofErr w:type="spellStart"/>
      <w:r w:rsidRPr="00531AA5">
        <w:rPr>
          <w:rFonts w:asciiTheme="majorBidi" w:hAnsiTheme="majorBidi" w:cstheme="majorBidi"/>
          <w:szCs w:val="18"/>
        </w:rPr>
        <w:t>Panamora</w:t>
      </w:r>
      <w:proofErr w:type="spellEnd"/>
      <w:r w:rsidRPr="00531AA5">
        <w:rPr>
          <w:rFonts w:asciiTheme="majorBidi" w:hAnsiTheme="majorBidi" w:cstheme="majorBidi"/>
          <w:szCs w:val="18"/>
        </w:rPr>
        <w:t xml:space="preserve">), and Alaya prisons, </w:t>
      </w:r>
      <w:r w:rsidR="00392070">
        <w:rPr>
          <w:rFonts w:asciiTheme="majorBidi" w:hAnsiTheme="majorBidi" w:cstheme="majorBidi"/>
          <w:szCs w:val="18"/>
        </w:rPr>
        <w:t>and</w:t>
      </w:r>
      <w:r w:rsidRPr="00531AA5">
        <w:rPr>
          <w:rFonts w:asciiTheme="majorBidi" w:hAnsiTheme="majorBidi" w:cstheme="majorBidi"/>
          <w:szCs w:val="18"/>
        </w:rPr>
        <w:t xml:space="preserve"> two places where boy-children</w:t>
      </w:r>
      <w:r w:rsidR="00345992">
        <w:rPr>
          <w:rFonts w:asciiTheme="majorBidi" w:hAnsiTheme="majorBidi" w:cstheme="majorBidi"/>
          <w:szCs w:val="18"/>
        </w:rPr>
        <w:t>/</w:t>
      </w:r>
      <w:r w:rsidRPr="00531AA5">
        <w:rPr>
          <w:rFonts w:asciiTheme="majorBidi" w:hAnsiTheme="majorBidi" w:cstheme="majorBidi"/>
          <w:szCs w:val="18"/>
        </w:rPr>
        <w:t xml:space="preserve">adolescent boys are detained (Houri and </w:t>
      </w:r>
      <w:proofErr w:type="spellStart"/>
      <w:r w:rsidRPr="00531AA5">
        <w:rPr>
          <w:rFonts w:asciiTheme="majorBidi" w:hAnsiTheme="majorBidi" w:cstheme="majorBidi"/>
          <w:szCs w:val="18"/>
        </w:rPr>
        <w:t>Orkesh</w:t>
      </w:r>
      <w:proofErr w:type="spellEnd"/>
      <w:r w:rsidRPr="00531AA5">
        <w:rPr>
          <w:rFonts w:asciiTheme="majorBidi" w:hAnsiTheme="majorBidi" w:cstheme="majorBidi"/>
          <w:szCs w:val="18"/>
        </w:rPr>
        <w:t xml:space="preserve">). The </w:t>
      </w:r>
      <w:r w:rsidR="00125F57" w:rsidRPr="00531AA5">
        <w:rPr>
          <w:rFonts w:asciiTheme="majorBidi" w:hAnsiTheme="majorBidi" w:cstheme="majorBidi"/>
          <w:szCs w:val="18"/>
        </w:rPr>
        <w:t>SR</w:t>
      </w:r>
      <w:r w:rsidRPr="00531AA5">
        <w:rPr>
          <w:rFonts w:asciiTheme="majorBidi" w:hAnsiTheme="majorBidi" w:cstheme="majorBidi"/>
          <w:szCs w:val="18"/>
        </w:rPr>
        <w:t xml:space="preserve"> was not given access </w:t>
      </w:r>
      <w:r w:rsidR="0074386C">
        <w:rPr>
          <w:rFonts w:asciiTheme="majorBidi" w:hAnsiTheme="majorBidi" w:cstheme="majorBidi"/>
          <w:szCs w:val="18"/>
        </w:rPr>
        <w:t>to Al-</w:t>
      </w:r>
      <w:proofErr w:type="spellStart"/>
      <w:r w:rsidR="0074386C">
        <w:rPr>
          <w:rFonts w:asciiTheme="majorBidi" w:hAnsiTheme="majorBidi" w:cstheme="majorBidi"/>
          <w:szCs w:val="18"/>
        </w:rPr>
        <w:t>Hol</w:t>
      </w:r>
      <w:proofErr w:type="spellEnd"/>
      <w:r w:rsidR="0074386C" w:rsidRPr="00531AA5">
        <w:rPr>
          <w:rFonts w:asciiTheme="majorBidi" w:hAnsiTheme="majorBidi" w:cstheme="majorBidi"/>
          <w:szCs w:val="18"/>
        </w:rPr>
        <w:t xml:space="preserve"> </w:t>
      </w:r>
      <w:r w:rsidRPr="00531AA5">
        <w:rPr>
          <w:rFonts w:asciiTheme="majorBidi" w:hAnsiTheme="majorBidi" w:cstheme="majorBidi"/>
          <w:szCs w:val="18"/>
        </w:rPr>
        <w:t>annex</w:t>
      </w:r>
      <w:r w:rsidR="0074386C">
        <w:rPr>
          <w:rFonts w:asciiTheme="majorBidi" w:hAnsiTheme="majorBidi" w:cstheme="majorBidi"/>
          <w:szCs w:val="18"/>
        </w:rPr>
        <w:t>.</w:t>
      </w:r>
    </w:p>
  </w:footnote>
  <w:footnote w:id="35">
    <w:p w14:paraId="699568E0" w14:textId="444D8F3C" w:rsidR="002E1B6A" w:rsidRPr="00531AA5" w:rsidRDefault="002E1B6A"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r>
      <w:r w:rsidR="00CF2E59">
        <w:rPr>
          <w:rFonts w:asciiTheme="majorBidi" w:hAnsiTheme="majorBidi" w:cstheme="majorBidi"/>
          <w:szCs w:val="18"/>
        </w:rPr>
        <w:t>Special Rapporteur’s</w:t>
      </w:r>
      <w:r w:rsidR="0074386C">
        <w:rPr>
          <w:rFonts w:asciiTheme="majorBidi" w:hAnsiTheme="majorBidi" w:cstheme="majorBidi"/>
          <w:szCs w:val="18"/>
        </w:rPr>
        <w:t xml:space="preserve"> </w:t>
      </w:r>
      <w:r w:rsidRPr="00531AA5">
        <w:rPr>
          <w:rFonts w:asciiTheme="majorBidi" w:hAnsiTheme="majorBidi" w:cstheme="majorBidi"/>
          <w:szCs w:val="18"/>
        </w:rPr>
        <w:t>Position Paper</w:t>
      </w:r>
      <w:r w:rsidR="00CF2E59">
        <w:rPr>
          <w:rFonts w:asciiTheme="majorBidi" w:hAnsiTheme="majorBidi" w:cstheme="majorBidi"/>
          <w:szCs w:val="18"/>
        </w:rPr>
        <w:t xml:space="preserve"> on</w:t>
      </w:r>
      <w:r w:rsidRPr="00531AA5">
        <w:rPr>
          <w:rFonts w:asciiTheme="majorBidi" w:hAnsiTheme="majorBidi" w:cstheme="majorBidi"/>
          <w:szCs w:val="18"/>
        </w:rPr>
        <w:t xml:space="preserve"> </w:t>
      </w:r>
      <w:r w:rsidR="00CF2E59">
        <w:rPr>
          <w:rFonts w:asciiTheme="majorBidi" w:hAnsiTheme="majorBidi" w:cstheme="majorBidi"/>
          <w:szCs w:val="18"/>
        </w:rPr>
        <w:t>t</w:t>
      </w:r>
      <w:r w:rsidRPr="00531AA5">
        <w:rPr>
          <w:rFonts w:asciiTheme="majorBidi" w:hAnsiTheme="majorBidi" w:cstheme="majorBidi"/>
          <w:szCs w:val="18"/>
        </w:rPr>
        <w:t>he Prosecution of individuals with alleged links to designated non-State armed groups for crimes committed in North-East Syria as a key aspect of the right of victims of terrorism (2023)</w:t>
      </w:r>
      <w:r w:rsidR="00015387">
        <w:rPr>
          <w:rFonts w:asciiTheme="majorBidi" w:hAnsiTheme="majorBidi" w:cstheme="majorBidi"/>
          <w:szCs w:val="18"/>
        </w:rPr>
        <w:t>.</w:t>
      </w:r>
    </w:p>
  </w:footnote>
  <w:footnote w:id="36">
    <w:p w14:paraId="0C3FFB3E" w14:textId="1BB527C9" w:rsidR="00C45B8E" w:rsidRPr="00531AA5" w:rsidRDefault="00C45B8E"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r>
      <w:r w:rsidR="00392070">
        <w:rPr>
          <w:rFonts w:asciiTheme="majorBidi" w:hAnsiTheme="majorBidi" w:cstheme="majorBidi"/>
          <w:szCs w:val="18"/>
        </w:rPr>
        <w:t>International</w:t>
      </w:r>
      <w:r w:rsidRPr="00531AA5">
        <w:rPr>
          <w:rFonts w:asciiTheme="majorBidi" w:hAnsiTheme="majorBidi" w:cstheme="majorBidi"/>
          <w:szCs w:val="18"/>
        </w:rPr>
        <w:t>, Impartial and Independent Mechanism (II</w:t>
      </w:r>
      <w:r w:rsidR="00392070">
        <w:rPr>
          <w:rFonts w:asciiTheme="majorBidi" w:hAnsiTheme="majorBidi" w:cstheme="majorBidi"/>
          <w:szCs w:val="18"/>
        </w:rPr>
        <w:t>I</w:t>
      </w:r>
      <w:r w:rsidRPr="00531AA5">
        <w:rPr>
          <w:rFonts w:asciiTheme="majorBidi" w:hAnsiTheme="majorBidi" w:cstheme="majorBidi"/>
          <w:szCs w:val="18"/>
        </w:rPr>
        <w:t>M) (2011); Commission of Inquiry on the Syrian Arab Republic (2011).</w:t>
      </w:r>
    </w:p>
  </w:footnote>
  <w:footnote w:id="37">
    <w:p w14:paraId="14F0C278" w14:textId="6E7CDB1E" w:rsidR="00454A9D" w:rsidRPr="00635AFE" w:rsidRDefault="00454A9D"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00015387">
        <w:rPr>
          <w:rFonts w:asciiTheme="majorBidi" w:hAnsiTheme="majorBidi" w:cstheme="majorBidi"/>
          <w:szCs w:val="18"/>
        </w:rPr>
        <w:tab/>
      </w:r>
      <w:r w:rsidR="00653415">
        <w:rPr>
          <w:szCs w:val="18"/>
        </w:rPr>
        <w:t>AL TUN 6/2021</w:t>
      </w:r>
      <w:r w:rsidR="00015387">
        <w:rPr>
          <w:szCs w:val="18"/>
        </w:rPr>
        <w:t>.</w:t>
      </w:r>
    </w:p>
  </w:footnote>
  <w:footnote w:id="38">
    <w:p w14:paraId="04C9EF64" w14:textId="6EDD8BEA" w:rsidR="00B43BC9" w:rsidRPr="00635AFE" w:rsidRDefault="00B43BC9"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635AFE">
        <w:rPr>
          <w:rFonts w:asciiTheme="majorBidi" w:hAnsiTheme="majorBidi" w:cstheme="majorBidi"/>
          <w:szCs w:val="18"/>
        </w:rPr>
        <w:tab/>
      </w:r>
      <w:proofErr w:type="spellStart"/>
      <w:r w:rsidRPr="00635AFE">
        <w:rPr>
          <w:rFonts w:asciiTheme="majorBidi" w:hAnsiTheme="majorBidi" w:cstheme="majorBidi"/>
          <w:szCs w:val="18"/>
        </w:rPr>
        <w:t>EoM</w:t>
      </w:r>
      <w:proofErr w:type="spellEnd"/>
      <w:r w:rsidRPr="00635AFE">
        <w:rPr>
          <w:rFonts w:asciiTheme="majorBidi" w:hAnsiTheme="majorBidi" w:cstheme="majorBidi"/>
          <w:szCs w:val="18"/>
        </w:rPr>
        <w:t>, para 5 &amp; 6.</w:t>
      </w:r>
    </w:p>
  </w:footnote>
  <w:footnote w:id="39">
    <w:p w14:paraId="4804188B" w14:textId="56737654" w:rsidR="00AD6EC8" w:rsidRPr="00531AA5" w:rsidRDefault="00125F57" w:rsidP="00087631">
      <w:pPr>
        <w:pStyle w:val="FootnoteText"/>
        <w:rPr>
          <w:rFonts w:asciiTheme="majorBidi" w:hAnsiTheme="majorBidi" w:cstheme="majorBidi"/>
          <w:szCs w:val="18"/>
        </w:rPr>
      </w:pPr>
      <w:r w:rsidRPr="00531AA5">
        <w:rPr>
          <w:rFonts w:asciiTheme="majorBidi" w:hAnsiTheme="majorBidi" w:cstheme="majorBidi"/>
          <w:szCs w:val="18"/>
        </w:rPr>
        <w:tab/>
      </w:r>
      <w:r w:rsidR="00AD6EC8" w:rsidRPr="00531AA5">
        <w:rPr>
          <w:rStyle w:val="FootnoteReference"/>
          <w:rFonts w:asciiTheme="majorBidi" w:hAnsiTheme="majorBidi" w:cstheme="majorBidi"/>
          <w:szCs w:val="18"/>
        </w:rPr>
        <w:footnoteRef/>
      </w:r>
      <w:r w:rsidR="00DF0663">
        <w:rPr>
          <w:rFonts w:asciiTheme="majorBidi" w:hAnsiTheme="majorBidi" w:cstheme="majorBidi"/>
          <w:szCs w:val="18"/>
        </w:rPr>
        <w:tab/>
      </w:r>
      <w:r w:rsidR="0096283A">
        <w:rPr>
          <w:rFonts w:asciiTheme="majorBidi" w:hAnsiTheme="majorBidi" w:cstheme="majorBidi"/>
          <w:szCs w:val="18"/>
        </w:rPr>
        <w:t>GC</w:t>
      </w:r>
      <w:r w:rsidR="00921863" w:rsidRPr="005A487A">
        <w:rPr>
          <w:rFonts w:asciiTheme="majorBidi" w:hAnsiTheme="majorBidi" w:cstheme="majorBidi"/>
          <w:szCs w:val="18"/>
        </w:rPr>
        <w:t xml:space="preserve"> III arts 21; </w:t>
      </w:r>
      <w:r w:rsidR="00345992">
        <w:rPr>
          <w:rFonts w:asciiTheme="majorBidi" w:hAnsiTheme="majorBidi" w:cstheme="majorBidi"/>
          <w:szCs w:val="18"/>
        </w:rPr>
        <w:t>AP</w:t>
      </w:r>
      <w:r w:rsidR="00921863" w:rsidRPr="005A487A">
        <w:rPr>
          <w:rFonts w:asciiTheme="majorBidi" w:hAnsiTheme="majorBidi" w:cstheme="majorBidi"/>
          <w:szCs w:val="18"/>
        </w:rPr>
        <w:t xml:space="preserve"> I art. 75; </w:t>
      </w:r>
      <w:r w:rsidR="00345992">
        <w:rPr>
          <w:rFonts w:asciiTheme="majorBidi" w:hAnsiTheme="majorBidi" w:cstheme="majorBidi"/>
          <w:szCs w:val="18"/>
        </w:rPr>
        <w:t xml:space="preserve">AP </w:t>
      </w:r>
      <w:r w:rsidR="00921863" w:rsidRPr="005A487A">
        <w:rPr>
          <w:rFonts w:asciiTheme="majorBidi" w:hAnsiTheme="majorBidi" w:cstheme="majorBidi"/>
          <w:szCs w:val="18"/>
        </w:rPr>
        <w:t>II arts. 4, 5</w:t>
      </w:r>
      <w:r w:rsidR="00921863">
        <w:rPr>
          <w:rFonts w:asciiTheme="majorBidi" w:hAnsiTheme="majorBidi" w:cstheme="majorBidi"/>
          <w:szCs w:val="18"/>
        </w:rPr>
        <w:t>, CA3</w:t>
      </w:r>
      <w:r w:rsidR="00AD6EC8" w:rsidRPr="00531AA5">
        <w:rPr>
          <w:rFonts w:asciiTheme="majorBidi" w:hAnsiTheme="majorBidi" w:cstheme="majorBidi"/>
          <w:szCs w:val="18"/>
        </w:rPr>
        <w:t xml:space="preserve">, </w:t>
      </w:r>
      <w:r w:rsidR="0096283A">
        <w:rPr>
          <w:rFonts w:asciiTheme="majorBidi" w:hAnsiTheme="majorBidi" w:cstheme="majorBidi"/>
          <w:szCs w:val="18"/>
        </w:rPr>
        <w:t>GCs</w:t>
      </w:r>
      <w:r w:rsidR="00AD6EC8" w:rsidRPr="00531AA5">
        <w:rPr>
          <w:rFonts w:asciiTheme="majorBidi" w:hAnsiTheme="majorBidi" w:cstheme="majorBidi"/>
          <w:szCs w:val="18"/>
        </w:rPr>
        <w:t xml:space="preserve"> (1949); </w:t>
      </w:r>
      <w:r w:rsidR="00B02647">
        <w:rPr>
          <w:rFonts w:asciiTheme="majorBidi" w:hAnsiTheme="majorBidi" w:cstheme="majorBidi"/>
          <w:szCs w:val="18"/>
        </w:rPr>
        <w:t>Rule 99 ICRC Customary International Law Study</w:t>
      </w:r>
      <w:r w:rsidR="00E80CC0">
        <w:rPr>
          <w:rFonts w:asciiTheme="majorBidi" w:hAnsiTheme="majorBidi" w:cstheme="majorBidi"/>
          <w:szCs w:val="18"/>
        </w:rPr>
        <w:t xml:space="preserve"> (2003)</w:t>
      </w:r>
      <w:r w:rsidR="00B02647">
        <w:rPr>
          <w:rFonts w:asciiTheme="majorBidi" w:hAnsiTheme="majorBidi" w:cstheme="majorBidi"/>
          <w:szCs w:val="18"/>
        </w:rPr>
        <w:t xml:space="preserve">, </w:t>
      </w:r>
      <w:r w:rsidR="00AD6EC8" w:rsidRPr="00531AA5">
        <w:rPr>
          <w:rFonts w:asciiTheme="majorBidi" w:hAnsiTheme="majorBidi" w:cstheme="majorBidi"/>
          <w:szCs w:val="18"/>
        </w:rPr>
        <w:t>Art</w:t>
      </w:r>
      <w:r w:rsidR="009F013A">
        <w:rPr>
          <w:rFonts w:asciiTheme="majorBidi" w:hAnsiTheme="majorBidi" w:cstheme="majorBidi"/>
          <w:szCs w:val="18"/>
        </w:rPr>
        <w:t>.</w:t>
      </w:r>
      <w:r w:rsidR="00AD6EC8" w:rsidRPr="00531AA5">
        <w:rPr>
          <w:rFonts w:asciiTheme="majorBidi" w:hAnsiTheme="majorBidi" w:cstheme="majorBidi"/>
          <w:szCs w:val="18"/>
        </w:rPr>
        <w:t xml:space="preserve"> 9 ICCPR; </w:t>
      </w:r>
      <w:r w:rsidR="00CF2E59" w:rsidRPr="00CF2E59">
        <w:rPr>
          <w:rFonts w:asciiTheme="majorBidi" w:hAnsiTheme="majorBidi" w:cstheme="majorBidi"/>
          <w:szCs w:val="18"/>
        </w:rPr>
        <w:t>CCPR/C/GC/35</w:t>
      </w:r>
      <w:r w:rsidR="00CF2E59">
        <w:rPr>
          <w:rFonts w:asciiTheme="majorBidi" w:hAnsiTheme="majorBidi" w:cstheme="majorBidi"/>
          <w:szCs w:val="18"/>
        </w:rPr>
        <w:t xml:space="preserve"> (2014)</w:t>
      </w:r>
      <w:r w:rsidR="00AD6EC8" w:rsidRPr="00531AA5">
        <w:rPr>
          <w:rFonts w:asciiTheme="majorBidi" w:hAnsiTheme="majorBidi" w:cstheme="majorBidi"/>
          <w:szCs w:val="18"/>
        </w:rPr>
        <w:t xml:space="preserve">; </w:t>
      </w:r>
      <w:r w:rsidR="00B02647">
        <w:rPr>
          <w:rFonts w:asciiTheme="majorBidi" w:hAnsiTheme="majorBidi" w:cstheme="majorBidi"/>
          <w:szCs w:val="18"/>
        </w:rPr>
        <w:t>Art</w:t>
      </w:r>
      <w:r w:rsidR="009F013A">
        <w:rPr>
          <w:rFonts w:asciiTheme="majorBidi" w:hAnsiTheme="majorBidi" w:cstheme="majorBidi"/>
          <w:szCs w:val="18"/>
        </w:rPr>
        <w:t>.</w:t>
      </w:r>
      <w:r w:rsidR="00B02647">
        <w:rPr>
          <w:rFonts w:asciiTheme="majorBidi" w:hAnsiTheme="majorBidi" w:cstheme="majorBidi"/>
          <w:szCs w:val="18"/>
        </w:rPr>
        <w:t xml:space="preserve"> 9 of UDHR, </w:t>
      </w:r>
      <w:r w:rsidR="00AD6EC8" w:rsidRPr="00531AA5">
        <w:rPr>
          <w:rFonts w:asciiTheme="majorBidi" w:hAnsiTheme="majorBidi" w:cstheme="majorBidi"/>
          <w:szCs w:val="18"/>
        </w:rPr>
        <w:t>Art</w:t>
      </w:r>
      <w:r w:rsidR="009F013A">
        <w:rPr>
          <w:rFonts w:asciiTheme="majorBidi" w:hAnsiTheme="majorBidi" w:cstheme="majorBidi"/>
          <w:szCs w:val="18"/>
        </w:rPr>
        <w:t>.</w:t>
      </w:r>
      <w:r w:rsidR="00AD6EC8" w:rsidRPr="00531AA5">
        <w:rPr>
          <w:rFonts w:asciiTheme="majorBidi" w:hAnsiTheme="majorBidi" w:cstheme="majorBidi"/>
          <w:szCs w:val="18"/>
        </w:rPr>
        <w:t xml:space="preserve"> 37 CRC, Art</w:t>
      </w:r>
      <w:r w:rsidR="009F013A">
        <w:rPr>
          <w:rFonts w:asciiTheme="majorBidi" w:hAnsiTheme="majorBidi" w:cstheme="majorBidi"/>
          <w:szCs w:val="18"/>
        </w:rPr>
        <w:t>.</w:t>
      </w:r>
      <w:r w:rsidR="00AD6EC8" w:rsidRPr="00531AA5">
        <w:rPr>
          <w:rFonts w:asciiTheme="majorBidi" w:hAnsiTheme="majorBidi" w:cstheme="majorBidi"/>
          <w:szCs w:val="18"/>
        </w:rPr>
        <w:t xml:space="preserve"> 7(1)(e)</w:t>
      </w:r>
      <w:r w:rsidR="00B02647" w:rsidRPr="00B02647">
        <w:rPr>
          <w:rFonts w:asciiTheme="majorBidi" w:hAnsiTheme="majorBidi" w:cstheme="majorBidi"/>
          <w:szCs w:val="18"/>
        </w:rPr>
        <w:t xml:space="preserve"> </w:t>
      </w:r>
      <w:r w:rsidR="00B02647">
        <w:rPr>
          <w:rFonts w:asciiTheme="majorBidi" w:hAnsiTheme="majorBidi" w:cstheme="majorBidi"/>
          <w:szCs w:val="18"/>
        </w:rPr>
        <w:t xml:space="preserve">ICC </w:t>
      </w:r>
      <w:r w:rsidR="00B02647" w:rsidRPr="00531AA5">
        <w:rPr>
          <w:rFonts w:asciiTheme="majorBidi" w:hAnsiTheme="majorBidi" w:cstheme="majorBidi"/>
          <w:szCs w:val="18"/>
        </w:rPr>
        <w:t>Statute</w:t>
      </w:r>
      <w:r w:rsidR="00AD6EC8" w:rsidRPr="00531AA5">
        <w:rPr>
          <w:rFonts w:asciiTheme="majorBidi" w:hAnsiTheme="majorBidi" w:cstheme="majorBidi"/>
          <w:szCs w:val="18"/>
        </w:rPr>
        <w:t xml:space="preserve">, Prosecutor v. Milorad </w:t>
      </w:r>
      <w:proofErr w:type="spellStart"/>
      <w:r w:rsidR="00AD6EC8" w:rsidRPr="00531AA5">
        <w:rPr>
          <w:rFonts w:asciiTheme="majorBidi" w:hAnsiTheme="majorBidi" w:cstheme="majorBidi"/>
          <w:szCs w:val="18"/>
        </w:rPr>
        <w:t>Krnojelac</w:t>
      </w:r>
      <w:proofErr w:type="spellEnd"/>
      <w:r w:rsidR="00AD6EC8" w:rsidRPr="00531AA5">
        <w:rPr>
          <w:rFonts w:asciiTheme="majorBidi" w:hAnsiTheme="majorBidi" w:cstheme="majorBidi"/>
          <w:szCs w:val="18"/>
        </w:rPr>
        <w:t xml:space="preserve"> </w:t>
      </w:r>
      <w:r w:rsidR="00B02647" w:rsidRPr="00B02647">
        <w:rPr>
          <w:rFonts w:asciiTheme="majorBidi" w:hAnsiTheme="majorBidi" w:cstheme="majorBidi"/>
          <w:szCs w:val="18"/>
        </w:rPr>
        <w:t>case no. IT-97-25-T, Trial Chamber, 15 March 2002, (“Judgment”)</w:t>
      </w:r>
      <w:r w:rsidR="00AD6EC8" w:rsidRPr="00531AA5">
        <w:rPr>
          <w:rFonts w:asciiTheme="majorBidi" w:hAnsiTheme="majorBidi" w:cstheme="majorBidi"/>
          <w:szCs w:val="18"/>
        </w:rPr>
        <w:t xml:space="preserve">, para. </w:t>
      </w:r>
      <w:r w:rsidR="00D93C29">
        <w:rPr>
          <w:rFonts w:asciiTheme="majorBidi" w:hAnsiTheme="majorBidi" w:cstheme="majorBidi"/>
          <w:szCs w:val="18"/>
        </w:rPr>
        <w:t>105</w:t>
      </w:r>
      <w:r w:rsidR="00AD6EC8" w:rsidRPr="00531AA5">
        <w:rPr>
          <w:rFonts w:asciiTheme="majorBidi" w:hAnsiTheme="majorBidi" w:cstheme="majorBidi"/>
          <w:szCs w:val="18"/>
        </w:rPr>
        <w:t xml:space="preserve">. </w:t>
      </w:r>
    </w:p>
  </w:footnote>
  <w:footnote w:id="40">
    <w:p w14:paraId="602E5FE4" w14:textId="44731FBB" w:rsidR="00AD6EC8" w:rsidRPr="00531AA5" w:rsidRDefault="00DF0663" w:rsidP="00DF0663">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Pr>
          <w:rFonts w:asciiTheme="majorBidi" w:hAnsiTheme="majorBidi" w:cstheme="majorBidi"/>
          <w:szCs w:val="18"/>
        </w:rPr>
        <w:tab/>
      </w:r>
      <w:r w:rsidR="00052575">
        <w:rPr>
          <w:rFonts w:asciiTheme="majorBidi" w:hAnsiTheme="majorBidi" w:cstheme="majorBidi"/>
          <w:szCs w:val="18"/>
        </w:rPr>
        <w:t>CA3</w:t>
      </w:r>
      <w:r w:rsidR="00AD6EC8" w:rsidRPr="00531AA5">
        <w:rPr>
          <w:rFonts w:asciiTheme="majorBidi" w:hAnsiTheme="majorBidi" w:cstheme="majorBidi"/>
          <w:szCs w:val="18"/>
        </w:rPr>
        <w:t xml:space="preserve">, </w:t>
      </w:r>
      <w:r w:rsidR="0096283A">
        <w:rPr>
          <w:rFonts w:asciiTheme="majorBidi" w:hAnsiTheme="majorBidi" w:cstheme="majorBidi"/>
          <w:szCs w:val="18"/>
        </w:rPr>
        <w:t>GCs</w:t>
      </w:r>
      <w:r w:rsidR="00AD6EC8" w:rsidRPr="00531AA5">
        <w:rPr>
          <w:rFonts w:asciiTheme="majorBidi" w:hAnsiTheme="majorBidi" w:cstheme="majorBidi"/>
          <w:szCs w:val="18"/>
        </w:rPr>
        <w:t xml:space="preserve"> (1949); </w:t>
      </w:r>
      <w:r w:rsidR="0096283A">
        <w:rPr>
          <w:rFonts w:asciiTheme="majorBidi" w:hAnsiTheme="majorBidi" w:cstheme="majorBidi"/>
          <w:szCs w:val="18"/>
        </w:rPr>
        <w:t xml:space="preserve">GC III art. 13, </w:t>
      </w:r>
      <w:r w:rsidR="009D37A1">
        <w:rPr>
          <w:rFonts w:asciiTheme="majorBidi" w:hAnsiTheme="majorBidi" w:cstheme="majorBidi"/>
          <w:szCs w:val="18"/>
        </w:rPr>
        <w:t xml:space="preserve">Rule 90 ICRC, </w:t>
      </w:r>
      <w:r w:rsidR="00AD6EC8" w:rsidRPr="00531AA5">
        <w:rPr>
          <w:rFonts w:asciiTheme="majorBidi" w:hAnsiTheme="majorBidi" w:cstheme="majorBidi"/>
          <w:szCs w:val="18"/>
        </w:rPr>
        <w:t>Art</w:t>
      </w:r>
      <w:r w:rsidR="009F013A">
        <w:rPr>
          <w:rFonts w:asciiTheme="majorBidi" w:hAnsiTheme="majorBidi" w:cstheme="majorBidi"/>
          <w:szCs w:val="18"/>
        </w:rPr>
        <w:t>.</w:t>
      </w:r>
      <w:r w:rsidR="00AD6EC8" w:rsidRPr="00531AA5">
        <w:rPr>
          <w:rFonts w:asciiTheme="majorBidi" w:hAnsiTheme="majorBidi" w:cstheme="majorBidi"/>
          <w:szCs w:val="18"/>
        </w:rPr>
        <w:t xml:space="preserve"> 1,</w:t>
      </w:r>
      <w:r w:rsidR="00531AA5">
        <w:rPr>
          <w:rFonts w:asciiTheme="majorBidi" w:hAnsiTheme="majorBidi" w:cstheme="majorBidi"/>
          <w:szCs w:val="18"/>
        </w:rPr>
        <w:t xml:space="preserve"> </w:t>
      </w:r>
      <w:r w:rsidR="00AD6EC8" w:rsidRPr="00531AA5">
        <w:rPr>
          <w:rFonts w:asciiTheme="majorBidi" w:hAnsiTheme="majorBidi" w:cstheme="majorBidi"/>
          <w:szCs w:val="18"/>
        </w:rPr>
        <w:t xml:space="preserve">2, and 16 </w:t>
      </w:r>
      <w:r w:rsidR="00531AA5">
        <w:rPr>
          <w:rFonts w:asciiTheme="majorBidi" w:hAnsiTheme="majorBidi" w:cstheme="majorBidi"/>
          <w:szCs w:val="18"/>
        </w:rPr>
        <w:t>CAT;</w:t>
      </w:r>
      <w:r w:rsidR="00AD6EC8" w:rsidRPr="00531AA5">
        <w:rPr>
          <w:rFonts w:asciiTheme="majorBidi" w:hAnsiTheme="majorBidi" w:cstheme="majorBidi"/>
          <w:szCs w:val="18"/>
        </w:rPr>
        <w:t xml:space="preserve"> Art</w:t>
      </w:r>
      <w:r w:rsidR="009F013A">
        <w:rPr>
          <w:rFonts w:asciiTheme="majorBidi" w:hAnsiTheme="majorBidi" w:cstheme="majorBidi"/>
          <w:szCs w:val="18"/>
        </w:rPr>
        <w:t>.</w:t>
      </w:r>
      <w:r w:rsidR="00AD6EC8" w:rsidRPr="00531AA5">
        <w:rPr>
          <w:rFonts w:asciiTheme="majorBidi" w:hAnsiTheme="majorBidi" w:cstheme="majorBidi"/>
          <w:szCs w:val="18"/>
        </w:rPr>
        <w:t xml:space="preserve"> 7 of the ICCPR; Art</w:t>
      </w:r>
      <w:r w:rsidR="009F013A">
        <w:rPr>
          <w:rFonts w:asciiTheme="majorBidi" w:hAnsiTheme="majorBidi" w:cstheme="majorBidi"/>
          <w:szCs w:val="18"/>
        </w:rPr>
        <w:t>.</w:t>
      </w:r>
      <w:r w:rsidR="00AD6EC8" w:rsidRPr="00531AA5">
        <w:rPr>
          <w:rFonts w:asciiTheme="majorBidi" w:hAnsiTheme="majorBidi" w:cstheme="majorBidi"/>
          <w:szCs w:val="18"/>
        </w:rPr>
        <w:t xml:space="preserve"> 5 of the UDHR; Art</w:t>
      </w:r>
      <w:r w:rsidR="009F013A">
        <w:rPr>
          <w:rFonts w:asciiTheme="majorBidi" w:hAnsiTheme="majorBidi" w:cstheme="majorBidi"/>
          <w:szCs w:val="18"/>
        </w:rPr>
        <w:t>.</w:t>
      </w:r>
      <w:r w:rsidR="00AD6EC8" w:rsidRPr="00531AA5">
        <w:rPr>
          <w:rFonts w:asciiTheme="majorBidi" w:hAnsiTheme="majorBidi" w:cstheme="majorBidi"/>
          <w:szCs w:val="18"/>
        </w:rPr>
        <w:t xml:space="preserve"> 37 </w:t>
      </w:r>
      <w:r w:rsidR="00531AA5">
        <w:rPr>
          <w:rFonts w:asciiTheme="majorBidi" w:hAnsiTheme="majorBidi" w:cstheme="majorBidi"/>
          <w:szCs w:val="18"/>
        </w:rPr>
        <w:t>CRC;</w:t>
      </w:r>
      <w:r w:rsidR="00AD6EC8" w:rsidRPr="00531AA5">
        <w:rPr>
          <w:rFonts w:asciiTheme="majorBidi" w:hAnsiTheme="majorBidi" w:cstheme="majorBidi"/>
          <w:szCs w:val="18"/>
        </w:rPr>
        <w:t xml:space="preserve"> art</w:t>
      </w:r>
      <w:r w:rsidR="009F013A">
        <w:rPr>
          <w:rFonts w:asciiTheme="majorBidi" w:hAnsiTheme="majorBidi" w:cstheme="majorBidi"/>
          <w:szCs w:val="18"/>
        </w:rPr>
        <w:t>.</w:t>
      </w:r>
      <w:r w:rsidR="00AD6EC8" w:rsidRPr="00531AA5">
        <w:rPr>
          <w:rFonts w:asciiTheme="majorBidi" w:hAnsiTheme="majorBidi" w:cstheme="majorBidi"/>
          <w:szCs w:val="18"/>
        </w:rPr>
        <w:t xml:space="preserve">7(1)(f) of the </w:t>
      </w:r>
      <w:r w:rsidR="00531AA5">
        <w:rPr>
          <w:rFonts w:asciiTheme="majorBidi" w:hAnsiTheme="majorBidi" w:cstheme="majorBidi"/>
          <w:szCs w:val="18"/>
        </w:rPr>
        <w:t xml:space="preserve">ICC </w:t>
      </w:r>
      <w:r w:rsidR="00AD6EC8" w:rsidRPr="00531AA5">
        <w:rPr>
          <w:rFonts w:asciiTheme="majorBidi" w:hAnsiTheme="majorBidi" w:cstheme="majorBidi"/>
          <w:szCs w:val="18"/>
        </w:rPr>
        <w:t>Statute.</w:t>
      </w:r>
    </w:p>
  </w:footnote>
  <w:footnote w:id="41">
    <w:p w14:paraId="6E218E09" w14:textId="7237E386" w:rsidR="00AD6EC8"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sidR="00B02647">
        <w:rPr>
          <w:rFonts w:asciiTheme="majorBidi" w:hAnsiTheme="majorBidi" w:cstheme="majorBidi"/>
          <w:szCs w:val="18"/>
        </w:rPr>
        <w:t>CA3</w:t>
      </w:r>
      <w:r w:rsidR="00AD6EC8" w:rsidRPr="00531AA5">
        <w:rPr>
          <w:rFonts w:asciiTheme="majorBidi" w:hAnsiTheme="majorBidi" w:cstheme="majorBidi"/>
          <w:szCs w:val="18"/>
        </w:rPr>
        <w:t xml:space="preserve">, </w:t>
      </w:r>
      <w:r w:rsidR="0096283A">
        <w:rPr>
          <w:rFonts w:asciiTheme="majorBidi" w:hAnsiTheme="majorBidi" w:cstheme="majorBidi"/>
          <w:szCs w:val="18"/>
        </w:rPr>
        <w:t>GCs (1949)</w:t>
      </w:r>
      <w:r w:rsidR="00AD6EC8" w:rsidRPr="00531AA5">
        <w:rPr>
          <w:rFonts w:asciiTheme="majorBidi" w:hAnsiTheme="majorBidi" w:cstheme="majorBidi"/>
          <w:szCs w:val="18"/>
        </w:rPr>
        <w:t xml:space="preserve">; </w:t>
      </w:r>
      <w:r w:rsidR="0096283A">
        <w:rPr>
          <w:rFonts w:asciiTheme="majorBidi" w:hAnsiTheme="majorBidi" w:cstheme="majorBidi"/>
          <w:szCs w:val="18"/>
        </w:rPr>
        <w:t xml:space="preserve">GC III art. 14(2) </w:t>
      </w:r>
      <w:r w:rsidR="00AD6EC8" w:rsidRPr="00531AA5">
        <w:rPr>
          <w:rFonts w:asciiTheme="majorBidi" w:hAnsiTheme="majorBidi" w:cstheme="majorBidi"/>
          <w:szCs w:val="18"/>
        </w:rPr>
        <w:t>Rule 93 ICRC; Art</w:t>
      </w:r>
      <w:r w:rsidR="009F013A">
        <w:rPr>
          <w:rFonts w:asciiTheme="majorBidi" w:hAnsiTheme="majorBidi" w:cstheme="majorBidi"/>
          <w:szCs w:val="18"/>
        </w:rPr>
        <w:t>.</w:t>
      </w:r>
      <w:r w:rsidR="00AD6EC8" w:rsidRPr="00531AA5">
        <w:rPr>
          <w:rFonts w:asciiTheme="majorBidi" w:hAnsiTheme="majorBidi" w:cstheme="majorBidi"/>
          <w:szCs w:val="18"/>
        </w:rPr>
        <w:t xml:space="preserve"> 7(1)(g)</w:t>
      </w:r>
      <w:r w:rsidR="007E6185">
        <w:rPr>
          <w:rFonts w:asciiTheme="majorBidi" w:hAnsiTheme="majorBidi" w:cstheme="majorBidi"/>
          <w:szCs w:val="18"/>
        </w:rPr>
        <w:t xml:space="preserve"> ICC</w:t>
      </w:r>
      <w:r w:rsidR="00AD6EC8" w:rsidRPr="00531AA5">
        <w:rPr>
          <w:rFonts w:asciiTheme="majorBidi" w:hAnsiTheme="majorBidi" w:cstheme="majorBidi"/>
          <w:szCs w:val="18"/>
        </w:rPr>
        <w:t xml:space="preserve"> Statute.</w:t>
      </w:r>
    </w:p>
  </w:footnote>
  <w:footnote w:id="42">
    <w:p w14:paraId="1852D1CE" w14:textId="5A044717" w:rsidR="00AD6EC8"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sidR="006D7759">
        <w:rPr>
          <w:rFonts w:asciiTheme="majorBidi" w:hAnsiTheme="majorBidi" w:cstheme="majorBidi"/>
          <w:szCs w:val="18"/>
        </w:rPr>
        <w:t>GA</w:t>
      </w:r>
      <w:r w:rsidR="009D37A1" w:rsidRPr="009D37A1">
        <w:rPr>
          <w:rFonts w:asciiTheme="majorBidi" w:hAnsiTheme="majorBidi" w:cstheme="majorBidi"/>
          <w:szCs w:val="18"/>
        </w:rPr>
        <w:t xml:space="preserve"> resolution 55/25</w:t>
      </w:r>
      <w:r w:rsidR="009D37A1">
        <w:rPr>
          <w:rFonts w:asciiTheme="majorBidi" w:hAnsiTheme="majorBidi" w:cstheme="majorBidi"/>
          <w:szCs w:val="18"/>
        </w:rPr>
        <w:t xml:space="preserve"> (Nov. 2000)</w:t>
      </w:r>
      <w:r>
        <w:rPr>
          <w:rFonts w:asciiTheme="majorBidi" w:hAnsiTheme="majorBidi" w:cstheme="majorBidi"/>
          <w:szCs w:val="18"/>
        </w:rPr>
        <w:t>.</w:t>
      </w:r>
    </w:p>
  </w:footnote>
  <w:footnote w:id="43">
    <w:p w14:paraId="3C4779EB" w14:textId="581977FA" w:rsidR="00AD6EC8"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sidR="00610A90">
        <w:rPr>
          <w:rFonts w:asciiTheme="majorBidi" w:hAnsiTheme="majorBidi" w:cstheme="majorBidi"/>
          <w:szCs w:val="18"/>
        </w:rPr>
        <w:t xml:space="preserve">Rules 93, 105, 131 and 135 </w:t>
      </w:r>
      <w:r w:rsidR="00E80CC0">
        <w:rPr>
          <w:rFonts w:asciiTheme="majorBidi" w:hAnsiTheme="majorBidi" w:cstheme="majorBidi"/>
          <w:szCs w:val="18"/>
        </w:rPr>
        <w:t>I</w:t>
      </w:r>
      <w:r w:rsidR="00610A90">
        <w:rPr>
          <w:rFonts w:asciiTheme="majorBidi" w:hAnsiTheme="majorBidi" w:cstheme="majorBidi"/>
          <w:szCs w:val="18"/>
        </w:rPr>
        <w:t xml:space="preserve">CRC; </w:t>
      </w:r>
      <w:r w:rsidR="00173EB9" w:rsidRPr="00531AA5">
        <w:rPr>
          <w:rFonts w:asciiTheme="majorBidi" w:hAnsiTheme="majorBidi" w:cstheme="majorBidi"/>
          <w:szCs w:val="18"/>
        </w:rPr>
        <w:t>CRC</w:t>
      </w:r>
      <w:r w:rsidR="00AD6EC8" w:rsidRPr="00531AA5">
        <w:rPr>
          <w:rFonts w:asciiTheme="majorBidi" w:hAnsiTheme="majorBidi" w:cstheme="majorBidi"/>
          <w:szCs w:val="18"/>
        </w:rPr>
        <w:t xml:space="preserve">, </w:t>
      </w:r>
      <w:r w:rsidR="00F31249">
        <w:rPr>
          <w:rFonts w:asciiTheme="majorBidi" w:hAnsiTheme="majorBidi" w:cstheme="majorBidi"/>
          <w:szCs w:val="18"/>
        </w:rPr>
        <w:t>A</w:t>
      </w:r>
      <w:r w:rsidR="00F31249" w:rsidRPr="00531AA5">
        <w:rPr>
          <w:rFonts w:asciiTheme="majorBidi" w:hAnsiTheme="majorBidi" w:cstheme="majorBidi"/>
          <w:szCs w:val="18"/>
        </w:rPr>
        <w:t>rt</w:t>
      </w:r>
      <w:r w:rsidR="009F013A">
        <w:rPr>
          <w:rFonts w:asciiTheme="majorBidi" w:hAnsiTheme="majorBidi" w:cstheme="majorBidi"/>
          <w:szCs w:val="18"/>
        </w:rPr>
        <w:t>.</w:t>
      </w:r>
      <w:r w:rsidR="00F31249" w:rsidRPr="00531AA5">
        <w:rPr>
          <w:rFonts w:asciiTheme="majorBidi" w:hAnsiTheme="majorBidi" w:cstheme="majorBidi"/>
          <w:szCs w:val="18"/>
        </w:rPr>
        <w:t xml:space="preserve"> </w:t>
      </w:r>
      <w:r w:rsidR="00AD6EC8" w:rsidRPr="00531AA5">
        <w:rPr>
          <w:rFonts w:asciiTheme="majorBidi" w:hAnsiTheme="majorBidi" w:cstheme="majorBidi"/>
          <w:szCs w:val="18"/>
        </w:rPr>
        <w:t>2</w:t>
      </w:r>
      <w:r w:rsidR="001C565A">
        <w:rPr>
          <w:rFonts w:asciiTheme="majorBidi" w:hAnsiTheme="majorBidi" w:cstheme="majorBidi"/>
          <w:szCs w:val="18"/>
        </w:rPr>
        <w:t>,</w:t>
      </w:r>
      <w:r w:rsidR="00AD6EC8" w:rsidRPr="00531AA5">
        <w:rPr>
          <w:rFonts w:asciiTheme="majorBidi" w:hAnsiTheme="majorBidi" w:cstheme="majorBidi"/>
          <w:szCs w:val="18"/>
        </w:rPr>
        <w:t>9</w:t>
      </w:r>
      <w:r w:rsidR="001C565A">
        <w:rPr>
          <w:rFonts w:asciiTheme="majorBidi" w:hAnsiTheme="majorBidi" w:cstheme="majorBidi"/>
          <w:szCs w:val="18"/>
        </w:rPr>
        <w:t>, and 35</w:t>
      </w:r>
      <w:r w:rsidR="00AD6EC8" w:rsidRPr="00531AA5">
        <w:rPr>
          <w:rFonts w:asciiTheme="majorBidi" w:hAnsiTheme="majorBidi" w:cstheme="majorBidi"/>
          <w:szCs w:val="18"/>
        </w:rPr>
        <w:t xml:space="preserve">. </w:t>
      </w:r>
    </w:p>
  </w:footnote>
  <w:footnote w:id="44">
    <w:p w14:paraId="1D1CFB0C" w14:textId="08E76B8C" w:rsidR="00AD6EC8"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sidR="00420B29">
        <w:rPr>
          <w:rFonts w:asciiTheme="majorBidi" w:hAnsiTheme="majorBidi" w:cstheme="majorBidi"/>
          <w:szCs w:val="18"/>
        </w:rPr>
        <w:t>CA</w:t>
      </w:r>
      <w:r w:rsidR="00AD6EC8" w:rsidRPr="00531AA5">
        <w:rPr>
          <w:rFonts w:asciiTheme="majorBidi" w:hAnsiTheme="majorBidi" w:cstheme="majorBidi"/>
          <w:szCs w:val="18"/>
        </w:rPr>
        <w:t xml:space="preserve">3 </w:t>
      </w:r>
      <w:r w:rsidR="00173EB9" w:rsidRPr="00531AA5">
        <w:rPr>
          <w:rFonts w:asciiTheme="majorBidi" w:hAnsiTheme="majorBidi" w:cstheme="majorBidi"/>
          <w:szCs w:val="18"/>
        </w:rPr>
        <w:t>(GC</w:t>
      </w:r>
      <w:r w:rsidR="009F013A">
        <w:rPr>
          <w:rFonts w:asciiTheme="majorBidi" w:hAnsiTheme="majorBidi" w:cstheme="majorBidi"/>
          <w:szCs w:val="18"/>
        </w:rPr>
        <w:t>s</w:t>
      </w:r>
      <w:r w:rsidR="00173EB9" w:rsidRPr="00531AA5">
        <w:rPr>
          <w:rFonts w:asciiTheme="majorBidi" w:hAnsiTheme="majorBidi" w:cstheme="majorBidi"/>
          <w:szCs w:val="18"/>
        </w:rPr>
        <w:t>)</w:t>
      </w:r>
      <w:r w:rsidR="00AD6EC8" w:rsidRPr="00531AA5">
        <w:rPr>
          <w:rFonts w:asciiTheme="majorBidi" w:hAnsiTheme="majorBidi" w:cstheme="majorBidi"/>
          <w:szCs w:val="18"/>
        </w:rPr>
        <w:t>, Rule 96, ICRC.</w:t>
      </w:r>
    </w:p>
  </w:footnote>
  <w:footnote w:id="45">
    <w:p w14:paraId="7BD7CA8E" w14:textId="27499032" w:rsidR="00AD6EC8"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sidR="00420B29">
        <w:rPr>
          <w:rFonts w:asciiTheme="majorBidi" w:hAnsiTheme="majorBidi" w:cstheme="majorBidi"/>
          <w:szCs w:val="18"/>
        </w:rPr>
        <w:t>CA</w:t>
      </w:r>
      <w:r w:rsidR="00AD6EC8" w:rsidRPr="00531AA5">
        <w:rPr>
          <w:rFonts w:asciiTheme="majorBidi" w:hAnsiTheme="majorBidi" w:cstheme="majorBidi"/>
          <w:szCs w:val="18"/>
        </w:rPr>
        <w:t>3</w:t>
      </w:r>
      <w:r w:rsidR="00E612D8" w:rsidRPr="00531AA5">
        <w:rPr>
          <w:rFonts w:asciiTheme="majorBidi" w:hAnsiTheme="majorBidi" w:cstheme="majorBidi"/>
          <w:szCs w:val="18"/>
        </w:rPr>
        <w:t>,</w:t>
      </w:r>
      <w:r w:rsidR="00AD6EC8" w:rsidRPr="00531AA5">
        <w:rPr>
          <w:rFonts w:asciiTheme="majorBidi" w:hAnsiTheme="majorBidi" w:cstheme="majorBidi"/>
          <w:szCs w:val="18"/>
        </w:rPr>
        <w:t xml:space="preserve"> </w:t>
      </w:r>
      <w:r w:rsidR="007E6185">
        <w:rPr>
          <w:rFonts w:asciiTheme="majorBidi" w:hAnsiTheme="majorBidi" w:cstheme="majorBidi"/>
          <w:szCs w:val="18"/>
        </w:rPr>
        <w:t>(GC</w:t>
      </w:r>
      <w:r w:rsidR="009F013A">
        <w:rPr>
          <w:rFonts w:asciiTheme="majorBidi" w:hAnsiTheme="majorBidi" w:cstheme="majorBidi"/>
          <w:szCs w:val="18"/>
        </w:rPr>
        <w:t>s</w:t>
      </w:r>
      <w:r w:rsidR="007E6185">
        <w:rPr>
          <w:rFonts w:asciiTheme="majorBidi" w:hAnsiTheme="majorBidi" w:cstheme="majorBidi"/>
          <w:szCs w:val="18"/>
        </w:rPr>
        <w:t>)</w:t>
      </w:r>
      <w:r w:rsidR="00AD6EC8" w:rsidRPr="00531AA5">
        <w:rPr>
          <w:rFonts w:asciiTheme="majorBidi" w:hAnsiTheme="majorBidi" w:cstheme="majorBidi"/>
          <w:szCs w:val="18"/>
        </w:rPr>
        <w:t>; Rule 55, ICRC; Art</w:t>
      </w:r>
      <w:r w:rsidR="009F013A">
        <w:rPr>
          <w:rFonts w:asciiTheme="majorBidi" w:hAnsiTheme="majorBidi" w:cstheme="majorBidi"/>
          <w:szCs w:val="18"/>
        </w:rPr>
        <w:t>.</w:t>
      </w:r>
      <w:r w:rsidR="00AD6EC8" w:rsidRPr="00531AA5">
        <w:rPr>
          <w:rFonts w:asciiTheme="majorBidi" w:hAnsiTheme="majorBidi" w:cstheme="majorBidi"/>
          <w:szCs w:val="18"/>
        </w:rPr>
        <w:t xml:space="preserve"> 6 ICCPR</w:t>
      </w:r>
      <w:r w:rsidR="009F013A">
        <w:rPr>
          <w:rFonts w:asciiTheme="majorBidi" w:hAnsiTheme="majorBidi" w:cstheme="majorBidi"/>
          <w:szCs w:val="18"/>
        </w:rPr>
        <w:t>;</w:t>
      </w:r>
      <w:r w:rsidR="00AD6EC8" w:rsidRPr="00531AA5">
        <w:rPr>
          <w:rFonts w:asciiTheme="majorBidi" w:hAnsiTheme="majorBidi" w:cstheme="majorBidi"/>
          <w:szCs w:val="18"/>
        </w:rPr>
        <w:t xml:space="preserve"> Art</w:t>
      </w:r>
      <w:r w:rsidR="009F013A">
        <w:rPr>
          <w:rFonts w:asciiTheme="majorBidi" w:hAnsiTheme="majorBidi" w:cstheme="majorBidi"/>
          <w:szCs w:val="18"/>
        </w:rPr>
        <w:t>.</w:t>
      </w:r>
      <w:r w:rsidR="00AD6EC8" w:rsidRPr="00531AA5">
        <w:rPr>
          <w:rFonts w:asciiTheme="majorBidi" w:hAnsiTheme="majorBidi" w:cstheme="majorBidi"/>
          <w:szCs w:val="18"/>
        </w:rPr>
        <w:t xml:space="preserve"> 7(1) </w:t>
      </w:r>
      <w:r w:rsidR="00F31249">
        <w:rPr>
          <w:rFonts w:asciiTheme="majorBidi" w:hAnsiTheme="majorBidi" w:cstheme="majorBidi"/>
          <w:szCs w:val="18"/>
        </w:rPr>
        <w:t xml:space="preserve">ICC </w:t>
      </w:r>
      <w:r w:rsidR="00AD6EC8" w:rsidRPr="00531AA5">
        <w:rPr>
          <w:rFonts w:asciiTheme="majorBidi" w:hAnsiTheme="majorBidi" w:cstheme="majorBidi"/>
          <w:szCs w:val="18"/>
        </w:rPr>
        <w:t>Statute.</w:t>
      </w:r>
    </w:p>
  </w:footnote>
  <w:footnote w:id="46">
    <w:p w14:paraId="2082A991" w14:textId="4C2DA083" w:rsidR="00AD6EC8" w:rsidRPr="00531AA5"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t>Art</w:t>
      </w:r>
      <w:r w:rsidR="009F013A">
        <w:rPr>
          <w:rFonts w:asciiTheme="majorBidi" w:hAnsiTheme="majorBidi" w:cstheme="majorBidi"/>
          <w:szCs w:val="18"/>
        </w:rPr>
        <w:t>.</w:t>
      </w:r>
      <w:r w:rsidRPr="00531AA5">
        <w:rPr>
          <w:rFonts w:asciiTheme="majorBidi" w:hAnsiTheme="majorBidi" w:cstheme="majorBidi"/>
          <w:szCs w:val="18"/>
        </w:rPr>
        <w:t xml:space="preserve"> 17, </w:t>
      </w:r>
      <w:r w:rsidR="00F31249">
        <w:rPr>
          <w:rFonts w:asciiTheme="majorBidi" w:hAnsiTheme="majorBidi" w:cstheme="majorBidi"/>
          <w:szCs w:val="18"/>
        </w:rPr>
        <w:t>Lieber Code</w:t>
      </w:r>
      <w:r w:rsidRPr="00531AA5">
        <w:rPr>
          <w:rFonts w:asciiTheme="majorBidi" w:hAnsiTheme="majorBidi" w:cstheme="majorBidi"/>
          <w:szCs w:val="18"/>
        </w:rPr>
        <w:t xml:space="preserve"> (1863); </w:t>
      </w:r>
      <w:r w:rsidR="009F013A">
        <w:rPr>
          <w:rFonts w:asciiTheme="majorBidi" w:hAnsiTheme="majorBidi" w:cstheme="majorBidi"/>
          <w:szCs w:val="18"/>
        </w:rPr>
        <w:t xml:space="preserve">Amended art. 8 of ICC Statute, </w:t>
      </w:r>
      <w:r w:rsidRPr="00531AA5">
        <w:rPr>
          <w:rFonts w:asciiTheme="majorBidi" w:hAnsiTheme="majorBidi" w:cstheme="majorBidi"/>
          <w:szCs w:val="18"/>
        </w:rPr>
        <w:t>Art</w:t>
      </w:r>
      <w:r w:rsidR="009F013A">
        <w:rPr>
          <w:rFonts w:asciiTheme="majorBidi" w:hAnsiTheme="majorBidi" w:cstheme="majorBidi"/>
          <w:szCs w:val="18"/>
        </w:rPr>
        <w:t>.</w:t>
      </w:r>
      <w:r w:rsidRPr="00531AA5">
        <w:rPr>
          <w:rFonts w:asciiTheme="majorBidi" w:hAnsiTheme="majorBidi" w:cstheme="majorBidi"/>
          <w:szCs w:val="18"/>
        </w:rPr>
        <w:t xml:space="preserve"> 14 </w:t>
      </w:r>
      <w:r w:rsidR="0031458E">
        <w:rPr>
          <w:rFonts w:asciiTheme="majorBidi" w:hAnsiTheme="majorBidi" w:cstheme="majorBidi"/>
          <w:szCs w:val="18"/>
        </w:rPr>
        <w:t xml:space="preserve">GC </w:t>
      </w:r>
      <w:r w:rsidRPr="00531AA5">
        <w:rPr>
          <w:rFonts w:asciiTheme="majorBidi" w:hAnsiTheme="majorBidi" w:cstheme="majorBidi"/>
          <w:szCs w:val="18"/>
        </w:rPr>
        <w:t>Additional Protocol II</w:t>
      </w:r>
      <w:proofErr w:type="gramStart"/>
      <w:r w:rsidRPr="00531AA5">
        <w:rPr>
          <w:rFonts w:asciiTheme="majorBidi" w:hAnsiTheme="majorBidi" w:cstheme="majorBidi"/>
          <w:szCs w:val="18"/>
        </w:rPr>
        <w:t>, ;</w:t>
      </w:r>
      <w:proofErr w:type="gramEnd"/>
      <w:r w:rsidRPr="00531AA5">
        <w:rPr>
          <w:rFonts w:asciiTheme="majorBidi" w:hAnsiTheme="majorBidi" w:cstheme="majorBidi"/>
          <w:szCs w:val="18"/>
        </w:rPr>
        <w:t xml:space="preserve"> Military Manuals (cf. Australia, France, USA, USSR); Rule</w:t>
      </w:r>
      <w:r w:rsidR="0031458E">
        <w:rPr>
          <w:rFonts w:asciiTheme="majorBidi" w:hAnsiTheme="majorBidi" w:cstheme="majorBidi"/>
          <w:szCs w:val="18"/>
        </w:rPr>
        <w:t>s</w:t>
      </w:r>
      <w:r w:rsidRPr="00531AA5">
        <w:rPr>
          <w:rFonts w:asciiTheme="majorBidi" w:hAnsiTheme="majorBidi" w:cstheme="majorBidi"/>
          <w:szCs w:val="18"/>
        </w:rPr>
        <w:t xml:space="preserve"> 53</w:t>
      </w:r>
      <w:r w:rsidR="0031458E">
        <w:rPr>
          <w:rFonts w:asciiTheme="majorBidi" w:hAnsiTheme="majorBidi" w:cstheme="majorBidi"/>
          <w:szCs w:val="18"/>
        </w:rPr>
        <w:t>, 54 and 118</w:t>
      </w:r>
      <w:r w:rsidRPr="00531AA5">
        <w:rPr>
          <w:rFonts w:asciiTheme="majorBidi" w:hAnsiTheme="majorBidi" w:cstheme="majorBidi"/>
          <w:szCs w:val="18"/>
        </w:rPr>
        <w:t xml:space="preserve"> ICRC .</w:t>
      </w:r>
    </w:p>
  </w:footnote>
  <w:footnote w:id="47">
    <w:p w14:paraId="7E859068" w14:textId="3955F758" w:rsidR="00531AA5"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531AA5" w:rsidRPr="00531AA5">
        <w:rPr>
          <w:rStyle w:val="FootnoteReference"/>
          <w:rFonts w:asciiTheme="majorBidi" w:hAnsiTheme="majorBidi" w:cstheme="majorBidi"/>
          <w:szCs w:val="18"/>
        </w:rPr>
        <w:footnoteRef/>
      </w:r>
      <w:r>
        <w:rPr>
          <w:rFonts w:asciiTheme="majorBidi" w:hAnsiTheme="majorBidi" w:cstheme="majorBidi"/>
          <w:szCs w:val="18"/>
        </w:rPr>
        <w:tab/>
      </w:r>
      <w:r w:rsidR="0031458E">
        <w:rPr>
          <w:rFonts w:asciiTheme="majorBidi" w:hAnsiTheme="majorBidi" w:cstheme="majorBidi"/>
          <w:szCs w:val="18"/>
        </w:rPr>
        <w:t>See footnote 38 on prohibition of torture.</w:t>
      </w:r>
    </w:p>
  </w:footnote>
  <w:footnote w:id="48">
    <w:p w14:paraId="4FAFDC71" w14:textId="353330E6" w:rsidR="00AD6EC8" w:rsidRPr="00531AA5" w:rsidRDefault="00DF0663" w:rsidP="00087631">
      <w:pPr>
        <w:pStyle w:val="FootnoteText"/>
        <w:rPr>
          <w:rFonts w:asciiTheme="majorBidi" w:hAnsiTheme="majorBidi" w:cstheme="majorBidi"/>
          <w:szCs w:val="18"/>
        </w:rPr>
      </w:pPr>
      <w:r>
        <w:rPr>
          <w:rFonts w:asciiTheme="majorBidi" w:hAnsiTheme="majorBidi" w:cstheme="majorBidi"/>
          <w:szCs w:val="18"/>
        </w:rPr>
        <w:tab/>
      </w:r>
      <w:r w:rsidR="00AD6EC8" w:rsidRPr="00531AA5">
        <w:rPr>
          <w:rStyle w:val="FootnoteReference"/>
          <w:rFonts w:asciiTheme="majorBidi" w:hAnsiTheme="majorBidi" w:cstheme="majorBidi"/>
          <w:szCs w:val="18"/>
        </w:rPr>
        <w:footnoteRef/>
      </w:r>
      <w:r>
        <w:rPr>
          <w:rFonts w:asciiTheme="majorBidi" w:hAnsiTheme="majorBidi" w:cstheme="majorBidi"/>
          <w:szCs w:val="18"/>
        </w:rPr>
        <w:tab/>
      </w:r>
      <w:r w:rsidR="0031458E">
        <w:rPr>
          <w:rFonts w:asciiTheme="majorBidi" w:hAnsiTheme="majorBidi" w:cstheme="majorBidi"/>
          <w:szCs w:val="18"/>
        </w:rPr>
        <w:t xml:space="preserve">Convention for the Protection of all Persons from Enforced Disappearance (2006), art. 1 and 2; Rules 98, 116, 117, and 123 </w:t>
      </w:r>
      <w:r w:rsidR="0031458E" w:rsidRPr="00531AA5">
        <w:rPr>
          <w:rFonts w:asciiTheme="majorBidi" w:hAnsiTheme="majorBidi" w:cstheme="majorBidi"/>
          <w:szCs w:val="18"/>
        </w:rPr>
        <w:t>ICRC</w:t>
      </w:r>
      <w:r w:rsidR="0031458E">
        <w:rPr>
          <w:rFonts w:asciiTheme="majorBidi" w:hAnsiTheme="majorBidi" w:cstheme="majorBidi"/>
          <w:szCs w:val="18"/>
        </w:rPr>
        <w:t xml:space="preserve">, </w:t>
      </w:r>
      <w:r w:rsidR="00AD6EC8" w:rsidRPr="00531AA5">
        <w:rPr>
          <w:rFonts w:asciiTheme="majorBidi" w:hAnsiTheme="majorBidi" w:cstheme="majorBidi"/>
          <w:szCs w:val="18"/>
        </w:rPr>
        <w:t>Art</w:t>
      </w:r>
      <w:r w:rsidR="009F013A">
        <w:rPr>
          <w:rFonts w:asciiTheme="majorBidi" w:hAnsiTheme="majorBidi" w:cstheme="majorBidi"/>
          <w:szCs w:val="18"/>
        </w:rPr>
        <w:t>.</w:t>
      </w:r>
      <w:r w:rsidR="00AD6EC8" w:rsidRPr="00531AA5">
        <w:rPr>
          <w:rFonts w:asciiTheme="majorBidi" w:hAnsiTheme="majorBidi" w:cstheme="majorBidi"/>
          <w:szCs w:val="18"/>
        </w:rPr>
        <w:t xml:space="preserve"> 7(1)(i) </w:t>
      </w:r>
      <w:r w:rsidR="00E612D8" w:rsidRPr="00531AA5">
        <w:rPr>
          <w:rFonts w:asciiTheme="majorBidi" w:hAnsiTheme="majorBidi" w:cstheme="majorBidi"/>
          <w:szCs w:val="18"/>
        </w:rPr>
        <w:t>ICC</w:t>
      </w:r>
      <w:r w:rsidR="00AD6EC8" w:rsidRPr="00531AA5">
        <w:rPr>
          <w:rFonts w:asciiTheme="majorBidi" w:hAnsiTheme="majorBidi" w:cstheme="majorBidi"/>
          <w:szCs w:val="18"/>
        </w:rPr>
        <w:t xml:space="preserve"> Statute.</w:t>
      </w:r>
    </w:p>
  </w:footnote>
  <w:footnote w:id="49">
    <w:p w14:paraId="28A8C0CE" w14:textId="07E7B82E" w:rsidR="00AD6EC8" w:rsidRPr="00531AA5"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r>
      <w:r w:rsidR="009F013A">
        <w:rPr>
          <w:rFonts w:asciiTheme="majorBidi" w:hAnsiTheme="majorBidi" w:cstheme="majorBidi"/>
          <w:szCs w:val="18"/>
        </w:rPr>
        <w:t xml:space="preserve">CA3 </w:t>
      </w:r>
      <w:r w:rsidR="007E6185">
        <w:rPr>
          <w:rFonts w:asciiTheme="majorBidi" w:hAnsiTheme="majorBidi" w:cstheme="majorBidi"/>
          <w:szCs w:val="18"/>
        </w:rPr>
        <w:t>(GC</w:t>
      </w:r>
      <w:r w:rsidR="009F013A">
        <w:rPr>
          <w:rFonts w:asciiTheme="majorBidi" w:hAnsiTheme="majorBidi" w:cstheme="majorBidi"/>
          <w:szCs w:val="18"/>
        </w:rPr>
        <w:t>s</w:t>
      </w:r>
      <w:r w:rsidR="007E6185">
        <w:rPr>
          <w:rFonts w:asciiTheme="majorBidi" w:hAnsiTheme="majorBidi" w:cstheme="majorBidi"/>
          <w:szCs w:val="18"/>
        </w:rPr>
        <w:t>)</w:t>
      </w:r>
      <w:r w:rsidRPr="00531AA5">
        <w:rPr>
          <w:rFonts w:asciiTheme="majorBidi" w:hAnsiTheme="majorBidi" w:cstheme="majorBidi"/>
          <w:szCs w:val="18"/>
        </w:rPr>
        <w:t xml:space="preserve">; noting the ICJ decision in </w:t>
      </w:r>
      <w:r w:rsidR="00EA455B" w:rsidRPr="00531AA5">
        <w:rPr>
          <w:rFonts w:asciiTheme="majorBidi" w:hAnsiTheme="majorBidi" w:cstheme="majorBidi"/>
          <w:szCs w:val="18"/>
        </w:rPr>
        <w:t>Nicar</w:t>
      </w:r>
      <w:r w:rsidR="00EA455B">
        <w:rPr>
          <w:rFonts w:asciiTheme="majorBidi" w:hAnsiTheme="majorBidi" w:cstheme="majorBidi"/>
          <w:szCs w:val="18"/>
        </w:rPr>
        <w:t xml:space="preserve">agua </w:t>
      </w:r>
      <w:r w:rsidR="00EA455B" w:rsidRPr="00531AA5">
        <w:rPr>
          <w:rFonts w:asciiTheme="majorBidi" w:hAnsiTheme="majorBidi" w:cstheme="majorBidi"/>
          <w:szCs w:val="18"/>
        </w:rPr>
        <w:t>v.</w:t>
      </w:r>
      <w:r w:rsidR="00EA455B">
        <w:rPr>
          <w:rFonts w:asciiTheme="majorBidi" w:hAnsiTheme="majorBidi" w:cstheme="majorBidi"/>
          <w:szCs w:val="18"/>
        </w:rPr>
        <w:t xml:space="preserve"> </w:t>
      </w:r>
      <w:r w:rsidRPr="00531AA5">
        <w:rPr>
          <w:rFonts w:asciiTheme="majorBidi" w:hAnsiTheme="majorBidi" w:cstheme="majorBidi"/>
          <w:szCs w:val="18"/>
        </w:rPr>
        <w:t>US (1986) para 218</w:t>
      </w:r>
      <w:r w:rsidR="00B84E06">
        <w:rPr>
          <w:rFonts w:asciiTheme="majorBidi" w:hAnsiTheme="majorBidi" w:cstheme="majorBidi"/>
          <w:szCs w:val="18"/>
        </w:rPr>
        <w:t>,</w:t>
      </w:r>
      <w:r w:rsidR="00E80CC0">
        <w:rPr>
          <w:rFonts w:asciiTheme="majorBidi" w:hAnsiTheme="majorBidi" w:cstheme="majorBidi"/>
          <w:szCs w:val="18"/>
        </w:rPr>
        <w:t xml:space="preserve"> Principle V, Principles of International Law Recognized in the Charter of the Nuremberg Tribunal and in the Judgment of the Tribunal (1950); rules 100 and 103 ICRC,</w:t>
      </w:r>
      <w:r w:rsidR="00B84E06">
        <w:rPr>
          <w:rFonts w:asciiTheme="majorBidi" w:hAnsiTheme="majorBidi" w:cstheme="majorBidi"/>
          <w:szCs w:val="18"/>
        </w:rPr>
        <w:t xml:space="preserve"> art. 9 and 14 ICCPR</w:t>
      </w:r>
      <w:r w:rsidRPr="00531AA5">
        <w:rPr>
          <w:rFonts w:asciiTheme="majorBidi" w:hAnsiTheme="majorBidi" w:cstheme="majorBidi"/>
          <w:szCs w:val="18"/>
        </w:rPr>
        <w:t>.</w:t>
      </w:r>
    </w:p>
  </w:footnote>
  <w:footnote w:id="50">
    <w:p w14:paraId="523B7987" w14:textId="5F918145" w:rsidR="00454A9D" w:rsidRPr="00635AFE" w:rsidRDefault="00454A9D" w:rsidP="00087631">
      <w:pPr>
        <w:pStyle w:val="FootnoteText"/>
        <w:rPr>
          <w:rFonts w:asciiTheme="majorBidi" w:hAnsiTheme="majorBidi" w:cstheme="majorBidi"/>
          <w:szCs w:val="18"/>
        </w:rPr>
      </w:pPr>
      <w:r w:rsidRPr="00635AFE">
        <w:rPr>
          <w:rFonts w:asciiTheme="majorBidi" w:hAnsiTheme="majorBidi" w:cstheme="majorBidi"/>
          <w:szCs w:val="18"/>
        </w:rPr>
        <w:tab/>
      </w:r>
      <w:r w:rsidRPr="00531AA5">
        <w:rPr>
          <w:rStyle w:val="FootnoteReference"/>
          <w:rFonts w:asciiTheme="majorBidi" w:hAnsiTheme="majorBidi" w:cstheme="majorBidi"/>
          <w:szCs w:val="18"/>
        </w:rPr>
        <w:footnoteRef/>
      </w:r>
      <w:r w:rsidRPr="00635AFE">
        <w:rPr>
          <w:rFonts w:asciiTheme="majorBidi" w:hAnsiTheme="majorBidi" w:cstheme="majorBidi"/>
          <w:szCs w:val="18"/>
        </w:rPr>
        <w:tab/>
      </w:r>
      <w:proofErr w:type="spellStart"/>
      <w:r w:rsidR="00327DAF" w:rsidRPr="00635AFE">
        <w:rPr>
          <w:rFonts w:asciiTheme="majorBidi" w:hAnsiTheme="majorBidi" w:cstheme="majorBidi"/>
          <w:szCs w:val="18"/>
        </w:rPr>
        <w:t>EoM</w:t>
      </w:r>
      <w:proofErr w:type="spellEnd"/>
      <w:r w:rsidR="007E6185" w:rsidRPr="00635AFE">
        <w:rPr>
          <w:rFonts w:asciiTheme="majorBidi" w:hAnsiTheme="majorBidi" w:cstheme="majorBidi"/>
          <w:szCs w:val="18"/>
        </w:rPr>
        <w:t xml:space="preserve"> </w:t>
      </w:r>
      <w:r w:rsidRPr="00635AFE">
        <w:rPr>
          <w:rFonts w:asciiTheme="majorBidi" w:hAnsiTheme="majorBidi" w:cstheme="majorBidi"/>
          <w:szCs w:val="18"/>
        </w:rPr>
        <w:t>para 5 &amp; 6.</w:t>
      </w:r>
    </w:p>
  </w:footnote>
  <w:footnote w:id="51">
    <w:p w14:paraId="1DB3A5FA" w14:textId="7B315AD7" w:rsidR="00454A9D" w:rsidRPr="00531AA5" w:rsidRDefault="00DF0663" w:rsidP="00087631">
      <w:pPr>
        <w:tabs>
          <w:tab w:val="right" w:pos="1021"/>
        </w:tabs>
        <w:spacing w:line="220" w:lineRule="exact"/>
        <w:ind w:left="1134" w:right="1134" w:hanging="1134"/>
        <w:rPr>
          <w:rFonts w:asciiTheme="majorBidi" w:hAnsiTheme="majorBidi" w:cstheme="majorBidi"/>
          <w:sz w:val="18"/>
          <w:szCs w:val="18"/>
        </w:rPr>
      </w:pPr>
      <w:r>
        <w:rPr>
          <w:rFonts w:asciiTheme="majorBidi" w:hAnsiTheme="majorBidi" w:cstheme="majorBidi"/>
          <w:sz w:val="18"/>
          <w:szCs w:val="18"/>
        </w:rPr>
        <w:tab/>
      </w:r>
      <w:r w:rsidR="00454A9D" w:rsidRPr="00531AA5">
        <w:rPr>
          <w:rStyle w:val="FootnoteReference"/>
          <w:rFonts w:asciiTheme="majorBidi" w:hAnsiTheme="majorBidi" w:cstheme="majorBidi"/>
          <w:szCs w:val="18"/>
        </w:rPr>
        <w:footnoteRef/>
      </w:r>
      <w:r>
        <w:rPr>
          <w:rFonts w:asciiTheme="majorBidi" w:hAnsiTheme="majorBidi" w:cstheme="majorBidi"/>
          <w:sz w:val="18"/>
          <w:szCs w:val="18"/>
        </w:rPr>
        <w:tab/>
      </w:r>
      <w:r w:rsidR="001A125C" w:rsidRPr="00531AA5">
        <w:rPr>
          <w:rFonts w:asciiTheme="majorBidi" w:hAnsiTheme="majorBidi" w:cstheme="majorBidi"/>
          <w:sz w:val="18"/>
          <w:szCs w:val="18"/>
        </w:rPr>
        <w:t>ICRC</w:t>
      </w:r>
      <w:r w:rsidR="007E6185">
        <w:rPr>
          <w:rFonts w:asciiTheme="majorBidi" w:hAnsiTheme="majorBidi" w:cstheme="majorBidi"/>
          <w:sz w:val="18"/>
          <w:szCs w:val="18"/>
        </w:rPr>
        <w:t>,</w:t>
      </w:r>
      <w:r w:rsidR="001A125C" w:rsidRPr="00531AA5">
        <w:rPr>
          <w:rFonts w:asciiTheme="majorBidi" w:hAnsiTheme="majorBidi" w:cstheme="majorBidi"/>
          <w:sz w:val="18"/>
          <w:szCs w:val="18"/>
        </w:rPr>
        <w:t xml:space="preserve"> </w:t>
      </w:r>
      <w:r w:rsidR="00454A9D" w:rsidRPr="00531AA5">
        <w:rPr>
          <w:rFonts w:asciiTheme="majorBidi" w:hAnsiTheme="majorBidi" w:cstheme="majorBidi"/>
          <w:sz w:val="18"/>
          <w:szCs w:val="18"/>
        </w:rPr>
        <w:t>Rule 135</w:t>
      </w:r>
      <w:r w:rsidR="006F0DE2" w:rsidRPr="00531AA5">
        <w:rPr>
          <w:rFonts w:asciiTheme="majorBidi" w:hAnsiTheme="majorBidi" w:cstheme="majorBidi"/>
          <w:sz w:val="18"/>
          <w:szCs w:val="18"/>
        </w:rPr>
        <w:t xml:space="preserve">; </w:t>
      </w:r>
      <w:r w:rsidR="00454A9D" w:rsidRPr="00531AA5">
        <w:rPr>
          <w:rFonts w:asciiTheme="majorBidi" w:hAnsiTheme="majorBidi" w:cstheme="majorBidi"/>
          <w:sz w:val="18"/>
          <w:szCs w:val="18"/>
        </w:rPr>
        <w:t>Art</w:t>
      </w:r>
      <w:r w:rsidR="009F013A">
        <w:rPr>
          <w:rFonts w:asciiTheme="majorBidi" w:hAnsiTheme="majorBidi" w:cstheme="majorBidi"/>
          <w:sz w:val="18"/>
          <w:szCs w:val="18"/>
        </w:rPr>
        <w:t>.</w:t>
      </w:r>
      <w:r w:rsidR="00454A9D" w:rsidRPr="00531AA5">
        <w:rPr>
          <w:rFonts w:asciiTheme="majorBidi" w:hAnsiTheme="majorBidi" w:cstheme="majorBidi"/>
          <w:sz w:val="18"/>
          <w:szCs w:val="18"/>
        </w:rPr>
        <w:t xml:space="preserve"> 3</w:t>
      </w:r>
      <w:r w:rsidR="00EA455B">
        <w:rPr>
          <w:rFonts w:asciiTheme="majorBidi" w:hAnsiTheme="majorBidi" w:cstheme="majorBidi"/>
          <w:sz w:val="18"/>
          <w:szCs w:val="18"/>
        </w:rPr>
        <w:t xml:space="preserve">, </w:t>
      </w:r>
      <w:r w:rsidR="00454A9D" w:rsidRPr="00531AA5">
        <w:rPr>
          <w:rFonts w:asciiTheme="majorBidi" w:hAnsiTheme="majorBidi" w:cstheme="majorBidi"/>
          <w:sz w:val="18"/>
          <w:szCs w:val="18"/>
        </w:rPr>
        <w:t>Geneva Declaration of the Rights of the Child (1924)</w:t>
      </w:r>
      <w:r w:rsidR="00A4776A">
        <w:rPr>
          <w:rFonts w:asciiTheme="majorBidi" w:hAnsiTheme="majorBidi" w:cstheme="majorBidi"/>
          <w:sz w:val="18"/>
          <w:szCs w:val="18"/>
        </w:rPr>
        <w:t xml:space="preserve">; </w:t>
      </w:r>
      <w:r w:rsidR="00454A9D" w:rsidRPr="00531AA5">
        <w:rPr>
          <w:rFonts w:asciiTheme="majorBidi" w:hAnsiTheme="majorBidi" w:cstheme="majorBidi"/>
          <w:sz w:val="18"/>
          <w:szCs w:val="18"/>
        </w:rPr>
        <w:t>ICC Statute 1998, art</w:t>
      </w:r>
      <w:r w:rsidR="009F013A">
        <w:rPr>
          <w:rFonts w:asciiTheme="majorBidi" w:hAnsiTheme="majorBidi" w:cstheme="majorBidi"/>
          <w:sz w:val="18"/>
          <w:szCs w:val="18"/>
        </w:rPr>
        <w:t>.</w:t>
      </w:r>
      <w:r w:rsidR="00454A9D" w:rsidRPr="00531AA5">
        <w:rPr>
          <w:rFonts w:asciiTheme="majorBidi" w:hAnsiTheme="majorBidi" w:cstheme="majorBidi"/>
          <w:sz w:val="18"/>
          <w:szCs w:val="18"/>
        </w:rPr>
        <w:t xml:space="preserve"> 68(1).</w:t>
      </w:r>
    </w:p>
  </w:footnote>
  <w:footnote w:id="52">
    <w:p w14:paraId="0FF325DD" w14:textId="2F76E5E3" w:rsidR="00454A9D" w:rsidRPr="00531AA5" w:rsidRDefault="00454A9D"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t>Geraldine Van Burren, The International Law on the Rights of the Child (</w:t>
      </w:r>
      <w:r w:rsidRPr="006D7759">
        <w:rPr>
          <w:rFonts w:asciiTheme="majorBidi" w:hAnsiTheme="majorBidi" w:cstheme="majorBidi"/>
          <w:szCs w:val="18"/>
        </w:rPr>
        <w:t>199</w:t>
      </w:r>
      <w:r w:rsidR="00F72D23" w:rsidRPr="006D7759">
        <w:rPr>
          <w:rFonts w:asciiTheme="majorBidi" w:hAnsiTheme="majorBidi" w:cstheme="majorBidi"/>
          <w:szCs w:val="18"/>
        </w:rPr>
        <w:t>5</w:t>
      </w:r>
      <w:r w:rsidRPr="00531AA5">
        <w:rPr>
          <w:rFonts w:asciiTheme="majorBidi" w:hAnsiTheme="majorBidi" w:cstheme="majorBidi"/>
          <w:szCs w:val="18"/>
        </w:rPr>
        <w:t xml:space="preserve">); Legal Status and Human Rights of the Child Advisory Op </w:t>
      </w:r>
      <w:proofErr w:type="spellStart"/>
      <w:r w:rsidRPr="00531AA5">
        <w:rPr>
          <w:rFonts w:asciiTheme="majorBidi" w:hAnsiTheme="majorBidi" w:cstheme="majorBidi"/>
          <w:szCs w:val="18"/>
        </w:rPr>
        <w:t>IAmCHR</w:t>
      </w:r>
      <w:proofErr w:type="spellEnd"/>
      <w:r w:rsidRPr="00531AA5">
        <w:rPr>
          <w:rFonts w:asciiTheme="majorBidi" w:hAnsiTheme="majorBidi" w:cstheme="majorBidi"/>
          <w:szCs w:val="18"/>
        </w:rPr>
        <w:t xml:space="preserve"> (2002), paras </w:t>
      </w:r>
      <w:r w:rsidRPr="006D7759">
        <w:rPr>
          <w:rFonts w:asciiTheme="majorBidi" w:hAnsiTheme="majorBidi" w:cstheme="majorBidi"/>
          <w:szCs w:val="18"/>
        </w:rPr>
        <w:t>5</w:t>
      </w:r>
      <w:r w:rsidR="00F72D23" w:rsidRPr="006D7759">
        <w:rPr>
          <w:rFonts w:asciiTheme="majorBidi" w:hAnsiTheme="majorBidi" w:cstheme="majorBidi"/>
          <w:szCs w:val="18"/>
        </w:rPr>
        <w:t>7</w:t>
      </w:r>
      <w:r w:rsidRPr="006D7759">
        <w:rPr>
          <w:rFonts w:asciiTheme="majorBidi" w:hAnsiTheme="majorBidi" w:cstheme="majorBidi"/>
          <w:szCs w:val="18"/>
        </w:rPr>
        <w:t>-</w:t>
      </w:r>
      <w:r w:rsidR="00F72D23" w:rsidRPr="006D7759">
        <w:rPr>
          <w:rFonts w:asciiTheme="majorBidi" w:hAnsiTheme="majorBidi" w:cstheme="majorBidi"/>
          <w:szCs w:val="18"/>
        </w:rPr>
        <w:t>6</w:t>
      </w:r>
      <w:r w:rsidRPr="006D7759">
        <w:rPr>
          <w:rFonts w:asciiTheme="majorBidi" w:hAnsiTheme="majorBidi" w:cstheme="majorBidi"/>
          <w:szCs w:val="18"/>
        </w:rPr>
        <w:t>1</w:t>
      </w:r>
      <w:r w:rsidR="006D7759">
        <w:rPr>
          <w:rFonts w:asciiTheme="majorBidi" w:hAnsiTheme="majorBidi" w:cstheme="majorBidi"/>
          <w:szCs w:val="18"/>
        </w:rPr>
        <w:t>.</w:t>
      </w:r>
    </w:p>
  </w:footnote>
  <w:footnote w:id="53">
    <w:p w14:paraId="68058BB2" w14:textId="0FA60F46" w:rsidR="00ED1788" w:rsidRPr="00531AA5" w:rsidRDefault="00ED178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00DF0663">
        <w:rPr>
          <w:rFonts w:asciiTheme="majorBidi" w:hAnsiTheme="majorBidi" w:cstheme="majorBidi"/>
          <w:szCs w:val="18"/>
        </w:rPr>
        <w:tab/>
      </w:r>
      <w:r w:rsidRPr="00531AA5">
        <w:rPr>
          <w:rFonts w:asciiTheme="majorBidi" w:hAnsiTheme="majorBidi" w:cstheme="majorBidi"/>
          <w:szCs w:val="18"/>
        </w:rPr>
        <w:t>Art</w:t>
      </w:r>
      <w:r w:rsidR="009F013A">
        <w:rPr>
          <w:rFonts w:asciiTheme="majorBidi" w:hAnsiTheme="majorBidi" w:cstheme="majorBidi"/>
          <w:szCs w:val="18"/>
        </w:rPr>
        <w:t>.</w:t>
      </w:r>
      <w:r w:rsidRPr="00531AA5">
        <w:rPr>
          <w:rFonts w:asciiTheme="majorBidi" w:hAnsiTheme="majorBidi" w:cstheme="majorBidi"/>
          <w:szCs w:val="18"/>
        </w:rPr>
        <w:t xml:space="preserve"> 5, 1948 </w:t>
      </w:r>
      <w:r w:rsidR="00334987" w:rsidRPr="00531AA5">
        <w:rPr>
          <w:rFonts w:asciiTheme="majorBidi" w:hAnsiTheme="majorBidi" w:cstheme="majorBidi"/>
          <w:szCs w:val="18"/>
        </w:rPr>
        <w:t>UDHR</w:t>
      </w:r>
      <w:r w:rsidRPr="00531AA5">
        <w:rPr>
          <w:rFonts w:asciiTheme="majorBidi" w:hAnsiTheme="majorBidi" w:cstheme="majorBidi"/>
          <w:szCs w:val="18"/>
        </w:rPr>
        <w:t>; Art</w:t>
      </w:r>
      <w:r w:rsidR="009F013A">
        <w:rPr>
          <w:rFonts w:asciiTheme="majorBidi" w:hAnsiTheme="majorBidi" w:cstheme="majorBidi"/>
          <w:szCs w:val="18"/>
        </w:rPr>
        <w:t>.</w:t>
      </w:r>
      <w:r w:rsidRPr="00531AA5">
        <w:rPr>
          <w:rFonts w:asciiTheme="majorBidi" w:hAnsiTheme="majorBidi" w:cstheme="majorBidi"/>
          <w:szCs w:val="18"/>
        </w:rPr>
        <w:t xml:space="preserve"> 7</w:t>
      </w:r>
      <w:r w:rsidR="001C00A4" w:rsidRPr="00531AA5">
        <w:rPr>
          <w:rFonts w:asciiTheme="majorBidi" w:hAnsiTheme="majorBidi" w:cstheme="majorBidi"/>
          <w:szCs w:val="18"/>
        </w:rPr>
        <w:t xml:space="preserve"> ICCPR</w:t>
      </w:r>
      <w:r w:rsidRPr="00531AA5">
        <w:rPr>
          <w:rFonts w:asciiTheme="majorBidi" w:hAnsiTheme="majorBidi" w:cstheme="majorBidi"/>
          <w:szCs w:val="18"/>
        </w:rPr>
        <w:t>; Art</w:t>
      </w:r>
      <w:r w:rsidR="009F013A">
        <w:rPr>
          <w:rFonts w:asciiTheme="majorBidi" w:hAnsiTheme="majorBidi" w:cstheme="majorBidi"/>
          <w:szCs w:val="18"/>
        </w:rPr>
        <w:t>.</w:t>
      </w:r>
      <w:r w:rsidRPr="00531AA5">
        <w:rPr>
          <w:rFonts w:asciiTheme="majorBidi" w:hAnsiTheme="majorBidi" w:cstheme="majorBidi"/>
          <w:szCs w:val="18"/>
        </w:rPr>
        <w:t xml:space="preserve"> 37(a)</w:t>
      </w:r>
      <w:r w:rsidR="001C00A4" w:rsidRPr="00531AA5">
        <w:rPr>
          <w:rFonts w:asciiTheme="majorBidi" w:hAnsiTheme="majorBidi" w:cstheme="majorBidi"/>
          <w:szCs w:val="18"/>
        </w:rPr>
        <w:t xml:space="preserve"> CRC; </w:t>
      </w:r>
      <w:r w:rsidRPr="00531AA5">
        <w:rPr>
          <w:rFonts w:asciiTheme="majorBidi" w:hAnsiTheme="majorBidi" w:cstheme="majorBidi"/>
          <w:szCs w:val="18"/>
        </w:rPr>
        <w:t xml:space="preserve">see generally </w:t>
      </w:r>
      <w:r w:rsidR="001C00A4" w:rsidRPr="00531AA5">
        <w:rPr>
          <w:rFonts w:asciiTheme="majorBidi" w:hAnsiTheme="majorBidi" w:cstheme="majorBidi"/>
          <w:szCs w:val="18"/>
        </w:rPr>
        <w:t>CAT;</w:t>
      </w:r>
      <w:r w:rsidRPr="00531AA5">
        <w:rPr>
          <w:rFonts w:asciiTheme="majorBidi" w:hAnsiTheme="majorBidi" w:cstheme="majorBidi"/>
          <w:szCs w:val="18"/>
        </w:rPr>
        <w:t xml:space="preserve"> Prosecutor v. </w:t>
      </w:r>
      <w:proofErr w:type="spellStart"/>
      <w:r w:rsidRPr="00531AA5">
        <w:rPr>
          <w:rFonts w:asciiTheme="majorBidi" w:hAnsiTheme="majorBidi" w:cstheme="majorBidi"/>
          <w:szCs w:val="18"/>
        </w:rPr>
        <w:t>Anto</w:t>
      </w:r>
      <w:proofErr w:type="spellEnd"/>
      <w:r w:rsidRPr="00531AA5">
        <w:rPr>
          <w:rFonts w:asciiTheme="majorBidi" w:hAnsiTheme="majorBidi" w:cstheme="majorBidi"/>
          <w:szCs w:val="18"/>
        </w:rPr>
        <w:t xml:space="preserve"> </w:t>
      </w:r>
      <w:proofErr w:type="spellStart"/>
      <w:r w:rsidRPr="00531AA5">
        <w:rPr>
          <w:rFonts w:asciiTheme="majorBidi" w:hAnsiTheme="majorBidi" w:cstheme="majorBidi"/>
          <w:szCs w:val="18"/>
        </w:rPr>
        <w:t>Furundzija</w:t>
      </w:r>
      <w:proofErr w:type="spellEnd"/>
      <w:r w:rsidR="00F31249">
        <w:rPr>
          <w:rFonts w:asciiTheme="majorBidi" w:hAnsiTheme="majorBidi" w:cstheme="majorBidi"/>
          <w:szCs w:val="18"/>
        </w:rPr>
        <w:t>,</w:t>
      </w:r>
      <w:r w:rsidRPr="00531AA5">
        <w:rPr>
          <w:rFonts w:asciiTheme="majorBidi" w:hAnsiTheme="majorBidi" w:cstheme="majorBidi"/>
          <w:szCs w:val="18"/>
        </w:rPr>
        <w:t xml:space="preserve"> IT-95-17/1-T, ICTY, paras 155-157; Brothers Gomez </w:t>
      </w:r>
      <w:proofErr w:type="spellStart"/>
      <w:r w:rsidRPr="00531AA5">
        <w:rPr>
          <w:rFonts w:asciiTheme="majorBidi" w:hAnsiTheme="majorBidi" w:cstheme="majorBidi"/>
          <w:szCs w:val="18"/>
        </w:rPr>
        <w:t>Paquiyauri</w:t>
      </w:r>
      <w:proofErr w:type="spellEnd"/>
      <w:r w:rsidRPr="00531AA5">
        <w:rPr>
          <w:rFonts w:asciiTheme="majorBidi" w:hAnsiTheme="majorBidi" w:cstheme="majorBidi"/>
          <w:szCs w:val="18"/>
        </w:rPr>
        <w:t xml:space="preserve"> v Peru, </w:t>
      </w:r>
      <w:proofErr w:type="spellStart"/>
      <w:r w:rsidRPr="00531AA5">
        <w:rPr>
          <w:rFonts w:asciiTheme="majorBidi" w:hAnsiTheme="majorBidi" w:cstheme="majorBidi"/>
          <w:szCs w:val="18"/>
        </w:rPr>
        <w:t>IACtHR</w:t>
      </w:r>
      <w:proofErr w:type="spellEnd"/>
      <w:r w:rsidRPr="00531AA5">
        <w:rPr>
          <w:rFonts w:asciiTheme="majorBidi" w:hAnsiTheme="majorBidi" w:cstheme="majorBidi"/>
          <w:szCs w:val="18"/>
        </w:rPr>
        <w:t>,</w:t>
      </w:r>
      <w:r w:rsidR="0050705A">
        <w:rPr>
          <w:rFonts w:asciiTheme="majorBidi" w:hAnsiTheme="majorBidi" w:cstheme="majorBidi"/>
          <w:szCs w:val="18"/>
        </w:rPr>
        <w:t xml:space="preserve"> </w:t>
      </w:r>
      <w:r w:rsidRPr="00531AA5">
        <w:rPr>
          <w:rFonts w:asciiTheme="majorBidi" w:hAnsiTheme="majorBidi" w:cstheme="majorBidi"/>
          <w:szCs w:val="18"/>
        </w:rPr>
        <w:t>8 July 2004, para 112</w:t>
      </w:r>
      <w:r w:rsidR="0050705A">
        <w:rPr>
          <w:rFonts w:asciiTheme="majorBidi" w:hAnsiTheme="majorBidi" w:cstheme="majorBidi"/>
          <w:szCs w:val="18"/>
        </w:rPr>
        <w:t>.</w:t>
      </w:r>
    </w:p>
  </w:footnote>
  <w:footnote w:id="54">
    <w:p w14:paraId="37CD0847" w14:textId="3B140B55" w:rsidR="00ED1788" w:rsidRPr="00531AA5" w:rsidRDefault="00ED178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00DF0663">
        <w:rPr>
          <w:rFonts w:asciiTheme="majorBidi" w:hAnsiTheme="majorBidi" w:cstheme="majorBidi"/>
          <w:szCs w:val="18"/>
        </w:rPr>
        <w:tab/>
      </w:r>
      <w:r w:rsidR="00E612D8" w:rsidRPr="00531AA5">
        <w:rPr>
          <w:rFonts w:asciiTheme="majorBidi" w:hAnsiTheme="majorBidi" w:cstheme="majorBidi"/>
          <w:szCs w:val="18"/>
        </w:rPr>
        <w:t>CED</w:t>
      </w:r>
      <w:r w:rsidRPr="00531AA5">
        <w:rPr>
          <w:rFonts w:asciiTheme="majorBidi" w:hAnsiTheme="majorBidi" w:cstheme="majorBidi"/>
          <w:szCs w:val="18"/>
        </w:rPr>
        <w:t xml:space="preserve"> (2010); Chapman Blake v Guatemala, </w:t>
      </w:r>
      <w:proofErr w:type="spellStart"/>
      <w:r w:rsidRPr="00531AA5">
        <w:rPr>
          <w:rFonts w:asciiTheme="majorBidi" w:hAnsiTheme="majorBidi" w:cstheme="majorBidi"/>
          <w:szCs w:val="18"/>
        </w:rPr>
        <w:t>IACtHR</w:t>
      </w:r>
      <w:proofErr w:type="spellEnd"/>
      <w:r w:rsidRPr="00531AA5">
        <w:rPr>
          <w:rFonts w:asciiTheme="majorBidi" w:hAnsiTheme="majorBidi" w:cstheme="majorBidi"/>
          <w:szCs w:val="18"/>
        </w:rPr>
        <w:t xml:space="preserve">, </w:t>
      </w:r>
      <w:r w:rsidR="00A4776A">
        <w:rPr>
          <w:rFonts w:asciiTheme="majorBidi" w:hAnsiTheme="majorBidi" w:cstheme="majorBidi"/>
          <w:szCs w:val="18"/>
        </w:rPr>
        <w:t>(</w:t>
      </w:r>
      <w:r w:rsidRPr="00531AA5">
        <w:rPr>
          <w:rFonts w:asciiTheme="majorBidi" w:hAnsiTheme="majorBidi" w:cstheme="majorBidi"/>
          <w:szCs w:val="18"/>
        </w:rPr>
        <w:t>1998</w:t>
      </w:r>
      <w:r w:rsidR="00A4776A">
        <w:rPr>
          <w:rFonts w:asciiTheme="majorBidi" w:hAnsiTheme="majorBidi" w:cstheme="majorBidi"/>
          <w:szCs w:val="18"/>
        </w:rPr>
        <w:t>)</w:t>
      </w:r>
      <w:r w:rsidR="009F013A">
        <w:rPr>
          <w:rFonts w:asciiTheme="majorBidi" w:hAnsiTheme="majorBidi" w:cstheme="majorBidi"/>
          <w:szCs w:val="18"/>
        </w:rPr>
        <w:t>.</w:t>
      </w:r>
    </w:p>
  </w:footnote>
  <w:footnote w:id="55">
    <w:p w14:paraId="4FC352C0" w14:textId="70A49FEE" w:rsidR="00ED1788" w:rsidRPr="006D7759" w:rsidRDefault="00ED1788" w:rsidP="00087631">
      <w:pPr>
        <w:pStyle w:val="FootnoteText"/>
        <w:rPr>
          <w:rFonts w:asciiTheme="majorBidi" w:hAnsiTheme="majorBidi" w:cstheme="majorBidi"/>
          <w:szCs w:val="18"/>
          <w:lang w:val="fr-FR"/>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00DF0663" w:rsidRPr="008622D4">
        <w:rPr>
          <w:rFonts w:asciiTheme="majorBidi" w:hAnsiTheme="majorBidi" w:cstheme="majorBidi"/>
          <w:szCs w:val="18"/>
          <w:lang w:val="fr-FR"/>
        </w:rPr>
        <w:tab/>
      </w:r>
      <w:r w:rsidR="00E612D8" w:rsidRPr="006D7759">
        <w:rPr>
          <w:rFonts w:asciiTheme="majorBidi" w:hAnsiTheme="majorBidi" w:cstheme="majorBidi"/>
          <w:szCs w:val="18"/>
          <w:lang w:val="fr-FR"/>
        </w:rPr>
        <w:t>CA3 (GC)</w:t>
      </w:r>
      <w:r w:rsidRPr="006D7759">
        <w:rPr>
          <w:rFonts w:asciiTheme="majorBidi" w:hAnsiTheme="majorBidi" w:cstheme="majorBidi"/>
          <w:szCs w:val="18"/>
          <w:lang w:val="fr-FR"/>
        </w:rPr>
        <w:t xml:space="preserve">, </w:t>
      </w:r>
      <w:r w:rsidR="00E612D8" w:rsidRPr="006D7759">
        <w:rPr>
          <w:rFonts w:asciiTheme="majorBidi" w:hAnsiTheme="majorBidi" w:cstheme="majorBidi"/>
          <w:szCs w:val="18"/>
          <w:lang w:val="fr-FR"/>
        </w:rPr>
        <w:t>CA2 (GC)</w:t>
      </w:r>
      <w:r w:rsidR="00DF0663">
        <w:rPr>
          <w:rFonts w:asciiTheme="majorBidi" w:hAnsiTheme="majorBidi" w:cstheme="majorBidi"/>
          <w:szCs w:val="18"/>
          <w:lang w:val="fr-FR"/>
        </w:rPr>
        <w:t>.</w:t>
      </w:r>
    </w:p>
  </w:footnote>
  <w:footnote w:id="56">
    <w:p w14:paraId="134A6A1E" w14:textId="769873CE" w:rsidR="00ED1788" w:rsidRPr="006D7759" w:rsidRDefault="00ED1788" w:rsidP="00087631">
      <w:pPr>
        <w:pStyle w:val="FootnoteText"/>
        <w:rPr>
          <w:rFonts w:asciiTheme="majorBidi" w:hAnsiTheme="majorBidi" w:cstheme="majorBidi"/>
          <w:szCs w:val="18"/>
          <w:lang w:val="fr-FR"/>
        </w:rPr>
      </w:pPr>
      <w:r w:rsidRPr="006D7759">
        <w:rPr>
          <w:rFonts w:asciiTheme="majorBidi" w:hAnsiTheme="majorBidi" w:cstheme="majorBidi"/>
          <w:szCs w:val="18"/>
          <w:lang w:val="fr-FR"/>
        </w:rPr>
        <w:tab/>
      </w:r>
      <w:r w:rsidRPr="00531AA5">
        <w:rPr>
          <w:rStyle w:val="FootnoteReference"/>
          <w:rFonts w:asciiTheme="majorBidi" w:hAnsiTheme="majorBidi" w:cstheme="majorBidi"/>
          <w:szCs w:val="18"/>
        </w:rPr>
        <w:footnoteRef/>
      </w:r>
      <w:r w:rsidR="00DF0663">
        <w:rPr>
          <w:rFonts w:asciiTheme="majorBidi" w:hAnsiTheme="majorBidi" w:cstheme="majorBidi"/>
          <w:szCs w:val="18"/>
          <w:lang w:val="fr-FR"/>
        </w:rPr>
        <w:tab/>
      </w:r>
      <w:r w:rsidRPr="006D7759">
        <w:rPr>
          <w:rFonts w:asciiTheme="majorBidi" w:hAnsiTheme="majorBidi" w:cstheme="majorBidi"/>
          <w:szCs w:val="18"/>
          <w:lang w:val="fr-FR"/>
        </w:rPr>
        <w:t>Articles 1</w:t>
      </w:r>
      <w:r w:rsidR="00E612D8" w:rsidRPr="006D7759">
        <w:rPr>
          <w:rFonts w:asciiTheme="majorBidi" w:hAnsiTheme="majorBidi" w:cstheme="majorBidi"/>
          <w:szCs w:val="18"/>
          <w:lang w:val="fr-FR"/>
        </w:rPr>
        <w:t xml:space="preserve">, </w:t>
      </w:r>
      <w:r w:rsidRPr="006D7759">
        <w:rPr>
          <w:rFonts w:asciiTheme="majorBidi" w:hAnsiTheme="majorBidi" w:cstheme="majorBidi"/>
          <w:szCs w:val="18"/>
          <w:lang w:val="fr-FR"/>
        </w:rPr>
        <w:t>3(1)(a)</w:t>
      </w:r>
      <w:r w:rsidR="00E612D8" w:rsidRPr="006D7759">
        <w:rPr>
          <w:rFonts w:asciiTheme="majorBidi" w:hAnsiTheme="majorBidi" w:cstheme="majorBidi"/>
          <w:szCs w:val="18"/>
          <w:lang w:val="fr-FR"/>
        </w:rPr>
        <w:t xml:space="preserve"> (GC)</w:t>
      </w:r>
      <w:r w:rsidR="00DF0663">
        <w:rPr>
          <w:rFonts w:asciiTheme="majorBidi" w:hAnsiTheme="majorBidi" w:cstheme="majorBidi"/>
          <w:szCs w:val="18"/>
          <w:lang w:val="fr-FR"/>
        </w:rPr>
        <w:t>.</w:t>
      </w:r>
    </w:p>
  </w:footnote>
  <w:footnote w:id="57">
    <w:p w14:paraId="78F785BC" w14:textId="7FBDA49B" w:rsidR="00ED1788" w:rsidRPr="00531AA5" w:rsidRDefault="00AD523C" w:rsidP="00087631">
      <w:pPr>
        <w:tabs>
          <w:tab w:val="right" w:pos="1021"/>
        </w:tabs>
        <w:spacing w:line="220" w:lineRule="exact"/>
        <w:ind w:left="1134" w:right="1134" w:hanging="1134"/>
        <w:rPr>
          <w:rFonts w:asciiTheme="majorBidi" w:hAnsiTheme="majorBidi" w:cstheme="majorBidi"/>
          <w:sz w:val="18"/>
          <w:szCs w:val="18"/>
        </w:rPr>
      </w:pPr>
      <w:r w:rsidRPr="008622D4">
        <w:rPr>
          <w:rFonts w:asciiTheme="majorBidi" w:hAnsiTheme="majorBidi" w:cstheme="majorBidi"/>
          <w:sz w:val="18"/>
          <w:szCs w:val="18"/>
          <w:lang w:val="fr-FR"/>
        </w:rPr>
        <w:tab/>
      </w:r>
      <w:r w:rsidR="00ED1788" w:rsidRPr="00531AA5">
        <w:rPr>
          <w:rStyle w:val="FootnoteReference"/>
          <w:rFonts w:asciiTheme="majorBidi" w:hAnsiTheme="majorBidi" w:cstheme="majorBidi"/>
          <w:szCs w:val="18"/>
        </w:rPr>
        <w:footnoteRef/>
      </w:r>
      <w:r>
        <w:rPr>
          <w:rFonts w:asciiTheme="majorBidi" w:hAnsiTheme="majorBidi" w:cstheme="majorBidi"/>
          <w:sz w:val="18"/>
          <w:szCs w:val="18"/>
        </w:rPr>
        <w:tab/>
      </w:r>
      <w:r w:rsidR="00EA455B" w:rsidRPr="00531AA5">
        <w:rPr>
          <w:rFonts w:asciiTheme="majorBidi" w:hAnsiTheme="majorBidi" w:cstheme="majorBidi"/>
          <w:sz w:val="18"/>
          <w:szCs w:val="18"/>
        </w:rPr>
        <w:t>UNSC</w:t>
      </w:r>
      <w:r w:rsidR="00EA455B">
        <w:rPr>
          <w:rFonts w:asciiTheme="majorBidi" w:hAnsiTheme="majorBidi" w:cstheme="majorBidi"/>
          <w:sz w:val="18"/>
          <w:szCs w:val="18"/>
        </w:rPr>
        <w:t>R</w:t>
      </w:r>
      <w:r w:rsidR="00EA455B" w:rsidRPr="00531AA5">
        <w:rPr>
          <w:rFonts w:asciiTheme="majorBidi" w:hAnsiTheme="majorBidi" w:cstheme="majorBidi"/>
          <w:sz w:val="18"/>
          <w:szCs w:val="18"/>
        </w:rPr>
        <w:t xml:space="preserve"> </w:t>
      </w:r>
      <w:r w:rsidR="00ED1788" w:rsidRPr="00531AA5">
        <w:rPr>
          <w:rFonts w:asciiTheme="majorBidi" w:hAnsiTheme="majorBidi" w:cstheme="majorBidi"/>
          <w:sz w:val="18"/>
          <w:szCs w:val="18"/>
        </w:rPr>
        <w:t xml:space="preserve">1261 (1999) </w:t>
      </w:r>
    </w:p>
  </w:footnote>
  <w:footnote w:id="58">
    <w:p w14:paraId="4AD28478" w14:textId="2960BB55" w:rsidR="00ED1788" w:rsidRPr="00531AA5" w:rsidRDefault="00AD523C" w:rsidP="00087631">
      <w:pPr>
        <w:tabs>
          <w:tab w:val="right" w:pos="1021"/>
        </w:tabs>
        <w:spacing w:line="220" w:lineRule="exact"/>
        <w:ind w:left="1134" w:right="1134" w:hanging="1134"/>
        <w:rPr>
          <w:rFonts w:asciiTheme="majorBidi" w:hAnsiTheme="majorBidi" w:cstheme="majorBidi"/>
          <w:sz w:val="18"/>
          <w:szCs w:val="18"/>
        </w:rPr>
      </w:pPr>
      <w:r>
        <w:rPr>
          <w:rFonts w:asciiTheme="majorBidi" w:hAnsiTheme="majorBidi" w:cstheme="majorBidi"/>
          <w:sz w:val="18"/>
          <w:szCs w:val="18"/>
        </w:rPr>
        <w:tab/>
      </w:r>
      <w:r w:rsidR="00ED1788" w:rsidRPr="00531AA5">
        <w:rPr>
          <w:rStyle w:val="FootnoteReference"/>
          <w:rFonts w:asciiTheme="majorBidi" w:hAnsiTheme="majorBidi" w:cstheme="majorBidi"/>
          <w:szCs w:val="18"/>
        </w:rPr>
        <w:footnoteRef/>
      </w:r>
      <w:r>
        <w:rPr>
          <w:rFonts w:asciiTheme="majorBidi" w:hAnsiTheme="majorBidi" w:cstheme="majorBidi"/>
          <w:sz w:val="18"/>
          <w:szCs w:val="18"/>
        </w:rPr>
        <w:tab/>
      </w:r>
      <w:r w:rsidR="00ED1788" w:rsidRPr="00531AA5">
        <w:rPr>
          <w:rStyle w:val="markedcontent"/>
          <w:rFonts w:asciiTheme="majorBidi" w:hAnsiTheme="majorBidi" w:cstheme="majorBidi"/>
          <w:sz w:val="18"/>
          <w:szCs w:val="18"/>
        </w:rPr>
        <w:t>S/2021/398, paras 15 and 16.</w:t>
      </w:r>
    </w:p>
  </w:footnote>
  <w:footnote w:id="59">
    <w:p w14:paraId="79148AF3" w14:textId="614DC64F" w:rsidR="00AD6EC8" w:rsidRPr="00531AA5"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00AD523C">
        <w:rPr>
          <w:rFonts w:asciiTheme="majorBidi" w:hAnsiTheme="majorBidi" w:cstheme="majorBidi"/>
          <w:szCs w:val="18"/>
        </w:rPr>
        <w:tab/>
      </w:r>
      <w:r w:rsidR="00F72D23">
        <w:rPr>
          <w:rFonts w:asciiTheme="majorBidi" w:hAnsiTheme="majorBidi" w:cstheme="majorBidi"/>
          <w:szCs w:val="18"/>
        </w:rPr>
        <w:t>ICC, Prosecutor v. Bosco Ntaganda, 8 July 2019, para. 692; Katanga, Decision on the Confirmation of Charges, 30 September 2008, para. 397; Ntaganda, Trial Judgement paras. 692-693.</w:t>
      </w:r>
    </w:p>
  </w:footnote>
  <w:footnote w:id="60">
    <w:p w14:paraId="68108BE4" w14:textId="4C6E4D80" w:rsidR="007D0142" w:rsidRPr="00531AA5" w:rsidRDefault="00AD523C" w:rsidP="00087631">
      <w:pPr>
        <w:pStyle w:val="FootnoteText"/>
        <w:rPr>
          <w:rFonts w:asciiTheme="majorBidi" w:hAnsiTheme="majorBidi" w:cstheme="majorBidi"/>
          <w:szCs w:val="18"/>
        </w:rPr>
      </w:pPr>
      <w:r>
        <w:rPr>
          <w:rFonts w:asciiTheme="majorBidi" w:hAnsiTheme="majorBidi" w:cstheme="majorBidi"/>
          <w:szCs w:val="18"/>
        </w:rPr>
        <w:tab/>
      </w:r>
      <w:r w:rsidR="007D0142" w:rsidRPr="00531AA5">
        <w:rPr>
          <w:rStyle w:val="FootnoteReference"/>
          <w:rFonts w:asciiTheme="majorBidi" w:hAnsiTheme="majorBidi" w:cstheme="majorBidi"/>
          <w:szCs w:val="18"/>
        </w:rPr>
        <w:footnoteRef/>
      </w:r>
      <w:r>
        <w:rPr>
          <w:rFonts w:asciiTheme="majorBidi" w:hAnsiTheme="majorBidi" w:cstheme="majorBidi"/>
          <w:szCs w:val="18"/>
        </w:rPr>
        <w:tab/>
      </w:r>
      <w:r w:rsidR="007D0142" w:rsidRPr="00531AA5">
        <w:rPr>
          <w:rFonts w:asciiTheme="majorBidi" w:hAnsiTheme="majorBidi" w:cstheme="majorBidi"/>
          <w:szCs w:val="18"/>
        </w:rPr>
        <w:t xml:space="preserve">Imprisonment, Torture, enforced disappearances of persons, forcible transfer of population, other inhumane acts which would constitute a violation of Article 7(1) </w:t>
      </w:r>
      <w:r w:rsidR="007D0142">
        <w:rPr>
          <w:rFonts w:asciiTheme="majorBidi" w:hAnsiTheme="majorBidi" w:cstheme="majorBidi"/>
          <w:szCs w:val="18"/>
        </w:rPr>
        <w:t xml:space="preserve">ICC. See </w:t>
      </w:r>
      <w:r w:rsidR="007D0142" w:rsidRPr="00531AA5">
        <w:rPr>
          <w:rFonts w:asciiTheme="majorBidi" w:hAnsiTheme="majorBidi" w:cstheme="majorBidi"/>
          <w:szCs w:val="18"/>
        </w:rPr>
        <w:t xml:space="preserve">Prosecutor v. Milorad </w:t>
      </w:r>
      <w:proofErr w:type="spellStart"/>
      <w:r w:rsidR="007D0142" w:rsidRPr="00531AA5">
        <w:rPr>
          <w:rFonts w:asciiTheme="majorBidi" w:hAnsiTheme="majorBidi" w:cstheme="majorBidi"/>
          <w:szCs w:val="18"/>
        </w:rPr>
        <w:t>Krnojelac</w:t>
      </w:r>
      <w:proofErr w:type="spellEnd"/>
      <w:r w:rsidR="007D0142" w:rsidRPr="00531AA5">
        <w:rPr>
          <w:rFonts w:asciiTheme="majorBidi" w:hAnsiTheme="majorBidi" w:cstheme="majorBidi"/>
          <w:szCs w:val="18"/>
        </w:rPr>
        <w:t xml:space="preserve">, ICTY </w:t>
      </w:r>
      <w:r w:rsidR="007D0142">
        <w:rPr>
          <w:rFonts w:asciiTheme="majorBidi" w:hAnsiTheme="majorBidi" w:cstheme="majorBidi"/>
          <w:szCs w:val="18"/>
        </w:rPr>
        <w:t>(</w:t>
      </w:r>
      <w:r w:rsidR="007D0142" w:rsidRPr="00531AA5">
        <w:rPr>
          <w:rFonts w:asciiTheme="majorBidi" w:hAnsiTheme="majorBidi" w:cstheme="majorBidi"/>
          <w:szCs w:val="18"/>
        </w:rPr>
        <w:t>2002</w:t>
      </w:r>
      <w:r w:rsidR="007D0142">
        <w:rPr>
          <w:rFonts w:asciiTheme="majorBidi" w:hAnsiTheme="majorBidi" w:cstheme="majorBidi"/>
          <w:szCs w:val="18"/>
        </w:rPr>
        <w:t>)</w:t>
      </w:r>
      <w:r w:rsidR="007D0142" w:rsidRPr="00531AA5">
        <w:rPr>
          <w:rFonts w:asciiTheme="majorBidi" w:hAnsiTheme="majorBidi" w:cstheme="majorBidi"/>
          <w:szCs w:val="18"/>
        </w:rPr>
        <w:t>, paras 113-115</w:t>
      </w:r>
      <w:r>
        <w:rPr>
          <w:rFonts w:asciiTheme="majorBidi" w:hAnsiTheme="majorBidi" w:cstheme="majorBidi"/>
          <w:szCs w:val="18"/>
        </w:rPr>
        <w:t>.</w:t>
      </w:r>
    </w:p>
  </w:footnote>
  <w:footnote w:id="61">
    <w:p w14:paraId="24239300" w14:textId="465F5ECF" w:rsidR="00AD6EC8" w:rsidRPr="00531AA5"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t>Article 7(1) ICC Statute</w:t>
      </w:r>
      <w:r w:rsidR="00E100E6">
        <w:rPr>
          <w:rFonts w:asciiTheme="majorBidi" w:hAnsiTheme="majorBidi" w:cstheme="majorBidi"/>
          <w:szCs w:val="18"/>
        </w:rPr>
        <w:t>.</w:t>
      </w:r>
    </w:p>
  </w:footnote>
  <w:footnote w:id="62">
    <w:p w14:paraId="03CB3142" w14:textId="49AC934D" w:rsidR="00AD6EC8" w:rsidRPr="00531AA5"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r>
      <w:r w:rsidR="00F72D23">
        <w:rPr>
          <w:rFonts w:asciiTheme="majorBidi" w:hAnsiTheme="majorBidi" w:cstheme="majorBidi"/>
          <w:szCs w:val="18"/>
        </w:rPr>
        <w:t xml:space="preserve">ICC Katanga, Trial Chamber II, 7 March 2014, para. 1101; ICTY, </w:t>
      </w:r>
      <w:r w:rsidRPr="00531AA5">
        <w:rPr>
          <w:rFonts w:asciiTheme="majorBidi" w:hAnsiTheme="majorBidi" w:cstheme="majorBidi"/>
          <w:szCs w:val="18"/>
        </w:rPr>
        <w:t xml:space="preserve">Prosecutor v. Dragoljub </w:t>
      </w:r>
      <w:proofErr w:type="spellStart"/>
      <w:r w:rsidRPr="00531AA5">
        <w:rPr>
          <w:rFonts w:asciiTheme="majorBidi" w:hAnsiTheme="majorBidi" w:cstheme="majorBidi"/>
          <w:szCs w:val="18"/>
        </w:rPr>
        <w:t>Kunarac</w:t>
      </w:r>
      <w:proofErr w:type="spellEnd"/>
      <w:r w:rsidRPr="00531AA5">
        <w:rPr>
          <w:rFonts w:asciiTheme="majorBidi" w:hAnsiTheme="majorBidi" w:cstheme="majorBidi"/>
          <w:szCs w:val="18"/>
        </w:rPr>
        <w:t xml:space="preserve">, et al. IT-96-23-T &amp; IT-96-23/1-T, ICTY, </w:t>
      </w:r>
      <w:r w:rsidR="00A4776A">
        <w:rPr>
          <w:rFonts w:asciiTheme="majorBidi" w:hAnsiTheme="majorBidi" w:cstheme="majorBidi"/>
          <w:szCs w:val="18"/>
        </w:rPr>
        <w:t>(</w:t>
      </w:r>
      <w:r w:rsidRPr="00531AA5">
        <w:rPr>
          <w:rFonts w:asciiTheme="majorBidi" w:hAnsiTheme="majorBidi" w:cstheme="majorBidi"/>
          <w:szCs w:val="18"/>
        </w:rPr>
        <w:t>2001</w:t>
      </w:r>
      <w:r w:rsidR="00A4776A">
        <w:rPr>
          <w:rFonts w:asciiTheme="majorBidi" w:hAnsiTheme="majorBidi" w:cstheme="majorBidi"/>
          <w:szCs w:val="18"/>
        </w:rPr>
        <w:t>)</w:t>
      </w:r>
      <w:r w:rsidRPr="00531AA5">
        <w:rPr>
          <w:rFonts w:asciiTheme="majorBidi" w:hAnsiTheme="majorBidi" w:cstheme="majorBidi"/>
          <w:szCs w:val="18"/>
        </w:rPr>
        <w:t>, para. 419.</w:t>
      </w:r>
    </w:p>
  </w:footnote>
  <w:footnote w:id="63">
    <w:p w14:paraId="252D64AE" w14:textId="02C87C52" w:rsidR="00AD6EC8" w:rsidRPr="006D7759"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t xml:space="preserve">Prosecutor v. Laurent Gbagbo, </w:t>
      </w:r>
      <w:r w:rsidR="00E612D8" w:rsidRPr="00531AA5">
        <w:rPr>
          <w:rFonts w:asciiTheme="majorBidi" w:hAnsiTheme="majorBidi" w:cstheme="majorBidi"/>
          <w:szCs w:val="18"/>
        </w:rPr>
        <w:t>ICC</w:t>
      </w:r>
      <w:r w:rsidRPr="00531AA5">
        <w:rPr>
          <w:rFonts w:asciiTheme="majorBidi" w:hAnsiTheme="majorBidi" w:cstheme="majorBidi"/>
          <w:szCs w:val="18"/>
        </w:rPr>
        <w:t xml:space="preserve">, </w:t>
      </w:r>
      <w:r w:rsidR="00A4776A">
        <w:rPr>
          <w:rFonts w:asciiTheme="majorBidi" w:hAnsiTheme="majorBidi" w:cstheme="majorBidi"/>
          <w:szCs w:val="18"/>
        </w:rPr>
        <w:t>(</w:t>
      </w:r>
      <w:r w:rsidRPr="00531AA5">
        <w:rPr>
          <w:rFonts w:asciiTheme="majorBidi" w:hAnsiTheme="majorBidi" w:cstheme="majorBidi"/>
          <w:szCs w:val="18"/>
        </w:rPr>
        <w:t>2014</w:t>
      </w:r>
      <w:r w:rsidR="00A4776A">
        <w:rPr>
          <w:rFonts w:asciiTheme="majorBidi" w:hAnsiTheme="majorBidi" w:cstheme="majorBidi"/>
          <w:szCs w:val="18"/>
        </w:rPr>
        <w:t>)</w:t>
      </w:r>
      <w:r w:rsidRPr="00531AA5">
        <w:rPr>
          <w:rFonts w:asciiTheme="majorBidi" w:hAnsiTheme="majorBidi" w:cstheme="majorBidi"/>
          <w:szCs w:val="18"/>
        </w:rPr>
        <w:t xml:space="preserve">, No. </w:t>
      </w:r>
      <w:r w:rsidRPr="006D7759">
        <w:rPr>
          <w:rFonts w:asciiTheme="majorBidi" w:hAnsiTheme="majorBidi" w:cstheme="majorBidi"/>
          <w:szCs w:val="18"/>
        </w:rPr>
        <w:t>ICC-02/11-01/11, para 209.</w:t>
      </w:r>
    </w:p>
  </w:footnote>
  <w:footnote w:id="64">
    <w:p w14:paraId="1810D839" w14:textId="5F974869" w:rsidR="00AF1E4F" w:rsidRPr="00531AA5" w:rsidRDefault="00AF1E4F" w:rsidP="00087631">
      <w:pPr>
        <w:pStyle w:val="FootnoteText"/>
        <w:rPr>
          <w:rFonts w:asciiTheme="majorBidi" w:hAnsiTheme="majorBidi" w:cstheme="majorBidi"/>
          <w:szCs w:val="18"/>
        </w:rPr>
      </w:pPr>
      <w:r w:rsidRPr="006D7759">
        <w:rPr>
          <w:rFonts w:asciiTheme="majorBidi" w:hAnsiTheme="majorBidi" w:cstheme="majorBidi"/>
          <w:szCs w:val="18"/>
        </w:rPr>
        <w:tab/>
      </w:r>
      <w:r w:rsidRPr="00531AA5">
        <w:rPr>
          <w:rStyle w:val="FootnoteReference"/>
          <w:rFonts w:asciiTheme="majorBidi" w:hAnsiTheme="majorBidi" w:cstheme="majorBidi"/>
          <w:szCs w:val="18"/>
        </w:rPr>
        <w:footnoteRef/>
      </w:r>
      <w:r w:rsidRPr="00E0405C">
        <w:rPr>
          <w:rFonts w:asciiTheme="majorBidi" w:hAnsiTheme="majorBidi" w:cstheme="majorBidi"/>
          <w:szCs w:val="18"/>
          <w:lang w:val="en-US"/>
        </w:rPr>
        <w:tab/>
      </w:r>
      <w:r w:rsidRPr="00FA7DD0">
        <w:rPr>
          <w:rFonts w:asciiTheme="majorBidi" w:hAnsiTheme="majorBidi" w:cstheme="majorBidi"/>
          <w:i/>
          <w:iCs/>
          <w:szCs w:val="18"/>
        </w:rPr>
        <w:t xml:space="preserve">Prosecutor v. Dragoljub </w:t>
      </w:r>
      <w:proofErr w:type="spellStart"/>
      <w:r w:rsidRPr="00FA7DD0">
        <w:rPr>
          <w:rFonts w:asciiTheme="majorBidi" w:hAnsiTheme="majorBidi" w:cstheme="majorBidi"/>
          <w:i/>
          <w:iCs/>
          <w:szCs w:val="18"/>
        </w:rPr>
        <w:t>Kunarac</w:t>
      </w:r>
      <w:proofErr w:type="spellEnd"/>
      <w:r w:rsidRPr="00FA7DD0">
        <w:rPr>
          <w:rFonts w:asciiTheme="majorBidi" w:hAnsiTheme="majorBidi" w:cstheme="majorBidi"/>
          <w:i/>
          <w:iCs/>
          <w:szCs w:val="18"/>
        </w:rPr>
        <w:t xml:space="preserve">, </w:t>
      </w:r>
      <w:proofErr w:type="spellStart"/>
      <w:r w:rsidRPr="00FA7DD0">
        <w:rPr>
          <w:rFonts w:asciiTheme="majorBidi" w:hAnsiTheme="majorBidi" w:cstheme="majorBidi"/>
          <w:i/>
          <w:iCs/>
          <w:szCs w:val="18"/>
        </w:rPr>
        <w:t>Radomir</w:t>
      </w:r>
      <w:proofErr w:type="spellEnd"/>
      <w:r w:rsidRPr="00FA7DD0">
        <w:rPr>
          <w:rFonts w:asciiTheme="majorBidi" w:hAnsiTheme="majorBidi" w:cstheme="majorBidi"/>
          <w:i/>
          <w:iCs/>
          <w:szCs w:val="18"/>
        </w:rPr>
        <w:t xml:space="preserve"> Kovac and Zoran Vukovic (Trial Judgment)</w:t>
      </w:r>
      <w:r w:rsidRPr="00FA7DD0">
        <w:rPr>
          <w:rFonts w:asciiTheme="majorBidi" w:hAnsiTheme="majorBidi" w:cstheme="majorBidi"/>
          <w:szCs w:val="18"/>
        </w:rPr>
        <w:t>, IT-96-23-T &amp; IT-96-23/1-T, ICTY, 22 February 2001, para. 426.</w:t>
      </w:r>
    </w:p>
  </w:footnote>
  <w:footnote w:id="65">
    <w:p w14:paraId="0B014DA1" w14:textId="2B34809B" w:rsidR="00AD6EC8" w:rsidRPr="00531AA5" w:rsidRDefault="00AD523C" w:rsidP="00087631">
      <w:pPr>
        <w:tabs>
          <w:tab w:val="right" w:pos="1021"/>
        </w:tabs>
        <w:spacing w:line="220" w:lineRule="exact"/>
        <w:ind w:left="1134" w:right="1134" w:hanging="1134"/>
        <w:rPr>
          <w:rFonts w:asciiTheme="majorBidi" w:hAnsiTheme="majorBidi" w:cstheme="majorBidi"/>
          <w:sz w:val="18"/>
          <w:szCs w:val="18"/>
        </w:rPr>
      </w:pPr>
      <w:r>
        <w:rPr>
          <w:rFonts w:asciiTheme="majorBidi" w:hAnsiTheme="majorBidi" w:cstheme="majorBidi"/>
          <w:sz w:val="18"/>
          <w:szCs w:val="18"/>
        </w:rPr>
        <w:tab/>
      </w:r>
      <w:r w:rsidR="00AD6EC8" w:rsidRPr="00531AA5">
        <w:rPr>
          <w:rStyle w:val="FootnoteReference"/>
          <w:rFonts w:asciiTheme="majorBidi" w:hAnsiTheme="majorBidi" w:cstheme="majorBidi"/>
          <w:szCs w:val="18"/>
        </w:rPr>
        <w:footnoteRef/>
      </w:r>
      <w:r w:rsidR="00AD6EC8" w:rsidRPr="00531AA5">
        <w:rPr>
          <w:rFonts w:asciiTheme="majorBidi" w:hAnsiTheme="majorBidi" w:cstheme="majorBidi"/>
          <w:sz w:val="18"/>
          <w:szCs w:val="18"/>
        </w:rPr>
        <w:tab/>
        <w:t xml:space="preserve">Prosecutor v. Dario </w:t>
      </w:r>
      <w:proofErr w:type="spellStart"/>
      <w:r w:rsidR="00AD6EC8" w:rsidRPr="00531AA5">
        <w:rPr>
          <w:rFonts w:asciiTheme="majorBidi" w:hAnsiTheme="majorBidi" w:cstheme="majorBidi"/>
          <w:sz w:val="18"/>
          <w:szCs w:val="18"/>
        </w:rPr>
        <w:t>Kordic</w:t>
      </w:r>
      <w:proofErr w:type="spellEnd"/>
      <w:r w:rsidR="00AD6EC8" w:rsidRPr="00531AA5">
        <w:rPr>
          <w:rFonts w:asciiTheme="majorBidi" w:hAnsiTheme="majorBidi" w:cstheme="majorBidi"/>
          <w:sz w:val="18"/>
          <w:szCs w:val="18"/>
        </w:rPr>
        <w:t xml:space="preserve">, Mario </w:t>
      </w:r>
      <w:proofErr w:type="spellStart"/>
      <w:r w:rsidR="00AD6EC8" w:rsidRPr="00531AA5">
        <w:rPr>
          <w:rFonts w:asciiTheme="majorBidi" w:hAnsiTheme="majorBidi" w:cstheme="majorBidi"/>
          <w:sz w:val="18"/>
          <w:szCs w:val="18"/>
        </w:rPr>
        <w:t>Cerkez</w:t>
      </w:r>
      <w:proofErr w:type="spellEnd"/>
      <w:r w:rsidR="00AD6EC8" w:rsidRPr="00531AA5">
        <w:rPr>
          <w:rFonts w:asciiTheme="majorBidi" w:hAnsiTheme="majorBidi" w:cstheme="majorBidi"/>
          <w:sz w:val="18"/>
          <w:szCs w:val="18"/>
        </w:rPr>
        <w:t xml:space="preserve"> IT-95-14/2-T, ICTY, </w:t>
      </w:r>
      <w:r w:rsidR="00A4776A">
        <w:rPr>
          <w:rFonts w:asciiTheme="majorBidi" w:hAnsiTheme="majorBidi" w:cstheme="majorBidi"/>
          <w:sz w:val="18"/>
          <w:szCs w:val="18"/>
        </w:rPr>
        <w:t>(</w:t>
      </w:r>
      <w:r w:rsidR="00AD6EC8" w:rsidRPr="00531AA5">
        <w:rPr>
          <w:rFonts w:asciiTheme="majorBidi" w:hAnsiTheme="majorBidi" w:cstheme="majorBidi"/>
          <w:sz w:val="18"/>
          <w:szCs w:val="18"/>
        </w:rPr>
        <w:t>2001</w:t>
      </w:r>
      <w:r w:rsidR="00A4776A">
        <w:rPr>
          <w:rFonts w:asciiTheme="majorBidi" w:hAnsiTheme="majorBidi" w:cstheme="majorBidi"/>
          <w:sz w:val="18"/>
          <w:szCs w:val="18"/>
        </w:rPr>
        <w:t>)</w:t>
      </w:r>
      <w:r w:rsidR="00AD6EC8" w:rsidRPr="00531AA5">
        <w:rPr>
          <w:rFonts w:asciiTheme="majorBidi" w:hAnsiTheme="majorBidi" w:cstheme="majorBidi"/>
          <w:sz w:val="18"/>
          <w:szCs w:val="18"/>
        </w:rPr>
        <w:t>, para. 180</w:t>
      </w:r>
      <w:r w:rsidR="00EA455B">
        <w:rPr>
          <w:rFonts w:asciiTheme="majorBidi" w:hAnsiTheme="majorBidi" w:cstheme="majorBidi"/>
          <w:sz w:val="18"/>
          <w:szCs w:val="18"/>
        </w:rPr>
        <w:t>.</w:t>
      </w:r>
    </w:p>
  </w:footnote>
  <w:footnote w:id="66">
    <w:p w14:paraId="4C0BC279" w14:textId="7D5A8FF4" w:rsidR="00AD6EC8" w:rsidRPr="00531AA5" w:rsidRDefault="00AD6EC8" w:rsidP="00087631">
      <w:pPr>
        <w:pStyle w:val="FootnoteText"/>
        <w:rPr>
          <w:rFonts w:asciiTheme="majorBidi" w:hAnsiTheme="majorBidi" w:cstheme="majorBidi"/>
          <w:szCs w:val="18"/>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531AA5">
        <w:rPr>
          <w:rFonts w:asciiTheme="majorBidi" w:hAnsiTheme="majorBidi" w:cstheme="majorBidi"/>
          <w:szCs w:val="18"/>
        </w:rPr>
        <w:tab/>
        <w:t xml:space="preserve">Rule 47, ICRC Customary International Law Study; Prosecutor v. </w:t>
      </w:r>
      <w:proofErr w:type="spellStart"/>
      <w:r w:rsidRPr="00531AA5">
        <w:rPr>
          <w:rFonts w:asciiTheme="majorBidi" w:hAnsiTheme="majorBidi" w:cstheme="majorBidi"/>
          <w:szCs w:val="18"/>
        </w:rPr>
        <w:t>Tihomir</w:t>
      </w:r>
      <w:proofErr w:type="spellEnd"/>
      <w:r w:rsidRPr="00531AA5">
        <w:rPr>
          <w:rFonts w:asciiTheme="majorBidi" w:hAnsiTheme="majorBidi" w:cstheme="majorBidi"/>
          <w:szCs w:val="18"/>
        </w:rPr>
        <w:t xml:space="preserve"> </w:t>
      </w:r>
      <w:proofErr w:type="spellStart"/>
      <w:r w:rsidRPr="00531AA5">
        <w:rPr>
          <w:rFonts w:asciiTheme="majorBidi" w:hAnsiTheme="majorBidi" w:cstheme="majorBidi"/>
          <w:szCs w:val="18"/>
        </w:rPr>
        <w:t>Blaskic</w:t>
      </w:r>
      <w:proofErr w:type="spellEnd"/>
      <w:r w:rsidR="00EA455B">
        <w:rPr>
          <w:rFonts w:asciiTheme="majorBidi" w:hAnsiTheme="majorBidi" w:cstheme="majorBidi"/>
          <w:szCs w:val="18"/>
        </w:rPr>
        <w:t xml:space="preserve">, </w:t>
      </w:r>
      <w:r w:rsidRPr="00531AA5">
        <w:rPr>
          <w:rFonts w:asciiTheme="majorBidi" w:hAnsiTheme="majorBidi" w:cstheme="majorBidi"/>
          <w:szCs w:val="18"/>
        </w:rPr>
        <w:t xml:space="preserve">IT-95-14-T, ICTY, </w:t>
      </w:r>
      <w:r w:rsidR="00A4776A">
        <w:rPr>
          <w:rFonts w:asciiTheme="majorBidi" w:hAnsiTheme="majorBidi" w:cstheme="majorBidi"/>
          <w:szCs w:val="18"/>
        </w:rPr>
        <w:t>(</w:t>
      </w:r>
      <w:r w:rsidRPr="00531AA5">
        <w:rPr>
          <w:rFonts w:asciiTheme="majorBidi" w:hAnsiTheme="majorBidi" w:cstheme="majorBidi"/>
          <w:szCs w:val="18"/>
        </w:rPr>
        <w:t>2000</w:t>
      </w:r>
      <w:r w:rsidR="00A4776A">
        <w:rPr>
          <w:rFonts w:asciiTheme="majorBidi" w:hAnsiTheme="majorBidi" w:cstheme="majorBidi"/>
          <w:szCs w:val="18"/>
        </w:rPr>
        <w:t>)</w:t>
      </w:r>
      <w:r w:rsidRPr="00531AA5">
        <w:rPr>
          <w:rFonts w:asciiTheme="majorBidi" w:hAnsiTheme="majorBidi" w:cstheme="majorBidi"/>
          <w:szCs w:val="18"/>
        </w:rPr>
        <w:t xml:space="preserve">, para. 214; The Prosecutor v Bosco Ntaganda, </w:t>
      </w:r>
      <w:r w:rsidR="00E612D8" w:rsidRPr="00531AA5">
        <w:rPr>
          <w:rFonts w:asciiTheme="majorBidi" w:hAnsiTheme="majorBidi" w:cstheme="majorBidi"/>
          <w:szCs w:val="18"/>
        </w:rPr>
        <w:t>ICC</w:t>
      </w:r>
      <w:r w:rsidRPr="00531AA5">
        <w:rPr>
          <w:rFonts w:asciiTheme="majorBidi" w:hAnsiTheme="majorBidi" w:cstheme="majorBidi"/>
          <w:szCs w:val="18"/>
        </w:rPr>
        <w:t xml:space="preserve"> Appeals Chamber, </w:t>
      </w:r>
      <w:r w:rsidR="00A4776A">
        <w:rPr>
          <w:rFonts w:asciiTheme="majorBidi" w:hAnsiTheme="majorBidi" w:cstheme="majorBidi"/>
          <w:szCs w:val="18"/>
        </w:rPr>
        <w:t>(</w:t>
      </w:r>
      <w:r w:rsidRPr="00531AA5">
        <w:rPr>
          <w:rFonts w:asciiTheme="majorBidi" w:hAnsiTheme="majorBidi" w:cstheme="majorBidi"/>
          <w:szCs w:val="18"/>
        </w:rPr>
        <w:t>2022</w:t>
      </w:r>
      <w:r w:rsidR="00A4776A">
        <w:rPr>
          <w:rFonts w:asciiTheme="majorBidi" w:hAnsiTheme="majorBidi" w:cstheme="majorBidi"/>
          <w:szCs w:val="18"/>
        </w:rPr>
        <w:t>)</w:t>
      </w:r>
      <w:r w:rsidRPr="00531AA5">
        <w:rPr>
          <w:rFonts w:asciiTheme="majorBidi" w:hAnsiTheme="majorBidi" w:cstheme="majorBidi"/>
          <w:szCs w:val="18"/>
        </w:rPr>
        <w:t>, No. ICC-01/04-02/06 A4-AB, para 424</w:t>
      </w:r>
      <w:r w:rsidR="00EA455B">
        <w:rPr>
          <w:rFonts w:asciiTheme="majorBidi" w:hAnsiTheme="majorBidi" w:cstheme="majorBidi"/>
          <w:szCs w:val="18"/>
        </w:rPr>
        <w:t>.</w:t>
      </w:r>
    </w:p>
  </w:footnote>
  <w:footnote w:id="67">
    <w:p w14:paraId="7A308381" w14:textId="3B7A3FA6" w:rsidR="00AD6EC8" w:rsidRPr="006D7759" w:rsidRDefault="00AD6EC8" w:rsidP="00087631">
      <w:pPr>
        <w:pStyle w:val="FootnoteText"/>
        <w:rPr>
          <w:rFonts w:asciiTheme="majorBidi" w:hAnsiTheme="majorBidi" w:cstheme="majorBidi"/>
          <w:szCs w:val="18"/>
          <w:lang w:val="es-ES"/>
        </w:rPr>
      </w:pPr>
      <w:r w:rsidRPr="00531AA5">
        <w:rPr>
          <w:rFonts w:asciiTheme="majorBidi" w:hAnsiTheme="majorBidi" w:cstheme="majorBidi"/>
          <w:szCs w:val="18"/>
        </w:rPr>
        <w:tab/>
      </w:r>
      <w:r w:rsidRPr="00531AA5">
        <w:rPr>
          <w:rStyle w:val="FootnoteReference"/>
          <w:rFonts w:asciiTheme="majorBidi" w:hAnsiTheme="majorBidi" w:cstheme="majorBidi"/>
          <w:szCs w:val="18"/>
        </w:rPr>
        <w:footnoteRef/>
      </w:r>
      <w:r w:rsidRPr="00635AFE">
        <w:rPr>
          <w:rFonts w:asciiTheme="majorBidi" w:hAnsiTheme="majorBidi" w:cstheme="majorBidi"/>
          <w:szCs w:val="18"/>
          <w:lang w:val="es-ES"/>
        </w:rPr>
        <w:tab/>
      </w:r>
      <w:proofErr w:type="spellStart"/>
      <w:r w:rsidRPr="00635AFE">
        <w:rPr>
          <w:rFonts w:asciiTheme="majorBidi" w:hAnsiTheme="majorBidi" w:cstheme="majorBidi"/>
          <w:szCs w:val="18"/>
          <w:lang w:val="es-ES"/>
        </w:rPr>
        <w:t>Ntaganda</w:t>
      </w:r>
      <w:proofErr w:type="spellEnd"/>
      <w:r w:rsidR="00E612D8" w:rsidRPr="00635AFE">
        <w:rPr>
          <w:rFonts w:asciiTheme="majorBidi" w:hAnsiTheme="majorBidi" w:cstheme="majorBidi"/>
          <w:szCs w:val="18"/>
          <w:lang w:val="es-ES"/>
        </w:rPr>
        <w:t xml:space="preserve">, </w:t>
      </w:r>
      <w:r w:rsidRPr="00635AFE">
        <w:rPr>
          <w:rFonts w:asciiTheme="majorBidi" w:hAnsiTheme="majorBidi" w:cstheme="majorBidi"/>
          <w:szCs w:val="18"/>
          <w:lang w:val="es-ES"/>
        </w:rPr>
        <w:t xml:space="preserve">para </w:t>
      </w:r>
      <w:r w:rsidR="00F72D23" w:rsidRPr="00FA7DD0">
        <w:rPr>
          <w:rFonts w:asciiTheme="majorBidi" w:hAnsiTheme="majorBidi" w:cstheme="majorBidi"/>
          <w:szCs w:val="18"/>
          <w:lang w:val="es-ES"/>
        </w:rPr>
        <w:t>691</w:t>
      </w:r>
      <w:r w:rsidRPr="00635AFE">
        <w:rPr>
          <w:rFonts w:asciiTheme="majorBidi" w:hAnsiTheme="majorBidi" w:cstheme="majorBidi"/>
          <w:szCs w:val="18"/>
          <w:lang w:val="es-ES"/>
        </w:rPr>
        <w:t xml:space="preserve">; </w:t>
      </w:r>
      <w:proofErr w:type="spellStart"/>
      <w:r w:rsidRPr="00635AFE">
        <w:rPr>
          <w:rFonts w:asciiTheme="majorBidi" w:hAnsiTheme="majorBidi" w:cstheme="majorBidi"/>
          <w:szCs w:val="18"/>
          <w:lang w:val="es-ES"/>
        </w:rPr>
        <w:t>Kunarac</w:t>
      </w:r>
      <w:proofErr w:type="spellEnd"/>
      <w:r w:rsidR="00E612D8" w:rsidRPr="00635AFE">
        <w:rPr>
          <w:rFonts w:asciiTheme="majorBidi" w:hAnsiTheme="majorBidi" w:cstheme="majorBidi"/>
          <w:szCs w:val="18"/>
          <w:lang w:val="es-ES"/>
        </w:rPr>
        <w:t>,</w:t>
      </w:r>
      <w:r w:rsidRPr="00635AFE">
        <w:rPr>
          <w:rFonts w:asciiTheme="majorBidi" w:hAnsiTheme="majorBidi" w:cstheme="majorBidi"/>
          <w:szCs w:val="18"/>
          <w:lang w:val="es-ES"/>
        </w:rPr>
        <w:t xml:space="preserve"> para </w:t>
      </w:r>
      <w:r w:rsidRPr="00FA7DD0">
        <w:rPr>
          <w:rFonts w:asciiTheme="majorBidi" w:hAnsiTheme="majorBidi" w:cstheme="majorBidi"/>
          <w:szCs w:val="18"/>
          <w:lang w:val="es-ES"/>
        </w:rPr>
        <w:t>4</w:t>
      </w:r>
      <w:r w:rsidR="00F72D23" w:rsidRPr="00FA7DD0">
        <w:rPr>
          <w:rFonts w:asciiTheme="majorBidi" w:hAnsiTheme="majorBidi" w:cstheme="majorBidi"/>
          <w:szCs w:val="18"/>
          <w:lang w:val="es-ES"/>
        </w:rPr>
        <w:t>2</w:t>
      </w:r>
      <w:r w:rsidRPr="00FA7DD0">
        <w:rPr>
          <w:rFonts w:asciiTheme="majorBidi" w:hAnsiTheme="majorBidi" w:cstheme="majorBidi"/>
          <w:szCs w:val="18"/>
          <w:lang w:val="es-ES"/>
        </w:rPr>
        <w:t>8</w:t>
      </w:r>
      <w:r w:rsidRPr="00635AFE">
        <w:rPr>
          <w:rFonts w:asciiTheme="majorBidi" w:hAnsiTheme="majorBidi" w:cstheme="majorBidi"/>
          <w:szCs w:val="18"/>
          <w:lang w:val="es-ES"/>
        </w:rPr>
        <w:t xml:space="preserve">; </w:t>
      </w:r>
      <w:proofErr w:type="spellStart"/>
      <w:r w:rsidRPr="00635AFE">
        <w:rPr>
          <w:rFonts w:asciiTheme="majorBidi" w:hAnsiTheme="majorBidi" w:cstheme="majorBidi"/>
          <w:szCs w:val="18"/>
          <w:lang w:val="es-ES"/>
        </w:rPr>
        <w:t>Prosecutor</w:t>
      </w:r>
      <w:proofErr w:type="spellEnd"/>
      <w:r w:rsidRPr="00635AFE">
        <w:rPr>
          <w:rFonts w:asciiTheme="majorBidi" w:hAnsiTheme="majorBidi" w:cstheme="majorBidi"/>
          <w:szCs w:val="18"/>
          <w:lang w:val="es-ES"/>
        </w:rPr>
        <w:t xml:space="preserve"> v Jean-Pierre Bemba </w:t>
      </w:r>
      <w:proofErr w:type="spellStart"/>
      <w:r w:rsidRPr="00635AFE">
        <w:rPr>
          <w:rFonts w:asciiTheme="majorBidi" w:hAnsiTheme="majorBidi" w:cstheme="majorBidi"/>
          <w:szCs w:val="18"/>
          <w:lang w:val="es-ES"/>
        </w:rPr>
        <w:t>Gombo</w:t>
      </w:r>
      <w:proofErr w:type="spellEnd"/>
      <w:r w:rsidRPr="00635AFE">
        <w:rPr>
          <w:rFonts w:asciiTheme="majorBidi" w:hAnsiTheme="majorBidi" w:cstheme="majorBidi"/>
          <w:szCs w:val="18"/>
          <w:lang w:val="es-ES"/>
        </w:rPr>
        <w:t xml:space="preserve">, </w:t>
      </w:r>
      <w:proofErr w:type="gramStart"/>
      <w:r w:rsidR="00E612D8" w:rsidRPr="00635AFE">
        <w:rPr>
          <w:rFonts w:asciiTheme="majorBidi" w:hAnsiTheme="majorBidi" w:cstheme="majorBidi"/>
          <w:szCs w:val="18"/>
          <w:lang w:val="es-ES"/>
        </w:rPr>
        <w:t>ICC,</w:t>
      </w:r>
      <w:r w:rsidR="00A4776A" w:rsidRPr="00635AFE">
        <w:rPr>
          <w:rFonts w:asciiTheme="majorBidi" w:hAnsiTheme="majorBidi" w:cstheme="majorBidi"/>
          <w:szCs w:val="18"/>
          <w:lang w:val="es-ES"/>
        </w:rPr>
        <w:t>(</w:t>
      </w:r>
      <w:proofErr w:type="gramEnd"/>
      <w:r w:rsidRPr="00635AFE">
        <w:rPr>
          <w:rFonts w:asciiTheme="majorBidi" w:hAnsiTheme="majorBidi" w:cstheme="majorBidi"/>
          <w:szCs w:val="18"/>
          <w:lang w:val="es-ES"/>
        </w:rPr>
        <w:t>2016</w:t>
      </w:r>
      <w:r w:rsidR="00A4776A" w:rsidRPr="00635AFE">
        <w:rPr>
          <w:rFonts w:asciiTheme="majorBidi" w:hAnsiTheme="majorBidi" w:cstheme="majorBidi"/>
          <w:szCs w:val="18"/>
          <w:lang w:val="es-ES"/>
        </w:rPr>
        <w:t>)</w:t>
      </w:r>
      <w:r w:rsidRPr="00635AFE">
        <w:rPr>
          <w:rFonts w:asciiTheme="majorBidi" w:hAnsiTheme="majorBidi" w:cstheme="majorBidi"/>
          <w:szCs w:val="18"/>
          <w:lang w:val="es-ES"/>
        </w:rPr>
        <w:t>, No. ICC-01/05-01/08, para 163</w:t>
      </w:r>
      <w:r w:rsidR="00AD523C">
        <w:rPr>
          <w:rFonts w:asciiTheme="majorBidi" w:hAnsiTheme="majorBidi" w:cstheme="majorBidi"/>
          <w:szCs w:val="18"/>
          <w:lang w:val="es-ES"/>
        </w:rPr>
        <w:t>.</w:t>
      </w:r>
    </w:p>
  </w:footnote>
  <w:footnote w:id="68">
    <w:p w14:paraId="3231ED1E" w14:textId="2F7B3678" w:rsidR="00AD6EC8" w:rsidRPr="005F0068" w:rsidRDefault="00AD6EC8" w:rsidP="00087631">
      <w:pPr>
        <w:tabs>
          <w:tab w:val="right" w:pos="1021"/>
        </w:tabs>
        <w:spacing w:line="220" w:lineRule="exact"/>
        <w:ind w:left="1134" w:right="1134" w:hanging="1134"/>
        <w:rPr>
          <w:lang w:val="es-ES" w:bidi="ar-SA"/>
        </w:rPr>
      </w:pPr>
      <w:r w:rsidRPr="006D7759">
        <w:rPr>
          <w:sz w:val="18"/>
          <w:szCs w:val="18"/>
          <w:lang w:val="es-ES"/>
        </w:rPr>
        <w:tab/>
      </w:r>
      <w:r w:rsidRPr="006D7759">
        <w:rPr>
          <w:rStyle w:val="FootnoteReference"/>
          <w:szCs w:val="18"/>
        </w:rPr>
        <w:footnoteRef/>
      </w:r>
      <w:r w:rsidRPr="006D7759">
        <w:rPr>
          <w:sz w:val="18"/>
          <w:szCs w:val="18"/>
          <w:lang w:val="es-ES"/>
        </w:rPr>
        <w:tab/>
        <w:t>Bem</w:t>
      </w:r>
      <w:r w:rsidR="00F72D23" w:rsidRPr="006D7759">
        <w:rPr>
          <w:sz w:val="18"/>
          <w:szCs w:val="18"/>
          <w:lang w:val="es-ES"/>
        </w:rPr>
        <w:t>b</w:t>
      </w:r>
      <w:r w:rsidRPr="006D7759">
        <w:rPr>
          <w:sz w:val="18"/>
          <w:szCs w:val="18"/>
          <w:lang w:val="es-ES"/>
        </w:rPr>
        <w:t>a</w:t>
      </w:r>
      <w:r w:rsidR="00F72D23" w:rsidRPr="006D7759">
        <w:rPr>
          <w:sz w:val="18"/>
          <w:szCs w:val="18"/>
          <w:lang w:val="es-ES"/>
        </w:rPr>
        <w:t xml:space="preserve"> (</w:t>
      </w:r>
      <w:r w:rsidR="00F72D23" w:rsidRPr="006D7759">
        <w:rPr>
          <w:rStyle w:val="markedcontent"/>
          <w:sz w:val="18"/>
          <w:szCs w:val="18"/>
          <w:lang w:val="es-ES"/>
        </w:rPr>
        <w:t>21 March 2016</w:t>
      </w:r>
      <w:r w:rsidR="00F72D23" w:rsidRPr="006D7759">
        <w:rPr>
          <w:sz w:val="18"/>
          <w:szCs w:val="18"/>
          <w:lang w:val="es-ES"/>
        </w:rPr>
        <w:t>)</w:t>
      </w:r>
      <w:r w:rsidRPr="006D7759">
        <w:rPr>
          <w:sz w:val="18"/>
          <w:szCs w:val="18"/>
          <w:lang w:val="es-ES"/>
        </w:rPr>
        <w:t>, para 160</w:t>
      </w:r>
      <w:r w:rsidR="00F72D23" w:rsidRPr="005F0068">
        <w:rPr>
          <w:sz w:val="18"/>
          <w:szCs w:val="18"/>
          <w:lang w:val="es-ES"/>
        </w:rPr>
        <w:t>; Katanga (</w:t>
      </w:r>
      <w:r w:rsidR="00F72D23" w:rsidRPr="003D0792">
        <w:rPr>
          <w:rStyle w:val="markedcontent"/>
          <w:sz w:val="18"/>
          <w:szCs w:val="18"/>
          <w:lang w:val="es-ES"/>
        </w:rPr>
        <w:t>ICC-01/04-01/07) 7 March 2014, para. 1109</w:t>
      </w:r>
      <w:r w:rsidR="00F72D23" w:rsidRPr="005F0068">
        <w:rPr>
          <w:rStyle w:val="markedcontent"/>
          <w:sz w:val="18"/>
          <w:szCs w:val="18"/>
          <w:lang w:val="es-ES"/>
        </w:rPr>
        <w:t>.</w:t>
      </w:r>
    </w:p>
  </w:footnote>
  <w:footnote w:id="69">
    <w:p w14:paraId="4062581D" w14:textId="10F7A198" w:rsidR="00AD6EC8" w:rsidRPr="006D7759" w:rsidRDefault="00AD6EC8" w:rsidP="00087631">
      <w:pPr>
        <w:pStyle w:val="FootnoteText"/>
        <w:rPr>
          <w:szCs w:val="18"/>
          <w:lang w:val="es-ES"/>
        </w:rPr>
      </w:pPr>
      <w:r w:rsidRPr="003D0792">
        <w:rPr>
          <w:szCs w:val="18"/>
          <w:lang w:val="es-ES"/>
        </w:rPr>
        <w:tab/>
      </w:r>
      <w:r w:rsidRPr="006D7759">
        <w:rPr>
          <w:rStyle w:val="FootnoteReference"/>
          <w:szCs w:val="18"/>
        </w:rPr>
        <w:footnoteRef/>
      </w:r>
      <w:r w:rsidRPr="006D7759">
        <w:rPr>
          <w:szCs w:val="18"/>
          <w:lang w:val="es-ES"/>
        </w:rPr>
        <w:tab/>
      </w:r>
      <w:proofErr w:type="spellStart"/>
      <w:r w:rsidRPr="006D7759">
        <w:rPr>
          <w:szCs w:val="18"/>
          <w:lang w:val="es-ES"/>
        </w:rPr>
        <w:t>Gbagbo</w:t>
      </w:r>
      <w:proofErr w:type="spellEnd"/>
      <w:r w:rsidRPr="006D7759">
        <w:rPr>
          <w:szCs w:val="18"/>
          <w:lang w:val="es-ES"/>
        </w:rPr>
        <w:t xml:space="preserve"> para 214.</w:t>
      </w:r>
    </w:p>
  </w:footnote>
  <w:footnote w:id="70">
    <w:p w14:paraId="0419A5AF" w14:textId="704D7B5C" w:rsidR="000C5890" w:rsidRPr="00531AA5" w:rsidRDefault="005B1C8D" w:rsidP="00087631">
      <w:pPr>
        <w:pStyle w:val="FootnoteText"/>
        <w:rPr>
          <w:rFonts w:asciiTheme="majorBidi" w:hAnsiTheme="majorBidi" w:cstheme="majorBidi"/>
          <w:szCs w:val="18"/>
        </w:rPr>
      </w:pPr>
      <w:r w:rsidRPr="005F0068">
        <w:rPr>
          <w:rFonts w:asciiTheme="majorBidi" w:hAnsiTheme="majorBidi" w:cstheme="majorBidi"/>
          <w:szCs w:val="18"/>
          <w:lang w:val="es-ES"/>
        </w:rPr>
        <w:tab/>
      </w:r>
      <w:r w:rsidR="000C5890" w:rsidRPr="00531AA5">
        <w:rPr>
          <w:rStyle w:val="FootnoteReference"/>
          <w:rFonts w:asciiTheme="majorBidi" w:hAnsiTheme="majorBidi" w:cstheme="majorBidi"/>
          <w:szCs w:val="18"/>
        </w:rPr>
        <w:footnoteRef/>
      </w:r>
      <w:r w:rsidRPr="00531AA5">
        <w:rPr>
          <w:rFonts w:asciiTheme="majorBidi" w:hAnsiTheme="majorBidi" w:cstheme="majorBidi"/>
          <w:szCs w:val="18"/>
        </w:rPr>
        <w:tab/>
      </w:r>
      <w:hyperlink r:id="rId2" w:history="1">
        <w:r w:rsidR="002F22FA" w:rsidRPr="00531AA5">
          <w:rPr>
            <w:rStyle w:val="Hyperlink"/>
            <w:rFonts w:asciiTheme="majorBidi" w:hAnsiTheme="majorBidi" w:cstheme="majorBidi"/>
            <w:szCs w:val="18"/>
          </w:rPr>
          <w:t>Return and Repatriation of Foreign Fighters and their families |OHCHR</w:t>
        </w:r>
      </w:hyperlink>
      <w:r w:rsidR="007C7843">
        <w:rPr>
          <w:rStyle w:val="Hyperlink"/>
          <w:rFonts w:asciiTheme="majorBidi" w:hAnsiTheme="majorBidi" w:cstheme="majorBidi"/>
          <w:szCs w:val="18"/>
        </w:rPr>
        <w:t>.</w:t>
      </w:r>
    </w:p>
  </w:footnote>
  <w:footnote w:id="71">
    <w:p w14:paraId="29209FA2" w14:textId="58E61C8A" w:rsidR="007D31A2" w:rsidRPr="00531AA5" w:rsidRDefault="00A418BB" w:rsidP="00A418BB">
      <w:pPr>
        <w:pStyle w:val="FootnoteText"/>
        <w:rPr>
          <w:rFonts w:asciiTheme="majorBidi" w:hAnsiTheme="majorBidi" w:cstheme="majorBidi"/>
          <w:szCs w:val="18"/>
        </w:rPr>
      </w:pPr>
      <w:r>
        <w:rPr>
          <w:rFonts w:asciiTheme="majorBidi" w:hAnsiTheme="majorBidi" w:cstheme="majorBidi"/>
          <w:szCs w:val="18"/>
        </w:rPr>
        <w:tab/>
      </w:r>
      <w:r w:rsidR="007D31A2" w:rsidRPr="00531AA5">
        <w:rPr>
          <w:rStyle w:val="FootnoteReference"/>
          <w:rFonts w:asciiTheme="majorBidi" w:hAnsiTheme="majorBidi" w:cstheme="majorBidi"/>
          <w:szCs w:val="18"/>
        </w:rPr>
        <w:footnoteRef/>
      </w:r>
      <w:r>
        <w:rPr>
          <w:rFonts w:asciiTheme="majorBidi" w:hAnsiTheme="majorBidi" w:cstheme="majorBidi"/>
          <w:szCs w:val="18"/>
        </w:rPr>
        <w:tab/>
      </w:r>
      <w:r w:rsidR="00EB2487" w:rsidRPr="00531AA5">
        <w:rPr>
          <w:rFonts w:asciiTheme="majorBidi" w:hAnsiTheme="majorBidi" w:cstheme="majorBidi"/>
          <w:szCs w:val="18"/>
        </w:rPr>
        <w:t>ICRC, Rule 98</w:t>
      </w:r>
      <w:r w:rsidR="007D31A2" w:rsidRPr="00531AA5">
        <w:rPr>
          <w:rFonts w:asciiTheme="majorBidi" w:hAnsiTheme="majorBidi" w:cstheme="majorBidi"/>
          <w:szCs w:val="18"/>
        </w:rPr>
        <w:t xml:space="preserve">. </w:t>
      </w:r>
      <w:r w:rsidR="00DB5BE3">
        <w:rPr>
          <w:rFonts w:asciiTheme="majorBidi" w:hAnsiTheme="majorBidi" w:cstheme="majorBidi"/>
          <w:szCs w:val="18"/>
        </w:rPr>
        <w:t>EOM</w:t>
      </w:r>
      <w:r w:rsidR="007D31A2" w:rsidRPr="00531AA5">
        <w:rPr>
          <w:rFonts w:asciiTheme="majorBidi" w:hAnsiTheme="majorBidi" w:cstheme="majorBidi"/>
          <w:szCs w:val="18"/>
        </w:rPr>
        <w:t xml:space="preserve"> evidence appears to confirm that intelligence services of third countries have regular and sustained access for interrogation purposes to this population.</w:t>
      </w:r>
    </w:p>
  </w:footnote>
  <w:footnote w:id="72">
    <w:p w14:paraId="0551102C" w14:textId="72DE8772" w:rsidR="005975CF" w:rsidRPr="00531AA5" w:rsidRDefault="009B3C6A" w:rsidP="00087631">
      <w:pPr>
        <w:pStyle w:val="FootnoteText"/>
        <w:rPr>
          <w:rFonts w:asciiTheme="majorBidi" w:hAnsiTheme="majorBidi" w:cstheme="majorBidi"/>
          <w:szCs w:val="18"/>
        </w:rPr>
      </w:pPr>
      <w:r w:rsidRPr="00531AA5">
        <w:rPr>
          <w:rFonts w:asciiTheme="majorBidi" w:hAnsiTheme="majorBidi" w:cstheme="majorBidi"/>
          <w:szCs w:val="18"/>
        </w:rPr>
        <w:tab/>
      </w:r>
      <w:r w:rsidR="005975CF" w:rsidRPr="00531AA5">
        <w:rPr>
          <w:rStyle w:val="FootnoteReference"/>
          <w:rFonts w:asciiTheme="majorBidi" w:hAnsiTheme="majorBidi" w:cstheme="majorBidi"/>
          <w:szCs w:val="18"/>
        </w:rPr>
        <w:footnoteRef/>
      </w:r>
      <w:r w:rsidR="00A418BB">
        <w:rPr>
          <w:rFonts w:asciiTheme="majorBidi" w:hAnsiTheme="majorBidi" w:cstheme="majorBidi"/>
          <w:szCs w:val="18"/>
        </w:rPr>
        <w:tab/>
      </w:r>
      <w:r w:rsidR="005975CF" w:rsidRPr="00531AA5">
        <w:rPr>
          <w:rFonts w:asciiTheme="majorBidi" w:hAnsiTheme="majorBidi" w:cstheme="majorBidi"/>
          <w:szCs w:val="18"/>
        </w:rPr>
        <w:t>Interrogations confirmed by interviews with former detainees during multiple country visit</w:t>
      </w:r>
      <w:r w:rsidR="009C460F" w:rsidRPr="00531AA5">
        <w:rPr>
          <w:rFonts w:asciiTheme="majorBidi" w:hAnsiTheme="majorBidi" w:cstheme="majorBidi"/>
          <w:szCs w:val="18"/>
        </w:rPr>
        <w:t>s</w:t>
      </w:r>
      <w:r w:rsidR="005975CF" w:rsidRPr="00531AA5">
        <w:rPr>
          <w:rFonts w:asciiTheme="majorBidi" w:hAnsiTheme="majorBidi" w:cstheme="majorBidi"/>
          <w:szCs w:val="18"/>
        </w:rPr>
        <w:t xml:space="preserve"> by the </w:t>
      </w:r>
      <w:r w:rsidR="00FA7DD0">
        <w:rPr>
          <w:rFonts w:asciiTheme="majorBidi" w:hAnsiTheme="majorBidi" w:cstheme="majorBidi"/>
          <w:szCs w:val="18"/>
        </w:rPr>
        <w:t>Special Rapporteur</w:t>
      </w:r>
      <w:r w:rsidR="001C6122" w:rsidRPr="00531AA5">
        <w:rPr>
          <w:rFonts w:asciiTheme="majorBidi" w:hAnsiTheme="majorBidi" w:cstheme="majorBidi"/>
          <w:szCs w:val="18"/>
        </w:rPr>
        <w:t xml:space="preserve"> </w:t>
      </w:r>
      <w:r w:rsidR="005975CF" w:rsidRPr="00531AA5">
        <w:rPr>
          <w:rFonts w:asciiTheme="majorBidi" w:hAnsiTheme="majorBidi" w:cstheme="majorBidi"/>
          <w:szCs w:val="18"/>
        </w:rPr>
        <w:t>in the past 3 years.</w:t>
      </w:r>
    </w:p>
  </w:footnote>
  <w:footnote w:id="73">
    <w:p w14:paraId="172901BF" w14:textId="4F72030C" w:rsidR="00ED1788" w:rsidRPr="00531AA5" w:rsidRDefault="00AF1E4F" w:rsidP="00087631">
      <w:pPr>
        <w:pStyle w:val="FootnoteText"/>
        <w:rPr>
          <w:rFonts w:asciiTheme="majorBidi" w:hAnsiTheme="majorBidi" w:cstheme="majorBidi"/>
          <w:szCs w:val="18"/>
        </w:rPr>
      </w:pPr>
      <w:r>
        <w:rPr>
          <w:rFonts w:asciiTheme="majorBidi" w:hAnsiTheme="majorBidi" w:cstheme="majorBidi"/>
          <w:szCs w:val="18"/>
        </w:rPr>
        <w:tab/>
      </w:r>
      <w:r w:rsidR="00ED1788" w:rsidRPr="00531AA5">
        <w:rPr>
          <w:rStyle w:val="FootnoteReference"/>
          <w:rFonts w:asciiTheme="majorBidi" w:hAnsiTheme="majorBidi" w:cstheme="majorBidi"/>
          <w:szCs w:val="18"/>
        </w:rPr>
        <w:footnoteRef/>
      </w:r>
      <w:r w:rsidR="00A418BB">
        <w:rPr>
          <w:rFonts w:asciiTheme="majorBidi" w:hAnsiTheme="majorBidi" w:cstheme="majorBidi"/>
          <w:szCs w:val="18"/>
        </w:rPr>
        <w:tab/>
      </w:r>
      <w:r w:rsidR="00E612D8" w:rsidRPr="00531AA5">
        <w:rPr>
          <w:rFonts w:asciiTheme="majorBidi" w:hAnsiTheme="majorBidi" w:cstheme="majorBidi"/>
          <w:szCs w:val="18"/>
        </w:rPr>
        <w:t>ICC</w:t>
      </w:r>
      <w:r w:rsidR="00ED1788" w:rsidRPr="00531AA5">
        <w:rPr>
          <w:rFonts w:asciiTheme="majorBidi" w:hAnsiTheme="majorBidi" w:cstheme="majorBidi"/>
          <w:szCs w:val="18"/>
        </w:rPr>
        <w:t xml:space="preserve"> (OTP) </w:t>
      </w:r>
      <w:r w:rsidR="00ED1788" w:rsidRPr="00531AA5">
        <w:rPr>
          <w:rFonts w:asciiTheme="majorBidi" w:hAnsiTheme="majorBidi" w:cstheme="majorBidi"/>
          <w:i/>
          <w:iCs/>
          <w:szCs w:val="18"/>
        </w:rPr>
        <w:t>Policy on Children</w:t>
      </w:r>
      <w:r w:rsidR="00ED1788" w:rsidRPr="00531AA5">
        <w:rPr>
          <w:rFonts w:asciiTheme="majorBidi" w:hAnsiTheme="majorBidi" w:cstheme="majorBidi"/>
          <w:szCs w:val="18"/>
        </w:rPr>
        <w:t xml:space="preserve"> (2016) at 21–22 paras. 44–4</w:t>
      </w:r>
      <w:r w:rsidR="00CA5C29">
        <w:rPr>
          <w:rFonts w:asciiTheme="majorBidi" w:hAnsiTheme="majorBidi" w:cstheme="majorBidi"/>
          <w:szCs w:val="18"/>
        </w:rPr>
        <w:t>7</w:t>
      </w:r>
      <w:r w:rsidR="005E17C8">
        <w:rPr>
          <w:rFonts w:asciiTheme="majorBidi" w:hAnsiTheme="majorBidi" w:cstheme="majorBidi"/>
          <w:szCs w:val="18"/>
        </w:rPr>
        <w:t xml:space="preserve">; </w:t>
      </w:r>
      <w:r w:rsidR="00ED1788" w:rsidRPr="00531AA5">
        <w:rPr>
          <w:rFonts w:asciiTheme="majorBidi" w:hAnsiTheme="majorBidi" w:cstheme="majorBidi"/>
          <w:szCs w:val="18"/>
        </w:rPr>
        <w:t>Children and Armed Conflict – Report of Secretary-General, at 1 para. 1, June 5, 2023, U.N. Doc. A/77/895-S/2023/363.</w:t>
      </w:r>
    </w:p>
  </w:footnote>
  <w:footnote w:id="74">
    <w:p w14:paraId="4FA90E8E" w14:textId="5953B1CE" w:rsidR="00921863" w:rsidRPr="00531AA5" w:rsidRDefault="00A418BB" w:rsidP="00087631">
      <w:pPr>
        <w:pStyle w:val="FootnoteText"/>
        <w:rPr>
          <w:rFonts w:asciiTheme="majorBidi" w:hAnsiTheme="majorBidi" w:cstheme="majorBidi"/>
          <w:szCs w:val="18"/>
        </w:rPr>
      </w:pPr>
      <w:r>
        <w:rPr>
          <w:rFonts w:asciiTheme="majorBidi" w:hAnsiTheme="majorBidi" w:cstheme="majorBidi"/>
          <w:szCs w:val="18"/>
        </w:rPr>
        <w:tab/>
      </w:r>
      <w:r w:rsidR="00921863" w:rsidRPr="00531AA5">
        <w:rPr>
          <w:rStyle w:val="FootnoteReference"/>
          <w:rFonts w:asciiTheme="majorBidi" w:hAnsiTheme="majorBidi" w:cstheme="majorBidi"/>
          <w:szCs w:val="18"/>
        </w:rPr>
        <w:footnoteRef/>
      </w:r>
      <w:r>
        <w:rPr>
          <w:rFonts w:asciiTheme="majorBidi" w:hAnsiTheme="majorBidi" w:cstheme="majorBidi"/>
          <w:szCs w:val="18"/>
        </w:rPr>
        <w:tab/>
      </w:r>
      <w:r w:rsidR="00921863" w:rsidRPr="00531AA5">
        <w:rPr>
          <w:rFonts w:asciiTheme="majorBidi" w:hAnsiTheme="majorBidi" w:cstheme="majorBidi"/>
          <w:szCs w:val="18"/>
        </w:rPr>
        <w:t>A/HRC/43/49, paras 66, 67 and 70.</w:t>
      </w:r>
    </w:p>
  </w:footnote>
  <w:footnote w:id="75">
    <w:p w14:paraId="44BD79AF" w14:textId="4392461D" w:rsidR="00D72A94" w:rsidRPr="00531AA5" w:rsidRDefault="00A418BB" w:rsidP="00087631">
      <w:pPr>
        <w:pStyle w:val="FootnoteText"/>
        <w:rPr>
          <w:rFonts w:asciiTheme="majorBidi" w:hAnsiTheme="majorBidi" w:cstheme="majorBidi"/>
          <w:szCs w:val="18"/>
        </w:rPr>
      </w:pPr>
      <w:r>
        <w:rPr>
          <w:rFonts w:asciiTheme="majorBidi" w:hAnsiTheme="majorBidi" w:cstheme="majorBidi"/>
          <w:szCs w:val="18"/>
        </w:rPr>
        <w:tab/>
      </w:r>
      <w:r w:rsidR="00D72A94" w:rsidRPr="00531AA5">
        <w:rPr>
          <w:rStyle w:val="FootnoteReference"/>
          <w:rFonts w:asciiTheme="majorBidi" w:hAnsiTheme="majorBidi" w:cstheme="majorBidi"/>
          <w:szCs w:val="18"/>
        </w:rPr>
        <w:footnoteRef/>
      </w:r>
      <w:r>
        <w:rPr>
          <w:rFonts w:asciiTheme="majorBidi" w:hAnsiTheme="majorBidi" w:cstheme="majorBidi"/>
          <w:szCs w:val="18"/>
        </w:rPr>
        <w:tab/>
      </w:r>
      <w:r w:rsidR="00B0563C">
        <w:rPr>
          <w:rFonts w:asciiTheme="majorBidi" w:hAnsiTheme="majorBidi" w:cstheme="majorBidi"/>
          <w:szCs w:val="18"/>
        </w:rPr>
        <w:t xml:space="preserve">ICC </w:t>
      </w:r>
      <w:r w:rsidR="00D72A94" w:rsidRPr="00531AA5">
        <w:rPr>
          <w:rFonts w:asciiTheme="majorBidi" w:hAnsiTheme="majorBidi" w:cstheme="majorBidi"/>
          <w:szCs w:val="18"/>
        </w:rPr>
        <w:t>Statute, art. 25 (3) (b-d</w:t>
      </w:r>
      <w:r w:rsidR="00B0563C" w:rsidRPr="00531AA5">
        <w:rPr>
          <w:rFonts w:asciiTheme="majorBidi" w:hAnsiTheme="majorBidi" w:cstheme="majorBidi"/>
          <w:szCs w:val="18"/>
        </w:rPr>
        <w:t>)</w:t>
      </w:r>
      <w:r w:rsidR="00B0563C">
        <w:rPr>
          <w:rFonts w:asciiTheme="majorBidi" w:hAnsiTheme="majorBidi" w:cstheme="majorBidi"/>
          <w:szCs w:val="18"/>
        </w:rPr>
        <w:t>; CAT</w:t>
      </w:r>
      <w:r w:rsidR="00D72A94" w:rsidRPr="00531AA5">
        <w:rPr>
          <w:rFonts w:asciiTheme="majorBidi" w:hAnsiTheme="majorBidi" w:cstheme="majorBidi"/>
          <w:szCs w:val="18"/>
        </w:rPr>
        <w:t xml:space="preserve"> art. 1</w:t>
      </w:r>
      <w:r w:rsidR="00B0563C">
        <w:rPr>
          <w:rFonts w:asciiTheme="majorBidi" w:hAnsiTheme="majorBidi" w:cstheme="majorBidi"/>
          <w:szCs w:val="18"/>
        </w:rPr>
        <w:t xml:space="preserve">; </w:t>
      </w:r>
      <w:r w:rsidR="00DB0D2D" w:rsidRPr="00531AA5">
        <w:rPr>
          <w:rFonts w:asciiTheme="majorBidi" w:hAnsiTheme="majorBidi" w:cstheme="majorBidi"/>
          <w:szCs w:val="18"/>
        </w:rPr>
        <w:t>A/HRC/14/46, para.23</w:t>
      </w:r>
      <w:r>
        <w:rPr>
          <w:rFonts w:asciiTheme="majorBidi" w:hAnsiTheme="majorBidi" w:cstheme="majorBidi"/>
          <w:szCs w:val="18"/>
        </w:rPr>
        <w:t>.</w:t>
      </w:r>
    </w:p>
  </w:footnote>
  <w:footnote w:id="76">
    <w:p w14:paraId="53323BC3" w14:textId="53E04499" w:rsidR="00434D2C" w:rsidRPr="00921863" w:rsidRDefault="009B3C6A" w:rsidP="00087631">
      <w:pPr>
        <w:pStyle w:val="FootnoteText"/>
        <w:rPr>
          <w:rFonts w:asciiTheme="majorBidi" w:hAnsiTheme="majorBidi" w:cstheme="majorBidi"/>
          <w:szCs w:val="18"/>
        </w:rPr>
      </w:pPr>
      <w:r w:rsidRPr="00531AA5">
        <w:rPr>
          <w:rFonts w:asciiTheme="majorBidi" w:hAnsiTheme="majorBidi" w:cstheme="majorBidi"/>
          <w:szCs w:val="18"/>
        </w:rPr>
        <w:tab/>
      </w:r>
      <w:r w:rsidR="00434D2C" w:rsidRPr="00531AA5">
        <w:rPr>
          <w:rStyle w:val="FootnoteReference"/>
          <w:rFonts w:asciiTheme="majorBidi" w:hAnsiTheme="majorBidi" w:cstheme="majorBidi"/>
          <w:szCs w:val="18"/>
        </w:rPr>
        <w:footnoteRef/>
      </w:r>
      <w:r w:rsidR="007C7843">
        <w:rPr>
          <w:rFonts w:asciiTheme="majorBidi" w:hAnsiTheme="majorBidi" w:cstheme="majorBidi"/>
          <w:szCs w:val="18"/>
        </w:rPr>
        <w:tab/>
      </w:r>
      <w:r w:rsidR="00AE768F" w:rsidRPr="00921863">
        <w:rPr>
          <w:rFonts w:asciiTheme="majorBidi" w:hAnsiTheme="majorBidi" w:cstheme="majorBidi"/>
          <w:szCs w:val="18"/>
        </w:rPr>
        <w:t>USA 2/2022; SWE 1/2022; GBR 1/2022; FRA 1/2022; DEU 1/2022; AUT 1/2022; AUS 1/2022</w:t>
      </w:r>
    </w:p>
  </w:footnote>
  <w:footnote w:id="77">
    <w:p w14:paraId="3269008F" w14:textId="01836628" w:rsidR="00E67769" w:rsidRPr="00531AA5" w:rsidRDefault="007C7843" w:rsidP="007C7843">
      <w:pPr>
        <w:pStyle w:val="FootnoteText"/>
        <w:rPr>
          <w:rFonts w:asciiTheme="majorBidi" w:hAnsiTheme="majorBidi" w:cstheme="majorBidi"/>
          <w:szCs w:val="18"/>
        </w:rPr>
      </w:pPr>
      <w:r>
        <w:rPr>
          <w:rFonts w:asciiTheme="majorBidi" w:hAnsiTheme="majorBidi" w:cstheme="majorBidi"/>
          <w:szCs w:val="18"/>
        </w:rPr>
        <w:tab/>
      </w:r>
      <w:r w:rsidR="00E67769" w:rsidRPr="00531AA5">
        <w:rPr>
          <w:rStyle w:val="FootnoteReference"/>
          <w:rFonts w:asciiTheme="majorBidi" w:hAnsiTheme="majorBidi" w:cstheme="majorBidi"/>
          <w:szCs w:val="18"/>
        </w:rPr>
        <w:footnoteRef/>
      </w:r>
      <w:r>
        <w:rPr>
          <w:rFonts w:asciiTheme="majorBidi" w:hAnsiTheme="majorBidi" w:cstheme="majorBidi"/>
          <w:szCs w:val="18"/>
        </w:rPr>
        <w:tab/>
      </w:r>
      <w:r w:rsidR="00341151" w:rsidRPr="00531AA5">
        <w:rPr>
          <w:rFonts w:asciiTheme="majorBidi" w:hAnsiTheme="majorBidi" w:cstheme="majorBidi"/>
          <w:szCs w:val="18"/>
        </w:rPr>
        <w:t xml:space="preserve">Letter dated 12 July 2022, in response to the communication by </w:t>
      </w:r>
      <w:r w:rsidR="0019431D">
        <w:rPr>
          <w:rFonts w:asciiTheme="majorBidi" w:hAnsiTheme="majorBidi" w:cstheme="majorBidi"/>
          <w:szCs w:val="18"/>
        </w:rPr>
        <w:t>SPs</w:t>
      </w:r>
      <w:r w:rsidR="00341151" w:rsidRPr="00531AA5">
        <w:rPr>
          <w:rFonts w:asciiTheme="majorBidi" w:hAnsiTheme="majorBidi" w:cstheme="majorBidi"/>
          <w:szCs w:val="18"/>
        </w:rPr>
        <w:t xml:space="preserve"> </w:t>
      </w:r>
      <w:r w:rsidR="00994B45" w:rsidRPr="00531AA5">
        <w:rPr>
          <w:rFonts w:asciiTheme="majorBidi" w:hAnsiTheme="majorBidi" w:cstheme="majorBidi"/>
          <w:szCs w:val="18"/>
        </w:rPr>
        <w:t>https://spcommreports.ohchr.org/TMResultsBase/DownLoadFile?gId=37003</w:t>
      </w:r>
      <w:r w:rsidR="00DB5BE3">
        <w:rPr>
          <w:rFonts w:asciiTheme="majorBidi" w:hAnsiTheme="majorBidi" w:cstheme="majorBidi"/>
          <w:szCs w:val="18"/>
        </w:rPr>
        <w:t>.</w:t>
      </w:r>
    </w:p>
  </w:footnote>
  <w:footnote w:id="78">
    <w:p w14:paraId="1FFD28E6" w14:textId="0C2B59A3" w:rsidR="00490692" w:rsidRPr="00531AA5" w:rsidRDefault="007C7843" w:rsidP="00087631">
      <w:pPr>
        <w:pStyle w:val="FootnoteText"/>
        <w:rPr>
          <w:rFonts w:asciiTheme="majorBidi" w:hAnsiTheme="majorBidi" w:cstheme="majorBidi"/>
          <w:szCs w:val="18"/>
        </w:rPr>
      </w:pPr>
      <w:r>
        <w:rPr>
          <w:rFonts w:asciiTheme="majorBidi" w:hAnsiTheme="majorBidi" w:cstheme="majorBidi"/>
          <w:szCs w:val="18"/>
        </w:rPr>
        <w:tab/>
      </w:r>
      <w:r w:rsidR="00490692" w:rsidRPr="00531AA5">
        <w:rPr>
          <w:rStyle w:val="FootnoteReference"/>
          <w:rFonts w:asciiTheme="majorBidi" w:hAnsiTheme="majorBidi" w:cstheme="majorBidi"/>
          <w:szCs w:val="18"/>
        </w:rPr>
        <w:footnoteRef/>
      </w:r>
      <w:r>
        <w:rPr>
          <w:rFonts w:asciiTheme="majorBidi" w:hAnsiTheme="majorBidi" w:cstheme="majorBidi"/>
          <w:szCs w:val="18"/>
        </w:rPr>
        <w:tab/>
      </w:r>
      <w:r w:rsidR="00490692" w:rsidRPr="00531AA5">
        <w:rPr>
          <w:rFonts w:asciiTheme="majorBidi" w:hAnsiTheme="majorBidi" w:cstheme="majorBidi"/>
          <w:szCs w:val="18"/>
        </w:rPr>
        <w:t>Articles 7</w:t>
      </w:r>
      <w:r w:rsidR="0019431D">
        <w:rPr>
          <w:rFonts w:asciiTheme="majorBidi" w:hAnsiTheme="majorBidi" w:cstheme="majorBidi"/>
          <w:szCs w:val="18"/>
        </w:rPr>
        <w:t xml:space="preserve">, </w:t>
      </w:r>
      <w:r w:rsidR="00802B3C" w:rsidRPr="00531AA5">
        <w:rPr>
          <w:rFonts w:asciiTheme="majorBidi" w:hAnsiTheme="majorBidi" w:cstheme="majorBidi"/>
          <w:szCs w:val="18"/>
        </w:rPr>
        <w:t>ICC Statute (1988)</w:t>
      </w:r>
      <w:r w:rsidR="00490692" w:rsidRPr="00531AA5">
        <w:rPr>
          <w:rFonts w:asciiTheme="majorBidi" w:hAnsiTheme="majorBidi" w:cstheme="majorBidi"/>
          <w:szCs w:val="18"/>
        </w:rPr>
        <w:t>.</w:t>
      </w:r>
    </w:p>
  </w:footnote>
  <w:footnote w:id="79">
    <w:p w14:paraId="026616A6" w14:textId="02C5A987" w:rsidR="006861C6" w:rsidRPr="00531AA5" w:rsidRDefault="007C7843" w:rsidP="00087631">
      <w:pPr>
        <w:pStyle w:val="FootnoteText"/>
        <w:rPr>
          <w:rFonts w:asciiTheme="majorBidi" w:hAnsiTheme="majorBidi" w:cstheme="majorBidi"/>
          <w:szCs w:val="18"/>
        </w:rPr>
      </w:pPr>
      <w:r>
        <w:rPr>
          <w:rFonts w:asciiTheme="majorBidi" w:hAnsiTheme="majorBidi" w:cstheme="majorBidi"/>
          <w:szCs w:val="18"/>
        </w:rPr>
        <w:tab/>
      </w:r>
      <w:r w:rsidR="006861C6" w:rsidRPr="00531AA5">
        <w:rPr>
          <w:rStyle w:val="FootnoteReference"/>
          <w:rFonts w:asciiTheme="majorBidi" w:hAnsiTheme="majorBidi" w:cstheme="majorBidi"/>
          <w:szCs w:val="18"/>
        </w:rPr>
        <w:footnoteRef/>
      </w:r>
      <w:r>
        <w:rPr>
          <w:rFonts w:asciiTheme="majorBidi" w:hAnsiTheme="majorBidi" w:cstheme="majorBidi"/>
          <w:szCs w:val="18"/>
        </w:rPr>
        <w:tab/>
      </w:r>
      <w:r w:rsidR="005D767F" w:rsidRPr="00531AA5">
        <w:rPr>
          <w:rFonts w:asciiTheme="majorBidi" w:hAnsiTheme="majorBidi" w:cstheme="majorBidi"/>
          <w:szCs w:val="18"/>
        </w:rPr>
        <w:t xml:space="preserve">Nicaragua v. United States of America, </w:t>
      </w:r>
      <w:r w:rsidR="00802B3C" w:rsidRPr="00531AA5">
        <w:rPr>
          <w:rFonts w:asciiTheme="majorBidi" w:hAnsiTheme="majorBidi" w:cstheme="majorBidi"/>
          <w:szCs w:val="18"/>
        </w:rPr>
        <w:t>ICJ</w:t>
      </w:r>
      <w:r w:rsidR="005D767F" w:rsidRPr="00531AA5">
        <w:rPr>
          <w:rFonts w:asciiTheme="majorBidi" w:hAnsiTheme="majorBidi" w:cstheme="majorBidi"/>
          <w:szCs w:val="18"/>
        </w:rPr>
        <w:t xml:space="preserve">, </w:t>
      </w:r>
      <w:r w:rsidR="002246A6" w:rsidRPr="00531AA5">
        <w:rPr>
          <w:rFonts w:asciiTheme="majorBidi" w:hAnsiTheme="majorBidi" w:cstheme="majorBidi"/>
          <w:szCs w:val="18"/>
        </w:rPr>
        <w:t>Merits</w:t>
      </w:r>
      <w:r w:rsidR="00420B29">
        <w:rPr>
          <w:rFonts w:asciiTheme="majorBidi" w:hAnsiTheme="majorBidi" w:cstheme="majorBidi"/>
          <w:szCs w:val="18"/>
        </w:rPr>
        <w:t>,</w:t>
      </w:r>
      <w:r w:rsidR="002246A6" w:rsidRPr="00531AA5">
        <w:rPr>
          <w:rFonts w:asciiTheme="majorBidi" w:hAnsiTheme="majorBidi" w:cstheme="majorBidi"/>
          <w:szCs w:val="18"/>
        </w:rPr>
        <w:t xml:space="preserve"> </w:t>
      </w:r>
      <w:r w:rsidR="00A4776A">
        <w:rPr>
          <w:rFonts w:asciiTheme="majorBidi" w:hAnsiTheme="majorBidi" w:cstheme="majorBidi"/>
          <w:szCs w:val="18"/>
        </w:rPr>
        <w:t>(</w:t>
      </w:r>
      <w:r w:rsidR="002246A6" w:rsidRPr="00531AA5">
        <w:rPr>
          <w:rFonts w:asciiTheme="majorBidi" w:hAnsiTheme="majorBidi" w:cstheme="majorBidi"/>
          <w:szCs w:val="18"/>
        </w:rPr>
        <w:t>1986</w:t>
      </w:r>
      <w:r w:rsidR="00A4776A">
        <w:rPr>
          <w:rFonts w:asciiTheme="majorBidi" w:hAnsiTheme="majorBidi" w:cstheme="majorBidi"/>
          <w:szCs w:val="18"/>
        </w:rPr>
        <w:t>)</w:t>
      </w:r>
      <w:r w:rsidR="000D4FE4" w:rsidRPr="00531AA5">
        <w:rPr>
          <w:rFonts w:asciiTheme="majorBidi" w:hAnsiTheme="majorBidi" w:cstheme="majorBidi"/>
          <w:szCs w:val="18"/>
        </w:rPr>
        <w:t xml:space="preserve">, </w:t>
      </w:r>
      <w:r w:rsidR="006861C6" w:rsidRPr="00531AA5">
        <w:rPr>
          <w:rFonts w:asciiTheme="majorBidi" w:hAnsiTheme="majorBidi" w:cstheme="majorBidi"/>
          <w:szCs w:val="18"/>
        </w:rPr>
        <w:t xml:space="preserve">para </w:t>
      </w:r>
      <w:r w:rsidR="00E96E62" w:rsidRPr="00531AA5">
        <w:rPr>
          <w:rFonts w:asciiTheme="majorBidi" w:hAnsiTheme="majorBidi" w:cstheme="majorBidi"/>
          <w:szCs w:val="18"/>
        </w:rPr>
        <w:t>220</w:t>
      </w:r>
      <w:r w:rsidR="006861C6" w:rsidRPr="00531AA5">
        <w:rPr>
          <w:rFonts w:asciiTheme="majorBidi" w:hAnsiTheme="majorBidi" w:cstheme="majorBidi"/>
          <w:szCs w:val="18"/>
        </w:rPr>
        <w:t xml:space="preserve">; </w:t>
      </w:r>
      <w:r w:rsidR="002C2BD2" w:rsidRPr="00531AA5">
        <w:rPr>
          <w:rFonts w:asciiTheme="majorBidi" w:hAnsiTheme="majorBidi" w:cstheme="majorBidi"/>
          <w:szCs w:val="18"/>
        </w:rPr>
        <w:t>Bosnia and Herzegovina v. Yugoslavia (Serbia and Montenegro)) (provisional measures) Order of 8 April 1993</w:t>
      </w:r>
      <w:r w:rsidR="0032119E" w:rsidRPr="00531AA5">
        <w:rPr>
          <w:rFonts w:asciiTheme="majorBidi" w:hAnsiTheme="majorBidi" w:cstheme="majorBidi"/>
          <w:szCs w:val="18"/>
        </w:rPr>
        <w:t xml:space="preserve"> </w:t>
      </w:r>
      <w:r w:rsidR="00A865BF" w:rsidRPr="00531AA5">
        <w:rPr>
          <w:rFonts w:asciiTheme="majorBidi" w:hAnsiTheme="majorBidi" w:cstheme="majorBidi"/>
          <w:szCs w:val="18"/>
        </w:rPr>
        <w:t>which ordered</w:t>
      </w:r>
      <w:r w:rsidR="006861C6" w:rsidRPr="00531AA5">
        <w:rPr>
          <w:rFonts w:asciiTheme="majorBidi" w:hAnsiTheme="majorBidi" w:cstheme="majorBidi"/>
          <w:szCs w:val="18"/>
        </w:rPr>
        <w:t xml:space="preserve"> States Parties with influence over ‘miliary, paramilitary or irregular armed units which may be directed or supported by it” to refrain from illicit acts.</w:t>
      </w:r>
    </w:p>
  </w:footnote>
  <w:footnote w:id="80">
    <w:p w14:paraId="47AC4BE4" w14:textId="758B07C7" w:rsidR="0022170D" w:rsidRDefault="0022170D" w:rsidP="0022170D">
      <w:pPr>
        <w:pStyle w:val="FootnoteText"/>
      </w:pPr>
      <w:r>
        <w:t xml:space="preserve">                    </w:t>
      </w:r>
      <w:r>
        <w:rPr>
          <w:rStyle w:val="FootnoteReference"/>
        </w:rPr>
        <w:footnoteRef/>
      </w:r>
      <w:r>
        <w:t xml:space="preserve"> </w:t>
      </w:r>
      <w:r>
        <w:t xml:space="preserve"> </w:t>
      </w:r>
      <w:r w:rsidRPr="0022170D">
        <w:t>ICRC Updated Commentary to the Geneva Convention I, 2016, Article 1, paras 153 and ff</w:t>
      </w:r>
    </w:p>
  </w:footnote>
  <w:footnote w:id="81">
    <w:p w14:paraId="34E05417" w14:textId="5598CBD9" w:rsidR="008D1919" w:rsidRPr="00531AA5" w:rsidRDefault="007C7843" w:rsidP="007C7843">
      <w:pPr>
        <w:tabs>
          <w:tab w:val="right" w:pos="1021"/>
        </w:tabs>
        <w:spacing w:line="220" w:lineRule="exact"/>
        <w:ind w:left="1134" w:right="1134" w:hanging="1134"/>
        <w:rPr>
          <w:rFonts w:asciiTheme="majorBidi" w:hAnsiTheme="majorBidi" w:cstheme="majorBidi"/>
          <w:szCs w:val="18"/>
        </w:rPr>
      </w:pPr>
      <w:r>
        <w:rPr>
          <w:rFonts w:asciiTheme="majorBidi" w:hAnsiTheme="majorBidi" w:cstheme="majorBidi"/>
          <w:sz w:val="18"/>
          <w:szCs w:val="18"/>
        </w:rPr>
        <w:tab/>
      </w:r>
      <w:r w:rsidR="008D1919" w:rsidRPr="00531AA5">
        <w:rPr>
          <w:rStyle w:val="FootnoteReference"/>
          <w:rFonts w:asciiTheme="majorBidi" w:hAnsiTheme="majorBidi" w:cstheme="majorBidi"/>
          <w:szCs w:val="18"/>
        </w:rPr>
        <w:footnoteRef/>
      </w:r>
      <w:r>
        <w:rPr>
          <w:rFonts w:asciiTheme="majorBidi" w:hAnsiTheme="majorBidi" w:cstheme="majorBidi"/>
          <w:sz w:val="18"/>
          <w:szCs w:val="18"/>
        </w:rPr>
        <w:tab/>
      </w:r>
      <w:r w:rsidR="008D1919" w:rsidRPr="00531AA5">
        <w:rPr>
          <w:rFonts w:asciiTheme="majorBidi" w:hAnsiTheme="majorBidi" w:cstheme="majorBidi"/>
          <w:sz w:val="18"/>
          <w:szCs w:val="18"/>
        </w:rPr>
        <w:t xml:space="preserve">Knut </w:t>
      </w:r>
      <w:proofErr w:type="spellStart"/>
      <w:r w:rsidR="008D1919" w:rsidRPr="00531AA5">
        <w:rPr>
          <w:rFonts w:asciiTheme="majorBidi" w:hAnsiTheme="majorBidi" w:cstheme="majorBidi"/>
          <w:sz w:val="18"/>
          <w:szCs w:val="18"/>
        </w:rPr>
        <w:t>Dörmann</w:t>
      </w:r>
      <w:proofErr w:type="spellEnd"/>
      <w:r w:rsidR="008D1919" w:rsidRPr="00531AA5">
        <w:rPr>
          <w:rFonts w:asciiTheme="majorBidi" w:hAnsiTheme="majorBidi" w:cstheme="majorBidi"/>
          <w:sz w:val="18"/>
          <w:szCs w:val="18"/>
        </w:rPr>
        <w:t xml:space="preserve"> and Jose </w:t>
      </w:r>
      <w:proofErr w:type="spellStart"/>
      <w:r w:rsidR="008D1919" w:rsidRPr="00531AA5">
        <w:rPr>
          <w:rFonts w:asciiTheme="majorBidi" w:hAnsiTheme="majorBidi" w:cstheme="majorBidi"/>
          <w:sz w:val="18"/>
          <w:szCs w:val="18"/>
        </w:rPr>
        <w:t>Serralvo</w:t>
      </w:r>
      <w:proofErr w:type="spellEnd"/>
      <w:r w:rsidR="008D1919" w:rsidRPr="00531AA5">
        <w:rPr>
          <w:rFonts w:asciiTheme="majorBidi" w:hAnsiTheme="majorBidi" w:cstheme="majorBidi"/>
          <w:sz w:val="18"/>
          <w:szCs w:val="18"/>
        </w:rPr>
        <w:t xml:space="preserve">, </w:t>
      </w:r>
      <w:r w:rsidR="00921863">
        <w:rPr>
          <w:rFonts w:asciiTheme="majorBidi" w:hAnsiTheme="majorBidi" w:cstheme="majorBidi"/>
          <w:sz w:val="18"/>
          <w:szCs w:val="18"/>
        </w:rPr>
        <w:t xml:space="preserve">Common Article 1 to the Geneva Conventions and the obligation to prevent international humanitarian law violations, </w:t>
      </w:r>
      <w:r w:rsidR="008D1919" w:rsidRPr="00531AA5">
        <w:rPr>
          <w:rFonts w:asciiTheme="majorBidi" w:hAnsiTheme="majorBidi" w:cstheme="majorBidi"/>
          <w:sz w:val="18"/>
          <w:szCs w:val="18"/>
        </w:rPr>
        <w:t>International Review of the Red Cross, 2015, pp 723-24.</w:t>
      </w:r>
    </w:p>
  </w:footnote>
  <w:footnote w:id="82">
    <w:p w14:paraId="37A19DCB" w14:textId="7143036D" w:rsidR="00490692" w:rsidRPr="00531AA5" w:rsidRDefault="007C7843" w:rsidP="00087631">
      <w:pPr>
        <w:tabs>
          <w:tab w:val="right" w:pos="1021"/>
        </w:tabs>
        <w:spacing w:line="220" w:lineRule="exact"/>
        <w:ind w:left="1134" w:right="1134" w:hanging="1134"/>
        <w:rPr>
          <w:rFonts w:asciiTheme="majorBidi" w:hAnsiTheme="majorBidi" w:cstheme="majorBidi"/>
          <w:sz w:val="18"/>
          <w:szCs w:val="18"/>
        </w:rPr>
      </w:pPr>
      <w:r>
        <w:rPr>
          <w:rFonts w:asciiTheme="majorBidi" w:hAnsiTheme="majorBidi" w:cstheme="majorBidi"/>
          <w:sz w:val="18"/>
          <w:szCs w:val="18"/>
        </w:rPr>
        <w:tab/>
      </w:r>
      <w:r w:rsidR="00490692" w:rsidRPr="00531AA5">
        <w:rPr>
          <w:rStyle w:val="FootnoteReference"/>
          <w:rFonts w:asciiTheme="majorBidi" w:hAnsiTheme="majorBidi" w:cstheme="majorBidi"/>
          <w:szCs w:val="18"/>
        </w:rPr>
        <w:footnoteRef/>
      </w:r>
      <w:r>
        <w:rPr>
          <w:rFonts w:asciiTheme="majorBidi" w:hAnsiTheme="majorBidi" w:cstheme="majorBidi"/>
          <w:sz w:val="18"/>
          <w:szCs w:val="18"/>
        </w:rPr>
        <w:tab/>
      </w:r>
      <w:r w:rsidR="00490692" w:rsidRPr="00531AA5">
        <w:rPr>
          <w:rStyle w:val="markedcontent"/>
          <w:rFonts w:asciiTheme="majorBidi" w:hAnsiTheme="majorBidi" w:cstheme="majorBidi"/>
          <w:sz w:val="18"/>
          <w:szCs w:val="18"/>
        </w:rPr>
        <w:t>Draft articles on responsibility of States for internationally wrongful acts, with commentaries (2001) article 4</w:t>
      </w:r>
      <w:r w:rsidR="00965E6D">
        <w:rPr>
          <w:rStyle w:val="markedcontent"/>
          <w:rFonts w:asciiTheme="majorBidi" w:hAnsiTheme="majorBidi" w:cstheme="majorBidi"/>
          <w:sz w:val="18"/>
          <w:szCs w:val="18"/>
        </w:rPr>
        <w:t>;</w:t>
      </w:r>
      <w:r w:rsidR="00490692" w:rsidRPr="00531AA5">
        <w:rPr>
          <w:rStyle w:val="markedcontent"/>
          <w:rFonts w:asciiTheme="majorBidi" w:hAnsiTheme="majorBidi" w:cstheme="majorBidi"/>
          <w:sz w:val="18"/>
          <w:szCs w:val="18"/>
        </w:rPr>
        <w:t xml:space="preserve"> ILC Chapter IV</w:t>
      </w:r>
      <w:r w:rsidR="00490692" w:rsidRPr="00531AA5">
        <w:rPr>
          <w:rFonts w:asciiTheme="majorBidi" w:hAnsiTheme="majorBidi" w:cstheme="majorBidi"/>
          <w:sz w:val="18"/>
          <w:szCs w:val="18"/>
        </w:rPr>
        <w:t xml:space="preserve"> </w:t>
      </w:r>
      <w:r w:rsidR="00490692" w:rsidRPr="00531AA5">
        <w:rPr>
          <w:rStyle w:val="markedcontent"/>
          <w:rFonts w:asciiTheme="majorBidi" w:hAnsiTheme="majorBidi" w:cstheme="majorBidi"/>
          <w:sz w:val="18"/>
          <w:szCs w:val="18"/>
        </w:rPr>
        <w:t>Peremptory norms of general international law (jus cogens</w:t>
      </w:r>
      <w:r w:rsidR="00490692" w:rsidRPr="00531AA5">
        <w:rPr>
          <w:rFonts w:asciiTheme="majorBidi" w:hAnsiTheme="majorBidi" w:cstheme="majorBidi"/>
          <w:sz w:val="18"/>
          <w:szCs w:val="18"/>
          <w:lang w:bidi="ar-SA"/>
        </w:rPr>
        <w:t xml:space="preserve">) </w:t>
      </w:r>
      <w:r w:rsidR="00490692" w:rsidRPr="00531AA5">
        <w:rPr>
          <w:rFonts w:asciiTheme="majorBidi" w:hAnsiTheme="majorBidi" w:cstheme="majorBidi"/>
          <w:sz w:val="18"/>
          <w:szCs w:val="18"/>
        </w:rPr>
        <w:t>Conclusion 19</w:t>
      </w:r>
      <w:r w:rsidR="00802B3C" w:rsidRPr="00531AA5">
        <w:rPr>
          <w:rFonts w:asciiTheme="majorBidi" w:hAnsiTheme="majorBidi" w:cstheme="majorBidi"/>
          <w:sz w:val="18"/>
          <w:szCs w:val="18"/>
        </w:rPr>
        <w:t>.</w:t>
      </w:r>
    </w:p>
  </w:footnote>
  <w:footnote w:id="83">
    <w:p w14:paraId="39E03D3B" w14:textId="14908E46" w:rsidR="00490692" w:rsidRPr="00635AFE" w:rsidRDefault="007C7843" w:rsidP="00087631">
      <w:pPr>
        <w:tabs>
          <w:tab w:val="right" w:pos="1021"/>
        </w:tabs>
        <w:spacing w:line="220" w:lineRule="exact"/>
        <w:ind w:left="1134" w:right="1134" w:hanging="1134"/>
        <w:rPr>
          <w:rFonts w:asciiTheme="majorBidi" w:hAnsiTheme="majorBidi" w:cstheme="majorBidi"/>
          <w:sz w:val="18"/>
          <w:szCs w:val="18"/>
          <w:lang w:val="fr-FR"/>
        </w:rPr>
      </w:pPr>
      <w:r w:rsidRPr="008622D4">
        <w:rPr>
          <w:rFonts w:asciiTheme="majorBidi" w:hAnsiTheme="majorBidi" w:cstheme="majorBidi"/>
          <w:sz w:val="18"/>
          <w:szCs w:val="18"/>
        </w:rPr>
        <w:tab/>
      </w:r>
      <w:r w:rsidR="00490692" w:rsidRPr="00531AA5">
        <w:rPr>
          <w:rStyle w:val="FootnoteReference"/>
          <w:rFonts w:asciiTheme="majorBidi" w:hAnsiTheme="majorBidi" w:cstheme="majorBidi"/>
          <w:szCs w:val="18"/>
        </w:rPr>
        <w:footnoteRef/>
      </w:r>
      <w:r>
        <w:rPr>
          <w:rFonts w:asciiTheme="majorBidi" w:hAnsiTheme="majorBidi" w:cstheme="majorBidi"/>
          <w:sz w:val="18"/>
          <w:szCs w:val="18"/>
          <w:lang w:val="fr-FR"/>
        </w:rPr>
        <w:tab/>
      </w:r>
      <w:r w:rsidR="00490692" w:rsidRPr="00635AFE">
        <w:rPr>
          <w:rStyle w:val="markedcontent"/>
          <w:rFonts w:asciiTheme="majorBidi" w:hAnsiTheme="majorBidi" w:cstheme="majorBidi"/>
          <w:sz w:val="18"/>
          <w:szCs w:val="18"/>
          <w:lang w:val="fr-FR"/>
        </w:rPr>
        <w:t xml:space="preserve">ILC </w:t>
      </w:r>
      <w:proofErr w:type="spellStart"/>
      <w:r w:rsidR="00490692" w:rsidRPr="00635AFE">
        <w:rPr>
          <w:rStyle w:val="markedcontent"/>
          <w:rFonts w:asciiTheme="majorBidi" w:hAnsiTheme="majorBidi" w:cstheme="majorBidi"/>
          <w:sz w:val="18"/>
          <w:szCs w:val="18"/>
          <w:lang w:val="fr-FR"/>
        </w:rPr>
        <w:t>Chapter</w:t>
      </w:r>
      <w:proofErr w:type="spellEnd"/>
      <w:r w:rsidR="00490692" w:rsidRPr="00635AFE">
        <w:rPr>
          <w:rStyle w:val="markedcontent"/>
          <w:rFonts w:asciiTheme="majorBidi" w:hAnsiTheme="majorBidi" w:cstheme="majorBidi"/>
          <w:sz w:val="18"/>
          <w:szCs w:val="18"/>
          <w:lang w:val="fr-FR"/>
        </w:rPr>
        <w:t xml:space="preserve"> IV</w:t>
      </w:r>
      <w:r w:rsidR="00490692" w:rsidRPr="00635AFE">
        <w:rPr>
          <w:rFonts w:asciiTheme="majorBidi" w:hAnsiTheme="majorBidi" w:cstheme="majorBidi"/>
          <w:sz w:val="18"/>
          <w:szCs w:val="18"/>
          <w:lang w:val="fr-FR"/>
        </w:rPr>
        <w:t xml:space="preserve"> </w:t>
      </w:r>
      <w:r w:rsidR="00490692" w:rsidRPr="00635AFE">
        <w:rPr>
          <w:rStyle w:val="markedcontent"/>
          <w:rFonts w:asciiTheme="majorBidi" w:hAnsiTheme="majorBidi" w:cstheme="majorBidi"/>
          <w:sz w:val="18"/>
          <w:szCs w:val="18"/>
          <w:lang w:val="fr-FR"/>
        </w:rPr>
        <w:t>(jus cogens</w:t>
      </w:r>
      <w:r w:rsidR="00490692" w:rsidRPr="00635AFE">
        <w:rPr>
          <w:rFonts w:asciiTheme="majorBidi" w:hAnsiTheme="majorBidi" w:cstheme="majorBidi"/>
          <w:sz w:val="18"/>
          <w:szCs w:val="18"/>
          <w:lang w:val="fr-FR" w:bidi="ar-SA"/>
        </w:rPr>
        <w:t xml:space="preserve">) </w:t>
      </w:r>
      <w:r w:rsidR="00490692" w:rsidRPr="00635AFE">
        <w:rPr>
          <w:rStyle w:val="markedcontent"/>
          <w:rFonts w:asciiTheme="majorBidi" w:hAnsiTheme="majorBidi" w:cstheme="majorBidi"/>
          <w:sz w:val="18"/>
          <w:szCs w:val="18"/>
          <w:lang w:val="fr-FR"/>
        </w:rPr>
        <w:t>Conclusion 23</w:t>
      </w:r>
      <w:r w:rsidR="00802B3C" w:rsidRPr="00635AFE">
        <w:rPr>
          <w:rStyle w:val="markedcontent"/>
          <w:rFonts w:asciiTheme="majorBidi" w:hAnsiTheme="majorBidi" w:cstheme="majorBidi"/>
          <w:sz w:val="18"/>
          <w:szCs w:val="18"/>
          <w:lang w:val="fr-FR"/>
        </w:rPr>
        <w:t>.</w:t>
      </w:r>
    </w:p>
  </w:footnote>
  <w:footnote w:id="84">
    <w:p w14:paraId="2FD16392" w14:textId="1F000108" w:rsidR="00E96E62" w:rsidRPr="00531AA5" w:rsidRDefault="007C7843" w:rsidP="00087631">
      <w:pPr>
        <w:pStyle w:val="FootnoteText"/>
        <w:rPr>
          <w:rFonts w:asciiTheme="majorBidi" w:hAnsiTheme="majorBidi" w:cstheme="majorBidi"/>
          <w:szCs w:val="18"/>
        </w:rPr>
      </w:pPr>
      <w:r w:rsidRPr="008622D4">
        <w:rPr>
          <w:rFonts w:asciiTheme="majorBidi" w:hAnsiTheme="majorBidi" w:cstheme="majorBidi"/>
          <w:szCs w:val="18"/>
          <w:lang w:val="fr-FR"/>
        </w:rPr>
        <w:tab/>
      </w:r>
      <w:r w:rsidR="00E96E62" w:rsidRPr="00531AA5">
        <w:rPr>
          <w:rStyle w:val="FootnoteReference"/>
          <w:rFonts w:asciiTheme="majorBidi" w:hAnsiTheme="majorBidi" w:cstheme="majorBidi"/>
          <w:szCs w:val="18"/>
        </w:rPr>
        <w:footnoteRef/>
      </w:r>
      <w:r>
        <w:rPr>
          <w:rFonts w:asciiTheme="majorBidi" w:hAnsiTheme="majorBidi" w:cstheme="majorBidi"/>
          <w:szCs w:val="18"/>
        </w:rPr>
        <w:tab/>
      </w:r>
      <w:r w:rsidR="00E96E62" w:rsidRPr="00531AA5">
        <w:rPr>
          <w:rFonts w:asciiTheme="majorBidi" w:hAnsiTheme="majorBidi" w:cstheme="majorBidi"/>
          <w:szCs w:val="18"/>
        </w:rPr>
        <w:t xml:space="preserve">Draft Articles on Responsibility of States for Internationally Wrongful Acts, </w:t>
      </w:r>
      <w:r w:rsidR="00490692" w:rsidRPr="00531AA5">
        <w:rPr>
          <w:rFonts w:asciiTheme="majorBidi" w:hAnsiTheme="majorBidi" w:cstheme="majorBidi"/>
          <w:szCs w:val="18"/>
        </w:rPr>
        <w:t>with commentaries</w:t>
      </w:r>
      <w:r w:rsidR="008D1919" w:rsidRPr="00531AA5">
        <w:rPr>
          <w:rFonts w:asciiTheme="majorBidi" w:hAnsiTheme="majorBidi" w:cstheme="majorBidi"/>
          <w:szCs w:val="18"/>
        </w:rPr>
        <w:t xml:space="preserve">, </w:t>
      </w:r>
      <w:r w:rsidR="00E96E62" w:rsidRPr="00531AA5">
        <w:rPr>
          <w:rFonts w:asciiTheme="majorBidi" w:hAnsiTheme="majorBidi" w:cstheme="majorBidi"/>
          <w:szCs w:val="18"/>
        </w:rPr>
        <w:t>Art.</w:t>
      </w:r>
      <w:r w:rsidR="00490692" w:rsidRPr="00531AA5">
        <w:rPr>
          <w:rFonts w:asciiTheme="majorBidi" w:hAnsiTheme="majorBidi" w:cstheme="majorBidi"/>
          <w:szCs w:val="18"/>
        </w:rPr>
        <w:t xml:space="preserve"> </w:t>
      </w:r>
      <w:r w:rsidR="00E96E62" w:rsidRPr="00531AA5">
        <w:rPr>
          <w:rFonts w:asciiTheme="majorBidi" w:hAnsiTheme="majorBidi" w:cstheme="majorBidi"/>
          <w:szCs w:val="18"/>
        </w:rPr>
        <w:t>16.</w:t>
      </w:r>
    </w:p>
  </w:footnote>
  <w:footnote w:id="85">
    <w:p w14:paraId="55B68428" w14:textId="5AEC79C9" w:rsidR="00E96E62" w:rsidRPr="00531AA5" w:rsidRDefault="007C7843" w:rsidP="00087631">
      <w:pPr>
        <w:pStyle w:val="FootnoteText"/>
        <w:rPr>
          <w:rFonts w:asciiTheme="majorBidi" w:hAnsiTheme="majorBidi" w:cstheme="majorBidi"/>
          <w:szCs w:val="18"/>
        </w:rPr>
      </w:pPr>
      <w:r>
        <w:rPr>
          <w:rFonts w:asciiTheme="majorBidi" w:hAnsiTheme="majorBidi" w:cstheme="majorBidi"/>
          <w:szCs w:val="18"/>
        </w:rPr>
        <w:tab/>
      </w:r>
      <w:r w:rsidR="00E96E62" w:rsidRPr="00531AA5">
        <w:rPr>
          <w:rStyle w:val="FootnoteReference"/>
          <w:rFonts w:asciiTheme="majorBidi" w:hAnsiTheme="majorBidi" w:cstheme="majorBidi"/>
          <w:szCs w:val="18"/>
        </w:rPr>
        <w:footnoteRef/>
      </w:r>
      <w:r>
        <w:rPr>
          <w:rFonts w:asciiTheme="majorBidi" w:hAnsiTheme="majorBidi" w:cstheme="majorBidi"/>
          <w:szCs w:val="18"/>
        </w:rPr>
        <w:tab/>
      </w:r>
      <w:r w:rsidR="008D1919" w:rsidRPr="00531AA5">
        <w:rPr>
          <w:rFonts w:asciiTheme="majorBidi" w:hAnsiTheme="majorBidi" w:cstheme="majorBidi"/>
          <w:szCs w:val="18"/>
        </w:rPr>
        <w:t>Ibid</w:t>
      </w:r>
      <w:r w:rsidR="00FA7DD0">
        <w:rPr>
          <w:rFonts w:asciiTheme="majorBidi" w:hAnsiTheme="majorBidi" w:cstheme="majorBid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D031" w14:textId="1A3AA286" w:rsidR="00FA725A" w:rsidRPr="00E86449" w:rsidRDefault="00930E13" w:rsidP="00FA725A">
    <w:pPr>
      <w:pStyle w:val="Header"/>
    </w:pPr>
    <w:r>
      <w:rPr>
        <w:noProof/>
      </w:rPr>
      <w:pict w14:anchorId="4F661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0532" o:spid="_x0000_s1026" type="#_x0000_t136" style="position:absolute;margin-left:0;margin-top:0;width:784.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FA725A" w:rsidRPr="00E86449">
      <w:t>A/</w:t>
    </w:r>
    <w:r w:rsidR="00780A59" w:rsidRPr="00E86449">
      <w:t>7</w:t>
    </w:r>
    <w:r w:rsidR="00635AFE" w:rsidRPr="00E86449">
      <w:t>8</w:t>
    </w:r>
    <w:r w:rsidR="00FA725A" w:rsidRPr="00E86449">
      <w:t>/</w:t>
    </w:r>
    <w:r w:rsidR="00493088">
      <w:t>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F551" w14:textId="173E6727" w:rsidR="00FA725A" w:rsidRPr="00E86449" w:rsidRDefault="00930E13" w:rsidP="00E86449">
    <w:pPr>
      <w:pStyle w:val="Header"/>
      <w:jc w:val="right"/>
    </w:pPr>
    <w:r>
      <w:rPr>
        <w:noProof/>
      </w:rPr>
      <w:pict w14:anchorId="64D33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0533" o:spid="_x0000_s1027" type="#_x0000_t136" style="position:absolute;left:0;text-align:left;margin-left:0;margin-top:0;width:784.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E86449" w:rsidRPr="00E86449">
      <w:t>A/78/</w:t>
    </w:r>
    <w:r w:rsidR="00493088">
      <w:t>520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CFA4" w14:textId="4736324B" w:rsidR="00493088" w:rsidRDefault="00930E13">
    <w:pPr>
      <w:pStyle w:val="Header"/>
    </w:pPr>
    <w:r>
      <w:rPr>
        <w:noProof/>
      </w:rPr>
      <w:pict w14:anchorId="4D40B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0531" o:spid="_x0000_s1025" type="#_x0000_t136" style="position:absolute;margin-left:0;margin-top:0;width:784.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9B"/>
    <w:multiLevelType w:val="hybridMultilevel"/>
    <w:tmpl w:val="AC7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46D6A"/>
    <w:multiLevelType w:val="hybridMultilevel"/>
    <w:tmpl w:val="04D24D3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E9621AEC">
      <w:start w:val="1"/>
      <w:numFmt w:val="decimal"/>
      <w:pStyle w:val="ParNoG"/>
      <w:lvlText w:val="%1."/>
      <w:lvlJc w:val="left"/>
      <w:pPr>
        <w:tabs>
          <w:tab w:val="num" w:pos="1560"/>
        </w:tabs>
        <w:ind w:left="993"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4" w15:restartNumberingAfterBreak="0">
    <w:nsid w:val="0E17411A"/>
    <w:multiLevelType w:val="hybridMultilevel"/>
    <w:tmpl w:val="1B90DC86"/>
    <w:lvl w:ilvl="0" w:tplc="B122F668">
      <w:start w:val="1"/>
      <w:numFmt w:val="upperLetter"/>
      <w:lvlText w:val="%1."/>
      <w:lvlJc w:val="left"/>
      <w:pPr>
        <w:ind w:left="720" w:hanging="360"/>
      </w:pPr>
      <w:rPr>
        <w:rFonts w:hint="default"/>
        <w:sz w:val="24"/>
        <w:szCs w:val="24"/>
      </w:rPr>
    </w:lvl>
    <w:lvl w:ilvl="1" w:tplc="FFFFFFFF">
      <w:start w:val="1"/>
      <w:numFmt w:val="lowerLetter"/>
      <w:lvlText w:val="%2."/>
      <w:lvlJc w:val="left"/>
      <w:pPr>
        <w:ind w:left="1700" w:hanging="360"/>
      </w:pPr>
      <w:rPr>
        <w:rFonts w:hint="default"/>
      </w:r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5" w15:restartNumberingAfterBreak="0">
    <w:nsid w:val="0FAF71FB"/>
    <w:multiLevelType w:val="hybridMultilevel"/>
    <w:tmpl w:val="FB7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6EEF"/>
    <w:multiLevelType w:val="hybridMultilevel"/>
    <w:tmpl w:val="151C561C"/>
    <w:lvl w:ilvl="0" w:tplc="FFFFFFFF">
      <w:start w:val="1"/>
      <w:numFmt w:val="decimal"/>
      <w:lvlText w:val="%1."/>
      <w:lvlJc w:val="left"/>
      <w:pPr>
        <w:ind w:left="1530" w:hanging="360"/>
      </w:pPr>
      <w:rPr>
        <w:b w:val="0"/>
        <w:bCs/>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13BB0F60"/>
    <w:multiLevelType w:val="hybridMultilevel"/>
    <w:tmpl w:val="342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D1CCC"/>
    <w:multiLevelType w:val="hybridMultilevel"/>
    <w:tmpl w:val="C1F43B74"/>
    <w:lvl w:ilvl="0" w:tplc="FFFFFFFF">
      <w:start w:val="1"/>
      <w:numFmt w:val="decimal"/>
      <w:lvlText w:val="%1."/>
      <w:lvlJc w:val="left"/>
      <w:pPr>
        <w:ind w:left="1854" w:hanging="360"/>
      </w:pPr>
      <w:rPr>
        <w:rFonts w:hint="default"/>
        <w:b w:val="0"/>
        <w:bCs/>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1444A1"/>
    <w:multiLevelType w:val="hybridMultilevel"/>
    <w:tmpl w:val="306E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C32C7"/>
    <w:multiLevelType w:val="hybridMultilevel"/>
    <w:tmpl w:val="3D1A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E2177"/>
    <w:multiLevelType w:val="hybridMultilevel"/>
    <w:tmpl w:val="DAD6D592"/>
    <w:lvl w:ilvl="0" w:tplc="E9CE3826">
      <w:start w:val="1"/>
      <w:numFmt w:val="decimal"/>
      <w:lvlText w:val="%1."/>
      <w:lvlJc w:val="left"/>
      <w:pPr>
        <w:ind w:left="2070" w:hanging="360"/>
      </w:pPr>
      <w:rPr>
        <w:b w:val="0"/>
        <w:bCs/>
        <w:sz w:val="20"/>
        <w:szCs w:val="20"/>
        <w:lang w:val="en-U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3BB6F98"/>
    <w:multiLevelType w:val="hybridMultilevel"/>
    <w:tmpl w:val="F0C8B912"/>
    <w:lvl w:ilvl="0" w:tplc="FFFFFFFF">
      <w:start w:val="1"/>
      <w:numFmt w:val="lowerLetter"/>
      <w:lvlText w:val="%1."/>
      <w:lvlJc w:val="left"/>
      <w:pPr>
        <w:ind w:left="1861" w:hanging="360"/>
      </w:pPr>
      <w:rPr>
        <w:rFonts w:hint="default"/>
      </w:r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13" w15:restartNumberingAfterBreak="0">
    <w:nsid w:val="2D930D3C"/>
    <w:multiLevelType w:val="hybridMultilevel"/>
    <w:tmpl w:val="3818447E"/>
    <w:lvl w:ilvl="0" w:tplc="E4C0340C">
      <w:start w:val="1"/>
      <w:numFmt w:val="decimal"/>
      <w:lvlText w:val="(%1)"/>
      <w:lvlJc w:val="left"/>
      <w:pPr>
        <w:ind w:left="2261" w:hanging="5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E5D6C50"/>
    <w:multiLevelType w:val="hybridMultilevel"/>
    <w:tmpl w:val="8710E47C"/>
    <w:lvl w:ilvl="0" w:tplc="04090015">
      <w:start w:val="1"/>
      <w:numFmt w:val="upperLetter"/>
      <w:lvlText w:val="%1."/>
      <w:lvlJc w:val="left"/>
      <w:pPr>
        <w:ind w:left="720" w:hanging="360"/>
      </w:pPr>
      <w:rPr>
        <w:rFonts w:hint="default"/>
      </w:rPr>
    </w:lvl>
    <w:lvl w:ilvl="1" w:tplc="FFFFFFFF">
      <w:start w:val="1"/>
      <w:numFmt w:val="lowerLetter"/>
      <w:lvlText w:val="%2."/>
      <w:lvlJc w:val="left"/>
      <w:pPr>
        <w:ind w:left="1700" w:hanging="360"/>
      </w:pPr>
      <w:rPr>
        <w:rFonts w:hint="default"/>
      </w:r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5" w15:restartNumberingAfterBreak="0">
    <w:nsid w:val="337F5697"/>
    <w:multiLevelType w:val="hybridMultilevel"/>
    <w:tmpl w:val="26AE5EC2"/>
    <w:lvl w:ilvl="0" w:tplc="FFFFFFFF">
      <w:start w:val="1"/>
      <w:numFmt w:val="decimal"/>
      <w:lvlText w:val="%1."/>
      <w:lvlJc w:val="left"/>
      <w:pPr>
        <w:ind w:left="1854" w:hanging="360"/>
      </w:pPr>
      <w:rPr>
        <w:b w:val="0"/>
        <w:bCs/>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351369FB"/>
    <w:multiLevelType w:val="hybridMultilevel"/>
    <w:tmpl w:val="17B4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35995"/>
    <w:multiLevelType w:val="hybridMultilevel"/>
    <w:tmpl w:val="91A63AE4"/>
    <w:lvl w:ilvl="0" w:tplc="909C21FE">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8" w15:restartNumberingAfterBreak="0">
    <w:nsid w:val="36C151B0"/>
    <w:multiLevelType w:val="hybridMultilevel"/>
    <w:tmpl w:val="ADBEE30E"/>
    <w:lvl w:ilvl="0" w:tplc="FFFFFFFF">
      <w:start w:val="1"/>
      <w:numFmt w:val="decimal"/>
      <w:lvlText w:val="%1."/>
      <w:lvlJc w:val="left"/>
      <w:pPr>
        <w:ind w:left="2502" w:hanging="360"/>
      </w:pPr>
      <w:rPr>
        <w:b w:val="0"/>
        <w:bCs/>
        <w:sz w:val="20"/>
        <w:szCs w:val="20"/>
      </w:rPr>
    </w:lvl>
    <w:lvl w:ilvl="1" w:tplc="FFFFFFFF" w:tentative="1">
      <w:start w:val="1"/>
      <w:numFmt w:val="lowerLetter"/>
      <w:lvlText w:val="%2."/>
      <w:lvlJc w:val="left"/>
      <w:pPr>
        <w:ind w:left="3222" w:hanging="360"/>
      </w:pPr>
    </w:lvl>
    <w:lvl w:ilvl="2" w:tplc="FFFFFFFF" w:tentative="1">
      <w:start w:val="1"/>
      <w:numFmt w:val="lowerRoman"/>
      <w:lvlText w:val="%3."/>
      <w:lvlJc w:val="right"/>
      <w:pPr>
        <w:ind w:left="3942" w:hanging="180"/>
      </w:pPr>
    </w:lvl>
    <w:lvl w:ilvl="3" w:tplc="FFFFFFFF" w:tentative="1">
      <w:start w:val="1"/>
      <w:numFmt w:val="decimal"/>
      <w:lvlText w:val="%4."/>
      <w:lvlJc w:val="left"/>
      <w:pPr>
        <w:ind w:left="4662" w:hanging="360"/>
      </w:pPr>
    </w:lvl>
    <w:lvl w:ilvl="4" w:tplc="FFFFFFFF" w:tentative="1">
      <w:start w:val="1"/>
      <w:numFmt w:val="lowerLetter"/>
      <w:lvlText w:val="%5."/>
      <w:lvlJc w:val="left"/>
      <w:pPr>
        <w:ind w:left="5382" w:hanging="360"/>
      </w:pPr>
    </w:lvl>
    <w:lvl w:ilvl="5" w:tplc="FFFFFFFF" w:tentative="1">
      <w:start w:val="1"/>
      <w:numFmt w:val="lowerRoman"/>
      <w:lvlText w:val="%6."/>
      <w:lvlJc w:val="right"/>
      <w:pPr>
        <w:ind w:left="6102" w:hanging="180"/>
      </w:pPr>
    </w:lvl>
    <w:lvl w:ilvl="6" w:tplc="FFFFFFFF" w:tentative="1">
      <w:start w:val="1"/>
      <w:numFmt w:val="decimal"/>
      <w:lvlText w:val="%7."/>
      <w:lvlJc w:val="left"/>
      <w:pPr>
        <w:ind w:left="6822" w:hanging="360"/>
      </w:pPr>
    </w:lvl>
    <w:lvl w:ilvl="7" w:tplc="FFFFFFFF" w:tentative="1">
      <w:start w:val="1"/>
      <w:numFmt w:val="lowerLetter"/>
      <w:lvlText w:val="%8."/>
      <w:lvlJc w:val="left"/>
      <w:pPr>
        <w:ind w:left="7542" w:hanging="360"/>
      </w:pPr>
    </w:lvl>
    <w:lvl w:ilvl="8" w:tplc="FFFFFFFF" w:tentative="1">
      <w:start w:val="1"/>
      <w:numFmt w:val="lowerRoman"/>
      <w:lvlText w:val="%9."/>
      <w:lvlJc w:val="right"/>
      <w:pPr>
        <w:ind w:left="8262" w:hanging="180"/>
      </w:pPr>
    </w:lvl>
  </w:abstractNum>
  <w:abstractNum w:abstractNumId="19" w15:restartNumberingAfterBreak="0">
    <w:nsid w:val="37EF12D7"/>
    <w:multiLevelType w:val="hybridMultilevel"/>
    <w:tmpl w:val="6BDE89F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40F9D"/>
    <w:multiLevelType w:val="hybridMultilevel"/>
    <w:tmpl w:val="EAE4C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85397"/>
    <w:multiLevelType w:val="hybridMultilevel"/>
    <w:tmpl w:val="FD122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55775"/>
    <w:multiLevelType w:val="multilevel"/>
    <w:tmpl w:val="C706E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075D1"/>
    <w:multiLevelType w:val="hybridMultilevel"/>
    <w:tmpl w:val="7ADCC22C"/>
    <w:lvl w:ilvl="0" w:tplc="FFFFFFFF">
      <w:start w:val="1"/>
      <w:numFmt w:val="decimal"/>
      <w:lvlText w:val="%1."/>
      <w:lvlJc w:val="left"/>
      <w:pPr>
        <w:ind w:left="1530" w:hanging="360"/>
      </w:pPr>
      <w:rPr>
        <w:b w:val="0"/>
        <w:bCs/>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5" w15:restartNumberingAfterBreak="0">
    <w:nsid w:val="4F472787"/>
    <w:multiLevelType w:val="hybridMultilevel"/>
    <w:tmpl w:val="44307020"/>
    <w:lvl w:ilvl="0" w:tplc="4E407ED6">
      <w:start w:val="1"/>
      <w:numFmt w:val="decimal"/>
      <w:lvlText w:val="%1."/>
      <w:lvlJc w:val="left"/>
      <w:pPr>
        <w:ind w:left="2070" w:hanging="360"/>
      </w:pPr>
      <w:rPr>
        <w:b w:val="0"/>
        <w:bCs/>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00235CB"/>
    <w:multiLevelType w:val="hybridMultilevel"/>
    <w:tmpl w:val="1DE420DE"/>
    <w:lvl w:ilvl="0" w:tplc="FFFFFFFF">
      <w:start w:val="1"/>
      <w:numFmt w:val="decimal"/>
      <w:lvlText w:val="%1."/>
      <w:lvlJc w:val="left"/>
      <w:pPr>
        <w:ind w:left="1854" w:hanging="360"/>
      </w:pPr>
      <w:rPr>
        <w:b w:val="0"/>
        <w:bCs/>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8" w15:restartNumberingAfterBreak="0">
    <w:nsid w:val="5302434D"/>
    <w:multiLevelType w:val="hybridMultilevel"/>
    <w:tmpl w:val="4F2E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D1BE1"/>
    <w:multiLevelType w:val="hybridMultilevel"/>
    <w:tmpl w:val="7C1249B8"/>
    <w:lvl w:ilvl="0" w:tplc="6FB036E2">
      <w:start w:val="1"/>
      <w:numFmt w:val="decimal"/>
      <w:lvlText w:val="%1."/>
      <w:lvlJc w:val="left"/>
      <w:pPr>
        <w:ind w:left="2070" w:hanging="360"/>
      </w:pPr>
      <w:rPr>
        <w:b w:val="0"/>
        <w:bCs/>
        <w:color w:val="auto"/>
        <w:sz w:val="20"/>
        <w:szCs w:val="20"/>
        <w:lang w:val="en-U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B6B6482"/>
    <w:multiLevelType w:val="hybridMultilevel"/>
    <w:tmpl w:val="C3C61B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3355F7"/>
    <w:multiLevelType w:val="hybridMultilevel"/>
    <w:tmpl w:val="A1F25A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77037"/>
    <w:multiLevelType w:val="hybridMultilevel"/>
    <w:tmpl w:val="B720DE02"/>
    <w:lvl w:ilvl="0" w:tplc="FFFFFFFF">
      <w:start w:val="1"/>
      <w:numFmt w:val="decimal"/>
      <w:lvlText w:val="%1."/>
      <w:lvlJc w:val="left"/>
      <w:pPr>
        <w:ind w:left="1530" w:hanging="360"/>
      </w:pPr>
      <w:rPr>
        <w:b w:val="0"/>
        <w:bCs/>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70881090">
    <w:abstractNumId w:val="1"/>
  </w:num>
  <w:num w:numId="2" w16cid:durableId="718825227">
    <w:abstractNumId w:val="32"/>
  </w:num>
  <w:num w:numId="3" w16cid:durableId="857232966">
    <w:abstractNumId w:val="3"/>
  </w:num>
  <w:num w:numId="4" w16cid:durableId="924726091">
    <w:abstractNumId w:val="13"/>
  </w:num>
  <w:num w:numId="5" w16cid:durableId="739524657">
    <w:abstractNumId w:val="24"/>
  </w:num>
  <w:num w:numId="6" w16cid:durableId="1100368313">
    <w:abstractNumId w:val="27"/>
  </w:num>
  <w:num w:numId="7" w16cid:durableId="1188984961">
    <w:abstractNumId w:val="3"/>
  </w:num>
  <w:num w:numId="8" w16cid:durableId="60910876">
    <w:abstractNumId w:val="3"/>
  </w:num>
  <w:num w:numId="9" w16cid:durableId="1991129148">
    <w:abstractNumId w:val="3"/>
  </w:num>
  <w:num w:numId="10" w16cid:durableId="898130514">
    <w:abstractNumId w:val="3"/>
  </w:num>
  <w:num w:numId="11" w16cid:durableId="1509980050">
    <w:abstractNumId w:val="3"/>
  </w:num>
  <w:num w:numId="12" w16cid:durableId="1286037580">
    <w:abstractNumId w:val="3"/>
  </w:num>
  <w:num w:numId="13" w16cid:durableId="1964997672">
    <w:abstractNumId w:val="3"/>
  </w:num>
  <w:num w:numId="14" w16cid:durableId="2118984431">
    <w:abstractNumId w:val="3"/>
  </w:num>
  <w:num w:numId="15" w16cid:durableId="4599429">
    <w:abstractNumId w:val="29"/>
  </w:num>
  <w:num w:numId="16" w16cid:durableId="967781945">
    <w:abstractNumId w:val="0"/>
  </w:num>
  <w:num w:numId="17" w16cid:durableId="198398498">
    <w:abstractNumId w:val="23"/>
  </w:num>
  <w:num w:numId="18" w16cid:durableId="1367483041">
    <w:abstractNumId w:val="19"/>
  </w:num>
  <w:num w:numId="19" w16cid:durableId="1482698519">
    <w:abstractNumId w:val="10"/>
  </w:num>
  <w:num w:numId="20" w16cid:durableId="8920255">
    <w:abstractNumId w:val="28"/>
  </w:num>
  <w:num w:numId="21" w16cid:durableId="1811435550">
    <w:abstractNumId w:val="5"/>
  </w:num>
  <w:num w:numId="22" w16cid:durableId="829907338">
    <w:abstractNumId w:val="7"/>
  </w:num>
  <w:num w:numId="23" w16cid:durableId="1124232134">
    <w:abstractNumId w:val="18"/>
  </w:num>
  <w:num w:numId="24" w16cid:durableId="289016676">
    <w:abstractNumId w:val="15"/>
  </w:num>
  <w:num w:numId="25" w16cid:durableId="1480145806">
    <w:abstractNumId w:val="26"/>
  </w:num>
  <w:num w:numId="26" w16cid:durableId="1418594831">
    <w:abstractNumId w:val="16"/>
  </w:num>
  <w:num w:numId="27" w16cid:durableId="610865292">
    <w:abstractNumId w:val="22"/>
  </w:num>
  <w:num w:numId="28" w16cid:durableId="249044270">
    <w:abstractNumId w:val="9"/>
  </w:num>
  <w:num w:numId="29" w16cid:durableId="1664620898">
    <w:abstractNumId w:val="8"/>
  </w:num>
  <w:num w:numId="30" w16cid:durableId="484519236">
    <w:abstractNumId w:val="6"/>
  </w:num>
  <w:num w:numId="31" w16cid:durableId="1517619428">
    <w:abstractNumId w:val="33"/>
  </w:num>
  <w:num w:numId="32" w16cid:durableId="712117940">
    <w:abstractNumId w:val="4"/>
  </w:num>
  <w:num w:numId="33" w16cid:durableId="467405338">
    <w:abstractNumId w:val="12"/>
  </w:num>
  <w:num w:numId="34" w16cid:durableId="292903749">
    <w:abstractNumId w:val="21"/>
  </w:num>
  <w:num w:numId="35" w16cid:durableId="1919705760">
    <w:abstractNumId w:val="17"/>
  </w:num>
  <w:num w:numId="36" w16cid:durableId="510334174">
    <w:abstractNumId w:val="14"/>
  </w:num>
  <w:num w:numId="37" w16cid:durableId="141774985">
    <w:abstractNumId w:val="2"/>
  </w:num>
  <w:num w:numId="38" w16cid:durableId="603732849">
    <w:abstractNumId w:val="31"/>
  </w:num>
  <w:num w:numId="39" w16cid:durableId="448740216">
    <w:abstractNumId w:val="25"/>
  </w:num>
  <w:num w:numId="40" w16cid:durableId="1266963378">
    <w:abstractNumId w:val="30"/>
  </w:num>
  <w:num w:numId="41" w16cid:durableId="614018801">
    <w:abstractNumId w:val="11"/>
  </w:num>
  <w:num w:numId="42" w16cid:durableId="135314508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04157"/>
    <w:rsid w:val="00004828"/>
    <w:rsid w:val="00004DAE"/>
    <w:rsid w:val="00004DC4"/>
    <w:rsid w:val="00005901"/>
    <w:rsid w:val="0000691D"/>
    <w:rsid w:val="00006D36"/>
    <w:rsid w:val="0000710D"/>
    <w:rsid w:val="00007FAA"/>
    <w:rsid w:val="00013B63"/>
    <w:rsid w:val="00013CF8"/>
    <w:rsid w:val="00015387"/>
    <w:rsid w:val="00016F7A"/>
    <w:rsid w:val="00023CDD"/>
    <w:rsid w:val="000257DB"/>
    <w:rsid w:val="00033250"/>
    <w:rsid w:val="00035A92"/>
    <w:rsid w:val="0003722B"/>
    <w:rsid w:val="00040388"/>
    <w:rsid w:val="000411A0"/>
    <w:rsid w:val="00041349"/>
    <w:rsid w:val="00041C72"/>
    <w:rsid w:val="00045107"/>
    <w:rsid w:val="0004690F"/>
    <w:rsid w:val="00047CF1"/>
    <w:rsid w:val="000508E0"/>
    <w:rsid w:val="000519D3"/>
    <w:rsid w:val="00052575"/>
    <w:rsid w:val="000528FD"/>
    <w:rsid w:val="00052ECB"/>
    <w:rsid w:val="000556B3"/>
    <w:rsid w:val="0005703F"/>
    <w:rsid w:val="00063C33"/>
    <w:rsid w:val="000671CC"/>
    <w:rsid w:val="00075201"/>
    <w:rsid w:val="00077005"/>
    <w:rsid w:val="00077346"/>
    <w:rsid w:val="00077BAB"/>
    <w:rsid w:val="00083B20"/>
    <w:rsid w:val="0008431A"/>
    <w:rsid w:val="000846F0"/>
    <w:rsid w:val="00085F78"/>
    <w:rsid w:val="00087631"/>
    <w:rsid w:val="000910C4"/>
    <w:rsid w:val="000945FC"/>
    <w:rsid w:val="00094E8C"/>
    <w:rsid w:val="00096724"/>
    <w:rsid w:val="00096820"/>
    <w:rsid w:val="000A000A"/>
    <w:rsid w:val="000A1618"/>
    <w:rsid w:val="000A1C1F"/>
    <w:rsid w:val="000B066D"/>
    <w:rsid w:val="000B147E"/>
    <w:rsid w:val="000B3829"/>
    <w:rsid w:val="000B7953"/>
    <w:rsid w:val="000C1276"/>
    <w:rsid w:val="000C5890"/>
    <w:rsid w:val="000D06B8"/>
    <w:rsid w:val="000D1AEC"/>
    <w:rsid w:val="000D41B5"/>
    <w:rsid w:val="000D4FE4"/>
    <w:rsid w:val="000D5D83"/>
    <w:rsid w:val="000D6213"/>
    <w:rsid w:val="000E070F"/>
    <w:rsid w:val="000E1E4A"/>
    <w:rsid w:val="000E2EE0"/>
    <w:rsid w:val="000E3674"/>
    <w:rsid w:val="000E69C6"/>
    <w:rsid w:val="000E73AA"/>
    <w:rsid w:val="000F0108"/>
    <w:rsid w:val="000F02E3"/>
    <w:rsid w:val="000F60CA"/>
    <w:rsid w:val="00102261"/>
    <w:rsid w:val="00104BA6"/>
    <w:rsid w:val="00112244"/>
    <w:rsid w:val="00117B85"/>
    <w:rsid w:val="00122DB8"/>
    <w:rsid w:val="001248E1"/>
    <w:rsid w:val="00125F57"/>
    <w:rsid w:val="00126E46"/>
    <w:rsid w:val="001360E9"/>
    <w:rsid w:val="00141675"/>
    <w:rsid w:val="001420B7"/>
    <w:rsid w:val="00142230"/>
    <w:rsid w:val="00142505"/>
    <w:rsid w:val="0014675B"/>
    <w:rsid w:val="00147CD8"/>
    <w:rsid w:val="00151813"/>
    <w:rsid w:val="00151EE2"/>
    <w:rsid w:val="00156120"/>
    <w:rsid w:val="001659C2"/>
    <w:rsid w:val="00171B88"/>
    <w:rsid w:val="00173EB9"/>
    <w:rsid w:val="001759FD"/>
    <w:rsid w:val="00175C99"/>
    <w:rsid w:val="00177A65"/>
    <w:rsid w:val="00177E00"/>
    <w:rsid w:val="0018122B"/>
    <w:rsid w:val="00181348"/>
    <w:rsid w:val="00181362"/>
    <w:rsid w:val="001833A6"/>
    <w:rsid w:val="00183AD3"/>
    <w:rsid w:val="001852CC"/>
    <w:rsid w:val="00186A16"/>
    <w:rsid w:val="001930E2"/>
    <w:rsid w:val="0019431D"/>
    <w:rsid w:val="001A01FA"/>
    <w:rsid w:val="001A125C"/>
    <w:rsid w:val="001A3C93"/>
    <w:rsid w:val="001A4B55"/>
    <w:rsid w:val="001A4EFE"/>
    <w:rsid w:val="001A5BD6"/>
    <w:rsid w:val="001A65AC"/>
    <w:rsid w:val="001B205E"/>
    <w:rsid w:val="001B4091"/>
    <w:rsid w:val="001B582E"/>
    <w:rsid w:val="001C00A4"/>
    <w:rsid w:val="001C0D2D"/>
    <w:rsid w:val="001C340C"/>
    <w:rsid w:val="001C565A"/>
    <w:rsid w:val="001C6122"/>
    <w:rsid w:val="001C6417"/>
    <w:rsid w:val="001C74B8"/>
    <w:rsid w:val="001D0130"/>
    <w:rsid w:val="001D6511"/>
    <w:rsid w:val="001D6B09"/>
    <w:rsid w:val="001E06AD"/>
    <w:rsid w:val="001E3675"/>
    <w:rsid w:val="001F0976"/>
    <w:rsid w:val="001F267C"/>
    <w:rsid w:val="001F3A56"/>
    <w:rsid w:val="001F4653"/>
    <w:rsid w:val="001F4E45"/>
    <w:rsid w:val="001F53FD"/>
    <w:rsid w:val="001F597A"/>
    <w:rsid w:val="0020180B"/>
    <w:rsid w:val="00204E9A"/>
    <w:rsid w:val="0020624B"/>
    <w:rsid w:val="00206A67"/>
    <w:rsid w:val="0021042C"/>
    <w:rsid w:val="0022170D"/>
    <w:rsid w:val="00222A80"/>
    <w:rsid w:val="0022328A"/>
    <w:rsid w:val="002246A6"/>
    <w:rsid w:val="00224B91"/>
    <w:rsid w:val="00225C8A"/>
    <w:rsid w:val="00226B30"/>
    <w:rsid w:val="00226BEF"/>
    <w:rsid w:val="00226CDD"/>
    <w:rsid w:val="00226F09"/>
    <w:rsid w:val="00227409"/>
    <w:rsid w:val="00230F93"/>
    <w:rsid w:val="00232BA8"/>
    <w:rsid w:val="0023310B"/>
    <w:rsid w:val="002417BF"/>
    <w:rsid w:val="00241D8F"/>
    <w:rsid w:val="00243348"/>
    <w:rsid w:val="002458BD"/>
    <w:rsid w:val="00247AFE"/>
    <w:rsid w:val="00247CC0"/>
    <w:rsid w:val="00253566"/>
    <w:rsid w:val="00253970"/>
    <w:rsid w:val="00254079"/>
    <w:rsid w:val="002556A3"/>
    <w:rsid w:val="002570B7"/>
    <w:rsid w:val="00260D7B"/>
    <w:rsid w:val="00261DEE"/>
    <w:rsid w:val="00263733"/>
    <w:rsid w:val="002709DD"/>
    <w:rsid w:val="00281F22"/>
    <w:rsid w:val="00282699"/>
    <w:rsid w:val="002826A5"/>
    <w:rsid w:val="00283951"/>
    <w:rsid w:val="00286337"/>
    <w:rsid w:val="00286C0E"/>
    <w:rsid w:val="00291870"/>
    <w:rsid w:val="002919EC"/>
    <w:rsid w:val="0029237C"/>
    <w:rsid w:val="00293097"/>
    <w:rsid w:val="0029435E"/>
    <w:rsid w:val="00296003"/>
    <w:rsid w:val="00296B04"/>
    <w:rsid w:val="002A0DD7"/>
    <w:rsid w:val="002A28B6"/>
    <w:rsid w:val="002A724A"/>
    <w:rsid w:val="002A73EB"/>
    <w:rsid w:val="002B56F5"/>
    <w:rsid w:val="002C202E"/>
    <w:rsid w:val="002C2BD2"/>
    <w:rsid w:val="002C3840"/>
    <w:rsid w:val="002C39A8"/>
    <w:rsid w:val="002C676B"/>
    <w:rsid w:val="002D0C27"/>
    <w:rsid w:val="002D31A2"/>
    <w:rsid w:val="002D35BC"/>
    <w:rsid w:val="002D370D"/>
    <w:rsid w:val="002D3C99"/>
    <w:rsid w:val="002D5A61"/>
    <w:rsid w:val="002D7B5A"/>
    <w:rsid w:val="002E1B6A"/>
    <w:rsid w:val="002E4C79"/>
    <w:rsid w:val="002E5252"/>
    <w:rsid w:val="002E763C"/>
    <w:rsid w:val="002F0F35"/>
    <w:rsid w:val="002F22FA"/>
    <w:rsid w:val="002F40ED"/>
    <w:rsid w:val="002F53F8"/>
    <w:rsid w:val="002F5CFF"/>
    <w:rsid w:val="002F6864"/>
    <w:rsid w:val="00304524"/>
    <w:rsid w:val="00310299"/>
    <w:rsid w:val="0031157F"/>
    <w:rsid w:val="00313ECE"/>
    <w:rsid w:val="0031458E"/>
    <w:rsid w:val="00317073"/>
    <w:rsid w:val="0032119E"/>
    <w:rsid w:val="00323113"/>
    <w:rsid w:val="00327DAF"/>
    <w:rsid w:val="00330435"/>
    <w:rsid w:val="00334987"/>
    <w:rsid w:val="00336893"/>
    <w:rsid w:val="00336CFC"/>
    <w:rsid w:val="00337DE7"/>
    <w:rsid w:val="00340950"/>
    <w:rsid w:val="00341151"/>
    <w:rsid w:val="00343245"/>
    <w:rsid w:val="00343892"/>
    <w:rsid w:val="003449BF"/>
    <w:rsid w:val="00345992"/>
    <w:rsid w:val="003474DD"/>
    <w:rsid w:val="00347F19"/>
    <w:rsid w:val="00352700"/>
    <w:rsid w:val="00353010"/>
    <w:rsid w:val="00355586"/>
    <w:rsid w:val="00357BBA"/>
    <w:rsid w:val="003616BD"/>
    <w:rsid w:val="00366BED"/>
    <w:rsid w:val="00370B75"/>
    <w:rsid w:val="00374A50"/>
    <w:rsid w:val="00380C69"/>
    <w:rsid w:val="003917DF"/>
    <w:rsid w:val="00392070"/>
    <w:rsid w:val="00392766"/>
    <w:rsid w:val="00395827"/>
    <w:rsid w:val="00395BBA"/>
    <w:rsid w:val="003968E8"/>
    <w:rsid w:val="003971F0"/>
    <w:rsid w:val="003A1667"/>
    <w:rsid w:val="003A2843"/>
    <w:rsid w:val="003A3B23"/>
    <w:rsid w:val="003A5B5D"/>
    <w:rsid w:val="003A741C"/>
    <w:rsid w:val="003A7F2A"/>
    <w:rsid w:val="003B23F8"/>
    <w:rsid w:val="003B2587"/>
    <w:rsid w:val="003B4F2A"/>
    <w:rsid w:val="003B53A1"/>
    <w:rsid w:val="003B6D75"/>
    <w:rsid w:val="003C081B"/>
    <w:rsid w:val="003C3150"/>
    <w:rsid w:val="003C320E"/>
    <w:rsid w:val="003D0792"/>
    <w:rsid w:val="003D3964"/>
    <w:rsid w:val="003D6CFE"/>
    <w:rsid w:val="003D6F5C"/>
    <w:rsid w:val="003E1484"/>
    <w:rsid w:val="003E260B"/>
    <w:rsid w:val="003E475D"/>
    <w:rsid w:val="003E6FDD"/>
    <w:rsid w:val="003E7226"/>
    <w:rsid w:val="003F0E8B"/>
    <w:rsid w:val="003F3A9F"/>
    <w:rsid w:val="003F551D"/>
    <w:rsid w:val="003F645B"/>
    <w:rsid w:val="00402D81"/>
    <w:rsid w:val="0041081C"/>
    <w:rsid w:val="00412CE8"/>
    <w:rsid w:val="00416DDD"/>
    <w:rsid w:val="00417561"/>
    <w:rsid w:val="004200F6"/>
    <w:rsid w:val="00420B29"/>
    <w:rsid w:val="0042140C"/>
    <w:rsid w:val="0042179C"/>
    <w:rsid w:val="00422540"/>
    <w:rsid w:val="00425A8A"/>
    <w:rsid w:val="004308A3"/>
    <w:rsid w:val="004319C9"/>
    <w:rsid w:val="00434D2C"/>
    <w:rsid w:val="004364D5"/>
    <w:rsid w:val="00454A9D"/>
    <w:rsid w:val="00454D9C"/>
    <w:rsid w:val="00455E67"/>
    <w:rsid w:val="00457524"/>
    <w:rsid w:val="00461AF2"/>
    <w:rsid w:val="004673EF"/>
    <w:rsid w:val="00471049"/>
    <w:rsid w:val="004769B6"/>
    <w:rsid w:val="004809DA"/>
    <w:rsid w:val="00490692"/>
    <w:rsid w:val="00493088"/>
    <w:rsid w:val="00494693"/>
    <w:rsid w:val="004A4ADF"/>
    <w:rsid w:val="004A4BCF"/>
    <w:rsid w:val="004A5115"/>
    <w:rsid w:val="004A521E"/>
    <w:rsid w:val="004A61C5"/>
    <w:rsid w:val="004A6966"/>
    <w:rsid w:val="004A78AD"/>
    <w:rsid w:val="004B5AF2"/>
    <w:rsid w:val="004C1770"/>
    <w:rsid w:val="004C3066"/>
    <w:rsid w:val="004C6DB6"/>
    <w:rsid w:val="004D45DF"/>
    <w:rsid w:val="004D55B2"/>
    <w:rsid w:val="004E0BF5"/>
    <w:rsid w:val="004E3FF7"/>
    <w:rsid w:val="004F0E43"/>
    <w:rsid w:val="004F0F69"/>
    <w:rsid w:val="004F15DB"/>
    <w:rsid w:val="004F20E3"/>
    <w:rsid w:val="004F3BAE"/>
    <w:rsid w:val="004F6798"/>
    <w:rsid w:val="004F72EC"/>
    <w:rsid w:val="00500E5E"/>
    <w:rsid w:val="00501B76"/>
    <w:rsid w:val="00502910"/>
    <w:rsid w:val="00502979"/>
    <w:rsid w:val="00502E84"/>
    <w:rsid w:val="0050553E"/>
    <w:rsid w:val="0050705A"/>
    <w:rsid w:val="00507331"/>
    <w:rsid w:val="00510553"/>
    <w:rsid w:val="005127E9"/>
    <w:rsid w:val="00516D22"/>
    <w:rsid w:val="0051703F"/>
    <w:rsid w:val="0052004B"/>
    <w:rsid w:val="00520C2D"/>
    <w:rsid w:val="005247CC"/>
    <w:rsid w:val="005249F4"/>
    <w:rsid w:val="00525596"/>
    <w:rsid w:val="005304BE"/>
    <w:rsid w:val="0053146C"/>
    <w:rsid w:val="00531AA5"/>
    <w:rsid w:val="005337F9"/>
    <w:rsid w:val="00544A42"/>
    <w:rsid w:val="005471EE"/>
    <w:rsid w:val="00550FDF"/>
    <w:rsid w:val="00552DBB"/>
    <w:rsid w:val="00562307"/>
    <w:rsid w:val="00566A46"/>
    <w:rsid w:val="00571C0D"/>
    <w:rsid w:val="00573F95"/>
    <w:rsid w:val="0057527B"/>
    <w:rsid w:val="005769D5"/>
    <w:rsid w:val="00590945"/>
    <w:rsid w:val="00591983"/>
    <w:rsid w:val="005928CC"/>
    <w:rsid w:val="005975CF"/>
    <w:rsid w:val="005A3047"/>
    <w:rsid w:val="005A55B6"/>
    <w:rsid w:val="005A73D3"/>
    <w:rsid w:val="005B1C8D"/>
    <w:rsid w:val="005B1CD4"/>
    <w:rsid w:val="005B2C1B"/>
    <w:rsid w:val="005B35FD"/>
    <w:rsid w:val="005B69A1"/>
    <w:rsid w:val="005C062E"/>
    <w:rsid w:val="005C260A"/>
    <w:rsid w:val="005C42FC"/>
    <w:rsid w:val="005C777B"/>
    <w:rsid w:val="005D07DE"/>
    <w:rsid w:val="005D09FC"/>
    <w:rsid w:val="005D5915"/>
    <w:rsid w:val="005D767F"/>
    <w:rsid w:val="005D7A86"/>
    <w:rsid w:val="005E16C3"/>
    <w:rsid w:val="005E17C8"/>
    <w:rsid w:val="005E2F25"/>
    <w:rsid w:val="005E69E7"/>
    <w:rsid w:val="005F0068"/>
    <w:rsid w:val="006002EC"/>
    <w:rsid w:val="00601B3E"/>
    <w:rsid w:val="00601EB1"/>
    <w:rsid w:val="006023EA"/>
    <w:rsid w:val="006030EC"/>
    <w:rsid w:val="00603E88"/>
    <w:rsid w:val="00606F3E"/>
    <w:rsid w:val="00610551"/>
    <w:rsid w:val="00610A90"/>
    <w:rsid w:val="00614479"/>
    <w:rsid w:val="0061555D"/>
    <w:rsid w:val="006157D6"/>
    <w:rsid w:val="00615E36"/>
    <w:rsid w:val="00615F3A"/>
    <w:rsid w:val="006226DC"/>
    <w:rsid w:val="00635AFE"/>
    <w:rsid w:val="00637590"/>
    <w:rsid w:val="00641453"/>
    <w:rsid w:val="006426AA"/>
    <w:rsid w:val="00643298"/>
    <w:rsid w:val="0065317F"/>
    <w:rsid w:val="00653415"/>
    <w:rsid w:val="006558A0"/>
    <w:rsid w:val="006572B4"/>
    <w:rsid w:val="00660C2D"/>
    <w:rsid w:val="00663959"/>
    <w:rsid w:val="00663D8E"/>
    <w:rsid w:val="0066675A"/>
    <w:rsid w:val="006706E3"/>
    <w:rsid w:val="00670FB6"/>
    <w:rsid w:val="0067327B"/>
    <w:rsid w:val="006739F4"/>
    <w:rsid w:val="00675E21"/>
    <w:rsid w:val="006769EE"/>
    <w:rsid w:val="0068037D"/>
    <w:rsid w:val="006861C6"/>
    <w:rsid w:val="00686E5B"/>
    <w:rsid w:val="006917EC"/>
    <w:rsid w:val="006923C1"/>
    <w:rsid w:val="006932D6"/>
    <w:rsid w:val="00696CFD"/>
    <w:rsid w:val="0069791C"/>
    <w:rsid w:val="006A0FD0"/>
    <w:rsid w:val="006A17AF"/>
    <w:rsid w:val="006A474D"/>
    <w:rsid w:val="006A4F82"/>
    <w:rsid w:val="006A7D6B"/>
    <w:rsid w:val="006A7E97"/>
    <w:rsid w:val="006B0EB2"/>
    <w:rsid w:val="006B2800"/>
    <w:rsid w:val="006B338B"/>
    <w:rsid w:val="006B47F2"/>
    <w:rsid w:val="006C0923"/>
    <w:rsid w:val="006C2706"/>
    <w:rsid w:val="006C3568"/>
    <w:rsid w:val="006C3C8F"/>
    <w:rsid w:val="006C56F2"/>
    <w:rsid w:val="006D0A50"/>
    <w:rsid w:val="006D32CE"/>
    <w:rsid w:val="006D4EA8"/>
    <w:rsid w:val="006D6D2C"/>
    <w:rsid w:val="006D7524"/>
    <w:rsid w:val="006D7759"/>
    <w:rsid w:val="006E186F"/>
    <w:rsid w:val="006E22BE"/>
    <w:rsid w:val="006E2CB3"/>
    <w:rsid w:val="006E435C"/>
    <w:rsid w:val="006E4496"/>
    <w:rsid w:val="006E6E97"/>
    <w:rsid w:val="006F0C20"/>
    <w:rsid w:val="006F0DE2"/>
    <w:rsid w:val="006F22AB"/>
    <w:rsid w:val="006F5445"/>
    <w:rsid w:val="006F596D"/>
    <w:rsid w:val="006F5B25"/>
    <w:rsid w:val="006F5C26"/>
    <w:rsid w:val="006F6165"/>
    <w:rsid w:val="007019F1"/>
    <w:rsid w:val="0070703D"/>
    <w:rsid w:val="00707AE6"/>
    <w:rsid w:val="00711387"/>
    <w:rsid w:val="00712B8A"/>
    <w:rsid w:val="00715849"/>
    <w:rsid w:val="007164AA"/>
    <w:rsid w:val="00720D8F"/>
    <w:rsid w:val="00724274"/>
    <w:rsid w:val="007262E2"/>
    <w:rsid w:val="00730E8D"/>
    <w:rsid w:val="007350E6"/>
    <w:rsid w:val="00737DC8"/>
    <w:rsid w:val="007410B7"/>
    <w:rsid w:val="0074184B"/>
    <w:rsid w:val="0074386C"/>
    <w:rsid w:val="0074456D"/>
    <w:rsid w:val="00745D9E"/>
    <w:rsid w:val="00746B0A"/>
    <w:rsid w:val="0075059C"/>
    <w:rsid w:val="00750C19"/>
    <w:rsid w:val="00751948"/>
    <w:rsid w:val="00751CFC"/>
    <w:rsid w:val="007563BB"/>
    <w:rsid w:val="00756D55"/>
    <w:rsid w:val="00757C7C"/>
    <w:rsid w:val="0076002C"/>
    <w:rsid w:val="00761092"/>
    <w:rsid w:val="00763187"/>
    <w:rsid w:val="00764ED0"/>
    <w:rsid w:val="00770221"/>
    <w:rsid w:val="0077095D"/>
    <w:rsid w:val="00773C89"/>
    <w:rsid w:val="00774367"/>
    <w:rsid w:val="00780A59"/>
    <w:rsid w:val="007811FD"/>
    <w:rsid w:val="0079030B"/>
    <w:rsid w:val="007962DF"/>
    <w:rsid w:val="007A3365"/>
    <w:rsid w:val="007A4246"/>
    <w:rsid w:val="007A4764"/>
    <w:rsid w:val="007A478E"/>
    <w:rsid w:val="007A4DA6"/>
    <w:rsid w:val="007A7DCB"/>
    <w:rsid w:val="007B40D7"/>
    <w:rsid w:val="007B6A6B"/>
    <w:rsid w:val="007C0CAA"/>
    <w:rsid w:val="007C7843"/>
    <w:rsid w:val="007C7CB9"/>
    <w:rsid w:val="007D0142"/>
    <w:rsid w:val="007D04B1"/>
    <w:rsid w:val="007D31A2"/>
    <w:rsid w:val="007D6326"/>
    <w:rsid w:val="007D7C0F"/>
    <w:rsid w:val="007E1DB0"/>
    <w:rsid w:val="007E553D"/>
    <w:rsid w:val="007E6185"/>
    <w:rsid w:val="007E7735"/>
    <w:rsid w:val="007F2F69"/>
    <w:rsid w:val="007F4D63"/>
    <w:rsid w:val="007F4D67"/>
    <w:rsid w:val="007F6B90"/>
    <w:rsid w:val="007F76C9"/>
    <w:rsid w:val="00802B3C"/>
    <w:rsid w:val="00803875"/>
    <w:rsid w:val="008051FA"/>
    <w:rsid w:val="00805CA4"/>
    <w:rsid w:val="0081383F"/>
    <w:rsid w:val="008147E7"/>
    <w:rsid w:val="00814971"/>
    <w:rsid w:val="00824017"/>
    <w:rsid w:val="0082765F"/>
    <w:rsid w:val="0083223E"/>
    <w:rsid w:val="008336CD"/>
    <w:rsid w:val="00836472"/>
    <w:rsid w:val="00837E75"/>
    <w:rsid w:val="00840084"/>
    <w:rsid w:val="00841B9A"/>
    <w:rsid w:val="00842056"/>
    <w:rsid w:val="00845655"/>
    <w:rsid w:val="00846F22"/>
    <w:rsid w:val="00852383"/>
    <w:rsid w:val="00855F62"/>
    <w:rsid w:val="008622D4"/>
    <w:rsid w:val="00863EEC"/>
    <w:rsid w:val="00865327"/>
    <w:rsid w:val="00866E73"/>
    <w:rsid w:val="0086708A"/>
    <w:rsid w:val="00882E0E"/>
    <w:rsid w:val="008848CE"/>
    <w:rsid w:val="00886F4E"/>
    <w:rsid w:val="008900DA"/>
    <w:rsid w:val="00890F67"/>
    <w:rsid w:val="00891FCF"/>
    <w:rsid w:val="008929CF"/>
    <w:rsid w:val="008944CF"/>
    <w:rsid w:val="008A1EA1"/>
    <w:rsid w:val="008A5290"/>
    <w:rsid w:val="008A7F5F"/>
    <w:rsid w:val="008B46A2"/>
    <w:rsid w:val="008C2E94"/>
    <w:rsid w:val="008C5CB8"/>
    <w:rsid w:val="008C7D74"/>
    <w:rsid w:val="008D1919"/>
    <w:rsid w:val="008D582A"/>
    <w:rsid w:val="008D5FE9"/>
    <w:rsid w:val="008E00B3"/>
    <w:rsid w:val="008E39FF"/>
    <w:rsid w:val="008E47D0"/>
    <w:rsid w:val="008E6D32"/>
    <w:rsid w:val="008F38F6"/>
    <w:rsid w:val="008F4A47"/>
    <w:rsid w:val="008F6DB0"/>
    <w:rsid w:val="00904B1D"/>
    <w:rsid w:val="00906C6C"/>
    <w:rsid w:val="009115F1"/>
    <w:rsid w:val="00913EDC"/>
    <w:rsid w:val="00914756"/>
    <w:rsid w:val="00915BE0"/>
    <w:rsid w:val="0091608B"/>
    <w:rsid w:val="00921863"/>
    <w:rsid w:val="0092432B"/>
    <w:rsid w:val="00925BFB"/>
    <w:rsid w:val="00927CE3"/>
    <w:rsid w:val="009306A2"/>
    <w:rsid w:val="009308A9"/>
    <w:rsid w:val="00930E13"/>
    <w:rsid w:val="00931004"/>
    <w:rsid w:val="009370DF"/>
    <w:rsid w:val="00937799"/>
    <w:rsid w:val="009419B3"/>
    <w:rsid w:val="00951E3D"/>
    <w:rsid w:val="00953605"/>
    <w:rsid w:val="0095646A"/>
    <w:rsid w:val="0096283A"/>
    <w:rsid w:val="00963E9D"/>
    <w:rsid w:val="00965802"/>
    <w:rsid w:val="00965E6D"/>
    <w:rsid w:val="009668AB"/>
    <w:rsid w:val="00976DB7"/>
    <w:rsid w:val="009774C5"/>
    <w:rsid w:val="00994B45"/>
    <w:rsid w:val="00995454"/>
    <w:rsid w:val="0099722E"/>
    <w:rsid w:val="00997478"/>
    <w:rsid w:val="00997E3C"/>
    <w:rsid w:val="009A05CB"/>
    <w:rsid w:val="009A3307"/>
    <w:rsid w:val="009A3F37"/>
    <w:rsid w:val="009A6AA7"/>
    <w:rsid w:val="009A774C"/>
    <w:rsid w:val="009B17E5"/>
    <w:rsid w:val="009B3C6A"/>
    <w:rsid w:val="009B450C"/>
    <w:rsid w:val="009C1C58"/>
    <w:rsid w:val="009C2183"/>
    <w:rsid w:val="009C460F"/>
    <w:rsid w:val="009C4AF9"/>
    <w:rsid w:val="009C5B27"/>
    <w:rsid w:val="009C6816"/>
    <w:rsid w:val="009D095B"/>
    <w:rsid w:val="009D0AA8"/>
    <w:rsid w:val="009D37A1"/>
    <w:rsid w:val="009D639E"/>
    <w:rsid w:val="009E25DC"/>
    <w:rsid w:val="009E2B0B"/>
    <w:rsid w:val="009E2EAB"/>
    <w:rsid w:val="009E5ED7"/>
    <w:rsid w:val="009F013A"/>
    <w:rsid w:val="009F02EE"/>
    <w:rsid w:val="009F353A"/>
    <w:rsid w:val="009F356C"/>
    <w:rsid w:val="009F497A"/>
    <w:rsid w:val="009F65A0"/>
    <w:rsid w:val="00A00725"/>
    <w:rsid w:val="00A03936"/>
    <w:rsid w:val="00A04493"/>
    <w:rsid w:val="00A0461D"/>
    <w:rsid w:val="00A05BF4"/>
    <w:rsid w:val="00A201C1"/>
    <w:rsid w:val="00A21071"/>
    <w:rsid w:val="00A2175B"/>
    <w:rsid w:val="00A21EF1"/>
    <w:rsid w:val="00A22740"/>
    <w:rsid w:val="00A250E2"/>
    <w:rsid w:val="00A27612"/>
    <w:rsid w:val="00A327DA"/>
    <w:rsid w:val="00A3468D"/>
    <w:rsid w:val="00A34CD6"/>
    <w:rsid w:val="00A360B2"/>
    <w:rsid w:val="00A4011E"/>
    <w:rsid w:val="00A40262"/>
    <w:rsid w:val="00A418BB"/>
    <w:rsid w:val="00A4214E"/>
    <w:rsid w:val="00A4776A"/>
    <w:rsid w:val="00A5111A"/>
    <w:rsid w:val="00A5150C"/>
    <w:rsid w:val="00A5157D"/>
    <w:rsid w:val="00A51951"/>
    <w:rsid w:val="00A56369"/>
    <w:rsid w:val="00A63D77"/>
    <w:rsid w:val="00A643D2"/>
    <w:rsid w:val="00A71A55"/>
    <w:rsid w:val="00A743CE"/>
    <w:rsid w:val="00A74669"/>
    <w:rsid w:val="00A7548A"/>
    <w:rsid w:val="00A7709F"/>
    <w:rsid w:val="00A80994"/>
    <w:rsid w:val="00A8274C"/>
    <w:rsid w:val="00A83C38"/>
    <w:rsid w:val="00A85830"/>
    <w:rsid w:val="00A865BF"/>
    <w:rsid w:val="00A90839"/>
    <w:rsid w:val="00A9108F"/>
    <w:rsid w:val="00A96B06"/>
    <w:rsid w:val="00AA0674"/>
    <w:rsid w:val="00AA174F"/>
    <w:rsid w:val="00AB17CC"/>
    <w:rsid w:val="00AB2F5A"/>
    <w:rsid w:val="00AB30B3"/>
    <w:rsid w:val="00AB43BD"/>
    <w:rsid w:val="00AB4B85"/>
    <w:rsid w:val="00AB68AF"/>
    <w:rsid w:val="00AB7C14"/>
    <w:rsid w:val="00AC1C2B"/>
    <w:rsid w:val="00AC2F2A"/>
    <w:rsid w:val="00AC6808"/>
    <w:rsid w:val="00AC717D"/>
    <w:rsid w:val="00AD0249"/>
    <w:rsid w:val="00AD3A79"/>
    <w:rsid w:val="00AD523C"/>
    <w:rsid w:val="00AD5B47"/>
    <w:rsid w:val="00AD62C1"/>
    <w:rsid w:val="00AD6EC8"/>
    <w:rsid w:val="00AE2337"/>
    <w:rsid w:val="00AE5BEE"/>
    <w:rsid w:val="00AE62CE"/>
    <w:rsid w:val="00AE768F"/>
    <w:rsid w:val="00AF1446"/>
    <w:rsid w:val="00AF1E4F"/>
    <w:rsid w:val="00B02647"/>
    <w:rsid w:val="00B0563C"/>
    <w:rsid w:val="00B058EA"/>
    <w:rsid w:val="00B0621B"/>
    <w:rsid w:val="00B10CCC"/>
    <w:rsid w:val="00B11920"/>
    <w:rsid w:val="00B12051"/>
    <w:rsid w:val="00B125F0"/>
    <w:rsid w:val="00B17BA7"/>
    <w:rsid w:val="00B20410"/>
    <w:rsid w:val="00B21BE4"/>
    <w:rsid w:val="00B2336A"/>
    <w:rsid w:val="00B26304"/>
    <w:rsid w:val="00B3152B"/>
    <w:rsid w:val="00B334F4"/>
    <w:rsid w:val="00B35878"/>
    <w:rsid w:val="00B40AFF"/>
    <w:rsid w:val="00B42738"/>
    <w:rsid w:val="00B4385B"/>
    <w:rsid w:val="00B43BC9"/>
    <w:rsid w:val="00B4431C"/>
    <w:rsid w:val="00B47616"/>
    <w:rsid w:val="00B505A1"/>
    <w:rsid w:val="00B52338"/>
    <w:rsid w:val="00B53346"/>
    <w:rsid w:val="00B61E0F"/>
    <w:rsid w:val="00B62E8F"/>
    <w:rsid w:val="00B634F5"/>
    <w:rsid w:val="00B646B8"/>
    <w:rsid w:val="00B653B7"/>
    <w:rsid w:val="00B677B7"/>
    <w:rsid w:val="00B77DDC"/>
    <w:rsid w:val="00B83904"/>
    <w:rsid w:val="00B84E06"/>
    <w:rsid w:val="00B87F9A"/>
    <w:rsid w:val="00B91366"/>
    <w:rsid w:val="00B932DC"/>
    <w:rsid w:val="00B94EB4"/>
    <w:rsid w:val="00B975F0"/>
    <w:rsid w:val="00BA1BD7"/>
    <w:rsid w:val="00BA26AE"/>
    <w:rsid w:val="00BA4A7B"/>
    <w:rsid w:val="00BA6350"/>
    <w:rsid w:val="00BB2CD6"/>
    <w:rsid w:val="00BB4170"/>
    <w:rsid w:val="00BB4AF9"/>
    <w:rsid w:val="00BB7FCA"/>
    <w:rsid w:val="00BC512B"/>
    <w:rsid w:val="00BC5786"/>
    <w:rsid w:val="00BD10C1"/>
    <w:rsid w:val="00BD1BF4"/>
    <w:rsid w:val="00BD5D75"/>
    <w:rsid w:val="00BE2568"/>
    <w:rsid w:val="00BE5CB6"/>
    <w:rsid w:val="00BE6AC7"/>
    <w:rsid w:val="00BE755E"/>
    <w:rsid w:val="00BF1359"/>
    <w:rsid w:val="00BF67D1"/>
    <w:rsid w:val="00C03083"/>
    <w:rsid w:val="00C06A0C"/>
    <w:rsid w:val="00C07C7D"/>
    <w:rsid w:val="00C10063"/>
    <w:rsid w:val="00C11451"/>
    <w:rsid w:val="00C11824"/>
    <w:rsid w:val="00C12A4B"/>
    <w:rsid w:val="00C144BC"/>
    <w:rsid w:val="00C150EA"/>
    <w:rsid w:val="00C175D4"/>
    <w:rsid w:val="00C22AF7"/>
    <w:rsid w:val="00C3038B"/>
    <w:rsid w:val="00C306A1"/>
    <w:rsid w:val="00C32C21"/>
    <w:rsid w:val="00C35358"/>
    <w:rsid w:val="00C37504"/>
    <w:rsid w:val="00C378C5"/>
    <w:rsid w:val="00C42B17"/>
    <w:rsid w:val="00C42C08"/>
    <w:rsid w:val="00C43C63"/>
    <w:rsid w:val="00C453CA"/>
    <w:rsid w:val="00C45B8E"/>
    <w:rsid w:val="00C50027"/>
    <w:rsid w:val="00C5061E"/>
    <w:rsid w:val="00C50A75"/>
    <w:rsid w:val="00C52343"/>
    <w:rsid w:val="00C52B21"/>
    <w:rsid w:val="00C553C7"/>
    <w:rsid w:val="00C560D9"/>
    <w:rsid w:val="00C566DB"/>
    <w:rsid w:val="00C62AC1"/>
    <w:rsid w:val="00C64E96"/>
    <w:rsid w:val="00C70AD1"/>
    <w:rsid w:val="00C70DD5"/>
    <w:rsid w:val="00C71AC9"/>
    <w:rsid w:val="00C74213"/>
    <w:rsid w:val="00C848B7"/>
    <w:rsid w:val="00C85AED"/>
    <w:rsid w:val="00C85C46"/>
    <w:rsid w:val="00C93F39"/>
    <w:rsid w:val="00CA04AC"/>
    <w:rsid w:val="00CA14DE"/>
    <w:rsid w:val="00CA5549"/>
    <w:rsid w:val="00CA5C29"/>
    <w:rsid w:val="00CA767A"/>
    <w:rsid w:val="00CB01C1"/>
    <w:rsid w:val="00CB23ED"/>
    <w:rsid w:val="00CB6198"/>
    <w:rsid w:val="00CC0D46"/>
    <w:rsid w:val="00CC3B15"/>
    <w:rsid w:val="00CC6DA2"/>
    <w:rsid w:val="00CD1200"/>
    <w:rsid w:val="00CD5883"/>
    <w:rsid w:val="00CD5A20"/>
    <w:rsid w:val="00CD5D9F"/>
    <w:rsid w:val="00CE7019"/>
    <w:rsid w:val="00CF14B2"/>
    <w:rsid w:val="00CF237A"/>
    <w:rsid w:val="00CF23CA"/>
    <w:rsid w:val="00CF2E59"/>
    <w:rsid w:val="00CF70C5"/>
    <w:rsid w:val="00D02897"/>
    <w:rsid w:val="00D03CA3"/>
    <w:rsid w:val="00D048B2"/>
    <w:rsid w:val="00D05FF6"/>
    <w:rsid w:val="00D113C4"/>
    <w:rsid w:val="00D11D69"/>
    <w:rsid w:val="00D12008"/>
    <w:rsid w:val="00D135C4"/>
    <w:rsid w:val="00D16DC8"/>
    <w:rsid w:val="00D20A29"/>
    <w:rsid w:val="00D20F92"/>
    <w:rsid w:val="00D216F7"/>
    <w:rsid w:val="00D22CDC"/>
    <w:rsid w:val="00D2372C"/>
    <w:rsid w:val="00D26B32"/>
    <w:rsid w:val="00D2751E"/>
    <w:rsid w:val="00D27A75"/>
    <w:rsid w:val="00D30A57"/>
    <w:rsid w:val="00D30A99"/>
    <w:rsid w:val="00D312C7"/>
    <w:rsid w:val="00D35C4F"/>
    <w:rsid w:val="00D363E8"/>
    <w:rsid w:val="00D3734E"/>
    <w:rsid w:val="00D54C6A"/>
    <w:rsid w:val="00D6318B"/>
    <w:rsid w:val="00D6460D"/>
    <w:rsid w:val="00D6662A"/>
    <w:rsid w:val="00D67E5C"/>
    <w:rsid w:val="00D705F5"/>
    <w:rsid w:val="00D72A94"/>
    <w:rsid w:val="00D7414C"/>
    <w:rsid w:val="00D747A8"/>
    <w:rsid w:val="00D75A92"/>
    <w:rsid w:val="00D83668"/>
    <w:rsid w:val="00D842BA"/>
    <w:rsid w:val="00D934A1"/>
    <w:rsid w:val="00D935D2"/>
    <w:rsid w:val="00D93C29"/>
    <w:rsid w:val="00D95BAE"/>
    <w:rsid w:val="00D97C2E"/>
    <w:rsid w:val="00DA1C37"/>
    <w:rsid w:val="00DA4971"/>
    <w:rsid w:val="00DA4AA5"/>
    <w:rsid w:val="00DA4BA1"/>
    <w:rsid w:val="00DA4CB2"/>
    <w:rsid w:val="00DA5934"/>
    <w:rsid w:val="00DA6A3B"/>
    <w:rsid w:val="00DA71B0"/>
    <w:rsid w:val="00DB0A56"/>
    <w:rsid w:val="00DB0D2D"/>
    <w:rsid w:val="00DB1456"/>
    <w:rsid w:val="00DB220C"/>
    <w:rsid w:val="00DB3134"/>
    <w:rsid w:val="00DB5BE3"/>
    <w:rsid w:val="00DB5D4D"/>
    <w:rsid w:val="00DC132B"/>
    <w:rsid w:val="00DC154F"/>
    <w:rsid w:val="00DC2F37"/>
    <w:rsid w:val="00DC48E0"/>
    <w:rsid w:val="00DC4CEE"/>
    <w:rsid w:val="00DC578F"/>
    <w:rsid w:val="00DC5E90"/>
    <w:rsid w:val="00DC6B81"/>
    <w:rsid w:val="00DC715A"/>
    <w:rsid w:val="00DD31CC"/>
    <w:rsid w:val="00DD66AF"/>
    <w:rsid w:val="00DD68F1"/>
    <w:rsid w:val="00DD76CB"/>
    <w:rsid w:val="00DE08DF"/>
    <w:rsid w:val="00DE1202"/>
    <w:rsid w:val="00DE3462"/>
    <w:rsid w:val="00DE49EB"/>
    <w:rsid w:val="00DE4F4B"/>
    <w:rsid w:val="00DE56D3"/>
    <w:rsid w:val="00DF055B"/>
    <w:rsid w:val="00DF0663"/>
    <w:rsid w:val="00DF240E"/>
    <w:rsid w:val="00DF3BAB"/>
    <w:rsid w:val="00E024E1"/>
    <w:rsid w:val="00E035E0"/>
    <w:rsid w:val="00E06333"/>
    <w:rsid w:val="00E100E6"/>
    <w:rsid w:val="00E13D00"/>
    <w:rsid w:val="00E1546B"/>
    <w:rsid w:val="00E15485"/>
    <w:rsid w:val="00E20510"/>
    <w:rsid w:val="00E2106F"/>
    <w:rsid w:val="00E310FC"/>
    <w:rsid w:val="00E31D61"/>
    <w:rsid w:val="00E34CBB"/>
    <w:rsid w:val="00E465A1"/>
    <w:rsid w:val="00E479F4"/>
    <w:rsid w:val="00E50CFF"/>
    <w:rsid w:val="00E57911"/>
    <w:rsid w:val="00E612D8"/>
    <w:rsid w:val="00E62178"/>
    <w:rsid w:val="00E62343"/>
    <w:rsid w:val="00E629FD"/>
    <w:rsid w:val="00E63FFB"/>
    <w:rsid w:val="00E643B8"/>
    <w:rsid w:val="00E66691"/>
    <w:rsid w:val="00E66A1D"/>
    <w:rsid w:val="00E66E11"/>
    <w:rsid w:val="00E67769"/>
    <w:rsid w:val="00E73B9A"/>
    <w:rsid w:val="00E744F4"/>
    <w:rsid w:val="00E745E4"/>
    <w:rsid w:val="00E80CC0"/>
    <w:rsid w:val="00E82EF1"/>
    <w:rsid w:val="00E85AE5"/>
    <w:rsid w:val="00E862DC"/>
    <w:rsid w:val="00E86449"/>
    <w:rsid w:val="00E9299A"/>
    <w:rsid w:val="00E92D50"/>
    <w:rsid w:val="00E9360C"/>
    <w:rsid w:val="00E96E62"/>
    <w:rsid w:val="00EA407C"/>
    <w:rsid w:val="00EA455B"/>
    <w:rsid w:val="00EA5999"/>
    <w:rsid w:val="00EB2487"/>
    <w:rsid w:val="00EB2F5C"/>
    <w:rsid w:val="00EB3C8F"/>
    <w:rsid w:val="00EB5FF4"/>
    <w:rsid w:val="00EB749B"/>
    <w:rsid w:val="00EC0773"/>
    <w:rsid w:val="00EC1564"/>
    <w:rsid w:val="00EC1FFD"/>
    <w:rsid w:val="00EC33D2"/>
    <w:rsid w:val="00EC41E8"/>
    <w:rsid w:val="00EC776B"/>
    <w:rsid w:val="00EC7983"/>
    <w:rsid w:val="00EC79C9"/>
    <w:rsid w:val="00ED1788"/>
    <w:rsid w:val="00ED19B0"/>
    <w:rsid w:val="00ED3F1B"/>
    <w:rsid w:val="00ED5648"/>
    <w:rsid w:val="00ED5E96"/>
    <w:rsid w:val="00EE4EE6"/>
    <w:rsid w:val="00EE684B"/>
    <w:rsid w:val="00EE70C5"/>
    <w:rsid w:val="00EF4BA3"/>
    <w:rsid w:val="00EF6892"/>
    <w:rsid w:val="00F00FF5"/>
    <w:rsid w:val="00F018CC"/>
    <w:rsid w:val="00F0421A"/>
    <w:rsid w:val="00F10649"/>
    <w:rsid w:val="00F12E25"/>
    <w:rsid w:val="00F1339F"/>
    <w:rsid w:val="00F14F4C"/>
    <w:rsid w:val="00F16584"/>
    <w:rsid w:val="00F17C7B"/>
    <w:rsid w:val="00F20CE3"/>
    <w:rsid w:val="00F22D4F"/>
    <w:rsid w:val="00F22D6D"/>
    <w:rsid w:val="00F235F6"/>
    <w:rsid w:val="00F24F2F"/>
    <w:rsid w:val="00F257AA"/>
    <w:rsid w:val="00F27D0D"/>
    <w:rsid w:val="00F30A46"/>
    <w:rsid w:val="00F31249"/>
    <w:rsid w:val="00F32FED"/>
    <w:rsid w:val="00F33995"/>
    <w:rsid w:val="00F4069E"/>
    <w:rsid w:val="00F422C8"/>
    <w:rsid w:val="00F431C8"/>
    <w:rsid w:val="00F46AAD"/>
    <w:rsid w:val="00F4760A"/>
    <w:rsid w:val="00F61F64"/>
    <w:rsid w:val="00F623FB"/>
    <w:rsid w:val="00F62BBC"/>
    <w:rsid w:val="00F63EB9"/>
    <w:rsid w:val="00F708D9"/>
    <w:rsid w:val="00F72D23"/>
    <w:rsid w:val="00F75037"/>
    <w:rsid w:val="00F82807"/>
    <w:rsid w:val="00F83669"/>
    <w:rsid w:val="00F84253"/>
    <w:rsid w:val="00F84A15"/>
    <w:rsid w:val="00F84ED7"/>
    <w:rsid w:val="00F874D4"/>
    <w:rsid w:val="00F90DDE"/>
    <w:rsid w:val="00FA0B1F"/>
    <w:rsid w:val="00FA418F"/>
    <w:rsid w:val="00FA54C7"/>
    <w:rsid w:val="00FA725A"/>
    <w:rsid w:val="00FA7DD0"/>
    <w:rsid w:val="00FC07D6"/>
    <w:rsid w:val="00FC4E46"/>
    <w:rsid w:val="00FC54BD"/>
    <w:rsid w:val="00FC5C36"/>
    <w:rsid w:val="00FD01B8"/>
    <w:rsid w:val="00FD35C2"/>
    <w:rsid w:val="00FD37EC"/>
    <w:rsid w:val="00FD5ADC"/>
    <w:rsid w:val="00FE027A"/>
    <w:rsid w:val="00FE0440"/>
    <w:rsid w:val="00FE105C"/>
    <w:rsid w:val="00FE1B25"/>
    <w:rsid w:val="00FE78FB"/>
    <w:rsid w:val="00FF11CF"/>
    <w:rsid w:val="00FF62C3"/>
    <w:rsid w:val="00FF6B56"/>
    <w:rsid w:val="00FF79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E504"/>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05E"/>
    <w:rPr>
      <w:sz w:val="24"/>
      <w:szCs w:val="24"/>
      <w:lang w:bidi="he-IL"/>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semiHidden/>
    <w:qFormat/>
    <w:pPr>
      <w:suppressAutoHyphens/>
      <w:outlineLvl w:val="1"/>
    </w:pPr>
    <w:rPr>
      <w:sz w:val="20"/>
      <w:szCs w:val="20"/>
      <w:lang w:eastAsia="en-US" w:bidi="ar-SA"/>
    </w:rPr>
  </w:style>
  <w:style w:type="paragraph" w:styleId="Heading3">
    <w:name w:val="heading 3"/>
    <w:basedOn w:val="Normal"/>
    <w:next w:val="Normal"/>
    <w:link w:val="Heading3Char"/>
    <w:semiHidden/>
    <w:qFormat/>
    <w:pPr>
      <w:suppressAutoHyphens/>
      <w:outlineLvl w:val="2"/>
    </w:pPr>
    <w:rPr>
      <w:sz w:val="20"/>
      <w:szCs w:val="20"/>
      <w:lang w:eastAsia="en-US" w:bidi="ar-SA"/>
    </w:rPr>
  </w:style>
  <w:style w:type="paragraph" w:styleId="Heading4">
    <w:name w:val="heading 4"/>
    <w:basedOn w:val="Normal"/>
    <w:next w:val="Normal"/>
    <w:uiPriority w:val="9"/>
    <w:qFormat/>
    <w:pPr>
      <w:suppressAutoHyphens/>
      <w:outlineLvl w:val="3"/>
    </w:pPr>
    <w:rPr>
      <w:sz w:val="20"/>
      <w:szCs w:val="20"/>
      <w:lang w:eastAsia="en-US" w:bidi="ar-SA"/>
    </w:rPr>
  </w:style>
  <w:style w:type="paragraph" w:styleId="Heading5">
    <w:name w:val="heading 5"/>
    <w:basedOn w:val="Normal"/>
    <w:next w:val="Normal"/>
    <w:semiHidden/>
    <w:qFormat/>
    <w:pPr>
      <w:suppressAutoHyphens/>
      <w:outlineLvl w:val="4"/>
    </w:pPr>
    <w:rPr>
      <w:sz w:val="20"/>
      <w:szCs w:val="20"/>
      <w:lang w:eastAsia="en-US" w:bidi="ar-SA"/>
    </w:rPr>
  </w:style>
  <w:style w:type="paragraph" w:styleId="Heading6">
    <w:name w:val="heading 6"/>
    <w:basedOn w:val="Normal"/>
    <w:next w:val="Normal"/>
    <w:semiHidden/>
    <w:qFormat/>
    <w:pPr>
      <w:suppressAutoHyphens/>
      <w:outlineLvl w:val="5"/>
    </w:pPr>
    <w:rPr>
      <w:sz w:val="20"/>
      <w:szCs w:val="20"/>
      <w:lang w:eastAsia="en-US" w:bidi="ar-SA"/>
    </w:rPr>
  </w:style>
  <w:style w:type="paragraph" w:styleId="Heading7">
    <w:name w:val="heading 7"/>
    <w:basedOn w:val="Normal"/>
    <w:next w:val="Normal"/>
    <w:semiHidden/>
    <w:qFormat/>
    <w:pPr>
      <w:suppressAutoHyphens/>
      <w:outlineLvl w:val="6"/>
    </w:pPr>
    <w:rPr>
      <w:sz w:val="20"/>
      <w:szCs w:val="20"/>
      <w:lang w:eastAsia="en-US" w:bidi="ar-SA"/>
    </w:rPr>
  </w:style>
  <w:style w:type="paragraph" w:styleId="Heading8">
    <w:name w:val="heading 8"/>
    <w:basedOn w:val="Normal"/>
    <w:next w:val="Normal"/>
    <w:semiHidden/>
    <w:qFormat/>
    <w:pPr>
      <w:suppressAutoHyphens/>
      <w:outlineLvl w:val="7"/>
    </w:pPr>
    <w:rPr>
      <w:sz w:val="20"/>
      <w:szCs w:val="20"/>
      <w:lang w:eastAsia="en-US" w:bidi="ar-SA"/>
    </w:rPr>
  </w:style>
  <w:style w:type="paragraph" w:styleId="Heading9">
    <w:name w:val="heading 9"/>
    <w:basedOn w:val="Normal"/>
    <w:next w:val="Normal"/>
    <w:semiHidden/>
    <w:qFormat/>
    <w:pPr>
      <w:suppressAutoHyphens/>
      <w:outlineLvl w:val="8"/>
    </w:pPr>
    <w:rPr>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uppressAutoHyphens/>
      <w:spacing w:after="120" w:line="240" w:lineRule="atLeast"/>
      <w:ind w:left="1134" w:right="1134"/>
      <w:jc w:val="both"/>
    </w:pPr>
    <w:rPr>
      <w:sz w:val="20"/>
      <w:szCs w:val="20"/>
      <w:lang w:eastAsia="en-US" w:bidi="ar-SA"/>
    </w:r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pPr>
    <w:rPr>
      <w:b/>
      <w:sz w:val="34"/>
      <w:szCs w:val="20"/>
      <w:lang w:eastAsia="en-US" w:bidi="ar-SA"/>
    </w:rPr>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pPr>
    <w:rPr>
      <w:b/>
      <w:sz w:val="28"/>
      <w:szCs w:val="20"/>
      <w:lang w:eastAsia="en-US" w:bidi="ar-SA"/>
    </w:rPr>
  </w:style>
  <w:style w:type="character" w:styleId="FootnoteReference">
    <w:name w:val="footnote reference"/>
    <w:aliases w:val="4_G,Footnotes refss,Footnote number,Footnote Reference Char3,Footnote Reference Char1 Char,Char Char Car Char Car Char Car Char Car Char Car Char Char Char1 Char,Footnote Reference Char Char Char,Texto de nota al pie,ftref,fr,Ref,FZ"/>
    <w:link w:val="4G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uppressAutoHyphens/>
    </w:pPr>
    <w:rPr>
      <w:b/>
      <w:sz w:val="18"/>
      <w:szCs w:val="20"/>
      <w:lang w:eastAsia="en-US" w:bidi="ar-SA"/>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uppressAutoHyphens/>
      <w:spacing w:before="240" w:after="240" w:line="420" w:lineRule="exact"/>
      <w:ind w:left="1134" w:right="1134"/>
    </w:pPr>
    <w:rPr>
      <w:b/>
      <w:sz w:val="40"/>
      <w:szCs w:val="20"/>
      <w:lang w:eastAsia="en-US" w:bidi="ar-SA"/>
    </w:rPr>
  </w:style>
  <w:style w:type="paragraph" w:customStyle="1" w:styleId="SLG">
    <w:name w:val="__S_L_G"/>
    <w:basedOn w:val="Normal"/>
    <w:next w:val="Normal"/>
    <w:pPr>
      <w:keepNext/>
      <w:keepLines/>
      <w:suppressAutoHyphens/>
      <w:spacing w:before="240" w:after="240" w:line="580" w:lineRule="exact"/>
      <w:ind w:left="1134" w:right="1134"/>
    </w:pPr>
    <w:rPr>
      <w:b/>
      <w:sz w:val="56"/>
      <w:szCs w:val="20"/>
      <w:lang w:eastAsia="en-US" w:bidi="ar-SA"/>
    </w:rPr>
  </w:style>
  <w:style w:type="paragraph" w:customStyle="1" w:styleId="SSG">
    <w:name w:val="__S_S_G"/>
    <w:basedOn w:val="Normal"/>
    <w:next w:val="Normal"/>
    <w:pPr>
      <w:keepNext/>
      <w:keepLines/>
      <w:suppressAutoHyphens/>
      <w:spacing w:before="240" w:after="240" w:line="300" w:lineRule="exact"/>
      <w:ind w:left="1134" w:right="1134"/>
    </w:pPr>
    <w:rPr>
      <w:b/>
      <w:sz w:val="28"/>
      <w:szCs w:val="20"/>
      <w:lang w:eastAsia="en-US" w:bidi="ar-SA"/>
    </w:rPr>
  </w:style>
  <w:style w:type="paragraph" w:styleId="FootnoteText">
    <w:name w:val="footnote text"/>
    <w:aliases w:val="5_G,Char,Footnote Text Char1 Char,Footnote Text Char Char Char,Footnote Text Char2 Char Char Char,Footnote Text Char1 Char1 Char Char Char,Footnote Text Char Char Char Char Char Char,Footnote Text Char1,Footnote Text Char2,f,fn,stile,FA Fu"/>
    <w:basedOn w:val="Normal"/>
    <w:link w:val="FootnoteTextChar"/>
    <w:uiPriority w:val="99"/>
    <w:qFormat/>
    <w:pPr>
      <w:tabs>
        <w:tab w:val="right" w:pos="1021"/>
      </w:tabs>
      <w:suppressAutoHyphens/>
      <w:spacing w:line="220" w:lineRule="exact"/>
      <w:ind w:left="1134" w:right="1134" w:hanging="1134"/>
    </w:pPr>
    <w:rPr>
      <w:sz w:val="18"/>
      <w:szCs w:val="20"/>
      <w:lang w:eastAsia="en-US" w:bidi="ar-SA"/>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uppressAutoHyphens/>
      <w:spacing w:before="240" w:after="240" w:line="420" w:lineRule="exact"/>
      <w:ind w:left="1134" w:right="1134"/>
    </w:pPr>
    <w:rPr>
      <w:b/>
      <w:sz w:val="40"/>
      <w:szCs w:val="20"/>
      <w:lang w:eastAsia="en-US" w:bidi="ar-SA"/>
    </w:rPr>
  </w:style>
  <w:style w:type="paragraph" w:customStyle="1" w:styleId="Bullet1G">
    <w:name w:val="_Bullet 1_G"/>
    <w:basedOn w:val="Normal"/>
    <w:pPr>
      <w:numPr>
        <w:numId w:val="1"/>
      </w:numPr>
      <w:suppressAutoHyphens/>
      <w:spacing w:after="120" w:line="240" w:lineRule="atLeast"/>
      <w:ind w:right="1134"/>
      <w:jc w:val="both"/>
    </w:pPr>
    <w:rPr>
      <w:sz w:val="20"/>
      <w:szCs w:val="20"/>
      <w:lang w:eastAsia="en-US" w:bidi="ar-SA"/>
    </w:rPr>
  </w:style>
  <w:style w:type="paragraph" w:styleId="Footer">
    <w:name w:val="footer"/>
    <w:aliases w:val="3_G"/>
    <w:basedOn w:val="Normal"/>
    <w:pPr>
      <w:suppressAutoHyphens/>
    </w:pPr>
    <w:rPr>
      <w:sz w:val="16"/>
      <w:szCs w:val="20"/>
      <w:lang w:eastAsia="en-US" w:bidi="ar-SA"/>
    </w:rPr>
  </w:style>
  <w:style w:type="paragraph" w:customStyle="1" w:styleId="Bullet2G">
    <w:name w:val="_Bullet 2_G"/>
    <w:basedOn w:val="Normal"/>
    <w:pPr>
      <w:numPr>
        <w:numId w:val="2"/>
      </w:numPr>
      <w:suppressAutoHyphens/>
      <w:spacing w:after="120" w:line="240" w:lineRule="atLeast"/>
      <w:ind w:right="1134"/>
      <w:jc w:val="both"/>
    </w:pPr>
    <w:rPr>
      <w:sz w:val="20"/>
      <w:szCs w:val="20"/>
      <w:lang w:eastAsia="en-US" w:bidi="ar-SA"/>
    </w:rPr>
  </w:style>
  <w:style w:type="paragraph" w:customStyle="1" w:styleId="H1G">
    <w:name w:val="_ H_1_G"/>
    <w:basedOn w:val="Normal"/>
    <w:next w:val="Normal"/>
    <w:qFormat/>
    <w:pPr>
      <w:keepNext/>
      <w:keepLines/>
      <w:tabs>
        <w:tab w:val="right" w:pos="851"/>
      </w:tabs>
      <w:suppressAutoHyphens/>
      <w:spacing w:before="360" w:after="240" w:line="270" w:lineRule="exact"/>
      <w:ind w:left="1134" w:right="1134" w:hanging="1134"/>
    </w:pPr>
    <w:rPr>
      <w:b/>
      <w:szCs w:val="20"/>
      <w:lang w:eastAsia="en-US" w:bidi="ar-SA"/>
    </w:rPr>
  </w:style>
  <w:style w:type="paragraph" w:customStyle="1" w:styleId="H23G">
    <w:name w:val="_ H_2/3_G"/>
    <w:basedOn w:val="Normal"/>
    <w:next w:val="Normal"/>
    <w:pPr>
      <w:keepNext/>
      <w:keepLines/>
      <w:tabs>
        <w:tab w:val="right" w:pos="851"/>
      </w:tabs>
      <w:suppressAutoHyphens/>
      <w:spacing w:before="240" w:after="120" w:line="240" w:lineRule="exact"/>
      <w:ind w:left="1134" w:right="1134" w:hanging="1134"/>
    </w:pPr>
    <w:rPr>
      <w:b/>
      <w:sz w:val="20"/>
      <w:szCs w:val="20"/>
      <w:lang w:eastAsia="en-US" w:bidi="ar-SA"/>
    </w:rPr>
  </w:style>
  <w:style w:type="paragraph" w:customStyle="1" w:styleId="H4G">
    <w:name w:val="_ H_4_G"/>
    <w:basedOn w:val="Normal"/>
    <w:next w:val="Normal"/>
    <w:pPr>
      <w:keepNext/>
      <w:keepLines/>
      <w:tabs>
        <w:tab w:val="right" w:pos="851"/>
      </w:tabs>
      <w:suppressAutoHyphens/>
      <w:spacing w:before="240" w:after="120" w:line="240" w:lineRule="exact"/>
      <w:ind w:left="1134" w:right="1134" w:hanging="1134"/>
    </w:pPr>
    <w:rPr>
      <w:i/>
      <w:sz w:val="20"/>
      <w:szCs w:val="20"/>
      <w:lang w:eastAsia="en-US" w:bidi="ar-SA"/>
    </w:rPr>
  </w:style>
  <w:style w:type="paragraph" w:customStyle="1" w:styleId="H56G">
    <w:name w:val="_ H_5/6_G"/>
    <w:basedOn w:val="Normal"/>
    <w:next w:val="Normal"/>
    <w:pPr>
      <w:keepNext/>
      <w:keepLines/>
      <w:tabs>
        <w:tab w:val="right" w:pos="851"/>
      </w:tabs>
      <w:suppressAutoHyphens/>
      <w:spacing w:before="240" w:after="120" w:line="240" w:lineRule="exact"/>
      <w:ind w:left="1134" w:right="1134" w:hanging="1134"/>
    </w:pPr>
    <w:rPr>
      <w:sz w:val="20"/>
      <w:szCs w:val="20"/>
      <w:lang w:eastAsia="en-US" w:bidi="ar-SA"/>
    </w:rPr>
  </w:style>
  <w:style w:type="paragraph" w:styleId="BalloonText">
    <w:name w:val="Balloon Text"/>
    <w:basedOn w:val="Normal"/>
    <w:semiHidden/>
    <w:pPr>
      <w:suppressAutoHyphens/>
      <w:spacing w:line="240" w:lineRule="atLeast"/>
    </w:pPr>
    <w:rPr>
      <w:rFonts w:ascii="Tahoma" w:hAnsi="Tahoma" w:cs="Tahoma"/>
      <w:sz w:val="16"/>
      <w:szCs w:val="16"/>
      <w:lang w:eastAsia="en-US" w:bidi="ar-SA"/>
    </w:rPr>
  </w:style>
  <w:style w:type="paragraph" w:customStyle="1" w:styleId="ParNoG">
    <w:name w:val="_ParNo_G"/>
    <w:basedOn w:val="SingleTxtG"/>
    <w:qFormat/>
    <w:rsid w:val="000C7485"/>
    <w:pPr>
      <w:numPr>
        <w:numId w:val="3"/>
      </w:numPr>
      <w:tabs>
        <w:tab w:val="clear" w:pos="1560"/>
        <w:tab w:val="num" w:pos="1559"/>
      </w:tabs>
      <w:suppressAutoHyphens w:val="0"/>
      <w:ind w:left="992"/>
    </w:pPr>
  </w:style>
  <w:style w:type="paragraph" w:customStyle="1" w:styleId="Body1">
    <w:name w:val="Body 1"/>
    <w:rsid w:val="004200F6"/>
    <w:pPr>
      <w:suppressAutoHyphens/>
      <w:spacing w:line="240" w:lineRule="atLeast"/>
      <w:outlineLvl w:val="0"/>
    </w:pPr>
    <w:rPr>
      <w:rFonts w:eastAsia="Arial Unicode MS"/>
      <w:color w:val="000000"/>
      <w:u w:color="000000"/>
    </w:rPr>
  </w:style>
  <w:style w:type="character" w:customStyle="1" w:styleId="FootnoteTextChar">
    <w:name w:val="Footnote Text Char"/>
    <w:aliases w:val="5_G Char,Char Char,Footnote Text Char1 Char Char,Footnote Text Char Char Char Char,Footnote Text Char2 Char Char Char Char,Footnote Text Char1 Char1 Char Char Char Char,Footnote Text Char Char Char Char Char Char Char,f Char,fn Char"/>
    <w:basedOn w:val="DefaultParagraphFont"/>
    <w:link w:val="FootnoteText"/>
    <w:uiPriority w:val="99"/>
    <w:qFormat/>
    <w:rsid w:val="004200F6"/>
    <w:rPr>
      <w:sz w:val="18"/>
      <w:lang w:eastAsia="en-US"/>
    </w:rPr>
  </w:style>
  <w:style w:type="paragraph" w:styleId="ListParagraph">
    <w:name w:val="List Paragraph"/>
    <w:basedOn w:val="Normal"/>
    <w:uiPriority w:val="34"/>
    <w:qFormat/>
    <w:rsid w:val="00CD5883"/>
    <w:pPr>
      <w:suppressAutoHyphens/>
      <w:spacing w:line="240" w:lineRule="atLeast"/>
      <w:ind w:left="720"/>
      <w:contextualSpacing/>
    </w:pPr>
    <w:rPr>
      <w:sz w:val="20"/>
      <w:szCs w:val="20"/>
      <w:lang w:eastAsia="en-US" w:bidi="ar-SA"/>
    </w:rPr>
  </w:style>
  <w:style w:type="paragraph" w:styleId="NormalWeb">
    <w:name w:val="Normal (Web)"/>
    <w:basedOn w:val="Normal"/>
    <w:uiPriority w:val="99"/>
    <w:unhideWhenUsed/>
    <w:rsid w:val="004B5AF2"/>
    <w:pPr>
      <w:suppressAutoHyphens/>
      <w:spacing w:line="240" w:lineRule="atLeast"/>
    </w:pPr>
    <w:rPr>
      <w:lang w:eastAsia="en-US" w:bidi="ar-SA"/>
    </w:rPr>
  </w:style>
  <w:style w:type="character" w:styleId="CommentReference">
    <w:name w:val="annotation reference"/>
    <w:basedOn w:val="DefaultParagraphFont"/>
    <w:uiPriority w:val="99"/>
    <w:unhideWhenUsed/>
    <w:rsid w:val="00D113C4"/>
    <w:rPr>
      <w:sz w:val="16"/>
      <w:szCs w:val="16"/>
    </w:rPr>
  </w:style>
  <w:style w:type="paragraph" w:styleId="CommentText">
    <w:name w:val="annotation text"/>
    <w:basedOn w:val="Normal"/>
    <w:link w:val="CommentTextChar"/>
    <w:uiPriority w:val="99"/>
    <w:unhideWhenUsed/>
    <w:rsid w:val="00D67E5C"/>
    <w:pPr>
      <w:suppressAutoHyphens/>
    </w:pPr>
    <w:rPr>
      <w:sz w:val="20"/>
      <w:szCs w:val="20"/>
      <w:lang w:eastAsia="en-US" w:bidi="ar-SA"/>
    </w:rPr>
  </w:style>
  <w:style w:type="character" w:customStyle="1" w:styleId="CommentTextChar">
    <w:name w:val="Comment Text Char"/>
    <w:basedOn w:val="DefaultParagraphFont"/>
    <w:link w:val="CommentText"/>
    <w:uiPriority w:val="99"/>
    <w:rsid w:val="00D67E5C"/>
    <w:rPr>
      <w:lang w:eastAsia="en-US"/>
    </w:rPr>
  </w:style>
  <w:style w:type="paragraph" w:styleId="CommentSubject">
    <w:name w:val="annotation subject"/>
    <w:basedOn w:val="CommentText"/>
    <w:next w:val="CommentText"/>
    <w:link w:val="CommentSubjectChar"/>
    <w:semiHidden/>
    <w:unhideWhenUsed/>
    <w:rsid w:val="00D67E5C"/>
    <w:rPr>
      <w:b/>
      <w:bCs/>
    </w:rPr>
  </w:style>
  <w:style w:type="character" w:customStyle="1" w:styleId="CommentSubjectChar">
    <w:name w:val="Comment Subject Char"/>
    <w:basedOn w:val="CommentTextChar"/>
    <w:link w:val="CommentSubject"/>
    <w:semiHidden/>
    <w:rsid w:val="00D67E5C"/>
    <w:rPr>
      <w:b/>
      <w:bCs/>
      <w:lang w:eastAsia="en-US"/>
    </w:rPr>
  </w:style>
  <w:style w:type="character" w:customStyle="1" w:styleId="apple-converted-space">
    <w:name w:val="apple-converted-space"/>
    <w:basedOn w:val="DefaultParagraphFont"/>
    <w:rsid w:val="00FC07D6"/>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Appel note de bas de page Char"/>
    <w:basedOn w:val="Normal"/>
    <w:link w:val="FootnoteReference"/>
    <w:uiPriority w:val="99"/>
    <w:rsid w:val="00882E0E"/>
    <w:pPr>
      <w:autoSpaceDE w:val="0"/>
      <w:autoSpaceDN w:val="0"/>
      <w:adjustRightInd w:val="0"/>
      <w:spacing w:line="240" w:lineRule="exact"/>
      <w:jc w:val="both"/>
    </w:pPr>
    <w:rPr>
      <w:sz w:val="18"/>
      <w:szCs w:val="20"/>
      <w:vertAlign w:val="superscript"/>
      <w:lang w:bidi="ar-SA"/>
    </w:rPr>
  </w:style>
  <w:style w:type="character" w:customStyle="1" w:styleId="UnresolvedMention1">
    <w:name w:val="Unresolved Mention1"/>
    <w:basedOn w:val="DefaultParagraphFont"/>
    <w:uiPriority w:val="99"/>
    <w:semiHidden/>
    <w:unhideWhenUsed/>
    <w:rsid w:val="008848CE"/>
    <w:rPr>
      <w:color w:val="605E5C"/>
      <w:shd w:val="clear" w:color="auto" w:fill="E1DFDD"/>
    </w:rPr>
  </w:style>
  <w:style w:type="character" w:customStyle="1" w:styleId="markedcontent">
    <w:name w:val="markedcontent"/>
    <w:basedOn w:val="DefaultParagraphFont"/>
    <w:rsid w:val="00D16DC8"/>
  </w:style>
  <w:style w:type="character" w:customStyle="1" w:styleId="sessionsubtitle">
    <w:name w:val="sessionsubtitle"/>
    <w:basedOn w:val="DefaultParagraphFont"/>
    <w:rsid w:val="001F4E45"/>
  </w:style>
  <w:style w:type="character" w:customStyle="1" w:styleId="UnresolvedMention2">
    <w:name w:val="Unresolved Mention2"/>
    <w:basedOn w:val="DefaultParagraphFont"/>
    <w:uiPriority w:val="99"/>
    <w:semiHidden/>
    <w:unhideWhenUsed/>
    <w:rsid w:val="00DD31CC"/>
    <w:rPr>
      <w:color w:val="605E5C"/>
      <w:shd w:val="clear" w:color="auto" w:fill="E1DFDD"/>
    </w:rPr>
  </w:style>
  <w:style w:type="paragraph" w:customStyle="1" w:styleId="SingleTxt">
    <w:name w:val="__Single Txt"/>
    <w:basedOn w:val="Normal"/>
    <w:rsid w:val="005249F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heme="majorBidi" w:hAnsiTheme="majorBidi" w:cstheme="majorBidi"/>
      <w:sz w:val="20"/>
      <w:szCs w:val="20"/>
    </w:rPr>
  </w:style>
  <w:style w:type="paragraph" w:customStyle="1" w:styleId="NormalBullet">
    <w:name w:val="Normal Bullet"/>
    <w:basedOn w:val="Normal"/>
    <w:next w:val="Normal"/>
    <w:qFormat/>
    <w:rsid w:val="00A51951"/>
    <w:pPr>
      <w:keepLines/>
      <w:numPr>
        <w:numId w:val="5"/>
      </w:num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line="240" w:lineRule="atLeast"/>
      <w:ind w:right="302"/>
      <w:jc w:val="both"/>
    </w:pPr>
    <w:rPr>
      <w:rFonts w:asciiTheme="majorBidi" w:hAnsiTheme="majorBidi" w:cstheme="majorBidi"/>
      <w:sz w:val="20"/>
      <w:szCs w:val="20"/>
    </w:rPr>
  </w:style>
  <w:style w:type="paragraph" w:customStyle="1" w:styleId="H1">
    <w:name w:val="_ H_1"/>
    <w:basedOn w:val="Normal"/>
    <w:next w:val="SingleTxt"/>
    <w:rsid w:val="00D30A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jc w:val="both"/>
      <w:outlineLvl w:val="0"/>
    </w:pPr>
    <w:rPr>
      <w:rFonts w:asciiTheme="majorBidi" w:hAnsiTheme="majorBidi" w:cstheme="majorBidi"/>
      <w:b/>
      <w:sz w:val="20"/>
      <w:szCs w:val="20"/>
    </w:rPr>
  </w:style>
  <w:style w:type="character" w:customStyle="1" w:styleId="ptext-">
    <w:name w:val="ptext-"/>
    <w:basedOn w:val="DefaultParagraphFont"/>
    <w:rsid w:val="00D30A99"/>
  </w:style>
  <w:style w:type="character" w:customStyle="1" w:styleId="Heading3Char">
    <w:name w:val="Heading 3 Char"/>
    <w:link w:val="Heading3"/>
    <w:semiHidden/>
    <w:rsid w:val="00083B20"/>
    <w:rPr>
      <w:lang w:eastAsia="en-US"/>
    </w:rPr>
  </w:style>
  <w:style w:type="character" w:styleId="UnresolvedMention">
    <w:name w:val="Unresolved Mention"/>
    <w:basedOn w:val="DefaultParagraphFont"/>
    <w:uiPriority w:val="99"/>
    <w:semiHidden/>
    <w:unhideWhenUsed/>
    <w:rsid w:val="002F6864"/>
    <w:rPr>
      <w:color w:val="605E5C"/>
      <w:shd w:val="clear" w:color="auto" w:fill="E1DFDD"/>
    </w:rPr>
  </w:style>
  <w:style w:type="paragraph" w:styleId="Revision">
    <w:name w:val="Revision"/>
    <w:hidden/>
    <w:uiPriority w:val="99"/>
    <w:semiHidden/>
    <w:rsid w:val="00B0621B"/>
    <w:rPr>
      <w:sz w:val="24"/>
      <w:szCs w:val="24"/>
      <w:lang w:bidi="he-IL"/>
    </w:rPr>
  </w:style>
  <w:style w:type="paragraph" w:styleId="Title">
    <w:name w:val="Title"/>
    <w:basedOn w:val="Normal"/>
    <w:link w:val="TitleChar"/>
    <w:uiPriority w:val="10"/>
    <w:qFormat/>
    <w:rsid w:val="00AC717D"/>
    <w:pPr>
      <w:pBdr>
        <w:left w:val="single" w:sz="48" w:space="10" w:color="000000" w:themeColor="text1"/>
      </w:pBdr>
      <w:spacing w:before="240" w:line="288" w:lineRule="auto"/>
      <w:contextualSpacing/>
    </w:pPr>
    <w:rPr>
      <w:rFonts w:asciiTheme="majorHAnsi" w:eastAsiaTheme="majorEastAsia" w:hAnsiTheme="majorHAnsi" w:cstheme="majorBidi"/>
      <w:caps/>
      <w:color w:val="C0504D" w:themeColor="accent2"/>
      <w:spacing w:val="6"/>
      <w:sz w:val="54"/>
      <w:szCs w:val="56"/>
      <w:lang w:val="en-US" w:eastAsia="ja-JP" w:bidi="ar-SA"/>
    </w:rPr>
  </w:style>
  <w:style w:type="character" w:customStyle="1" w:styleId="TitleChar">
    <w:name w:val="Title Char"/>
    <w:basedOn w:val="DefaultParagraphFont"/>
    <w:link w:val="Title"/>
    <w:uiPriority w:val="10"/>
    <w:rsid w:val="00AC717D"/>
    <w:rPr>
      <w:rFonts w:asciiTheme="majorHAnsi" w:eastAsiaTheme="majorEastAsia" w:hAnsiTheme="majorHAnsi" w:cstheme="majorBidi"/>
      <w:caps/>
      <w:color w:val="C0504D" w:themeColor="accent2"/>
      <w:spacing w:val="6"/>
      <w:sz w:val="54"/>
      <w:szCs w:val="56"/>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rsid w:val="00AC717D"/>
    <w:pPr>
      <w:spacing w:after="160" w:line="240" w:lineRule="exact"/>
      <w:jc w:val="both"/>
    </w:pPr>
    <w:rPr>
      <w:rFonts w:ascii="Calibri" w:eastAsia="Calibri" w:hAnsi="Calibri" w:cs="Calibri"/>
      <w:sz w:val="22"/>
      <w:szCs w:val="22"/>
      <w:vertAlign w:val="superscript"/>
      <w:lang w:val="en-US" w:eastAsia="en-US" w:bidi="ar-SA"/>
    </w:rPr>
  </w:style>
  <w:style w:type="paragraph" w:customStyle="1" w:styleId="paragraph">
    <w:name w:val="paragraph"/>
    <w:basedOn w:val="Normal"/>
    <w:rsid w:val="00AC717D"/>
    <w:pPr>
      <w:spacing w:before="100" w:beforeAutospacing="1" w:after="100" w:afterAutospacing="1"/>
    </w:pPr>
    <w:rPr>
      <w:lang w:val="en-US" w:eastAsia="en-US" w:bidi="ar-SA"/>
    </w:rPr>
  </w:style>
  <w:style w:type="character" w:customStyle="1" w:styleId="normaltextrun">
    <w:name w:val="normaltextrun"/>
    <w:basedOn w:val="DefaultParagraphFont"/>
    <w:rsid w:val="00AC717D"/>
  </w:style>
  <w:style w:type="character" w:customStyle="1" w:styleId="Heading1Char">
    <w:name w:val="Heading 1 Char"/>
    <w:aliases w:val="Table_G Char"/>
    <w:basedOn w:val="DefaultParagraphFont"/>
    <w:link w:val="Heading1"/>
    <w:rsid w:val="00A40262"/>
    <w:rPr>
      <w:lang w:eastAsia="en-US"/>
    </w:rPr>
  </w:style>
  <w:style w:type="paragraph" w:styleId="NoSpacing">
    <w:name w:val="No Spacing"/>
    <w:uiPriority w:val="1"/>
    <w:qFormat/>
    <w:rsid w:val="00A40262"/>
    <w:rPr>
      <w:rFonts w:ascii="Calibri" w:eastAsia="Calibri" w:hAnsi="Calibri" w:cs="Calibri"/>
      <w:sz w:val="22"/>
      <w:szCs w:val="22"/>
      <w:lang w:val="en-US" w:eastAsia="en-US"/>
    </w:rPr>
  </w:style>
  <w:style w:type="character" w:styleId="Emphasis">
    <w:name w:val="Emphasis"/>
    <w:basedOn w:val="DefaultParagraphFont"/>
    <w:uiPriority w:val="20"/>
    <w:qFormat/>
    <w:rsid w:val="00A40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2739">
      <w:bodyDiv w:val="1"/>
      <w:marLeft w:val="0"/>
      <w:marRight w:val="0"/>
      <w:marTop w:val="0"/>
      <w:marBottom w:val="0"/>
      <w:divBdr>
        <w:top w:val="none" w:sz="0" w:space="0" w:color="auto"/>
        <w:left w:val="none" w:sz="0" w:space="0" w:color="auto"/>
        <w:bottom w:val="none" w:sz="0" w:space="0" w:color="auto"/>
        <w:right w:val="none" w:sz="0" w:space="0" w:color="auto"/>
      </w:divBdr>
    </w:div>
    <w:div w:id="127553831">
      <w:bodyDiv w:val="1"/>
      <w:marLeft w:val="0"/>
      <w:marRight w:val="0"/>
      <w:marTop w:val="0"/>
      <w:marBottom w:val="0"/>
      <w:divBdr>
        <w:top w:val="none" w:sz="0" w:space="0" w:color="auto"/>
        <w:left w:val="none" w:sz="0" w:space="0" w:color="auto"/>
        <w:bottom w:val="none" w:sz="0" w:space="0" w:color="auto"/>
        <w:right w:val="none" w:sz="0" w:space="0" w:color="auto"/>
      </w:divBdr>
    </w:div>
    <w:div w:id="318467173">
      <w:bodyDiv w:val="1"/>
      <w:marLeft w:val="0"/>
      <w:marRight w:val="0"/>
      <w:marTop w:val="0"/>
      <w:marBottom w:val="0"/>
      <w:divBdr>
        <w:top w:val="none" w:sz="0" w:space="0" w:color="auto"/>
        <w:left w:val="none" w:sz="0" w:space="0" w:color="auto"/>
        <w:bottom w:val="none" w:sz="0" w:space="0" w:color="auto"/>
        <w:right w:val="none" w:sz="0" w:space="0" w:color="auto"/>
      </w:divBdr>
    </w:div>
    <w:div w:id="349142967">
      <w:bodyDiv w:val="1"/>
      <w:marLeft w:val="0"/>
      <w:marRight w:val="0"/>
      <w:marTop w:val="0"/>
      <w:marBottom w:val="0"/>
      <w:divBdr>
        <w:top w:val="none" w:sz="0" w:space="0" w:color="auto"/>
        <w:left w:val="none" w:sz="0" w:space="0" w:color="auto"/>
        <w:bottom w:val="none" w:sz="0" w:space="0" w:color="auto"/>
        <w:right w:val="none" w:sz="0" w:space="0" w:color="auto"/>
      </w:divBdr>
    </w:div>
    <w:div w:id="403339425">
      <w:bodyDiv w:val="1"/>
      <w:marLeft w:val="0"/>
      <w:marRight w:val="0"/>
      <w:marTop w:val="0"/>
      <w:marBottom w:val="0"/>
      <w:divBdr>
        <w:top w:val="none" w:sz="0" w:space="0" w:color="auto"/>
        <w:left w:val="none" w:sz="0" w:space="0" w:color="auto"/>
        <w:bottom w:val="none" w:sz="0" w:space="0" w:color="auto"/>
        <w:right w:val="none" w:sz="0" w:space="0" w:color="auto"/>
      </w:divBdr>
    </w:div>
    <w:div w:id="424300680">
      <w:bodyDiv w:val="1"/>
      <w:marLeft w:val="0"/>
      <w:marRight w:val="0"/>
      <w:marTop w:val="0"/>
      <w:marBottom w:val="0"/>
      <w:divBdr>
        <w:top w:val="none" w:sz="0" w:space="0" w:color="auto"/>
        <w:left w:val="none" w:sz="0" w:space="0" w:color="auto"/>
        <w:bottom w:val="none" w:sz="0" w:space="0" w:color="auto"/>
        <w:right w:val="none" w:sz="0" w:space="0" w:color="auto"/>
      </w:divBdr>
    </w:div>
    <w:div w:id="428934928">
      <w:bodyDiv w:val="1"/>
      <w:marLeft w:val="0"/>
      <w:marRight w:val="0"/>
      <w:marTop w:val="0"/>
      <w:marBottom w:val="0"/>
      <w:divBdr>
        <w:top w:val="none" w:sz="0" w:space="0" w:color="auto"/>
        <w:left w:val="none" w:sz="0" w:space="0" w:color="auto"/>
        <w:bottom w:val="none" w:sz="0" w:space="0" w:color="auto"/>
        <w:right w:val="none" w:sz="0" w:space="0" w:color="auto"/>
      </w:divBdr>
    </w:div>
    <w:div w:id="564947713">
      <w:bodyDiv w:val="1"/>
      <w:marLeft w:val="0"/>
      <w:marRight w:val="0"/>
      <w:marTop w:val="0"/>
      <w:marBottom w:val="0"/>
      <w:divBdr>
        <w:top w:val="none" w:sz="0" w:space="0" w:color="auto"/>
        <w:left w:val="none" w:sz="0" w:space="0" w:color="auto"/>
        <w:bottom w:val="none" w:sz="0" w:space="0" w:color="auto"/>
        <w:right w:val="none" w:sz="0" w:space="0" w:color="auto"/>
      </w:divBdr>
    </w:div>
    <w:div w:id="658575555">
      <w:bodyDiv w:val="1"/>
      <w:marLeft w:val="0"/>
      <w:marRight w:val="0"/>
      <w:marTop w:val="0"/>
      <w:marBottom w:val="0"/>
      <w:divBdr>
        <w:top w:val="none" w:sz="0" w:space="0" w:color="auto"/>
        <w:left w:val="none" w:sz="0" w:space="0" w:color="auto"/>
        <w:bottom w:val="none" w:sz="0" w:space="0" w:color="auto"/>
        <w:right w:val="none" w:sz="0" w:space="0" w:color="auto"/>
      </w:divBdr>
    </w:div>
    <w:div w:id="675423336">
      <w:bodyDiv w:val="1"/>
      <w:marLeft w:val="0"/>
      <w:marRight w:val="0"/>
      <w:marTop w:val="0"/>
      <w:marBottom w:val="0"/>
      <w:divBdr>
        <w:top w:val="none" w:sz="0" w:space="0" w:color="auto"/>
        <w:left w:val="none" w:sz="0" w:space="0" w:color="auto"/>
        <w:bottom w:val="none" w:sz="0" w:space="0" w:color="auto"/>
        <w:right w:val="none" w:sz="0" w:space="0" w:color="auto"/>
      </w:divBdr>
    </w:div>
    <w:div w:id="907350215">
      <w:bodyDiv w:val="1"/>
      <w:marLeft w:val="0"/>
      <w:marRight w:val="0"/>
      <w:marTop w:val="0"/>
      <w:marBottom w:val="0"/>
      <w:divBdr>
        <w:top w:val="none" w:sz="0" w:space="0" w:color="auto"/>
        <w:left w:val="none" w:sz="0" w:space="0" w:color="auto"/>
        <w:bottom w:val="none" w:sz="0" w:space="0" w:color="auto"/>
        <w:right w:val="none" w:sz="0" w:space="0" w:color="auto"/>
      </w:divBdr>
    </w:div>
    <w:div w:id="929698831">
      <w:bodyDiv w:val="1"/>
      <w:marLeft w:val="0"/>
      <w:marRight w:val="0"/>
      <w:marTop w:val="0"/>
      <w:marBottom w:val="0"/>
      <w:divBdr>
        <w:top w:val="none" w:sz="0" w:space="0" w:color="auto"/>
        <w:left w:val="none" w:sz="0" w:space="0" w:color="auto"/>
        <w:bottom w:val="none" w:sz="0" w:space="0" w:color="auto"/>
        <w:right w:val="none" w:sz="0" w:space="0" w:color="auto"/>
      </w:divBdr>
    </w:div>
    <w:div w:id="954410229">
      <w:bodyDiv w:val="1"/>
      <w:marLeft w:val="0"/>
      <w:marRight w:val="0"/>
      <w:marTop w:val="0"/>
      <w:marBottom w:val="0"/>
      <w:divBdr>
        <w:top w:val="none" w:sz="0" w:space="0" w:color="auto"/>
        <w:left w:val="none" w:sz="0" w:space="0" w:color="auto"/>
        <w:bottom w:val="none" w:sz="0" w:space="0" w:color="auto"/>
        <w:right w:val="none" w:sz="0" w:space="0" w:color="auto"/>
      </w:divBdr>
    </w:div>
    <w:div w:id="1137526217">
      <w:bodyDiv w:val="1"/>
      <w:marLeft w:val="0"/>
      <w:marRight w:val="0"/>
      <w:marTop w:val="0"/>
      <w:marBottom w:val="0"/>
      <w:divBdr>
        <w:top w:val="none" w:sz="0" w:space="0" w:color="auto"/>
        <w:left w:val="none" w:sz="0" w:space="0" w:color="auto"/>
        <w:bottom w:val="none" w:sz="0" w:space="0" w:color="auto"/>
        <w:right w:val="none" w:sz="0" w:space="0" w:color="auto"/>
      </w:divBdr>
    </w:div>
    <w:div w:id="1170365676">
      <w:bodyDiv w:val="1"/>
      <w:marLeft w:val="0"/>
      <w:marRight w:val="0"/>
      <w:marTop w:val="0"/>
      <w:marBottom w:val="0"/>
      <w:divBdr>
        <w:top w:val="none" w:sz="0" w:space="0" w:color="auto"/>
        <w:left w:val="none" w:sz="0" w:space="0" w:color="auto"/>
        <w:bottom w:val="none" w:sz="0" w:space="0" w:color="auto"/>
        <w:right w:val="none" w:sz="0" w:space="0" w:color="auto"/>
      </w:divBdr>
    </w:div>
    <w:div w:id="1179809429">
      <w:bodyDiv w:val="1"/>
      <w:marLeft w:val="0"/>
      <w:marRight w:val="0"/>
      <w:marTop w:val="0"/>
      <w:marBottom w:val="0"/>
      <w:divBdr>
        <w:top w:val="none" w:sz="0" w:space="0" w:color="auto"/>
        <w:left w:val="none" w:sz="0" w:space="0" w:color="auto"/>
        <w:bottom w:val="none" w:sz="0" w:space="0" w:color="auto"/>
        <w:right w:val="none" w:sz="0" w:space="0" w:color="auto"/>
      </w:divBdr>
    </w:div>
    <w:div w:id="1204906765">
      <w:bodyDiv w:val="1"/>
      <w:marLeft w:val="0"/>
      <w:marRight w:val="0"/>
      <w:marTop w:val="0"/>
      <w:marBottom w:val="0"/>
      <w:divBdr>
        <w:top w:val="none" w:sz="0" w:space="0" w:color="auto"/>
        <w:left w:val="none" w:sz="0" w:space="0" w:color="auto"/>
        <w:bottom w:val="none" w:sz="0" w:space="0" w:color="auto"/>
        <w:right w:val="none" w:sz="0" w:space="0" w:color="auto"/>
      </w:divBdr>
    </w:div>
    <w:div w:id="1328436364">
      <w:bodyDiv w:val="1"/>
      <w:marLeft w:val="0"/>
      <w:marRight w:val="0"/>
      <w:marTop w:val="0"/>
      <w:marBottom w:val="0"/>
      <w:divBdr>
        <w:top w:val="none" w:sz="0" w:space="0" w:color="auto"/>
        <w:left w:val="none" w:sz="0" w:space="0" w:color="auto"/>
        <w:bottom w:val="none" w:sz="0" w:space="0" w:color="auto"/>
        <w:right w:val="none" w:sz="0" w:space="0" w:color="auto"/>
      </w:divBdr>
    </w:div>
    <w:div w:id="1407190422">
      <w:bodyDiv w:val="1"/>
      <w:marLeft w:val="0"/>
      <w:marRight w:val="0"/>
      <w:marTop w:val="0"/>
      <w:marBottom w:val="0"/>
      <w:divBdr>
        <w:top w:val="none" w:sz="0" w:space="0" w:color="auto"/>
        <w:left w:val="none" w:sz="0" w:space="0" w:color="auto"/>
        <w:bottom w:val="none" w:sz="0" w:space="0" w:color="auto"/>
        <w:right w:val="none" w:sz="0" w:space="0" w:color="auto"/>
      </w:divBdr>
    </w:div>
    <w:div w:id="1458142676">
      <w:bodyDiv w:val="1"/>
      <w:marLeft w:val="0"/>
      <w:marRight w:val="0"/>
      <w:marTop w:val="0"/>
      <w:marBottom w:val="0"/>
      <w:divBdr>
        <w:top w:val="none" w:sz="0" w:space="0" w:color="auto"/>
        <w:left w:val="none" w:sz="0" w:space="0" w:color="auto"/>
        <w:bottom w:val="none" w:sz="0" w:space="0" w:color="auto"/>
        <w:right w:val="none" w:sz="0" w:space="0" w:color="auto"/>
      </w:divBdr>
    </w:div>
    <w:div w:id="1458908592">
      <w:bodyDiv w:val="1"/>
      <w:marLeft w:val="0"/>
      <w:marRight w:val="0"/>
      <w:marTop w:val="0"/>
      <w:marBottom w:val="0"/>
      <w:divBdr>
        <w:top w:val="none" w:sz="0" w:space="0" w:color="auto"/>
        <w:left w:val="none" w:sz="0" w:space="0" w:color="auto"/>
        <w:bottom w:val="none" w:sz="0" w:space="0" w:color="auto"/>
        <w:right w:val="none" w:sz="0" w:space="0" w:color="auto"/>
      </w:divBdr>
    </w:div>
    <w:div w:id="1459370956">
      <w:bodyDiv w:val="1"/>
      <w:marLeft w:val="0"/>
      <w:marRight w:val="0"/>
      <w:marTop w:val="0"/>
      <w:marBottom w:val="0"/>
      <w:divBdr>
        <w:top w:val="none" w:sz="0" w:space="0" w:color="auto"/>
        <w:left w:val="none" w:sz="0" w:space="0" w:color="auto"/>
        <w:bottom w:val="none" w:sz="0" w:space="0" w:color="auto"/>
        <w:right w:val="none" w:sz="0" w:space="0" w:color="auto"/>
      </w:divBdr>
    </w:div>
    <w:div w:id="1654484784">
      <w:bodyDiv w:val="1"/>
      <w:marLeft w:val="0"/>
      <w:marRight w:val="0"/>
      <w:marTop w:val="0"/>
      <w:marBottom w:val="0"/>
      <w:divBdr>
        <w:top w:val="none" w:sz="0" w:space="0" w:color="auto"/>
        <w:left w:val="none" w:sz="0" w:space="0" w:color="auto"/>
        <w:bottom w:val="none" w:sz="0" w:space="0" w:color="auto"/>
        <w:right w:val="none" w:sz="0" w:space="0" w:color="auto"/>
      </w:divBdr>
    </w:div>
    <w:div w:id="1703434806">
      <w:bodyDiv w:val="1"/>
      <w:marLeft w:val="0"/>
      <w:marRight w:val="0"/>
      <w:marTop w:val="0"/>
      <w:marBottom w:val="0"/>
      <w:divBdr>
        <w:top w:val="none" w:sz="0" w:space="0" w:color="auto"/>
        <w:left w:val="none" w:sz="0" w:space="0" w:color="auto"/>
        <w:bottom w:val="none" w:sz="0" w:space="0" w:color="auto"/>
        <w:right w:val="none" w:sz="0" w:space="0" w:color="auto"/>
      </w:divBdr>
    </w:div>
    <w:div w:id="1704556112">
      <w:bodyDiv w:val="1"/>
      <w:marLeft w:val="0"/>
      <w:marRight w:val="0"/>
      <w:marTop w:val="0"/>
      <w:marBottom w:val="0"/>
      <w:divBdr>
        <w:top w:val="none" w:sz="0" w:space="0" w:color="auto"/>
        <w:left w:val="none" w:sz="0" w:space="0" w:color="auto"/>
        <w:bottom w:val="none" w:sz="0" w:space="0" w:color="auto"/>
        <w:right w:val="none" w:sz="0" w:space="0" w:color="auto"/>
      </w:divBdr>
    </w:div>
    <w:div w:id="1788352609">
      <w:bodyDiv w:val="1"/>
      <w:marLeft w:val="0"/>
      <w:marRight w:val="0"/>
      <w:marTop w:val="0"/>
      <w:marBottom w:val="0"/>
      <w:divBdr>
        <w:top w:val="none" w:sz="0" w:space="0" w:color="auto"/>
        <w:left w:val="none" w:sz="0" w:space="0" w:color="auto"/>
        <w:bottom w:val="none" w:sz="0" w:space="0" w:color="auto"/>
        <w:right w:val="none" w:sz="0" w:space="0" w:color="auto"/>
      </w:divBdr>
    </w:div>
    <w:div w:id="1793398166">
      <w:bodyDiv w:val="1"/>
      <w:marLeft w:val="0"/>
      <w:marRight w:val="0"/>
      <w:marTop w:val="0"/>
      <w:marBottom w:val="0"/>
      <w:divBdr>
        <w:top w:val="none" w:sz="0" w:space="0" w:color="auto"/>
        <w:left w:val="none" w:sz="0" w:space="0" w:color="auto"/>
        <w:bottom w:val="none" w:sz="0" w:space="0" w:color="auto"/>
        <w:right w:val="none" w:sz="0" w:space="0" w:color="auto"/>
      </w:divBdr>
    </w:div>
    <w:div w:id="1797481596">
      <w:bodyDiv w:val="1"/>
      <w:marLeft w:val="0"/>
      <w:marRight w:val="0"/>
      <w:marTop w:val="0"/>
      <w:marBottom w:val="0"/>
      <w:divBdr>
        <w:top w:val="none" w:sz="0" w:space="0" w:color="auto"/>
        <w:left w:val="none" w:sz="0" w:space="0" w:color="auto"/>
        <w:bottom w:val="none" w:sz="0" w:space="0" w:color="auto"/>
        <w:right w:val="none" w:sz="0" w:space="0" w:color="auto"/>
      </w:divBdr>
    </w:div>
    <w:div w:id="1896038875">
      <w:bodyDiv w:val="1"/>
      <w:marLeft w:val="0"/>
      <w:marRight w:val="0"/>
      <w:marTop w:val="0"/>
      <w:marBottom w:val="0"/>
      <w:divBdr>
        <w:top w:val="none" w:sz="0" w:space="0" w:color="auto"/>
        <w:left w:val="none" w:sz="0" w:space="0" w:color="auto"/>
        <w:bottom w:val="none" w:sz="0" w:space="0" w:color="auto"/>
        <w:right w:val="none" w:sz="0" w:space="0" w:color="auto"/>
      </w:divBdr>
    </w:div>
    <w:div w:id="1905215962">
      <w:bodyDiv w:val="1"/>
      <w:marLeft w:val="0"/>
      <w:marRight w:val="0"/>
      <w:marTop w:val="0"/>
      <w:marBottom w:val="0"/>
      <w:divBdr>
        <w:top w:val="none" w:sz="0" w:space="0" w:color="auto"/>
        <w:left w:val="none" w:sz="0" w:space="0" w:color="auto"/>
        <w:bottom w:val="none" w:sz="0" w:space="0" w:color="auto"/>
        <w:right w:val="none" w:sz="0" w:space="0" w:color="auto"/>
      </w:divBdr>
    </w:div>
    <w:div w:id="1925994823">
      <w:bodyDiv w:val="1"/>
      <w:marLeft w:val="0"/>
      <w:marRight w:val="0"/>
      <w:marTop w:val="0"/>
      <w:marBottom w:val="0"/>
      <w:divBdr>
        <w:top w:val="none" w:sz="0" w:space="0" w:color="auto"/>
        <w:left w:val="none" w:sz="0" w:space="0" w:color="auto"/>
        <w:bottom w:val="none" w:sz="0" w:space="0" w:color="auto"/>
        <w:right w:val="none" w:sz="0" w:space="0" w:color="auto"/>
      </w:divBdr>
    </w:div>
    <w:div w:id="1982997699">
      <w:bodyDiv w:val="1"/>
      <w:marLeft w:val="0"/>
      <w:marRight w:val="0"/>
      <w:marTop w:val="0"/>
      <w:marBottom w:val="0"/>
      <w:divBdr>
        <w:top w:val="none" w:sz="0" w:space="0" w:color="auto"/>
        <w:left w:val="none" w:sz="0" w:space="0" w:color="auto"/>
        <w:bottom w:val="none" w:sz="0" w:space="0" w:color="auto"/>
        <w:right w:val="none" w:sz="0" w:space="0" w:color="auto"/>
      </w:divBdr>
    </w:div>
    <w:div w:id="2077236844">
      <w:bodyDiv w:val="1"/>
      <w:marLeft w:val="0"/>
      <w:marRight w:val="0"/>
      <w:marTop w:val="0"/>
      <w:marBottom w:val="0"/>
      <w:divBdr>
        <w:top w:val="none" w:sz="0" w:space="0" w:color="auto"/>
        <w:left w:val="none" w:sz="0" w:space="0" w:color="auto"/>
        <w:bottom w:val="none" w:sz="0" w:space="0" w:color="auto"/>
        <w:right w:val="none" w:sz="0" w:space="0" w:color="auto"/>
      </w:divBdr>
    </w:div>
    <w:div w:id="2105881301">
      <w:bodyDiv w:val="1"/>
      <w:marLeft w:val="0"/>
      <w:marRight w:val="0"/>
      <w:marTop w:val="0"/>
      <w:marBottom w:val="0"/>
      <w:divBdr>
        <w:top w:val="none" w:sz="0" w:space="0" w:color="auto"/>
        <w:left w:val="none" w:sz="0" w:space="0" w:color="auto"/>
        <w:bottom w:val="none" w:sz="0" w:space="0" w:color="auto"/>
        <w:right w:val="none" w:sz="0" w:space="0" w:color="auto"/>
      </w:divBdr>
    </w:div>
    <w:div w:id="21228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special-procedures/sr-terrorism/return-and-repatriation-foreign-fighters-and-their-families" TargetMode="External"/><Relationship Id="rId1" Type="http://schemas.openxmlformats.org/officeDocument/2006/relationships/hyperlink" Target="https://monitor.civicus.org/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2.xml><?xml version="1.0" encoding="utf-8"?>
<ds:datastoreItem xmlns:ds="http://schemas.openxmlformats.org/officeDocument/2006/customXml" ds:itemID="{BE40C25B-C158-42D2-B3C7-FFDF3629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98C13-B877-414B-87C0-E0E15CAB963A}">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c6dba373-5722-4c9c-915a-b35ecc6dedf9"/>
    <ds:schemaRef ds:uri="f62cadcd-e163-4118-ac05-a32b5a627a7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C490FA2-7897-724F-8A36-0FABB014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9540</Words>
  <Characters>55908</Characters>
  <Application>Microsoft Office Word</Application>
  <DocSecurity>0</DocSecurity>
  <Lines>873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PEREZ Marcel</dc:creator>
  <cp:lastModifiedBy>Yasmine Ashraf</cp:lastModifiedBy>
  <cp:revision>5</cp:revision>
  <dcterms:created xsi:type="dcterms:W3CDTF">2023-10-17T16:30:00Z</dcterms:created>
  <dcterms:modified xsi:type="dcterms:W3CDTF">2023-10-18T14:47:00Z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