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0FA9" w14:textId="683B8702" w:rsidR="00697475" w:rsidRPr="00697475" w:rsidRDefault="00697475" w:rsidP="00697475">
      <w:pPr>
        <w:jc w:val="center"/>
        <w:rPr>
          <w:rFonts w:ascii="Times New Roman" w:hAnsi="Times New Roman" w:cs="Times New Roman"/>
          <w:b/>
          <w:bCs/>
          <w:color w:val="1F3864" w:themeColor="accent5" w:themeShade="80"/>
          <w:sz w:val="24"/>
          <w:szCs w:val="24"/>
        </w:rPr>
      </w:pPr>
      <w:r w:rsidRPr="00697475">
        <w:rPr>
          <w:rFonts w:ascii="Times New Roman" w:hAnsi="Times New Roman" w:cs="Times New Roman"/>
          <w:b/>
          <w:bCs/>
          <w:color w:val="1F3864" w:themeColor="accent5" w:themeShade="80"/>
          <w:sz w:val="24"/>
          <w:szCs w:val="24"/>
        </w:rPr>
        <w:t>Office of the High Commissioner for Human Rights (OHCHR) questionnaire</w:t>
      </w:r>
      <w:r>
        <w:rPr>
          <w:rFonts w:ascii="Times New Roman" w:hAnsi="Times New Roman" w:cs="Times New Roman"/>
          <w:b/>
          <w:bCs/>
          <w:color w:val="1F3864" w:themeColor="accent5" w:themeShade="80"/>
          <w:sz w:val="24"/>
          <w:szCs w:val="24"/>
        </w:rPr>
        <w:t xml:space="preserve"> o</w:t>
      </w:r>
      <w:r w:rsidRPr="00697475">
        <w:rPr>
          <w:rFonts w:ascii="Times New Roman" w:hAnsi="Times New Roman" w:cs="Times New Roman"/>
          <w:b/>
          <w:bCs/>
          <w:color w:val="1F3864" w:themeColor="accent5" w:themeShade="80"/>
          <w:sz w:val="24"/>
          <w:szCs w:val="24"/>
        </w:rPr>
        <w:t>n the use of administrative measures in combating terrorism</w:t>
      </w:r>
    </w:p>
    <w:p w14:paraId="4B909957" w14:textId="77777777" w:rsidR="00697475" w:rsidRPr="00C55CD7" w:rsidRDefault="00697475" w:rsidP="00697475">
      <w:pPr>
        <w:rPr>
          <w:rFonts w:ascii="Times New Roman" w:hAnsi="Times New Roman" w:cs="Times New Roman"/>
          <w:sz w:val="24"/>
          <w:szCs w:val="24"/>
        </w:rPr>
      </w:pPr>
      <w:r w:rsidRPr="00697475">
        <w:rPr>
          <w:rFonts w:ascii="Times New Roman" w:hAnsi="Times New Roman" w:cs="Times New Roman"/>
          <w:b/>
          <w:bCs/>
          <w:sz w:val="24"/>
          <w:szCs w:val="24"/>
        </w:rPr>
        <w:t>Submitted to:</w:t>
      </w:r>
      <w:r w:rsidRPr="00C55CD7">
        <w:rPr>
          <w:rFonts w:ascii="Times New Roman" w:hAnsi="Times New Roman" w:cs="Times New Roman"/>
          <w:sz w:val="24"/>
          <w:szCs w:val="24"/>
        </w:rPr>
        <w:t xml:space="preserve"> Office of the High Commissioner for Human Rights</w:t>
      </w:r>
      <w:r>
        <w:rPr>
          <w:rFonts w:ascii="Times New Roman" w:hAnsi="Times New Roman" w:cs="Times New Roman"/>
          <w:sz w:val="24"/>
          <w:szCs w:val="24"/>
        </w:rPr>
        <w:t xml:space="preserve"> </w:t>
      </w:r>
      <w:r w:rsidRPr="00697475">
        <w:rPr>
          <w:rFonts w:ascii="Times New Roman" w:hAnsi="Times New Roman" w:cs="Times New Roman"/>
          <w:sz w:val="24"/>
          <w:szCs w:val="24"/>
        </w:rPr>
        <w:t>(OHCHR)</w:t>
      </w:r>
    </w:p>
    <w:p w14:paraId="05577B5F" w14:textId="77777777" w:rsidR="00697475" w:rsidRPr="001E69CA" w:rsidRDefault="00697475" w:rsidP="00697475">
      <w:pPr>
        <w:rPr>
          <w:rFonts w:ascii="Times New Roman" w:hAnsi="Times New Roman" w:cs="Times New Roman"/>
          <w:sz w:val="24"/>
          <w:szCs w:val="24"/>
        </w:rPr>
      </w:pPr>
      <w:r w:rsidRPr="00697475">
        <w:rPr>
          <w:rFonts w:ascii="Times New Roman" w:hAnsi="Times New Roman" w:cs="Times New Roman"/>
          <w:b/>
          <w:bCs/>
          <w:sz w:val="24"/>
          <w:szCs w:val="24"/>
        </w:rPr>
        <w:t>Submitted by</w:t>
      </w:r>
      <w:r w:rsidRPr="00C55CD7">
        <w:rPr>
          <w:rFonts w:ascii="Times New Roman" w:hAnsi="Times New Roman" w:cs="Times New Roman"/>
          <w:sz w:val="24"/>
          <w:szCs w:val="24"/>
        </w:rPr>
        <w:t>: Maat for Peace, Development and Human Rights (</w:t>
      </w:r>
      <w:r w:rsidRPr="001E69CA">
        <w:rPr>
          <w:rFonts w:ascii="Times New Roman" w:hAnsi="Times New Roman" w:cs="Times New Roman"/>
          <w:sz w:val="24"/>
          <w:szCs w:val="24"/>
        </w:rPr>
        <w:t>holds consultative status with the United Nations Economic and Social Council).</w:t>
      </w:r>
    </w:p>
    <w:p w14:paraId="08249A0C" w14:textId="4BF121F5" w:rsidR="00697475" w:rsidRDefault="00697475" w:rsidP="00697475">
      <w:pPr>
        <w:rPr>
          <w:rFonts w:ascii="Times New Roman" w:hAnsi="Times New Roman" w:cs="Times New Roman"/>
          <w:sz w:val="24"/>
          <w:szCs w:val="24"/>
        </w:rPr>
      </w:pPr>
      <w:r w:rsidRPr="00697475">
        <w:rPr>
          <w:rFonts w:ascii="Times New Roman" w:hAnsi="Times New Roman" w:cs="Times New Roman"/>
          <w:b/>
          <w:bCs/>
          <w:sz w:val="24"/>
          <w:szCs w:val="24"/>
        </w:rPr>
        <w:t>Date:</w:t>
      </w:r>
      <w:r w:rsidRPr="00C55CD7">
        <w:rPr>
          <w:rFonts w:ascii="Times New Roman" w:hAnsi="Times New Roman" w:cs="Times New Roman"/>
          <w:sz w:val="24"/>
          <w:szCs w:val="24"/>
        </w:rPr>
        <w:t xml:space="preserve"> </w:t>
      </w:r>
      <w:r>
        <w:rPr>
          <w:rFonts w:ascii="Times New Roman" w:hAnsi="Times New Roman" w:cs="Times New Roman"/>
          <w:sz w:val="24"/>
          <w:szCs w:val="24"/>
        </w:rPr>
        <w:t>April</w:t>
      </w:r>
      <w:r w:rsidRPr="00C55CD7">
        <w:rPr>
          <w:rFonts w:ascii="Times New Roman" w:hAnsi="Times New Roman" w:cs="Times New Roman"/>
          <w:sz w:val="24"/>
          <w:szCs w:val="24"/>
        </w:rPr>
        <w:t xml:space="preserve"> 2024</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697475" w14:paraId="27F4513C" w14:textId="77777777" w:rsidTr="00AD5254">
        <w:tc>
          <w:tcPr>
            <w:tcW w:w="4675" w:type="dxa"/>
            <w:shd w:val="clear" w:color="auto" w:fill="FBE4D5" w:themeFill="accent2" w:themeFillTint="33"/>
          </w:tcPr>
          <w:p w14:paraId="7F366A1D" w14:textId="77777777" w:rsidR="00697475" w:rsidRPr="00697475" w:rsidRDefault="00697475" w:rsidP="00AD5254">
            <w:pPr>
              <w:rPr>
                <w:rFonts w:ascii="Times New Roman" w:hAnsi="Times New Roman" w:cs="Times New Roman"/>
                <w:b/>
                <w:bCs/>
                <w:sz w:val="24"/>
                <w:szCs w:val="24"/>
              </w:rPr>
            </w:pPr>
            <w:r w:rsidRPr="00697475">
              <w:rPr>
                <w:rFonts w:ascii="Times New Roman" w:hAnsi="Times New Roman" w:cs="Times New Roman"/>
                <w:b/>
                <w:bCs/>
                <w:sz w:val="24"/>
                <w:szCs w:val="24"/>
              </w:rPr>
              <w:t>Introduction</w:t>
            </w:r>
          </w:p>
        </w:tc>
        <w:tc>
          <w:tcPr>
            <w:tcW w:w="4675" w:type="dxa"/>
            <w:shd w:val="clear" w:color="auto" w:fill="FBE4D5" w:themeFill="accent2" w:themeFillTint="33"/>
          </w:tcPr>
          <w:p w14:paraId="6591DDBC" w14:textId="77777777" w:rsidR="00697475" w:rsidRDefault="00697475" w:rsidP="00AD5254">
            <w:pPr>
              <w:rPr>
                <w:rFonts w:ascii="Times New Roman" w:hAnsi="Times New Roman" w:cs="Times New Roman"/>
                <w:sz w:val="24"/>
                <w:szCs w:val="24"/>
              </w:rPr>
            </w:pPr>
          </w:p>
        </w:tc>
      </w:tr>
    </w:tbl>
    <w:p w14:paraId="1AC65A5A" w14:textId="77777777" w:rsidR="00697475" w:rsidRDefault="00697475" w:rsidP="00697475">
      <w:pPr>
        <w:rPr>
          <w:rFonts w:ascii="Times New Roman" w:hAnsi="Times New Roman" w:cs="Times New Roman"/>
          <w:sz w:val="24"/>
          <w:szCs w:val="24"/>
        </w:rPr>
      </w:pPr>
    </w:p>
    <w:p w14:paraId="5CE41B4B" w14:textId="37A39CE2" w:rsidR="00697475" w:rsidRDefault="00697475" w:rsidP="00697475">
      <w:pPr>
        <w:rPr>
          <w:rFonts w:ascii="Times New Roman" w:hAnsi="Times New Roman" w:cs="Times New Roman"/>
          <w:sz w:val="24"/>
          <w:szCs w:val="24"/>
        </w:rPr>
      </w:pPr>
      <w:r w:rsidRPr="00C55CD7">
        <w:rPr>
          <w:rFonts w:ascii="Times New Roman" w:hAnsi="Times New Roman" w:cs="Times New Roman"/>
          <w:sz w:val="24"/>
          <w:szCs w:val="24"/>
        </w:rPr>
        <w:t xml:space="preserve">Maat for Peace, Development and Human Rights submits this </w:t>
      </w:r>
      <w:r>
        <w:rPr>
          <w:rFonts w:ascii="Times New Roman" w:hAnsi="Times New Roman" w:cs="Times New Roman"/>
          <w:sz w:val="24"/>
          <w:szCs w:val="24"/>
        </w:rPr>
        <w:t xml:space="preserve">report to contribute to </w:t>
      </w:r>
      <w:r w:rsidRPr="00C55CD7">
        <w:rPr>
          <w:rFonts w:ascii="Times New Roman" w:hAnsi="Times New Roman" w:cs="Times New Roman"/>
          <w:sz w:val="24"/>
          <w:szCs w:val="24"/>
        </w:rPr>
        <w:t>the High Commissioner for Human Rights</w:t>
      </w:r>
      <w:r>
        <w:rPr>
          <w:rFonts w:ascii="Times New Roman" w:hAnsi="Times New Roman" w:cs="Times New Roman"/>
          <w:sz w:val="24"/>
          <w:szCs w:val="24"/>
        </w:rPr>
        <w:t xml:space="preserve">’ report </w:t>
      </w:r>
      <w:r w:rsidRPr="00C55CD7">
        <w:rPr>
          <w:rFonts w:ascii="Times New Roman" w:hAnsi="Times New Roman" w:cs="Times New Roman"/>
          <w:sz w:val="24"/>
          <w:szCs w:val="24"/>
        </w:rPr>
        <w:t>(OHCHR), which the OHCHR will submit to the Human Rights Council at the 57th session, in implementation of Human Righ</w:t>
      </w:r>
      <w:r>
        <w:rPr>
          <w:rFonts w:ascii="Times New Roman" w:hAnsi="Times New Roman" w:cs="Times New Roman"/>
          <w:sz w:val="24"/>
          <w:szCs w:val="24"/>
        </w:rPr>
        <w:t>ts Council Resolution No. 24/51.</w:t>
      </w:r>
      <w:r w:rsidRPr="00C55CD7">
        <w:rPr>
          <w:rFonts w:ascii="Times New Roman" w:hAnsi="Times New Roman" w:cs="Times New Roman"/>
          <w:sz w:val="24"/>
          <w:szCs w:val="24"/>
        </w:rPr>
        <w:t xml:space="preserve"> This resolution emphasizes addressing the negative effects of terrorism on human rights and fundamen</w:t>
      </w:r>
      <w:r>
        <w:rPr>
          <w:rFonts w:ascii="Times New Roman" w:hAnsi="Times New Roman" w:cs="Times New Roman"/>
          <w:sz w:val="24"/>
          <w:szCs w:val="24"/>
        </w:rPr>
        <w:t>tal freedoms</w:t>
      </w:r>
      <w:r w:rsidRPr="00C55CD7">
        <w:rPr>
          <w:rFonts w:ascii="Times New Roman" w:hAnsi="Times New Roman" w:cs="Times New Roman"/>
          <w:sz w:val="24"/>
          <w:szCs w:val="24"/>
        </w:rPr>
        <w:t>, alleged human rights violations during counter-terrorism actions, and to submit regular reports to the Human Rights Council.</w:t>
      </w:r>
    </w:p>
    <w:p w14:paraId="35F7E4F6" w14:textId="77777777" w:rsidR="00697475" w:rsidRDefault="00697475" w:rsidP="00697475">
      <w:pPr>
        <w:rPr>
          <w:rFonts w:ascii="Times New Roman" w:hAnsi="Times New Roman" w:cs="Times New Roman"/>
          <w:sz w:val="24"/>
          <w:szCs w:val="24"/>
        </w:rPr>
      </w:pPr>
      <w:r w:rsidRPr="00C55CD7">
        <w:rPr>
          <w:rFonts w:ascii="Times New Roman" w:hAnsi="Times New Roman" w:cs="Times New Roman"/>
          <w:sz w:val="24"/>
          <w:szCs w:val="24"/>
        </w:rPr>
        <w:t xml:space="preserve">Maat has observed that human rights are increasingly at risk in </w:t>
      </w:r>
      <w:r>
        <w:rPr>
          <w:rFonts w:ascii="Times New Roman" w:hAnsi="Times New Roman" w:cs="Times New Roman"/>
          <w:sz w:val="24"/>
          <w:szCs w:val="24"/>
        </w:rPr>
        <w:t>combatting</w:t>
      </w:r>
      <w:r w:rsidRPr="00C55CD7">
        <w:rPr>
          <w:rFonts w:ascii="Times New Roman" w:hAnsi="Times New Roman" w:cs="Times New Roman"/>
          <w:sz w:val="24"/>
          <w:szCs w:val="24"/>
        </w:rPr>
        <w:t xml:space="preserve"> terrorism, as government actions to prevent and combat terrorist activities often result in severe violations of human rights. </w:t>
      </w:r>
      <w:r w:rsidRPr="00797366">
        <w:rPr>
          <w:rFonts w:ascii="Times New Roman" w:hAnsi="Times New Roman" w:cs="Times New Roman"/>
          <w:sz w:val="24"/>
          <w:szCs w:val="24"/>
        </w:rPr>
        <w:t>These violations include unlawful killing and arbitrary detention, torture, unfair trials, privacy infringements due to extensive surveillance, and restrictions on freedom</w:t>
      </w:r>
      <w:r>
        <w:rPr>
          <w:rFonts w:ascii="Times New Roman" w:hAnsi="Times New Roman" w:cs="Times New Roman"/>
          <w:sz w:val="24"/>
          <w:szCs w:val="24"/>
        </w:rPr>
        <w:t xml:space="preserve"> of expression; assembly; association;</w:t>
      </w:r>
      <w:r w:rsidRPr="00C55CD7">
        <w:rPr>
          <w:rFonts w:ascii="Times New Roman" w:hAnsi="Times New Roman" w:cs="Times New Roman"/>
          <w:sz w:val="24"/>
          <w:szCs w:val="24"/>
        </w:rPr>
        <w:t xml:space="preserve"> and political participation. </w:t>
      </w:r>
      <w:r w:rsidRPr="00797366">
        <w:rPr>
          <w:rFonts w:ascii="Times New Roman" w:hAnsi="Times New Roman" w:cs="Times New Roman"/>
          <w:sz w:val="24"/>
          <w:szCs w:val="24"/>
        </w:rPr>
        <w:t>For instance, administrative measures adopted by states and governments outside the criminal justice system in the context of counter-terrorism, including surveillance measures, travel bans, terrorist listings, asset freezing, deportation orders, deprivation of nationality, and administrative detention can lead to serious violations of individual's rights, particularly concerning freedom of movement, nationality, liberty, due pr</w:t>
      </w:r>
      <w:r>
        <w:rPr>
          <w:rFonts w:ascii="Times New Roman" w:hAnsi="Times New Roman" w:cs="Times New Roman"/>
          <w:sz w:val="24"/>
          <w:szCs w:val="24"/>
        </w:rPr>
        <w:t>ocess, fair trials, and privacy.</w:t>
      </w:r>
    </w:p>
    <w:p w14:paraId="0A6F36FF" w14:textId="7CB09FBF" w:rsidR="00697475" w:rsidRDefault="00697475" w:rsidP="00697475">
      <w:pPr>
        <w:rPr>
          <w:rFonts w:ascii="Times New Roman" w:hAnsi="Times New Roman" w:cs="Times New Roman"/>
          <w:sz w:val="24"/>
          <w:szCs w:val="24"/>
        </w:rPr>
      </w:pPr>
      <w:r w:rsidRPr="00797366">
        <w:rPr>
          <w:rFonts w:ascii="Times New Roman" w:hAnsi="Times New Roman" w:cs="Times New Roman"/>
          <w:sz w:val="24"/>
          <w:szCs w:val="24"/>
        </w:rPr>
        <w:t xml:space="preserve">In light of the above, </w:t>
      </w:r>
      <w:r w:rsidRPr="00697475">
        <w:rPr>
          <w:rFonts w:ascii="Times New Roman" w:hAnsi="Times New Roman" w:cs="Times New Roman"/>
          <w:b/>
          <w:bCs/>
          <w:sz w:val="24"/>
          <w:szCs w:val="24"/>
        </w:rPr>
        <w:t>Maat in this report provides detailed information and observations to OHCHR on the use of administrative measures in combatting terrorism by answering the main questions attached with the invitation as follows:</w:t>
      </w:r>
    </w:p>
    <w:p w14:paraId="1EED6A3C" w14:textId="15113F6A" w:rsidR="00697475" w:rsidRDefault="00697475" w:rsidP="00697475">
      <w:pPr>
        <w:rPr>
          <w:rFonts w:ascii="Times New Roman" w:hAnsi="Times New Roman" w:cs="Times New Roman"/>
          <w:sz w:val="24"/>
          <w:szCs w:val="24"/>
        </w:rPr>
      </w:pPr>
    </w:p>
    <w:p w14:paraId="51BA8126" w14:textId="7AF97F1E" w:rsidR="00697475" w:rsidRDefault="00697475" w:rsidP="00697475">
      <w:pPr>
        <w:rPr>
          <w:rFonts w:ascii="Times New Roman" w:hAnsi="Times New Roman" w:cs="Times New Roman"/>
          <w:sz w:val="24"/>
          <w:szCs w:val="24"/>
        </w:rPr>
      </w:pPr>
    </w:p>
    <w:p w14:paraId="508EACD1" w14:textId="77777777" w:rsidR="00697475" w:rsidRDefault="00697475" w:rsidP="00697475">
      <w:pPr>
        <w:rPr>
          <w:rFonts w:ascii="Times New Roman" w:hAnsi="Times New Roman" w:cs="Times New Roman"/>
          <w:sz w:val="24"/>
          <w:szCs w:val="24"/>
        </w:rPr>
      </w:pPr>
    </w:p>
    <w:tbl>
      <w:tblPr>
        <w:tblStyle w:val="TableGrid"/>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97475" w14:paraId="75A21A82" w14:textId="77777777" w:rsidTr="00AD5254">
        <w:tc>
          <w:tcPr>
            <w:tcW w:w="4675" w:type="dxa"/>
            <w:shd w:val="clear" w:color="auto" w:fill="FBE4D5" w:themeFill="accent2" w:themeFillTint="33"/>
          </w:tcPr>
          <w:p w14:paraId="679D7920" w14:textId="77777777" w:rsidR="00697475" w:rsidRPr="00697475" w:rsidRDefault="00697475" w:rsidP="00AD5254">
            <w:pPr>
              <w:rPr>
                <w:rFonts w:ascii="Times New Roman" w:hAnsi="Times New Roman" w:cs="Times New Roman"/>
                <w:b/>
                <w:bCs/>
                <w:sz w:val="24"/>
                <w:szCs w:val="24"/>
              </w:rPr>
            </w:pPr>
            <w:r w:rsidRPr="00697475">
              <w:rPr>
                <w:rFonts w:ascii="Times New Roman" w:hAnsi="Times New Roman" w:cs="Times New Roman"/>
                <w:b/>
                <w:bCs/>
                <w:sz w:val="24"/>
                <w:szCs w:val="24"/>
              </w:rPr>
              <w:lastRenderedPageBreak/>
              <w:t>Key questions:</w:t>
            </w:r>
          </w:p>
        </w:tc>
        <w:tc>
          <w:tcPr>
            <w:tcW w:w="4675" w:type="dxa"/>
            <w:shd w:val="clear" w:color="auto" w:fill="FBE4D5" w:themeFill="accent2" w:themeFillTint="33"/>
          </w:tcPr>
          <w:p w14:paraId="1F3CAC13" w14:textId="77777777" w:rsidR="00697475" w:rsidRDefault="00697475" w:rsidP="00AD5254">
            <w:pPr>
              <w:rPr>
                <w:rFonts w:ascii="Times New Roman" w:hAnsi="Times New Roman" w:cs="Times New Roman"/>
                <w:sz w:val="24"/>
                <w:szCs w:val="24"/>
              </w:rPr>
            </w:pPr>
          </w:p>
        </w:tc>
      </w:tr>
    </w:tbl>
    <w:p w14:paraId="66DFE39C" w14:textId="77777777" w:rsidR="00697475" w:rsidRDefault="00697475" w:rsidP="00697475">
      <w:pPr>
        <w:rPr>
          <w:rFonts w:ascii="Times New Roman" w:hAnsi="Times New Roman" w:cs="Times New Roman"/>
          <w:sz w:val="24"/>
          <w:szCs w:val="24"/>
        </w:rPr>
      </w:pPr>
    </w:p>
    <w:p w14:paraId="362BD793" w14:textId="77777777" w:rsidR="00697475" w:rsidRPr="00697475" w:rsidRDefault="00697475" w:rsidP="00697475">
      <w:pPr>
        <w:rPr>
          <w:rFonts w:ascii="Times New Roman" w:hAnsi="Times New Roman" w:cs="Times New Roman"/>
          <w:b/>
          <w:bCs/>
          <w:color w:val="5B9BD5" w:themeColor="accent1"/>
          <w:sz w:val="24"/>
          <w:szCs w:val="24"/>
        </w:rPr>
      </w:pPr>
      <w:r w:rsidRPr="00697475">
        <w:rPr>
          <w:rFonts w:ascii="Times New Roman" w:hAnsi="Times New Roman" w:cs="Times New Roman"/>
          <w:b/>
          <w:bCs/>
          <w:color w:val="5B9BD5" w:themeColor="accent1"/>
          <w:sz w:val="24"/>
          <w:szCs w:val="24"/>
        </w:rPr>
        <w:t>Please provide information about the application of administrative measures in combating terrorism. This includes, for instance, the use of administrative - or security - detention, travel bans or entry restrictions, movement restrictions, deportation orders, combating terrorism financing, listing entities and individuals on the terrorism list, monitoring, and deprivation of citizenship.</w:t>
      </w:r>
    </w:p>
    <w:p w14:paraId="4AF9FE90" w14:textId="77777777" w:rsidR="00697475" w:rsidRDefault="00697475" w:rsidP="00697475">
      <w:pPr>
        <w:rPr>
          <w:rFonts w:ascii="Times New Roman" w:hAnsi="Times New Roman" w:cs="Times New Roman"/>
          <w:sz w:val="24"/>
          <w:szCs w:val="24"/>
        </w:rPr>
      </w:pPr>
      <w:r w:rsidRPr="00E632F5">
        <w:rPr>
          <w:rFonts w:ascii="Times New Roman" w:hAnsi="Times New Roman" w:cs="Times New Roman"/>
          <w:sz w:val="24"/>
          <w:szCs w:val="24"/>
        </w:rPr>
        <w:t>Countries worldwide use a variety of measures to prevent and combat terrorist and extremist activities, including administrative measures adopted by governments outside the criminal justice system. These measures may involve surveillance, travel restrictions, asset freezes, and detention for security reasons. Maat acknowledges that administrative measures can offer authorities a swift way to address security threats without lengthy legal procedures, such as obtaining court orders or conducting trials.</w:t>
      </w:r>
      <w:r w:rsidRPr="00615873">
        <w:rPr>
          <w:rFonts w:ascii="Times New Roman" w:hAnsi="Times New Roman" w:cs="Times New Roman"/>
          <w:sz w:val="24"/>
          <w:szCs w:val="24"/>
        </w:rPr>
        <w:t xml:space="preserve"> </w:t>
      </w:r>
      <w:r w:rsidRPr="00E632F5">
        <w:rPr>
          <w:rFonts w:ascii="Times New Roman" w:hAnsi="Times New Roman" w:cs="Times New Roman"/>
          <w:sz w:val="24"/>
          <w:szCs w:val="24"/>
        </w:rPr>
        <w:t xml:space="preserve">Nevertheless, </w:t>
      </w:r>
      <w:r w:rsidRPr="00C40F1B">
        <w:rPr>
          <w:rFonts w:ascii="Times New Roman" w:hAnsi="Times New Roman" w:cs="Times New Roman"/>
          <w:sz w:val="24"/>
          <w:szCs w:val="24"/>
        </w:rPr>
        <w:t>Maat has observed that the use of such administrative measures in counter-terrorism efforts raises significant human rights concerns. These include worries about potential misuse and arbitrary application of these measures by the authorities, leading to the violation of individuals’ fundamental rights such as the rights to liberty, priva</w:t>
      </w:r>
      <w:r>
        <w:rPr>
          <w:rFonts w:ascii="Times New Roman" w:hAnsi="Times New Roman" w:cs="Times New Roman"/>
          <w:sz w:val="24"/>
          <w:szCs w:val="24"/>
        </w:rPr>
        <w:t>cy, due process, and fair trial</w:t>
      </w:r>
      <w:r w:rsidRPr="00615873">
        <w:rPr>
          <w:rFonts w:ascii="Times New Roman" w:hAnsi="Times New Roman" w:cs="Times New Roman"/>
          <w:sz w:val="24"/>
          <w:szCs w:val="24"/>
        </w:rPr>
        <w:t>. In light of the above, Maat reviews the types of administrative measures used in the context of combating terrorism and their impact on human rights as follows:</w:t>
      </w:r>
    </w:p>
    <w:p w14:paraId="73A7C42F" w14:textId="1CA24294" w:rsidR="00697475" w:rsidRDefault="00697475" w:rsidP="00697475">
      <w:pPr>
        <w:rPr>
          <w:rFonts w:ascii="Times New Roman" w:hAnsi="Times New Roman" w:cs="Times New Roman"/>
          <w:sz w:val="24"/>
          <w:szCs w:val="24"/>
        </w:rPr>
      </w:pPr>
      <w:r w:rsidRPr="00C40F1B">
        <w:rPr>
          <w:rFonts w:ascii="Times New Roman" w:hAnsi="Times New Roman" w:cs="Times New Roman"/>
          <w:b/>
          <w:bCs/>
          <w:sz w:val="24"/>
          <w:szCs w:val="24"/>
        </w:rPr>
        <w:t>Administrative or security detention:</w:t>
      </w:r>
      <w:r w:rsidRPr="00C40F1B">
        <w:rPr>
          <w:rFonts w:ascii="Times New Roman" w:hAnsi="Times New Roman" w:cs="Times New Roman"/>
          <w:sz w:val="24"/>
          <w:szCs w:val="24"/>
        </w:rPr>
        <w:t xml:space="preserve"> </w:t>
      </w:r>
      <w:r>
        <w:rPr>
          <w:rFonts w:ascii="Times New Roman" w:hAnsi="Times New Roman" w:cs="Times New Roman"/>
          <w:sz w:val="24"/>
          <w:szCs w:val="24"/>
        </w:rPr>
        <w:t xml:space="preserve">this </w:t>
      </w:r>
      <w:r w:rsidRPr="00C40F1B">
        <w:rPr>
          <w:rFonts w:ascii="Times New Roman" w:hAnsi="Times New Roman" w:cs="Times New Roman"/>
          <w:sz w:val="24"/>
          <w:szCs w:val="24"/>
        </w:rPr>
        <w:t xml:space="preserve">is one of the most prominent administrative measures employed by authorities worldwide in combating terrorism. Despite the important role that administrative detention can play in preventing and combating terrorism and extremist activities, Maat has noted that Administrative or security detention is often misused by governments globally, leading to a significant impact on </w:t>
      </w:r>
      <w:r w:rsidRPr="00743621">
        <w:rPr>
          <w:rFonts w:ascii="Times New Roman" w:hAnsi="Times New Roman" w:cs="Times New Roman"/>
          <w:sz w:val="24"/>
          <w:szCs w:val="24"/>
        </w:rPr>
        <w:t>individuals' rights to freedom, due legal procedures</w:t>
      </w:r>
      <w:r w:rsidRPr="00C40F1B">
        <w:rPr>
          <w:rFonts w:ascii="Times New Roman" w:hAnsi="Times New Roman" w:cs="Times New Roman"/>
          <w:sz w:val="24"/>
          <w:szCs w:val="24"/>
        </w:rPr>
        <w:t xml:space="preserve">, and a just trial. For instance, </w:t>
      </w:r>
      <w:r w:rsidRPr="00743621">
        <w:rPr>
          <w:rFonts w:ascii="Times New Roman" w:hAnsi="Times New Roman" w:cs="Times New Roman"/>
          <w:sz w:val="24"/>
          <w:szCs w:val="24"/>
        </w:rPr>
        <w:t>the USA holds many people suspected of belonging to terrorist groups for long periods without granting them a fair trial.</w:t>
      </w:r>
      <w:r>
        <w:rPr>
          <w:rFonts w:ascii="Times New Roman" w:hAnsi="Times New Roman" w:cs="Times New Roman"/>
          <w:sz w:val="24"/>
          <w:szCs w:val="24"/>
        </w:rPr>
        <w:t xml:space="preserve"> </w:t>
      </w:r>
      <w:r w:rsidRPr="00743621">
        <w:rPr>
          <w:rFonts w:ascii="Times New Roman" w:hAnsi="Times New Roman" w:cs="Times New Roman"/>
          <w:sz w:val="24"/>
          <w:szCs w:val="24"/>
        </w:rPr>
        <w:t>Reports show that approximately 30 men are currently detained at Guantanamo Bay Naval Base in Cuba by the US, without charging 19 of them with any crime</w:t>
      </w:r>
      <w:r>
        <w:rPr>
          <w:rFonts w:ascii="Times New Roman" w:hAnsi="Times New Roman" w:cs="Times New Roman"/>
          <w:sz w:val="24"/>
          <w:szCs w:val="24"/>
        </w:rPr>
        <w:t>s or granting them a fair trial</w:t>
      </w:r>
      <w:r w:rsidRPr="00743621">
        <w:rPr>
          <w:rFonts w:ascii="Times New Roman" w:hAnsi="Times New Roman" w:cs="Times New Roman"/>
          <w:sz w:val="24"/>
          <w:szCs w:val="24"/>
        </w:rPr>
        <w:t>. This denial of fair trial rights violates due proces</w:t>
      </w:r>
      <w:r>
        <w:rPr>
          <w:rFonts w:ascii="Times New Roman" w:hAnsi="Times New Roman" w:cs="Times New Roman"/>
          <w:sz w:val="24"/>
          <w:szCs w:val="24"/>
        </w:rPr>
        <w:t>s and the right to a fair trial</w:t>
      </w:r>
      <w:r>
        <w:rPr>
          <w:rStyle w:val="FootnoteReference"/>
          <w:rFonts w:ascii="Times New Roman" w:hAnsi="Times New Roman" w:cs="Times New Roman"/>
          <w:sz w:val="24"/>
          <w:szCs w:val="24"/>
        </w:rPr>
        <w:footnoteReference w:id="1"/>
      </w:r>
      <w:r w:rsidRPr="00C40F1B">
        <w:rPr>
          <w:rFonts w:ascii="Times New Roman" w:hAnsi="Times New Roman" w:cs="Times New Roman"/>
          <w:sz w:val="24"/>
          <w:szCs w:val="24"/>
        </w:rPr>
        <w:t xml:space="preserve">. In Ethiopia, as of early November 2021, the Ethiopian authorities are detaining thousands of </w:t>
      </w:r>
      <w:r w:rsidRPr="0092579E">
        <w:rPr>
          <w:rFonts w:ascii="Times New Roman" w:hAnsi="Times New Roman" w:cs="Times New Roman"/>
          <w:sz w:val="24"/>
          <w:szCs w:val="24"/>
        </w:rPr>
        <w:t xml:space="preserve">Tigrayan ethnic group members suspected of affiliating with </w:t>
      </w:r>
      <w:r w:rsidRPr="00C40F1B">
        <w:rPr>
          <w:rFonts w:ascii="Times New Roman" w:hAnsi="Times New Roman" w:cs="Times New Roman"/>
          <w:sz w:val="24"/>
          <w:szCs w:val="24"/>
        </w:rPr>
        <w:t>the Tigray People's Liberation Front, which is classified as a ter</w:t>
      </w:r>
      <w:r>
        <w:rPr>
          <w:rFonts w:ascii="Times New Roman" w:hAnsi="Times New Roman" w:cs="Times New Roman"/>
          <w:sz w:val="24"/>
          <w:szCs w:val="24"/>
        </w:rPr>
        <w:t xml:space="preserve">rorist </w:t>
      </w:r>
      <w:r>
        <w:rPr>
          <w:rFonts w:ascii="Times New Roman" w:hAnsi="Times New Roman" w:cs="Times New Roman"/>
          <w:sz w:val="24"/>
          <w:szCs w:val="24"/>
        </w:rPr>
        <w:lastRenderedPageBreak/>
        <w:t>organization in Ethiopia.</w:t>
      </w:r>
      <w:r w:rsidRPr="00C40F1B">
        <w:rPr>
          <w:rFonts w:ascii="Times New Roman" w:hAnsi="Times New Roman" w:cs="Times New Roman"/>
          <w:sz w:val="24"/>
          <w:szCs w:val="24"/>
        </w:rPr>
        <w:t xml:space="preserve"> </w:t>
      </w:r>
      <w:r w:rsidRPr="0092579E">
        <w:rPr>
          <w:rFonts w:ascii="Times New Roman" w:hAnsi="Times New Roman" w:cs="Times New Roman"/>
          <w:sz w:val="24"/>
          <w:szCs w:val="24"/>
        </w:rPr>
        <w:t>These extensive detentions</w:t>
      </w:r>
      <w:r w:rsidRPr="00C40F1B">
        <w:rPr>
          <w:rFonts w:ascii="Times New Roman" w:hAnsi="Times New Roman" w:cs="Times New Roman"/>
          <w:sz w:val="24"/>
          <w:szCs w:val="24"/>
        </w:rPr>
        <w:t xml:space="preserve"> come under a state of emergency without a judicial order, which violates due process and the right to a fair trial</w:t>
      </w:r>
      <w:r>
        <w:rPr>
          <w:rStyle w:val="FootnoteReference"/>
          <w:rFonts w:ascii="Times New Roman" w:hAnsi="Times New Roman" w:cs="Times New Roman"/>
          <w:sz w:val="24"/>
          <w:szCs w:val="24"/>
        </w:rPr>
        <w:footnoteReference w:id="2"/>
      </w:r>
      <w:r w:rsidRPr="00C40F1B">
        <w:rPr>
          <w:rFonts w:ascii="Times New Roman" w:hAnsi="Times New Roman" w:cs="Times New Roman"/>
          <w:sz w:val="24"/>
          <w:szCs w:val="24"/>
        </w:rPr>
        <w:t>.</w:t>
      </w:r>
    </w:p>
    <w:p w14:paraId="061E322B" w14:textId="77777777" w:rsidR="00697475" w:rsidRPr="00743621" w:rsidRDefault="00697475" w:rsidP="00697475">
      <w:pPr>
        <w:rPr>
          <w:rFonts w:ascii="Times New Roman" w:hAnsi="Times New Roman" w:cs="Times New Roman"/>
          <w:sz w:val="24"/>
          <w:szCs w:val="24"/>
        </w:rPr>
      </w:pPr>
      <w:r w:rsidRPr="00743621">
        <w:rPr>
          <w:rFonts w:ascii="Times New Roman" w:hAnsi="Times New Roman" w:cs="Times New Roman"/>
          <w:b/>
          <w:bCs/>
          <w:sz w:val="24"/>
          <w:szCs w:val="24"/>
        </w:rPr>
        <w:t>Banning travel or entry into the country and imp</w:t>
      </w:r>
      <w:r>
        <w:rPr>
          <w:rFonts w:ascii="Times New Roman" w:hAnsi="Times New Roman" w:cs="Times New Roman"/>
          <w:b/>
          <w:bCs/>
          <w:sz w:val="24"/>
          <w:szCs w:val="24"/>
        </w:rPr>
        <w:t xml:space="preserve">osing restrictions on movement: </w:t>
      </w:r>
      <w:r w:rsidRPr="00697475">
        <w:rPr>
          <w:rFonts w:ascii="Times New Roman" w:hAnsi="Times New Roman" w:cs="Times New Roman"/>
          <w:sz w:val="24"/>
          <w:szCs w:val="24"/>
        </w:rPr>
        <w:t>a</w:t>
      </w:r>
      <w:r w:rsidRPr="00743621">
        <w:rPr>
          <w:rFonts w:ascii="Times New Roman" w:hAnsi="Times New Roman" w:cs="Times New Roman"/>
          <w:sz w:val="24"/>
          <w:szCs w:val="24"/>
        </w:rPr>
        <w:t xml:space="preserve">re crucial administrative actions used globally to combat terrorism by preventing and </w:t>
      </w:r>
      <w:r>
        <w:rPr>
          <w:rFonts w:ascii="Times New Roman" w:hAnsi="Times New Roman" w:cs="Times New Roman"/>
          <w:sz w:val="24"/>
          <w:szCs w:val="24"/>
        </w:rPr>
        <w:t>addressing extremist activities</w:t>
      </w:r>
      <w:r w:rsidRPr="00743621">
        <w:rPr>
          <w:rFonts w:ascii="Times New Roman" w:hAnsi="Times New Roman" w:cs="Times New Roman"/>
          <w:sz w:val="24"/>
          <w:szCs w:val="24"/>
        </w:rPr>
        <w:t>. For instance, the United States has placed a ban on citizens from seven countries with active terrorist groups from entering the US</w:t>
      </w:r>
      <w:r>
        <w:rPr>
          <w:rStyle w:val="FootnoteReference"/>
          <w:rFonts w:ascii="Times New Roman" w:hAnsi="Times New Roman" w:cs="Times New Roman"/>
          <w:sz w:val="24"/>
          <w:szCs w:val="24"/>
        </w:rPr>
        <w:footnoteReference w:id="3"/>
      </w:r>
      <w:r w:rsidRPr="00743621">
        <w:rPr>
          <w:rFonts w:ascii="Times New Roman" w:hAnsi="Times New Roman" w:cs="Times New Roman"/>
          <w:sz w:val="24"/>
          <w:szCs w:val="24"/>
        </w:rPr>
        <w:t xml:space="preserve">. Additionally, the US maintains a </w:t>
      </w:r>
      <w:r w:rsidRPr="00697475">
        <w:rPr>
          <w:rFonts w:ascii="Times New Roman" w:hAnsi="Times New Roman" w:cs="Times New Roman"/>
          <w:sz w:val="24"/>
          <w:szCs w:val="24"/>
        </w:rPr>
        <w:t>travel bans</w:t>
      </w:r>
      <w:r>
        <w:rPr>
          <w:rFonts w:ascii="Times New Roman" w:hAnsi="Times New Roman" w:cs="Times New Roman"/>
          <w:sz w:val="24"/>
          <w:szCs w:val="24"/>
        </w:rPr>
        <w:t xml:space="preserve"> or </w:t>
      </w:r>
      <w:r w:rsidRPr="00697475">
        <w:rPr>
          <w:rFonts w:ascii="Times New Roman" w:hAnsi="Times New Roman" w:cs="Times New Roman"/>
          <w:sz w:val="24"/>
          <w:szCs w:val="24"/>
        </w:rPr>
        <w:t>(terrorist Screening Database)</w:t>
      </w:r>
      <w:r>
        <w:rPr>
          <w:rFonts w:ascii="Times New Roman" w:hAnsi="Times New Roman" w:cs="Times New Roman"/>
          <w:sz w:val="24"/>
          <w:szCs w:val="24"/>
        </w:rPr>
        <w:t xml:space="preserve"> </w:t>
      </w:r>
      <w:r w:rsidRPr="00743621">
        <w:rPr>
          <w:rFonts w:ascii="Times New Roman" w:hAnsi="Times New Roman" w:cs="Times New Roman"/>
          <w:sz w:val="24"/>
          <w:szCs w:val="24"/>
        </w:rPr>
        <w:t>that prohibits individuals suspected of terrorism involvement from flying to or from the US</w:t>
      </w:r>
      <w:r>
        <w:rPr>
          <w:rStyle w:val="FootnoteReference"/>
          <w:rFonts w:ascii="Times New Roman" w:hAnsi="Times New Roman" w:cs="Times New Roman"/>
          <w:sz w:val="24"/>
          <w:szCs w:val="24"/>
        </w:rPr>
        <w:footnoteReference w:id="4"/>
      </w:r>
      <w:r w:rsidRPr="00743621">
        <w:rPr>
          <w:rFonts w:ascii="Times New Roman" w:hAnsi="Times New Roman" w:cs="Times New Roman"/>
          <w:sz w:val="24"/>
          <w:szCs w:val="24"/>
        </w:rPr>
        <w:t>, impacting the right to movement when au</w:t>
      </w:r>
      <w:r>
        <w:rPr>
          <w:rFonts w:ascii="Times New Roman" w:hAnsi="Times New Roman" w:cs="Times New Roman"/>
          <w:sz w:val="24"/>
          <w:szCs w:val="24"/>
        </w:rPr>
        <w:t>thorities misuse these measures</w:t>
      </w:r>
      <w:r w:rsidRPr="00743621">
        <w:rPr>
          <w:rFonts w:ascii="Times New Roman" w:hAnsi="Times New Roman" w:cs="Times New Roman"/>
          <w:sz w:val="24"/>
          <w:szCs w:val="24"/>
        </w:rPr>
        <w:t>.</w:t>
      </w:r>
    </w:p>
    <w:p w14:paraId="4F774F19" w14:textId="77777777" w:rsidR="00697475" w:rsidRDefault="00697475" w:rsidP="00697475">
      <w:pPr>
        <w:rPr>
          <w:rFonts w:ascii="Times New Roman" w:hAnsi="Times New Roman" w:cs="Times New Roman"/>
          <w:sz w:val="24"/>
          <w:szCs w:val="24"/>
        </w:rPr>
      </w:pPr>
      <w:r w:rsidRPr="003924CC">
        <w:rPr>
          <w:rFonts w:ascii="Times New Roman" w:hAnsi="Times New Roman" w:cs="Times New Roman"/>
          <w:b/>
          <w:bCs/>
          <w:sz w:val="24"/>
          <w:szCs w:val="24"/>
        </w:rPr>
        <w:t>Listing entities and individuals on the terrorist list</w:t>
      </w:r>
      <w:r w:rsidRPr="00743621">
        <w:rPr>
          <w:rFonts w:ascii="Times New Roman" w:hAnsi="Times New Roman" w:cs="Times New Roman"/>
          <w:sz w:val="24"/>
          <w:szCs w:val="24"/>
        </w:rPr>
        <w:t xml:space="preserve">: </w:t>
      </w:r>
      <w:r>
        <w:rPr>
          <w:rFonts w:ascii="Times New Roman" w:hAnsi="Times New Roman" w:cs="Times New Roman"/>
          <w:sz w:val="24"/>
          <w:szCs w:val="24"/>
        </w:rPr>
        <w:t>this</w:t>
      </w:r>
      <w:r w:rsidRPr="00743621">
        <w:rPr>
          <w:rFonts w:ascii="Times New Roman" w:hAnsi="Times New Roman" w:cs="Times New Roman"/>
          <w:sz w:val="24"/>
          <w:szCs w:val="24"/>
        </w:rPr>
        <w:t xml:space="preserve"> </w:t>
      </w:r>
      <w:r w:rsidRPr="003924CC">
        <w:rPr>
          <w:rFonts w:ascii="Times New Roman" w:hAnsi="Times New Roman" w:cs="Times New Roman"/>
          <w:sz w:val="24"/>
          <w:szCs w:val="24"/>
        </w:rPr>
        <w:t xml:space="preserve">is one of the prominent administrative measures used by governments around the world to prevent and combat terrorist and extremist activities. For example, several countries including the </w:t>
      </w:r>
      <w:r>
        <w:rPr>
          <w:rFonts w:ascii="Times New Roman" w:hAnsi="Times New Roman" w:cs="Times New Roman"/>
          <w:sz w:val="24"/>
          <w:szCs w:val="24"/>
        </w:rPr>
        <w:t>UK</w:t>
      </w:r>
      <w:r w:rsidRPr="003924CC">
        <w:rPr>
          <w:rFonts w:ascii="Times New Roman" w:hAnsi="Times New Roman" w:cs="Times New Roman"/>
          <w:sz w:val="24"/>
          <w:szCs w:val="24"/>
        </w:rPr>
        <w:t xml:space="preserve">, the </w:t>
      </w:r>
      <w:r>
        <w:rPr>
          <w:rFonts w:ascii="Times New Roman" w:hAnsi="Times New Roman" w:cs="Times New Roman"/>
          <w:sz w:val="24"/>
          <w:szCs w:val="24"/>
        </w:rPr>
        <w:t>UN</w:t>
      </w:r>
      <w:r w:rsidRPr="003924CC">
        <w:rPr>
          <w:rFonts w:ascii="Times New Roman" w:hAnsi="Times New Roman" w:cs="Times New Roman"/>
          <w:sz w:val="24"/>
          <w:szCs w:val="24"/>
        </w:rPr>
        <w:t>, and Germany publish a list of prohibited terrorist and extremist individuals and organizations according to their national laws</w:t>
      </w:r>
      <w:r>
        <w:rPr>
          <w:rStyle w:val="FootnoteReference"/>
          <w:rFonts w:ascii="Times New Roman" w:hAnsi="Times New Roman" w:cs="Times New Roman"/>
          <w:sz w:val="24"/>
          <w:szCs w:val="24"/>
        </w:rPr>
        <w:footnoteReference w:id="5"/>
      </w:r>
      <w:r w:rsidRPr="003924CC">
        <w:rPr>
          <w:rFonts w:ascii="Times New Roman" w:hAnsi="Times New Roman" w:cs="Times New Roman"/>
          <w:sz w:val="24"/>
          <w:szCs w:val="24"/>
        </w:rPr>
        <w:t>.</w:t>
      </w:r>
    </w:p>
    <w:p w14:paraId="2F2243C1" w14:textId="77777777" w:rsidR="00697475" w:rsidRDefault="00697475" w:rsidP="00697475">
      <w:pPr>
        <w:rPr>
          <w:rFonts w:ascii="Times New Roman" w:hAnsi="Times New Roman" w:cs="Times New Roman"/>
          <w:sz w:val="24"/>
          <w:szCs w:val="24"/>
        </w:rPr>
      </w:pPr>
      <w:r w:rsidRPr="00F53887">
        <w:rPr>
          <w:rFonts w:ascii="Times New Roman" w:hAnsi="Times New Roman" w:cs="Times New Roman"/>
          <w:b/>
          <w:bCs/>
          <w:sz w:val="24"/>
          <w:szCs w:val="24"/>
        </w:rPr>
        <w:t>Surveillance</w:t>
      </w:r>
      <w:r w:rsidRPr="00F53887">
        <w:rPr>
          <w:rFonts w:ascii="Times New Roman" w:hAnsi="Times New Roman" w:cs="Times New Roman"/>
          <w:sz w:val="24"/>
          <w:szCs w:val="24"/>
        </w:rPr>
        <w:t xml:space="preserve">: Monitoring communications and activities to detect potential terrorist threats is one of the most prominent administrative measures that governments </w:t>
      </w:r>
      <w:r>
        <w:rPr>
          <w:rFonts w:ascii="Times New Roman" w:hAnsi="Times New Roman" w:cs="Times New Roman"/>
          <w:sz w:val="24"/>
          <w:szCs w:val="24"/>
        </w:rPr>
        <w:t>worldwide</w:t>
      </w:r>
      <w:r w:rsidRPr="00F53887">
        <w:rPr>
          <w:rFonts w:ascii="Times New Roman" w:hAnsi="Times New Roman" w:cs="Times New Roman"/>
          <w:sz w:val="24"/>
          <w:szCs w:val="24"/>
        </w:rPr>
        <w:t xml:space="preserve"> resort to in the combating terrorism. While monitoring activities can be crucial in preventing terrorism and extremism, Maat has observed that governments worldwide often misuse surveillance to monitor political opponents and human rights defenders, leading to a violation of the right to privacy. In the US, the National Security Agency conducts a mass surveillance program on Americans' international communications, including phone calls, texts, emails, social media messages, and web browsing without judicial approval under Section 702 of the Foreign Intelligence Surveillance Act. This has sparked worries regarding privacy rights</w:t>
      </w:r>
      <w:r>
        <w:rPr>
          <w:rStyle w:val="FootnoteReference"/>
          <w:rFonts w:ascii="Times New Roman" w:hAnsi="Times New Roman" w:cs="Times New Roman"/>
          <w:sz w:val="24"/>
          <w:szCs w:val="24"/>
        </w:rPr>
        <w:footnoteReference w:id="6"/>
      </w:r>
      <w:r w:rsidRPr="00F53887">
        <w:rPr>
          <w:rFonts w:ascii="Times New Roman" w:hAnsi="Times New Roman" w:cs="Times New Roman"/>
          <w:sz w:val="24"/>
          <w:szCs w:val="24"/>
        </w:rPr>
        <w:t>.</w:t>
      </w:r>
    </w:p>
    <w:p w14:paraId="508E1C81" w14:textId="77777777" w:rsidR="00697475" w:rsidRDefault="00697475" w:rsidP="00697475">
      <w:pPr>
        <w:rPr>
          <w:rFonts w:ascii="Times New Roman" w:hAnsi="Times New Roman" w:cs="Times New Roman"/>
          <w:sz w:val="24"/>
          <w:szCs w:val="24"/>
        </w:rPr>
      </w:pPr>
      <w:r w:rsidRPr="003225B4">
        <w:rPr>
          <w:rFonts w:ascii="Times New Roman" w:hAnsi="Times New Roman" w:cs="Times New Roman"/>
          <w:b/>
          <w:bCs/>
          <w:sz w:val="24"/>
          <w:szCs w:val="24"/>
        </w:rPr>
        <w:t>Deprivation of nationality:</w:t>
      </w:r>
      <w:r w:rsidRPr="003225B4">
        <w:rPr>
          <w:rFonts w:ascii="Times New Roman" w:hAnsi="Times New Roman" w:cs="Times New Roman"/>
          <w:sz w:val="24"/>
          <w:szCs w:val="24"/>
        </w:rPr>
        <w:t xml:space="preserve"> A number of countries have t</w:t>
      </w:r>
      <w:r>
        <w:rPr>
          <w:rFonts w:ascii="Times New Roman" w:hAnsi="Times New Roman" w:cs="Times New Roman"/>
          <w:sz w:val="24"/>
          <w:szCs w:val="24"/>
        </w:rPr>
        <w:t xml:space="preserve">aken administrative measures in </w:t>
      </w:r>
      <w:r w:rsidRPr="003225B4">
        <w:rPr>
          <w:rFonts w:ascii="Times New Roman" w:hAnsi="Times New Roman" w:cs="Times New Roman"/>
          <w:sz w:val="24"/>
          <w:szCs w:val="24"/>
        </w:rPr>
        <w:t xml:space="preserve">combating terrorism related to withdrawing nationality from individuals suspected of </w:t>
      </w:r>
      <w:r w:rsidRPr="003225B4">
        <w:rPr>
          <w:rFonts w:ascii="Times New Roman" w:hAnsi="Times New Roman" w:cs="Times New Roman"/>
          <w:sz w:val="24"/>
          <w:szCs w:val="24"/>
        </w:rPr>
        <w:lastRenderedPageBreak/>
        <w:t>involvement in committing terrorist acts. In recent years, UK government authorities have increasingly resorted to depriving individuals who may be involved in fighting, extremist activities, or terrorist training abroad</w:t>
      </w:r>
      <w:r w:rsidRPr="003225B4">
        <w:t xml:space="preserve"> </w:t>
      </w:r>
      <w:r w:rsidRPr="003225B4">
        <w:rPr>
          <w:rFonts w:ascii="Times New Roman" w:hAnsi="Times New Roman" w:cs="Times New Roman"/>
          <w:sz w:val="24"/>
          <w:szCs w:val="24"/>
        </w:rPr>
        <w:t xml:space="preserve">of British citizenship and </w:t>
      </w:r>
      <w:r>
        <w:rPr>
          <w:rFonts w:ascii="Times New Roman" w:hAnsi="Times New Roman" w:cs="Times New Roman"/>
          <w:sz w:val="24"/>
          <w:szCs w:val="24"/>
        </w:rPr>
        <w:t>withdrawing passport privileges</w:t>
      </w:r>
      <w:r w:rsidRPr="003225B4">
        <w:rPr>
          <w:rFonts w:ascii="Times New Roman" w:hAnsi="Times New Roman" w:cs="Times New Roman"/>
          <w:sz w:val="24"/>
          <w:szCs w:val="24"/>
        </w:rPr>
        <w:t>. This has led to worries about potential statelessness</w:t>
      </w:r>
      <w:r>
        <w:rPr>
          <w:rStyle w:val="FootnoteReference"/>
          <w:rFonts w:ascii="Times New Roman" w:hAnsi="Times New Roman" w:cs="Times New Roman"/>
          <w:sz w:val="24"/>
          <w:szCs w:val="24"/>
        </w:rPr>
        <w:footnoteReference w:id="7"/>
      </w:r>
      <w:r w:rsidRPr="003225B4">
        <w:rPr>
          <w:rFonts w:ascii="Times New Roman" w:hAnsi="Times New Roman" w:cs="Times New Roman"/>
          <w:sz w:val="24"/>
          <w:szCs w:val="24"/>
        </w:rPr>
        <w:t>.</w:t>
      </w:r>
    </w:p>
    <w:p w14:paraId="76E84F16" w14:textId="77777777" w:rsidR="00697475" w:rsidRPr="00697475" w:rsidRDefault="00697475" w:rsidP="00697475">
      <w:pPr>
        <w:rPr>
          <w:rFonts w:ascii="Times New Roman" w:hAnsi="Times New Roman" w:cs="Times New Roman"/>
          <w:b/>
          <w:bCs/>
          <w:color w:val="5B9BD5" w:themeColor="accent1"/>
          <w:sz w:val="24"/>
          <w:szCs w:val="24"/>
        </w:rPr>
      </w:pPr>
      <w:r w:rsidRPr="00697475">
        <w:rPr>
          <w:rFonts w:ascii="Times New Roman" w:hAnsi="Times New Roman" w:cs="Times New Roman"/>
          <w:b/>
          <w:bCs/>
          <w:color w:val="5B9BD5" w:themeColor="accent1"/>
          <w:sz w:val="24"/>
          <w:szCs w:val="24"/>
        </w:rPr>
        <w:t>Please tell me more about the rules and regulations that are used to enforce administrative measures in combatting terrorism, and describe how these measures are connected to the use of the criminal justice system to prevent and combat terrorism.</w:t>
      </w:r>
    </w:p>
    <w:p w14:paraId="492EF11C" w14:textId="77777777" w:rsidR="00697475" w:rsidRPr="00E95B3B" w:rsidRDefault="00697475" w:rsidP="00697475">
      <w:pPr>
        <w:rPr>
          <w:rFonts w:ascii="Times New Roman" w:hAnsi="Times New Roman" w:cs="Times New Roman"/>
          <w:sz w:val="24"/>
          <w:szCs w:val="24"/>
        </w:rPr>
      </w:pPr>
      <w:r w:rsidRPr="00E95B3B">
        <w:rPr>
          <w:rFonts w:ascii="Times New Roman" w:hAnsi="Times New Roman" w:cs="Times New Roman"/>
          <w:sz w:val="24"/>
          <w:szCs w:val="24"/>
        </w:rPr>
        <w:t>Administrative measures are used in many countries around the world alongside the criminal justice system to prevent and combat terrorism. These measures are based on a number of national regulations and laws aimed at combating terrorism and protecting national security. For example, the communication and internet monitoring measures detecting potential terrorist threats in Saudi Arabia are based on the Anti-Terrorism Law of 2017</w:t>
      </w:r>
      <w:r>
        <w:rPr>
          <w:rStyle w:val="FootnoteReference"/>
          <w:rFonts w:ascii="Times New Roman" w:hAnsi="Times New Roman" w:cs="Times New Roman"/>
          <w:sz w:val="24"/>
          <w:szCs w:val="24"/>
        </w:rPr>
        <w:footnoteReference w:id="8"/>
      </w:r>
      <w:r w:rsidRPr="00E95B3B">
        <w:rPr>
          <w:rFonts w:ascii="Times New Roman" w:hAnsi="Times New Roman" w:cs="Times New Roman"/>
          <w:sz w:val="24"/>
          <w:szCs w:val="24"/>
        </w:rPr>
        <w:t xml:space="preserve">.  The mass surveillance programs </w:t>
      </w:r>
      <w:r w:rsidRPr="00F218D4">
        <w:rPr>
          <w:rFonts w:ascii="Times New Roman" w:hAnsi="Times New Roman" w:cs="Times New Roman"/>
          <w:sz w:val="24"/>
          <w:szCs w:val="24"/>
        </w:rPr>
        <w:t>conducted by the US National Security Agency on international communications of Americans to detect terrorist activities</w:t>
      </w:r>
      <w:r>
        <w:rPr>
          <w:rFonts w:ascii="Times New Roman" w:hAnsi="Times New Roman" w:cs="Times New Roman"/>
          <w:sz w:val="24"/>
          <w:szCs w:val="24"/>
        </w:rPr>
        <w:t xml:space="preserve"> are also based on Section</w:t>
      </w:r>
      <w:r w:rsidRPr="00F218D4">
        <w:t xml:space="preserve"> </w:t>
      </w:r>
      <w:r w:rsidRPr="00F218D4">
        <w:rPr>
          <w:rFonts w:ascii="Times New Roman" w:hAnsi="Times New Roman" w:cs="Times New Roman"/>
          <w:sz w:val="24"/>
          <w:szCs w:val="24"/>
        </w:rPr>
        <w:t>702 of the Foreign Intelligence Surveillance Act</w:t>
      </w:r>
      <w:r>
        <w:rPr>
          <w:rStyle w:val="FootnoteReference"/>
          <w:rFonts w:ascii="Times New Roman" w:hAnsi="Times New Roman" w:cs="Times New Roman"/>
          <w:sz w:val="24"/>
          <w:szCs w:val="24"/>
        </w:rPr>
        <w:footnoteReference w:id="9"/>
      </w:r>
      <w:r w:rsidRPr="00F218D4">
        <w:rPr>
          <w:rFonts w:ascii="Times New Roman" w:hAnsi="Times New Roman" w:cs="Times New Roman"/>
          <w:sz w:val="24"/>
          <w:szCs w:val="24"/>
        </w:rPr>
        <w:t>.</w:t>
      </w:r>
      <w:r w:rsidRPr="00E95B3B">
        <w:rPr>
          <w:rFonts w:ascii="Times New Roman" w:hAnsi="Times New Roman" w:cs="Times New Roman"/>
          <w:sz w:val="24"/>
          <w:szCs w:val="24"/>
        </w:rPr>
        <w:t xml:space="preserve"> </w:t>
      </w:r>
      <w:r w:rsidRPr="00F218D4">
        <w:rPr>
          <w:rFonts w:ascii="Times New Roman" w:hAnsi="Times New Roman" w:cs="Times New Roman"/>
          <w:sz w:val="24"/>
          <w:szCs w:val="24"/>
        </w:rPr>
        <w:t>Additionally, the indefinite administrative detention measures used by US authorities against suspected terrorists</w:t>
      </w:r>
      <w:r>
        <w:rPr>
          <w:rFonts w:ascii="Times New Roman" w:hAnsi="Times New Roman" w:cs="Times New Roman"/>
          <w:sz w:val="24"/>
          <w:szCs w:val="24"/>
        </w:rPr>
        <w:t xml:space="preserve"> </w:t>
      </w:r>
      <w:r w:rsidRPr="00E95B3B">
        <w:rPr>
          <w:rFonts w:ascii="Times New Roman" w:hAnsi="Times New Roman" w:cs="Times New Roman"/>
          <w:sz w:val="24"/>
          <w:szCs w:val="24"/>
        </w:rPr>
        <w:t xml:space="preserve">are also based on The Patriot Act. (2001) which gives US law enforcement agencies increased powers to </w:t>
      </w:r>
      <w:r w:rsidRPr="00F218D4">
        <w:rPr>
          <w:rFonts w:ascii="Times New Roman" w:hAnsi="Times New Roman" w:cs="Times New Roman"/>
          <w:sz w:val="24"/>
          <w:szCs w:val="24"/>
        </w:rPr>
        <w:t>surveil</w:t>
      </w:r>
      <w:r>
        <w:rPr>
          <w:rFonts w:ascii="Times New Roman" w:hAnsi="Times New Roman" w:cs="Times New Roman"/>
          <w:sz w:val="24"/>
          <w:szCs w:val="24"/>
        </w:rPr>
        <w:t xml:space="preserve"> </w:t>
      </w:r>
      <w:r w:rsidRPr="00E95B3B">
        <w:rPr>
          <w:rFonts w:ascii="Times New Roman" w:hAnsi="Times New Roman" w:cs="Times New Roman"/>
          <w:sz w:val="24"/>
          <w:szCs w:val="24"/>
        </w:rPr>
        <w:t>and detain suspected terrorists without charge or trial</w:t>
      </w:r>
      <w:r>
        <w:rPr>
          <w:rStyle w:val="FootnoteReference"/>
          <w:rFonts w:ascii="Times New Roman" w:hAnsi="Times New Roman" w:cs="Times New Roman"/>
          <w:sz w:val="24"/>
          <w:szCs w:val="24"/>
        </w:rPr>
        <w:footnoteReference w:id="10"/>
      </w:r>
      <w:r w:rsidRPr="00E95B3B">
        <w:rPr>
          <w:rFonts w:ascii="Times New Roman" w:hAnsi="Times New Roman" w:cs="Times New Roman"/>
          <w:sz w:val="24"/>
          <w:szCs w:val="24"/>
        </w:rPr>
        <w:t>.</w:t>
      </w:r>
    </w:p>
    <w:p w14:paraId="28E48B3A" w14:textId="47944C2A" w:rsidR="00697475" w:rsidRDefault="00697475" w:rsidP="00697475">
      <w:pPr>
        <w:rPr>
          <w:rFonts w:ascii="Times New Roman" w:hAnsi="Times New Roman" w:cs="Times New Roman"/>
          <w:sz w:val="24"/>
          <w:szCs w:val="24"/>
        </w:rPr>
      </w:pPr>
      <w:r w:rsidRPr="004E2F9F">
        <w:rPr>
          <w:rFonts w:ascii="Times New Roman" w:hAnsi="Times New Roman" w:cs="Times New Roman"/>
          <w:sz w:val="24"/>
          <w:szCs w:val="24"/>
        </w:rPr>
        <w:t>Maat highlights that administrative measures are utilized alongside the criminal justice system worldwide to swiftly address perceived security threats without the delays of traditional legal procedures like obtaining court orders or conducting formal trials. These measures enable authorities to take action against individuals suspected of terrorism even with insufficient evidence for criminal prosecution, aiming to prevent terrorist activities and counter extremist ideologies. The synergy between administrative measures and the criminal justice system is evident, with administrative actions such as intelligence gathering intelligence information and surveillance, and thwarting terrorist actions before they occur, as well as assisting in building criminal cases and providing crimi</w:t>
      </w:r>
      <w:r>
        <w:rPr>
          <w:rFonts w:ascii="Times New Roman" w:hAnsi="Times New Roman" w:cs="Times New Roman"/>
          <w:sz w:val="24"/>
          <w:szCs w:val="24"/>
        </w:rPr>
        <w:t>nal evidence against suspects, w</w:t>
      </w:r>
      <w:r w:rsidRPr="004E2F9F">
        <w:rPr>
          <w:rFonts w:ascii="Times New Roman" w:hAnsi="Times New Roman" w:cs="Times New Roman"/>
          <w:sz w:val="24"/>
          <w:szCs w:val="24"/>
        </w:rPr>
        <w:t>hile the criminal justice system ensures accountability for those involved in terrorist acts within the confines of the law.</w:t>
      </w:r>
    </w:p>
    <w:p w14:paraId="62BDF18E" w14:textId="77777777" w:rsidR="00697475" w:rsidRPr="00697475" w:rsidRDefault="00697475" w:rsidP="00697475">
      <w:pPr>
        <w:rPr>
          <w:rFonts w:ascii="Times New Roman" w:hAnsi="Times New Roman" w:cs="Times New Roman"/>
          <w:b/>
          <w:bCs/>
          <w:color w:val="5B9BD5" w:themeColor="accent1"/>
          <w:sz w:val="24"/>
          <w:szCs w:val="24"/>
        </w:rPr>
      </w:pPr>
      <w:r w:rsidRPr="00697475">
        <w:rPr>
          <w:rFonts w:ascii="Times New Roman" w:hAnsi="Times New Roman" w:cs="Times New Roman"/>
          <w:b/>
          <w:bCs/>
          <w:color w:val="5B9BD5" w:themeColor="accent1"/>
          <w:sz w:val="24"/>
          <w:szCs w:val="24"/>
        </w:rPr>
        <w:lastRenderedPageBreak/>
        <w:t>Regarding the assumed administrative measures mentioned above, please provide information on the challenges and benefits resulting from the use of these administrative measures. In this regard, please explain how the administrative measures are used effectively to address the threat posed by terrorism.</w:t>
      </w:r>
    </w:p>
    <w:p w14:paraId="2BE8CB59" w14:textId="77777777" w:rsidR="00697475" w:rsidRDefault="00697475" w:rsidP="00697475">
      <w:pPr>
        <w:rPr>
          <w:rFonts w:ascii="Times New Roman" w:hAnsi="Times New Roman" w:cs="Times New Roman"/>
          <w:sz w:val="24"/>
          <w:szCs w:val="24"/>
        </w:rPr>
      </w:pPr>
      <w:r w:rsidRPr="00041EDA">
        <w:rPr>
          <w:rFonts w:ascii="Times New Roman" w:hAnsi="Times New Roman" w:cs="Times New Roman"/>
          <w:sz w:val="24"/>
          <w:szCs w:val="24"/>
        </w:rPr>
        <w:t>As previously mentioned, while administrative measures can be an effective tool in preventing and combating terrorism, their excessive use can raise serious concerns and pose serious challenges to human rights. Below, we will discuss the most important challenges and benefits resulting from the use of administrative measures in combating terrorism.</w:t>
      </w:r>
    </w:p>
    <w:p w14:paraId="1CCDEB5A" w14:textId="65D017E9" w:rsidR="00697475" w:rsidRDefault="00697475" w:rsidP="00697475">
      <w:pPr>
        <w:rPr>
          <w:rFonts w:ascii="Times New Roman" w:hAnsi="Times New Roman" w:cs="Times New Roman"/>
          <w:sz w:val="24"/>
          <w:szCs w:val="24"/>
        </w:rPr>
      </w:pPr>
      <w:r w:rsidRPr="00697475">
        <w:rPr>
          <w:rFonts w:ascii="Times New Roman" w:hAnsi="Times New Roman" w:cs="Times New Roman"/>
          <w:b/>
          <w:bCs/>
          <w:sz w:val="24"/>
          <w:szCs w:val="24"/>
        </w:rPr>
        <w:t xml:space="preserve">The challenges arising from the use of administrative measures in combating terrorism: </w:t>
      </w:r>
      <w:r w:rsidRPr="001E6954">
        <w:rPr>
          <w:rFonts w:ascii="Times New Roman" w:hAnsi="Times New Roman" w:cs="Times New Roman"/>
          <w:sz w:val="24"/>
          <w:szCs w:val="24"/>
        </w:rPr>
        <w:t>Maat noted that the excessive use of administrative measures in counter-terrorism efforts usually raises significant human rights concerns, including concerns about the possibility of misuse of these measures and their arbitrary application by authorities, leading to violations of individuals' fundamental rights such as the right to freedom, privacy, due process, and fair trial. As we mentioned before, administrative detention measures, used without judicial oversight in counter-terrorism efforts, are frequently exploited to target political opponents, thereby violating thei</w:t>
      </w:r>
      <w:r>
        <w:rPr>
          <w:rFonts w:ascii="Times New Roman" w:hAnsi="Times New Roman" w:cs="Times New Roman"/>
          <w:sz w:val="24"/>
          <w:szCs w:val="24"/>
        </w:rPr>
        <w:t>r rights. As mentioned earlier i</w:t>
      </w:r>
      <w:r w:rsidRPr="001E6954">
        <w:rPr>
          <w:rFonts w:ascii="Times New Roman" w:hAnsi="Times New Roman" w:cs="Times New Roman"/>
          <w:sz w:val="24"/>
          <w:szCs w:val="24"/>
        </w:rPr>
        <w:t>n Ethiopia, thousands of Tigrayan individuals have been detained by Ethiopian authorities since early November 2021, which constitutes a breach of due process and the right to a fair trial</w:t>
      </w:r>
      <w:r>
        <w:rPr>
          <w:rStyle w:val="FootnoteReference"/>
          <w:rFonts w:ascii="Times New Roman" w:hAnsi="Times New Roman" w:cs="Times New Roman"/>
          <w:sz w:val="24"/>
          <w:szCs w:val="24"/>
        </w:rPr>
        <w:footnoteReference w:id="11"/>
      </w:r>
      <w:r w:rsidRPr="001E6954">
        <w:rPr>
          <w:rFonts w:ascii="Times New Roman" w:hAnsi="Times New Roman" w:cs="Times New Roman"/>
          <w:sz w:val="24"/>
          <w:szCs w:val="24"/>
        </w:rPr>
        <w:t>. Moreover, Maat found that surveillance activities are often misused by governments worldwide to track political opponents, which violates the right to privacy. As previously mentioned, reports obtained by Maat indicate that US authorities are implementing mass surveillance programs of Americans' international communications, which also raises concerns about the right to privacy</w:t>
      </w:r>
      <w:r>
        <w:rPr>
          <w:rStyle w:val="FootnoteReference"/>
          <w:rFonts w:ascii="Times New Roman" w:hAnsi="Times New Roman" w:cs="Times New Roman"/>
          <w:sz w:val="24"/>
          <w:szCs w:val="24"/>
        </w:rPr>
        <w:footnoteReference w:id="12"/>
      </w:r>
      <w:r w:rsidRPr="001E6954">
        <w:rPr>
          <w:rFonts w:ascii="Times New Roman" w:hAnsi="Times New Roman" w:cs="Times New Roman"/>
          <w:sz w:val="24"/>
          <w:szCs w:val="24"/>
        </w:rPr>
        <w:t>.</w:t>
      </w:r>
    </w:p>
    <w:p w14:paraId="22CAA341" w14:textId="77777777" w:rsidR="00697475" w:rsidRDefault="00697475" w:rsidP="00697475">
      <w:pPr>
        <w:rPr>
          <w:rFonts w:ascii="Times New Roman" w:hAnsi="Times New Roman" w:cs="Times New Roman"/>
          <w:sz w:val="24"/>
          <w:szCs w:val="24"/>
        </w:rPr>
      </w:pPr>
      <w:r w:rsidRPr="00697475">
        <w:rPr>
          <w:rFonts w:ascii="Times New Roman" w:hAnsi="Times New Roman" w:cs="Times New Roman"/>
          <w:b/>
          <w:bCs/>
          <w:sz w:val="24"/>
          <w:szCs w:val="24"/>
        </w:rPr>
        <w:t>Benefits resulting from the use of administrative measures in combating terrorism:</w:t>
      </w:r>
      <w:r w:rsidRPr="001E6954">
        <w:rPr>
          <w:rFonts w:ascii="Times New Roman" w:hAnsi="Times New Roman" w:cs="Times New Roman"/>
          <w:sz w:val="24"/>
          <w:szCs w:val="24"/>
        </w:rPr>
        <w:t xml:space="preserve"> Maat believes that administrative measures play an important role in preventing and combating terrorism and extremist activities, and contribute effectively if used properly in addressing the threat posed by terrorism. In this regard, Maat notes Administrative actions such as surveillance, travel restrictions, asset freezes, and security detentions enable swift responses to emerging terrorist dangers without the delays associated with traditional legal processes like obtaining court orders or conducting formal trials. These measures also serve as a proactive strategy by </w:t>
      </w:r>
      <w:r w:rsidRPr="001E6954">
        <w:rPr>
          <w:rFonts w:ascii="Times New Roman" w:hAnsi="Times New Roman" w:cs="Times New Roman"/>
          <w:sz w:val="24"/>
          <w:szCs w:val="24"/>
        </w:rPr>
        <w:lastRenderedPageBreak/>
        <w:t>helping to disrupt terrorist plans in their early stages and dissuading potential attackers, allowing authorities to intervene before any harm is caused.</w:t>
      </w:r>
    </w:p>
    <w:p w14:paraId="52E5B9FF" w14:textId="77777777" w:rsidR="00697475" w:rsidRPr="00697475" w:rsidRDefault="00697475" w:rsidP="00697475">
      <w:pPr>
        <w:rPr>
          <w:rFonts w:ascii="Times New Roman" w:hAnsi="Times New Roman" w:cs="Times New Roman"/>
          <w:b/>
          <w:bCs/>
          <w:color w:val="5B9BD5" w:themeColor="accent1"/>
          <w:sz w:val="24"/>
          <w:szCs w:val="24"/>
        </w:rPr>
      </w:pPr>
      <w:r w:rsidRPr="00697475">
        <w:rPr>
          <w:rFonts w:ascii="Times New Roman" w:hAnsi="Times New Roman" w:cs="Times New Roman"/>
          <w:b/>
          <w:bCs/>
          <w:color w:val="5B9BD5" w:themeColor="accent1"/>
          <w:sz w:val="24"/>
          <w:szCs w:val="24"/>
        </w:rPr>
        <w:t>Please indicate whether human rights impact assessments are conducted before designing and implementing administrative measures in the field of counter-terrorism, and whether monitoring and evaluation are regularly conducted to assess the effectiveness of the administrative measures in achieving their stated objectives. Please also provide information on how civil society organizations participate in these monitoring and evaluation processes.</w:t>
      </w:r>
    </w:p>
    <w:p w14:paraId="521D4D1E" w14:textId="77777777" w:rsidR="00697475" w:rsidRPr="001E6954" w:rsidRDefault="00697475" w:rsidP="00697475">
      <w:pPr>
        <w:rPr>
          <w:rFonts w:ascii="Times New Roman" w:hAnsi="Times New Roman" w:cs="Times New Roman"/>
          <w:sz w:val="24"/>
          <w:szCs w:val="24"/>
        </w:rPr>
      </w:pPr>
      <w:r w:rsidRPr="001E6954">
        <w:rPr>
          <w:rFonts w:ascii="Times New Roman" w:hAnsi="Times New Roman" w:cs="Times New Roman"/>
          <w:sz w:val="24"/>
          <w:szCs w:val="24"/>
        </w:rPr>
        <w:t xml:space="preserve">Maat acknowledges that there is a lack of global practice with regard to human rights impact assessments and monitoring the effectiveness of administrative measures in preventing and combating terrorism in all countries that use these measures. </w:t>
      </w:r>
      <w:r w:rsidRPr="00286D7A">
        <w:rPr>
          <w:rFonts w:ascii="Times New Roman" w:hAnsi="Times New Roman" w:cs="Times New Roman"/>
          <w:sz w:val="24"/>
          <w:szCs w:val="24"/>
        </w:rPr>
        <w:t xml:space="preserve">Additionally, Maat has not identified any evaluations conducted to assess how the use of administrative measures in countering terrorism impacts human rights before their design or implementation. </w:t>
      </w:r>
      <w:r>
        <w:rPr>
          <w:rFonts w:ascii="Times New Roman" w:hAnsi="Times New Roman" w:cs="Times New Roman"/>
          <w:sz w:val="24"/>
          <w:szCs w:val="24"/>
        </w:rPr>
        <w:t>Maat</w:t>
      </w:r>
      <w:r w:rsidRPr="00286D7A">
        <w:rPr>
          <w:rFonts w:ascii="Times New Roman" w:hAnsi="Times New Roman" w:cs="Times New Roman"/>
          <w:sz w:val="24"/>
          <w:szCs w:val="24"/>
        </w:rPr>
        <w:t xml:space="preserve"> also found no evidence of countries engaging with civil society to monitor and evaluate the effectiveness of these administrative measures in achi</w:t>
      </w:r>
      <w:r>
        <w:rPr>
          <w:rFonts w:ascii="Times New Roman" w:hAnsi="Times New Roman" w:cs="Times New Roman"/>
          <w:sz w:val="24"/>
          <w:szCs w:val="24"/>
        </w:rPr>
        <w:t>eving their intended objectives</w:t>
      </w:r>
      <w:r w:rsidRPr="001E6954">
        <w:rPr>
          <w:rFonts w:ascii="Times New Roman" w:hAnsi="Times New Roman" w:cs="Times New Roman"/>
          <w:sz w:val="24"/>
          <w:szCs w:val="24"/>
        </w:rPr>
        <w:t>. In the United States of America For example, despite the widespread use of administrative measures in combating terrorism, especially measures of administrative detention, surveillance, asset freezes, and travel bans, the impact of the use of these measures on human rights was not evaluated before they were designed and imp</w:t>
      </w:r>
      <w:r>
        <w:rPr>
          <w:rFonts w:ascii="Times New Roman" w:hAnsi="Times New Roman" w:cs="Times New Roman"/>
          <w:sz w:val="24"/>
          <w:szCs w:val="24"/>
        </w:rPr>
        <w:t xml:space="preserve">lemented. </w:t>
      </w:r>
      <w:r w:rsidRPr="00286D7A">
        <w:rPr>
          <w:rFonts w:ascii="Times New Roman" w:hAnsi="Times New Roman" w:cs="Times New Roman"/>
          <w:sz w:val="24"/>
          <w:szCs w:val="24"/>
        </w:rPr>
        <w:t>Furthermore, US authorities did not collaborate with civil society to establish methods for monitoring and evaluating the effectiveness of these measures in preventing and addressing terrorist activities.</w:t>
      </w:r>
    </w:p>
    <w:p w14:paraId="0B2E4F0B" w14:textId="4E3B38FA" w:rsidR="00F871C7" w:rsidRPr="007B5697" w:rsidRDefault="00F871C7" w:rsidP="007B5697">
      <w:pPr>
        <w:jc w:val="both"/>
        <w:rPr>
          <w:rFonts w:asciiTheme="majorBidi" w:hAnsiTheme="majorBidi" w:cstheme="majorBidi"/>
          <w:sz w:val="28"/>
          <w:szCs w:val="28"/>
          <w:rtl/>
          <w:lang w:bidi="ar-EG"/>
        </w:rPr>
      </w:pPr>
    </w:p>
    <w:sectPr w:rsidR="00F871C7" w:rsidRPr="007B5697" w:rsidSect="00871B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C23C" w14:textId="77777777" w:rsidR="00657434" w:rsidRDefault="00657434" w:rsidP="004F6D5A">
      <w:pPr>
        <w:spacing w:after="0" w:line="240" w:lineRule="auto"/>
      </w:pPr>
      <w:r>
        <w:separator/>
      </w:r>
    </w:p>
  </w:endnote>
  <w:endnote w:type="continuationSeparator" w:id="0">
    <w:p w14:paraId="29F0E518" w14:textId="77777777" w:rsidR="00657434" w:rsidRDefault="00657434"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lang w:val="en-GB" w:eastAsia="en-GB"/>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lang w:val="en-GB" w:eastAsia="en-GB"/>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El-Zyrae Road, El Matbaa</w:t>
          </w:r>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Sq, Hadayek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380 Corniche El Nil St., Gawharet El Maadi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lang w:val="en-GB" w:eastAsia="en-GB"/>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lang w:val="en-GB" w:eastAsia="en-GB"/>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lang w:val="en-GB" w:eastAsia="en-GB"/>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lang w:val="en-GB" w:eastAsia="en-GB"/>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B5F6" w14:textId="77777777" w:rsidR="00657434" w:rsidRDefault="00657434" w:rsidP="004F6D5A">
      <w:pPr>
        <w:spacing w:after="0" w:line="240" w:lineRule="auto"/>
      </w:pPr>
      <w:r>
        <w:separator/>
      </w:r>
    </w:p>
  </w:footnote>
  <w:footnote w:type="continuationSeparator" w:id="0">
    <w:p w14:paraId="2678802C" w14:textId="77777777" w:rsidR="00657434" w:rsidRDefault="00657434" w:rsidP="004F6D5A">
      <w:pPr>
        <w:spacing w:after="0" w:line="240" w:lineRule="auto"/>
      </w:pPr>
      <w:r>
        <w:continuationSeparator/>
      </w:r>
    </w:p>
  </w:footnote>
  <w:footnote w:id="1">
    <w:p w14:paraId="49245DCD" w14:textId="77777777" w:rsidR="00697475" w:rsidRDefault="00697475" w:rsidP="00697475">
      <w:pPr>
        <w:pBdr>
          <w:top w:val="nil"/>
          <w:left w:val="nil"/>
          <w:bottom w:val="nil"/>
          <w:right w:val="nil"/>
          <w:between w:val="nil"/>
        </w:pBdr>
        <w:spacing w:after="0" w:line="240" w:lineRule="auto"/>
        <w:jc w:val="both"/>
        <w:rPr>
          <w:rFonts w:eastAsia="Calibri"/>
          <w:color w:val="000000"/>
          <w:sz w:val="20"/>
          <w:szCs w:val="20"/>
        </w:rPr>
      </w:pPr>
      <w:r>
        <w:rPr>
          <w:rStyle w:val="FootnoteReference"/>
        </w:rPr>
        <w:footnoteRef/>
      </w:r>
      <w:r>
        <w:t xml:space="preserve"> </w:t>
      </w:r>
      <w:r>
        <w:rPr>
          <w:rFonts w:ascii="Calibri" w:eastAsia="Calibri" w:hAnsi="Calibri" w:cs="Calibri"/>
          <w:color w:val="000000"/>
          <w:sz w:val="20"/>
          <w:szCs w:val="20"/>
        </w:rPr>
        <w:t xml:space="preserve">Guantánamo Bay detainees continue to face 'inhuman' treatment, U.N. investigator finds, NPR, June 27, 2023, link: </w:t>
      </w:r>
      <w:hyperlink r:id="rId1">
        <w:r>
          <w:rPr>
            <w:rFonts w:ascii="Calibri" w:eastAsia="Calibri" w:hAnsi="Calibri" w:cs="Calibri"/>
            <w:color w:val="0000FF"/>
            <w:sz w:val="20"/>
            <w:szCs w:val="20"/>
            <w:u w:val="single"/>
          </w:rPr>
          <w:t>https://n.pr/3K6hh7z</w:t>
        </w:r>
      </w:hyperlink>
      <w:r>
        <w:rPr>
          <w:rFonts w:ascii="Calibri" w:eastAsia="Calibri" w:hAnsi="Calibri" w:cs="Calibri"/>
          <w:color w:val="000000"/>
          <w:sz w:val="20"/>
          <w:szCs w:val="20"/>
        </w:rPr>
        <w:t xml:space="preserve"> </w:t>
      </w:r>
    </w:p>
    <w:p w14:paraId="132F5C83" w14:textId="77777777" w:rsidR="00697475" w:rsidRDefault="00697475" w:rsidP="00697475">
      <w:pPr>
        <w:pStyle w:val="FootnoteText"/>
      </w:pPr>
    </w:p>
  </w:footnote>
  <w:footnote w:id="2">
    <w:p w14:paraId="1AFCDBAB" w14:textId="77777777" w:rsidR="00697475" w:rsidRDefault="00697475" w:rsidP="00697475">
      <w:pPr>
        <w:pStyle w:val="FootnoteText"/>
      </w:pPr>
      <w:r>
        <w:rPr>
          <w:rStyle w:val="FootnoteReference"/>
        </w:rPr>
        <w:footnoteRef/>
      </w:r>
      <w:r>
        <w:t xml:space="preserve"> </w:t>
      </w:r>
      <w:r>
        <w:rPr>
          <w:rFonts w:ascii="Calibri" w:eastAsia="Calibri" w:hAnsi="Calibri" w:cs="Calibri"/>
          <w:color w:val="000000"/>
        </w:rPr>
        <w:t xml:space="preserve">Mass Detentions of Civilians Fan ‘Climate of Fear’ in Ethiopia, the New York Times, Nov. 17, 2021, link: </w:t>
      </w:r>
      <w:hyperlink r:id="rId2">
        <w:r>
          <w:rPr>
            <w:rFonts w:ascii="Calibri" w:eastAsia="Calibri" w:hAnsi="Calibri" w:cs="Calibri"/>
            <w:color w:val="0000FF"/>
            <w:u w:val="single"/>
          </w:rPr>
          <w:t>https://tinyl.io/ATD6</w:t>
        </w:r>
      </w:hyperlink>
    </w:p>
  </w:footnote>
  <w:footnote w:id="3">
    <w:p w14:paraId="7183ECEF" w14:textId="77777777" w:rsidR="00697475" w:rsidRDefault="00697475" w:rsidP="00697475">
      <w:pPr>
        <w:pStyle w:val="FootnoteText"/>
      </w:pPr>
      <w:r>
        <w:rPr>
          <w:rStyle w:val="FootnoteReference"/>
        </w:rPr>
        <w:footnoteRef/>
      </w:r>
      <w:r>
        <w:t xml:space="preserve"> </w:t>
      </w:r>
      <w:r>
        <w:rPr>
          <w:rFonts w:ascii="Calibri" w:eastAsia="Calibri" w:hAnsi="Calibri" w:cs="Calibri"/>
          <w:color w:val="000000"/>
        </w:rPr>
        <w:t xml:space="preserve">Executive Order Protecting The Nation From Foreign Terrorist Entry Into The United States, The White House, : March 6, 2017, link: </w:t>
      </w:r>
      <w:hyperlink r:id="rId3">
        <w:r>
          <w:rPr>
            <w:rFonts w:ascii="Calibri" w:eastAsia="Calibri" w:hAnsi="Calibri" w:cs="Calibri"/>
            <w:color w:val="0000FF"/>
            <w:u w:val="single"/>
          </w:rPr>
          <w:t>https://tinyl.io/ATDF</w:t>
        </w:r>
      </w:hyperlink>
    </w:p>
  </w:footnote>
  <w:footnote w:id="4">
    <w:p w14:paraId="6D258768" w14:textId="77777777" w:rsidR="00697475" w:rsidRDefault="00697475" w:rsidP="00697475">
      <w:pPr>
        <w:pStyle w:val="FootnoteText"/>
      </w:pPr>
      <w:r>
        <w:rPr>
          <w:rStyle w:val="FootnoteReference"/>
        </w:rPr>
        <w:footnoteRef/>
      </w:r>
      <w:r>
        <w:t xml:space="preserve"> </w:t>
      </w:r>
      <w:r>
        <w:rPr>
          <w:rFonts w:ascii="Calibri" w:eastAsia="Calibri" w:hAnsi="Calibri" w:cs="Calibri"/>
          <w:color w:val="000000"/>
        </w:rPr>
        <w:t xml:space="preserve">DHS Traveler Redress Inquiry Program, An official website of the U.S. Department of Homeland Security, link: </w:t>
      </w:r>
      <w:hyperlink r:id="rId4">
        <w:r>
          <w:rPr>
            <w:rFonts w:ascii="Calibri" w:eastAsia="Calibri" w:hAnsi="Calibri" w:cs="Calibri"/>
            <w:color w:val="0000FF"/>
            <w:u w:val="single"/>
          </w:rPr>
          <w:t>https://tinyl.io/ATDD</w:t>
        </w:r>
      </w:hyperlink>
    </w:p>
  </w:footnote>
  <w:footnote w:id="5">
    <w:p w14:paraId="53C880EA" w14:textId="2A3614F4" w:rsidR="00697475" w:rsidRDefault="00697475" w:rsidP="00697475">
      <w:pPr>
        <w:pStyle w:val="FootnoteText"/>
      </w:pPr>
      <w:r>
        <w:rPr>
          <w:rStyle w:val="FootnoteReference"/>
        </w:rPr>
        <w:footnoteRef/>
      </w:r>
      <w:r>
        <w:t xml:space="preserve"> </w:t>
      </w:r>
      <w:r>
        <w:rPr>
          <w:rFonts w:ascii="Calibri" w:eastAsia="Calibri" w:hAnsi="Calibri" w:cs="Calibri"/>
          <w:color w:val="000000"/>
        </w:rPr>
        <w:t xml:space="preserve">Proscribed terrorist groups or organizations, GOV.UK , 19 January 2024, link: </w:t>
      </w:r>
      <w:hyperlink r:id="rId5">
        <w:r>
          <w:rPr>
            <w:rFonts w:ascii="Calibri" w:eastAsia="Calibri" w:hAnsi="Calibri" w:cs="Calibri"/>
            <w:color w:val="0000FF"/>
            <w:u w:val="single"/>
          </w:rPr>
          <w:t>https://tinyl.io/ATDK</w:t>
        </w:r>
      </w:hyperlink>
    </w:p>
  </w:footnote>
  <w:footnote w:id="6">
    <w:p w14:paraId="4E066CA5" w14:textId="77777777" w:rsidR="00697475" w:rsidRDefault="00697475" w:rsidP="00697475">
      <w:pPr>
        <w:pStyle w:val="FootnoteText"/>
      </w:pPr>
      <w:r>
        <w:rPr>
          <w:rStyle w:val="FootnoteReference"/>
        </w:rPr>
        <w:footnoteRef/>
      </w:r>
      <w:r>
        <w:t xml:space="preserve"> </w:t>
      </w:r>
      <w:r>
        <w:rPr>
          <w:rFonts w:ascii="Calibri" w:eastAsia="Calibri" w:hAnsi="Calibri" w:cs="Calibri"/>
          <w:color w:val="000000"/>
        </w:rPr>
        <w:t xml:space="preserve">Five Things to Know About NSA Mass Surveillance and the Coming Fight in Congress, ACLU, April 11, 2023, link: </w:t>
      </w:r>
      <w:hyperlink r:id="rId6">
        <w:r>
          <w:rPr>
            <w:rFonts w:ascii="Calibri" w:eastAsia="Calibri" w:hAnsi="Calibri" w:cs="Calibri"/>
            <w:color w:val="0000FF"/>
            <w:u w:val="single"/>
          </w:rPr>
          <w:t>https://tinyl.io/ATDZ</w:t>
        </w:r>
      </w:hyperlink>
    </w:p>
  </w:footnote>
  <w:footnote w:id="7">
    <w:p w14:paraId="6782D566" w14:textId="77777777" w:rsidR="00697475" w:rsidRDefault="00697475" w:rsidP="00697475">
      <w:pPr>
        <w:pStyle w:val="FootnoteText"/>
      </w:pPr>
      <w:r>
        <w:rPr>
          <w:rStyle w:val="FootnoteReference"/>
        </w:rPr>
        <w:footnoteRef/>
      </w:r>
      <w:r>
        <w:t xml:space="preserve"> </w:t>
      </w:r>
      <w:r>
        <w:rPr>
          <w:rFonts w:ascii="Calibri" w:eastAsia="Calibri" w:hAnsi="Calibri" w:cs="Calibri"/>
          <w:color w:val="000000"/>
        </w:rPr>
        <w:t xml:space="preserve">Deprivation of British citizenship and withdrawal of passports, House of Commons, 19 May, 2023, link: </w:t>
      </w:r>
      <w:hyperlink r:id="rId7">
        <w:r>
          <w:rPr>
            <w:rFonts w:ascii="Calibri" w:eastAsia="Calibri" w:hAnsi="Calibri" w:cs="Calibri"/>
            <w:color w:val="0000FF"/>
            <w:u w:val="single"/>
          </w:rPr>
          <w:t>https://tinyl.io/ATDf</w:t>
        </w:r>
      </w:hyperlink>
    </w:p>
  </w:footnote>
  <w:footnote w:id="8">
    <w:p w14:paraId="214193A1" w14:textId="77777777" w:rsidR="00697475" w:rsidRPr="00F218D4" w:rsidRDefault="00697475" w:rsidP="00697475">
      <w:pPr>
        <w:pBdr>
          <w:top w:val="nil"/>
          <w:left w:val="nil"/>
          <w:bottom w:val="nil"/>
          <w:right w:val="nil"/>
          <w:between w:val="nil"/>
        </w:pBdr>
        <w:spacing w:after="0" w:line="240" w:lineRule="auto"/>
        <w:jc w:val="both"/>
        <w:rPr>
          <w:rFonts w:ascii="Calibri" w:eastAsia="Calibri" w:hAnsi="Calibri" w:cs="Calibri"/>
          <w:color w:val="000000"/>
        </w:rPr>
      </w:pPr>
      <w:r>
        <w:rPr>
          <w:rStyle w:val="FootnoteReference"/>
        </w:rPr>
        <w:footnoteRef/>
      </w:r>
      <w:r>
        <w:t xml:space="preserve"> </w:t>
      </w:r>
      <w:r>
        <w:rPr>
          <w:rFonts w:ascii="Calibri" w:eastAsia="Calibri" w:hAnsi="Calibri" w:cs="Calibri"/>
          <w:color w:val="000000"/>
          <w:sz w:val="20"/>
          <w:szCs w:val="20"/>
        </w:rPr>
        <w:t xml:space="preserve">2022 Country Reports on Human Rights Practices: Saudi Arabia, Us department of state, link: </w:t>
      </w:r>
      <w:hyperlink r:id="rId8">
        <w:r>
          <w:rPr>
            <w:rFonts w:ascii="Calibri" w:eastAsia="Calibri" w:hAnsi="Calibri" w:cs="Calibri"/>
            <w:color w:val="0000FF"/>
            <w:sz w:val="20"/>
            <w:szCs w:val="20"/>
            <w:u w:val="single"/>
          </w:rPr>
          <w:t>https://tinyl.io/ATHn</w:t>
        </w:r>
      </w:hyperlink>
    </w:p>
  </w:footnote>
  <w:footnote w:id="9">
    <w:p w14:paraId="6BC95EB4" w14:textId="4C39D6B0" w:rsidR="00697475" w:rsidRDefault="00697475" w:rsidP="00697475">
      <w:pPr>
        <w:pStyle w:val="FootnoteText"/>
      </w:pPr>
      <w:r>
        <w:rPr>
          <w:rStyle w:val="FootnoteReference"/>
        </w:rPr>
        <w:footnoteRef/>
      </w:r>
      <w:r>
        <w:t xml:space="preserve"> </w:t>
      </w:r>
      <w:r>
        <w:rPr>
          <w:rFonts w:ascii="Calibri" w:eastAsia="Calibri" w:hAnsi="Calibri" w:cs="Calibri"/>
          <w:color w:val="000000"/>
        </w:rPr>
        <w:t>Five Things to Know about NSA Mass Surveillance and the Coming Fight in Congress, previous reference.</w:t>
      </w:r>
    </w:p>
  </w:footnote>
  <w:footnote w:id="10">
    <w:p w14:paraId="274309B7" w14:textId="77777777" w:rsidR="00697475" w:rsidRDefault="00697475" w:rsidP="00697475">
      <w:pPr>
        <w:pStyle w:val="FootnoteText"/>
      </w:pPr>
      <w:r>
        <w:rPr>
          <w:rStyle w:val="FootnoteReference"/>
        </w:rPr>
        <w:footnoteRef/>
      </w:r>
      <w:r>
        <w:t xml:space="preserve"> </w:t>
      </w:r>
      <w:r>
        <w:rPr>
          <w:rFonts w:ascii="Calibri" w:eastAsia="Calibri" w:hAnsi="Calibri" w:cs="Calibri"/>
          <w:color w:val="000000"/>
        </w:rPr>
        <w:t xml:space="preserve">How the Anti-Terrorism Bill Permits Indefinite Detention of Immigrants, aclu, October 23, 2001, link: </w:t>
      </w:r>
      <w:hyperlink r:id="rId9">
        <w:r>
          <w:rPr>
            <w:rFonts w:ascii="Calibri" w:eastAsia="Calibri" w:hAnsi="Calibri" w:cs="Calibri"/>
            <w:color w:val="0000FF"/>
            <w:u w:val="single"/>
          </w:rPr>
          <w:t>https://tinyl.io/ATIF</w:t>
        </w:r>
      </w:hyperlink>
    </w:p>
  </w:footnote>
  <w:footnote w:id="11">
    <w:p w14:paraId="51D881BA" w14:textId="77777777" w:rsidR="00697475" w:rsidRDefault="00697475" w:rsidP="00697475">
      <w:pPr>
        <w:pStyle w:val="FootnoteText"/>
      </w:pPr>
      <w:r>
        <w:rPr>
          <w:rStyle w:val="FootnoteReference"/>
        </w:rPr>
        <w:footnoteRef/>
      </w:r>
      <w:r>
        <w:t xml:space="preserve"> </w:t>
      </w:r>
      <w:r>
        <w:rPr>
          <w:rFonts w:ascii="Calibri" w:eastAsia="Calibri" w:hAnsi="Calibri" w:cs="Calibri"/>
          <w:color w:val="000000"/>
        </w:rPr>
        <w:t xml:space="preserve">Mass Detentions of Civilians Fan ‘Climate of Fear’ in Ethiopia, the New York Times, Nov. 17, 2021, link: </w:t>
      </w:r>
      <w:hyperlink r:id="rId10">
        <w:r>
          <w:rPr>
            <w:rFonts w:ascii="Calibri" w:eastAsia="Calibri" w:hAnsi="Calibri" w:cs="Calibri"/>
            <w:color w:val="0000FF"/>
            <w:u w:val="single"/>
          </w:rPr>
          <w:t>https://tinyl.io/ATD6</w:t>
        </w:r>
      </w:hyperlink>
    </w:p>
  </w:footnote>
  <w:footnote w:id="12">
    <w:p w14:paraId="79F5AB03" w14:textId="77777777" w:rsidR="00697475" w:rsidRDefault="00697475" w:rsidP="00697475">
      <w:pPr>
        <w:pStyle w:val="FootnoteText"/>
      </w:pPr>
      <w:r>
        <w:rPr>
          <w:rStyle w:val="FootnoteReference"/>
        </w:rPr>
        <w:footnoteRef/>
      </w:r>
      <w:r>
        <w:t xml:space="preserve"> </w:t>
      </w:r>
      <w:r>
        <w:rPr>
          <w:rFonts w:ascii="Calibri" w:eastAsia="Calibri" w:hAnsi="Calibri" w:cs="Calibri"/>
          <w:color w:val="000000"/>
        </w:rPr>
        <w:t xml:space="preserve">Five Things to Know About NSA Mass Surveillance and the Coming Fight in Congress, ACLU, April 11, 2023, link: </w:t>
      </w:r>
      <w:hyperlink r:id="rId11">
        <w:r>
          <w:rPr>
            <w:rFonts w:ascii="Calibri" w:eastAsia="Calibri" w:hAnsi="Calibri" w:cs="Calibri"/>
            <w:color w:val="0000FF"/>
            <w:u w:val="single"/>
          </w:rPr>
          <w:t>https://tinyl.io/ATDZ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F735" w14:textId="18E60A97" w:rsidR="0058685C" w:rsidRPr="0058685C" w:rsidRDefault="0058685C" w:rsidP="0058685C">
    <w:pPr>
      <w:pStyle w:val="Header"/>
    </w:pPr>
    <w:r>
      <w:rPr>
        <w:noProof/>
        <w:lang w:val="en-GB" w:eastAsia="en-GB"/>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938A0"/>
    <w:multiLevelType w:val="hybridMultilevel"/>
    <w:tmpl w:val="318E6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557E8"/>
    <w:multiLevelType w:val="hybridMultilevel"/>
    <w:tmpl w:val="60AA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425DC"/>
    <w:multiLevelType w:val="hybridMultilevel"/>
    <w:tmpl w:val="54E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35A69"/>
    <w:multiLevelType w:val="hybridMultilevel"/>
    <w:tmpl w:val="4F667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9272BF"/>
    <w:multiLevelType w:val="hybridMultilevel"/>
    <w:tmpl w:val="91BA2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435CD"/>
    <w:multiLevelType w:val="hybridMultilevel"/>
    <w:tmpl w:val="6E08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243918">
    <w:abstractNumId w:val="14"/>
  </w:num>
  <w:num w:numId="2" w16cid:durableId="912734679">
    <w:abstractNumId w:val="4"/>
  </w:num>
  <w:num w:numId="3" w16cid:durableId="2072800833">
    <w:abstractNumId w:val="1"/>
  </w:num>
  <w:num w:numId="4" w16cid:durableId="359428880">
    <w:abstractNumId w:val="10"/>
  </w:num>
  <w:num w:numId="5" w16cid:durableId="235432104">
    <w:abstractNumId w:val="3"/>
  </w:num>
  <w:num w:numId="6" w16cid:durableId="2089307883">
    <w:abstractNumId w:val="23"/>
  </w:num>
  <w:num w:numId="7" w16cid:durableId="1735859176">
    <w:abstractNumId w:val="26"/>
  </w:num>
  <w:num w:numId="8" w16cid:durableId="1266111565">
    <w:abstractNumId w:val="28"/>
  </w:num>
  <w:num w:numId="9" w16cid:durableId="1488088792">
    <w:abstractNumId w:val="21"/>
  </w:num>
  <w:num w:numId="10" w16cid:durableId="1065226437">
    <w:abstractNumId w:val="24"/>
  </w:num>
  <w:num w:numId="11" w16cid:durableId="1482235705">
    <w:abstractNumId w:val="17"/>
  </w:num>
  <w:num w:numId="12" w16cid:durableId="132722265">
    <w:abstractNumId w:val="27"/>
  </w:num>
  <w:num w:numId="13" w16cid:durableId="1854613048">
    <w:abstractNumId w:val="16"/>
  </w:num>
  <w:num w:numId="14" w16cid:durableId="799418634">
    <w:abstractNumId w:val="6"/>
  </w:num>
  <w:num w:numId="15" w16cid:durableId="619459838">
    <w:abstractNumId w:val="20"/>
  </w:num>
  <w:num w:numId="16" w16cid:durableId="783693229">
    <w:abstractNumId w:val="11"/>
  </w:num>
  <w:num w:numId="17" w16cid:durableId="226495967">
    <w:abstractNumId w:val="0"/>
  </w:num>
  <w:num w:numId="18" w16cid:durableId="421493638">
    <w:abstractNumId w:val="15"/>
  </w:num>
  <w:num w:numId="19" w16cid:durableId="1767573784">
    <w:abstractNumId w:val="2"/>
  </w:num>
  <w:num w:numId="20" w16cid:durableId="155464049">
    <w:abstractNumId w:val="8"/>
  </w:num>
  <w:num w:numId="21" w16cid:durableId="409540673">
    <w:abstractNumId w:val="29"/>
  </w:num>
  <w:num w:numId="22" w16cid:durableId="1434590872">
    <w:abstractNumId w:val="9"/>
  </w:num>
  <w:num w:numId="23" w16cid:durableId="689648114">
    <w:abstractNumId w:val="13"/>
  </w:num>
  <w:num w:numId="24" w16cid:durableId="1062800620">
    <w:abstractNumId w:val="22"/>
  </w:num>
  <w:num w:numId="25" w16cid:durableId="1757046326">
    <w:abstractNumId w:val="25"/>
  </w:num>
  <w:num w:numId="26" w16cid:durableId="2009289078">
    <w:abstractNumId w:val="7"/>
  </w:num>
  <w:num w:numId="27" w16cid:durableId="1162695331">
    <w:abstractNumId w:val="5"/>
  </w:num>
  <w:num w:numId="28" w16cid:durableId="985355586">
    <w:abstractNumId w:val="18"/>
  </w:num>
  <w:num w:numId="29" w16cid:durableId="1880825320">
    <w:abstractNumId w:val="19"/>
  </w:num>
  <w:num w:numId="30" w16cid:durableId="47940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50"/>
    <w:rsid w:val="00015BCC"/>
    <w:rsid w:val="0004495D"/>
    <w:rsid w:val="0004619A"/>
    <w:rsid w:val="00046C49"/>
    <w:rsid w:val="00086352"/>
    <w:rsid w:val="000A0E24"/>
    <w:rsid w:val="000B5D57"/>
    <w:rsid w:val="000B6F75"/>
    <w:rsid w:val="000C7C14"/>
    <w:rsid w:val="00101544"/>
    <w:rsid w:val="00156C09"/>
    <w:rsid w:val="0018343C"/>
    <w:rsid w:val="00196443"/>
    <w:rsid w:val="001D532C"/>
    <w:rsid w:val="001D6213"/>
    <w:rsid w:val="002257CD"/>
    <w:rsid w:val="002305C5"/>
    <w:rsid w:val="002876FE"/>
    <w:rsid w:val="002D5B01"/>
    <w:rsid w:val="003319F3"/>
    <w:rsid w:val="003439F7"/>
    <w:rsid w:val="00360DAB"/>
    <w:rsid w:val="00372B51"/>
    <w:rsid w:val="0038184B"/>
    <w:rsid w:val="003A1F96"/>
    <w:rsid w:val="003A745E"/>
    <w:rsid w:val="004055DB"/>
    <w:rsid w:val="004134D4"/>
    <w:rsid w:val="00414D42"/>
    <w:rsid w:val="00434DDB"/>
    <w:rsid w:val="00436AE3"/>
    <w:rsid w:val="004650D2"/>
    <w:rsid w:val="00477C56"/>
    <w:rsid w:val="00484A19"/>
    <w:rsid w:val="00490571"/>
    <w:rsid w:val="004F28E4"/>
    <w:rsid w:val="004F6D5A"/>
    <w:rsid w:val="004F6EC6"/>
    <w:rsid w:val="004F7950"/>
    <w:rsid w:val="005025C7"/>
    <w:rsid w:val="00505CB3"/>
    <w:rsid w:val="005132DF"/>
    <w:rsid w:val="0051677C"/>
    <w:rsid w:val="00531689"/>
    <w:rsid w:val="00531CED"/>
    <w:rsid w:val="005612DD"/>
    <w:rsid w:val="00566EF4"/>
    <w:rsid w:val="0058685C"/>
    <w:rsid w:val="005B3A8D"/>
    <w:rsid w:val="005C3446"/>
    <w:rsid w:val="005E2E96"/>
    <w:rsid w:val="00640577"/>
    <w:rsid w:val="006412F6"/>
    <w:rsid w:val="00646A53"/>
    <w:rsid w:val="00657434"/>
    <w:rsid w:val="006807A3"/>
    <w:rsid w:val="00693967"/>
    <w:rsid w:val="00697475"/>
    <w:rsid w:val="00713444"/>
    <w:rsid w:val="0075015E"/>
    <w:rsid w:val="00755B2C"/>
    <w:rsid w:val="007A3C77"/>
    <w:rsid w:val="007B5697"/>
    <w:rsid w:val="007C3E73"/>
    <w:rsid w:val="007E56C8"/>
    <w:rsid w:val="007F62CB"/>
    <w:rsid w:val="00823531"/>
    <w:rsid w:val="00823F46"/>
    <w:rsid w:val="00826C6D"/>
    <w:rsid w:val="00860C1C"/>
    <w:rsid w:val="00871BB0"/>
    <w:rsid w:val="00875304"/>
    <w:rsid w:val="008823E1"/>
    <w:rsid w:val="00884133"/>
    <w:rsid w:val="008F2641"/>
    <w:rsid w:val="0091285A"/>
    <w:rsid w:val="009337BF"/>
    <w:rsid w:val="009412A9"/>
    <w:rsid w:val="009850AD"/>
    <w:rsid w:val="009B028E"/>
    <w:rsid w:val="009D1F8F"/>
    <w:rsid w:val="009E290C"/>
    <w:rsid w:val="00A3448D"/>
    <w:rsid w:val="00A37636"/>
    <w:rsid w:val="00A537CE"/>
    <w:rsid w:val="00A81650"/>
    <w:rsid w:val="00A83C1E"/>
    <w:rsid w:val="00AF7FD1"/>
    <w:rsid w:val="00B35D5B"/>
    <w:rsid w:val="00B50DC2"/>
    <w:rsid w:val="00B53978"/>
    <w:rsid w:val="00B66916"/>
    <w:rsid w:val="00BA7411"/>
    <w:rsid w:val="00BB10FB"/>
    <w:rsid w:val="00BB2414"/>
    <w:rsid w:val="00BB2E0C"/>
    <w:rsid w:val="00BC2D2E"/>
    <w:rsid w:val="00C0706B"/>
    <w:rsid w:val="00C34E13"/>
    <w:rsid w:val="00C47923"/>
    <w:rsid w:val="00C86D0C"/>
    <w:rsid w:val="00CC2F15"/>
    <w:rsid w:val="00CD5381"/>
    <w:rsid w:val="00D01C6A"/>
    <w:rsid w:val="00D11899"/>
    <w:rsid w:val="00D674C8"/>
    <w:rsid w:val="00DB04A9"/>
    <w:rsid w:val="00DB5AB9"/>
    <w:rsid w:val="00DE35AB"/>
    <w:rsid w:val="00DF3596"/>
    <w:rsid w:val="00E3117B"/>
    <w:rsid w:val="00E4520A"/>
    <w:rsid w:val="00E45A93"/>
    <w:rsid w:val="00E55456"/>
    <w:rsid w:val="00EA2C34"/>
    <w:rsid w:val="00EA4670"/>
    <w:rsid w:val="00EB7424"/>
    <w:rsid w:val="00ED3ED2"/>
    <w:rsid w:val="00ED7702"/>
    <w:rsid w:val="00EF597D"/>
    <w:rsid w:val="00F533B4"/>
    <w:rsid w:val="00F56B3D"/>
    <w:rsid w:val="00F871C7"/>
    <w:rsid w:val="00F94355"/>
    <w:rsid w:val="00FA13E3"/>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customStyle="1" w:styleId="UnresolvedMention1">
    <w:name w:val="Unresolved Mention1"/>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tinyl.io/ATHn" TargetMode="External"/><Relationship Id="rId3" Type="http://schemas.openxmlformats.org/officeDocument/2006/relationships/hyperlink" Target="https://tinyl.io/ATDF" TargetMode="External"/><Relationship Id="rId7" Type="http://schemas.openxmlformats.org/officeDocument/2006/relationships/hyperlink" Target="https://tinyl.io/ATDf" TargetMode="External"/><Relationship Id="rId2" Type="http://schemas.openxmlformats.org/officeDocument/2006/relationships/hyperlink" Target="https://tinyl.io/ATD6" TargetMode="External"/><Relationship Id="rId1" Type="http://schemas.openxmlformats.org/officeDocument/2006/relationships/hyperlink" Target="https://n.pr/3K6hh7z" TargetMode="External"/><Relationship Id="rId6" Type="http://schemas.openxmlformats.org/officeDocument/2006/relationships/hyperlink" Target="https://tinyl.io/ATDZ" TargetMode="External"/><Relationship Id="rId11" Type="http://schemas.openxmlformats.org/officeDocument/2006/relationships/hyperlink" Target="https://tinyl.io/ATDZ" TargetMode="External"/><Relationship Id="rId5" Type="http://schemas.openxmlformats.org/officeDocument/2006/relationships/hyperlink" Target="https://tinyl.io/ATDK" TargetMode="External"/><Relationship Id="rId10" Type="http://schemas.openxmlformats.org/officeDocument/2006/relationships/hyperlink" Target="https://tinyl.io/ATD6" TargetMode="External"/><Relationship Id="rId4" Type="http://schemas.openxmlformats.org/officeDocument/2006/relationships/hyperlink" Target="https://tinyl.io/ATDD" TargetMode="External"/><Relationship Id="rId9" Type="http://schemas.openxmlformats.org/officeDocument/2006/relationships/hyperlink" Target="https://tinyl.io/AT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Civil Society Actors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Maat for Peace, Development and Human Rights</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5F6FE-D0BF-47D5-BF80-3646EA4A99B0}"/>
</file>

<file path=customXml/itemProps2.xml><?xml version="1.0" encoding="utf-8"?>
<ds:datastoreItem xmlns:ds="http://schemas.openxmlformats.org/officeDocument/2006/customXml" ds:itemID="{B64057BF-1BB0-42B2-8DDF-62A8A46571A2}">
  <ds:schemaRefs>
    <ds:schemaRef ds:uri="http://schemas.openxmlformats.org/officeDocument/2006/bibliography"/>
  </ds:schemaRefs>
</ds:datastoreItem>
</file>

<file path=customXml/itemProps3.xml><?xml version="1.0" encoding="utf-8"?>
<ds:datastoreItem xmlns:ds="http://schemas.openxmlformats.org/officeDocument/2006/customXml" ds:itemID="{27149449-11B6-437E-851D-95FAC3151A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BFA17C-13B2-4E96-A409-297B8D2DF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Samar Khamis</cp:lastModifiedBy>
  <cp:revision>2</cp:revision>
  <dcterms:created xsi:type="dcterms:W3CDTF">2024-04-09T08:25:00Z</dcterms:created>
  <dcterms:modified xsi:type="dcterms:W3CDTF">2024-04-09T08:25:00Z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y fmtid="{D5CDD505-2E9C-101B-9397-08002B2CF9AE}" pid="4" name="MediaServiceImageTags">
    <vt:lpwstr/>
  </property>
</Properties>
</file>