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A5A9" w14:textId="65A05B88" w:rsidR="00815287" w:rsidRPr="005D356F" w:rsidRDefault="00A513DE" w:rsidP="005D356F">
      <w:pPr>
        <w:pStyle w:val="Body"/>
        <w:spacing w:after="160" w:line="259" w:lineRule="auto"/>
        <w:jc w:val="center"/>
        <w:rPr>
          <w:rFonts w:ascii="Times New Roman" w:eastAsia="Calibri" w:hAnsi="Times New Roman" w:cs="Times New Roman"/>
          <w:b/>
          <w:bCs/>
          <w:u w:color="000000"/>
          <w:lang w:val="en-GB"/>
        </w:rPr>
      </w:pPr>
      <w:r w:rsidRPr="005D356F">
        <w:rPr>
          <w:rFonts w:ascii="Times New Roman" w:eastAsia="Calibri" w:hAnsi="Times New Roman" w:cs="Times New Roman"/>
          <w:b/>
          <w:bCs/>
          <w:u w:color="000000"/>
          <w:lang w:val="en-GB"/>
        </w:rPr>
        <w:t xml:space="preserve">Submission to the United Nations Special Rapporteur on Contemporary Forms of Slavery for the thematic report on </w:t>
      </w:r>
      <w:r w:rsidR="005D356F">
        <w:rPr>
          <w:rFonts w:ascii="Times New Roman" w:eastAsia="Calibri" w:hAnsi="Times New Roman" w:cs="Times New Roman"/>
          <w:b/>
          <w:bCs/>
          <w:u w:color="000000"/>
          <w:lang w:val="en-GB"/>
        </w:rPr>
        <w:t>h</w:t>
      </w:r>
      <w:r w:rsidRPr="005D356F">
        <w:rPr>
          <w:rFonts w:ascii="Times New Roman" w:eastAsia="Calibri" w:hAnsi="Times New Roman" w:cs="Times New Roman"/>
          <w:b/>
          <w:bCs/>
          <w:u w:color="000000"/>
          <w:lang w:val="en-GB"/>
        </w:rPr>
        <w:t>omelessness as a cause and a consequence of contemporary forms of slavery</w:t>
      </w:r>
    </w:p>
    <w:p w14:paraId="2D2E34B7" w14:textId="77777777" w:rsidR="00815287" w:rsidRPr="005D356F" w:rsidRDefault="00A513DE" w:rsidP="000679E7">
      <w:pPr>
        <w:pStyle w:val="Default"/>
        <w:numPr>
          <w:ilvl w:val="0"/>
          <w:numId w:val="2"/>
        </w:numPr>
        <w:spacing w:after="160" w:line="259" w:lineRule="auto"/>
        <w:jc w:val="both"/>
        <w:rPr>
          <w:rFonts w:ascii="Times New Roman" w:hAnsi="Times New Roman" w:cs="Times New Roman"/>
          <w:u w:color="000000"/>
          <w:lang w:val="en-GB"/>
        </w:rPr>
      </w:pPr>
      <w:r w:rsidRPr="005D356F">
        <w:rPr>
          <w:rFonts w:ascii="Times New Roman" w:hAnsi="Times New Roman" w:cs="Times New Roman"/>
          <w:u w:val="single" w:color="000000"/>
          <w:lang w:val="en-GB"/>
        </w:rPr>
        <w:t>About GAATW</w:t>
      </w:r>
    </w:p>
    <w:p w14:paraId="60A90EBF" w14:textId="005BA656" w:rsidR="00815287" w:rsidRPr="005D356F" w:rsidRDefault="00A513DE" w:rsidP="000679E7">
      <w:pPr>
        <w:pStyle w:val="Body"/>
        <w:spacing w:after="160" w:line="259" w:lineRule="auto"/>
        <w:jc w:val="both"/>
        <w:rPr>
          <w:rFonts w:ascii="Times New Roman" w:eastAsia="Calibri" w:hAnsi="Times New Roman" w:cs="Times New Roman"/>
          <w:u w:color="000000"/>
          <w:lang w:val="en-GB"/>
        </w:rPr>
      </w:pPr>
      <w:r w:rsidRPr="005D356F">
        <w:rPr>
          <w:rFonts w:ascii="Times New Roman" w:eastAsia="Calibri" w:hAnsi="Times New Roman" w:cs="Times New Roman"/>
          <w:u w:color="000000"/>
          <w:lang w:val="en-GB"/>
        </w:rPr>
        <w:t xml:space="preserve">The Global Alliance Against Traffic in Women (GAATW) is an Alliance of almost 100 non-governmental organisations from Africa, Asia, Europe, and the Americas. Member organisations provide assistance to migrants, survivors of trafficking, sex workers, informal workers, </w:t>
      </w:r>
      <w:r w:rsidR="005D356F">
        <w:rPr>
          <w:rFonts w:ascii="Times New Roman" w:eastAsia="Calibri" w:hAnsi="Times New Roman" w:cs="Times New Roman"/>
          <w:u w:color="000000"/>
          <w:lang w:val="en-GB"/>
        </w:rPr>
        <w:t xml:space="preserve">and </w:t>
      </w:r>
      <w:r w:rsidRPr="005D356F">
        <w:rPr>
          <w:rFonts w:ascii="Times New Roman" w:eastAsia="Calibri" w:hAnsi="Times New Roman" w:cs="Times New Roman"/>
          <w:u w:color="000000"/>
          <w:lang w:val="en-GB"/>
        </w:rPr>
        <w:t>victims of gender-based violence. The GAATW International Secretariat is based in Bangkok, Thailand and coordinates the activities of the Alliance, initiates research, and advocates on behalf of the Alliance.</w:t>
      </w:r>
    </w:p>
    <w:p w14:paraId="50A78D0D" w14:textId="7C9578B3" w:rsidR="00815287" w:rsidRPr="005D356F" w:rsidRDefault="00A513DE" w:rsidP="000679E7">
      <w:pPr>
        <w:pStyle w:val="Body"/>
        <w:spacing w:after="160" w:line="259" w:lineRule="auto"/>
        <w:jc w:val="both"/>
        <w:rPr>
          <w:rFonts w:ascii="Times New Roman" w:eastAsia="Calibri" w:hAnsi="Times New Roman" w:cs="Times New Roman"/>
          <w:u w:color="000000"/>
          <w:lang w:val="en-GB"/>
        </w:rPr>
      </w:pPr>
      <w:r w:rsidRPr="005D356F">
        <w:rPr>
          <w:rFonts w:ascii="Times New Roman" w:eastAsia="Calibri" w:hAnsi="Times New Roman" w:cs="Times New Roman"/>
          <w:u w:color="000000"/>
          <w:lang w:val="en-GB"/>
        </w:rPr>
        <w:t>Amongst its core activities, GAATW publishes the Anti-Trafficking Review (ATR), which is the first open access, peer</w:t>
      </w:r>
      <w:r w:rsidR="005D356F">
        <w:rPr>
          <w:rFonts w:ascii="Times New Roman" w:eastAsia="Calibri" w:hAnsi="Times New Roman" w:cs="Times New Roman"/>
          <w:u w:color="000000"/>
          <w:lang w:val="en-GB"/>
        </w:rPr>
        <w:t>-</w:t>
      </w:r>
      <w:r w:rsidRPr="005D356F">
        <w:rPr>
          <w:rFonts w:ascii="Times New Roman" w:eastAsia="Calibri" w:hAnsi="Times New Roman" w:cs="Times New Roman"/>
          <w:u w:color="000000"/>
          <w:lang w:val="en-GB"/>
        </w:rPr>
        <w:t xml:space="preserve">reviewed journal dedicated to the issue of human trafficking. It explores trafficking in its broader context and intersections with gender, labour, and migration. </w:t>
      </w:r>
      <w:r w:rsidR="000679E7" w:rsidRPr="005D356F">
        <w:rPr>
          <w:rFonts w:ascii="Times New Roman" w:eastAsia="Calibri" w:hAnsi="Times New Roman" w:cs="Times New Roman"/>
          <w:u w:color="000000"/>
          <w:lang w:val="en-GB"/>
        </w:rPr>
        <w:t>The up</w:t>
      </w:r>
      <w:r w:rsidRPr="005D356F">
        <w:rPr>
          <w:rFonts w:ascii="Times New Roman" w:eastAsia="Calibri" w:hAnsi="Times New Roman" w:cs="Times New Roman"/>
          <w:u w:color="000000"/>
          <w:lang w:val="en-GB"/>
        </w:rPr>
        <w:t xml:space="preserve">coming 20th issue of the ATR will focus on “homelessness.” This submission is based on the findings and arguments presented in this </w:t>
      </w:r>
      <w:r w:rsidR="00FD29C8">
        <w:rPr>
          <w:rFonts w:ascii="Times New Roman" w:eastAsia="Calibri" w:hAnsi="Times New Roman" w:cs="Times New Roman"/>
          <w:u w:color="000000"/>
          <w:lang w:val="en-GB"/>
        </w:rPr>
        <w:t>issue</w:t>
      </w:r>
      <w:r w:rsidRPr="005D356F">
        <w:rPr>
          <w:rFonts w:ascii="Times New Roman" w:eastAsia="Calibri" w:hAnsi="Times New Roman" w:cs="Times New Roman"/>
          <w:u w:color="000000"/>
          <w:lang w:val="en-GB"/>
        </w:rPr>
        <w:t>, as well as the invaluable expertise of GAATW’s members and partners</w:t>
      </w:r>
      <w:r w:rsidR="005D356F">
        <w:rPr>
          <w:rFonts w:ascii="Times New Roman" w:eastAsia="Calibri" w:hAnsi="Times New Roman" w:cs="Times New Roman"/>
          <w:u w:color="000000"/>
          <w:lang w:val="en-GB"/>
        </w:rPr>
        <w:t xml:space="preserve"> who provided information for inclusion in this submission</w:t>
      </w:r>
      <w:r w:rsidRPr="005D356F">
        <w:rPr>
          <w:rFonts w:ascii="Times New Roman" w:eastAsia="Calibri" w:hAnsi="Times New Roman" w:cs="Times New Roman"/>
          <w:u w:color="000000"/>
          <w:lang w:val="en-GB"/>
        </w:rPr>
        <w:t>.</w:t>
      </w:r>
    </w:p>
    <w:p w14:paraId="7FE3CC53" w14:textId="12D7AA2D" w:rsidR="00AC2B7C" w:rsidRDefault="00AC2B7C" w:rsidP="00A12CA1">
      <w:pPr>
        <w:pStyle w:val="Body"/>
        <w:numPr>
          <w:ilvl w:val="0"/>
          <w:numId w:val="2"/>
        </w:numPr>
        <w:spacing w:after="160" w:line="259" w:lineRule="auto"/>
        <w:jc w:val="both"/>
        <w:rPr>
          <w:rFonts w:ascii="Times New Roman" w:eastAsia="Calibri" w:hAnsi="Times New Roman" w:cs="Times New Roman"/>
          <w:u w:val="single" w:color="000000"/>
          <w:lang w:val="en-GB"/>
        </w:rPr>
      </w:pPr>
      <w:r>
        <w:rPr>
          <w:rFonts w:ascii="Times New Roman" w:eastAsia="Calibri" w:hAnsi="Times New Roman" w:cs="Times New Roman"/>
          <w:u w:val="single" w:color="000000"/>
          <w:lang w:val="en-GB"/>
        </w:rPr>
        <w:t>Submissions</w:t>
      </w:r>
    </w:p>
    <w:p w14:paraId="23132F11" w14:textId="2FE395BA" w:rsidR="00EE76AA" w:rsidRPr="00AC2B7C" w:rsidRDefault="00EE76AA" w:rsidP="00AC2B7C">
      <w:pPr>
        <w:pStyle w:val="Body"/>
        <w:numPr>
          <w:ilvl w:val="0"/>
          <w:numId w:val="4"/>
        </w:numPr>
        <w:spacing w:after="160" w:line="259" w:lineRule="auto"/>
        <w:jc w:val="both"/>
        <w:rPr>
          <w:rFonts w:ascii="Times New Roman" w:eastAsia="Calibri" w:hAnsi="Times New Roman" w:cs="Times New Roman"/>
          <w:lang w:val="en-GB"/>
        </w:rPr>
      </w:pPr>
      <w:r w:rsidRPr="00AC2B7C">
        <w:rPr>
          <w:rFonts w:ascii="Times New Roman" w:eastAsia="Calibri" w:hAnsi="Times New Roman" w:cs="Times New Roman"/>
          <w:lang w:val="en-GB"/>
        </w:rPr>
        <w:t>Draconian immigration laws push survivors of trafficking and slavery into homeless</w:t>
      </w:r>
      <w:r w:rsidR="00A12CA1" w:rsidRPr="00AC2B7C">
        <w:rPr>
          <w:rFonts w:ascii="Times New Roman" w:eastAsia="Calibri" w:hAnsi="Times New Roman" w:cs="Times New Roman"/>
          <w:lang w:val="en-GB"/>
        </w:rPr>
        <w:t>ness</w:t>
      </w:r>
    </w:p>
    <w:p w14:paraId="7933F22C" w14:textId="4A82C229" w:rsidR="00EE76AA" w:rsidRPr="005D356F" w:rsidRDefault="001F27A9" w:rsidP="00EE76AA">
      <w:pPr>
        <w:pStyle w:val="Body"/>
        <w:spacing w:after="160" w:line="259" w:lineRule="auto"/>
        <w:jc w:val="both"/>
        <w:rPr>
          <w:rFonts w:ascii="Times New Roman" w:eastAsia="Calibri" w:hAnsi="Times New Roman" w:cs="Times New Roman"/>
          <w:u w:color="000000"/>
          <w:lang w:val="en-GB"/>
        </w:rPr>
      </w:pPr>
      <w:r>
        <w:rPr>
          <w:rFonts w:ascii="Times New Roman" w:eastAsia="Calibri" w:hAnsi="Times New Roman" w:cs="Times New Roman"/>
          <w:u w:color="000000"/>
          <w:lang w:val="en-GB"/>
        </w:rPr>
        <w:t>I</w:t>
      </w:r>
      <w:r w:rsidR="00EE76AA" w:rsidRPr="005D356F">
        <w:rPr>
          <w:rFonts w:ascii="Times New Roman" w:eastAsia="Calibri" w:hAnsi="Times New Roman" w:cs="Times New Roman"/>
          <w:u w:color="000000"/>
          <w:lang w:val="en-GB"/>
        </w:rPr>
        <w:t xml:space="preserve">ncreasingly draconian and discriminatory immigration policies have made it difficult for migrants who have experienced trafficking and slavery to </w:t>
      </w:r>
      <w:r w:rsidR="00CC6B0D">
        <w:rPr>
          <w:rFonts w:ascii="Times New Roman" w:eastAsia="Calibri" w:hAnsi="Times New Roman" w:cs="Times New Roman"/>
          <w:u w:color="000000"/>
          <w:lang w:val="en-GB"/>
        </w:rPr>
        <w:t xml:space="preserve">access housing and accommodation, and increased survivors’ risk of homelessness. </w:t>
      </w:r>
    </w:p>
    <w:p w14:paraId="3D9BC486" w14:textId="1C01D1F2" w:rsidR="001F27A9" w:rsidRPr="005D356F" w:rsidRDefault="001F27A9" w:rsidP="001F27A9">
      <w:pPr>
        <w:pStyle w:val="Body"/>
        <w:spacing w:after="160" w:line="259" w:lineRule="auto"/>
        <w:jc w:val="both"/>
        <w:rPr>
          <w:rFonts w:ascii="Times New Roman" w:eastAsia="Calibri" w:hAnsi="Times New Roman" w:cs="Times New Roman"/>
          <w:u w:color="000000"/>
          <w:lang w:val="en-GB"/>
        </w:rPr>
      </w:pPr>
      <w:r w:rsidRPr="005D356F">
        <w:rPr>
          <w:rFonts w:ascii="Times New Roman" w:eastAsia="Calibri" w:hAnsi="Times New Roman" w:cs="Times New Roman"/>
          <w:u w:color="000000"/>
          <w:lang w:val="en-GB"/>
        </w:rPr>
        <w:t>Housing is</w:t>
      </w:r>
      <w:r>
        <w:rPr>
          <w:rFonts w:ascii="Times New Roman" w:eastAsia="Calibri" w:hAnsi="Times New Roman" w:cs="Times New Roman"/>
          <w:u w:color="000000"/>
          <w:lang w:val="en-GB"/>
        </w:rPr>
        <w:t xml:space="preserve"> often </w:t>
      </w:r>
      <w:r w:rsidRPr="005D356F">
        <w:rPr>
          <w:rFonts w:ascii="Times New Roman" w:eastAsia="Calibri" w:hAnsi="Times New Roman" w:cs="Times New Roman"/>
          <w:u w:color="000000"/>
          <w:lang w:val="en-GB"/>
        </w:rPr>
        <w:t xml:space="preserve">a significant priority for survivors of trafficking and slavery. For many, escaping human trafficking or slavery means the simultaneous loss of work, </w:t>
      </w:r>
      <w:proofErr w:type="gramStart"/>
      <w:r w:rsidRPr="005D356F">
        <w:rPr>
          <w:rFonts w:ascii="Times New Roman" w:eastAsia="Calibri" w:hAnsi="Times New Roman" w:cs="Times New Roman"/>
          <w:u w:color="000000"/>
          <w:lang w:val="en-GB"/>
        </w:rPr>
        <w:t>income</w:t>
      </w:r>
      <w:proofErr w:type="gramEnd"/>
      <w:r w:rsidRPr="005D356F">
        <w:rPr>
          <w:rFonts w:ascii="Times New Roman" w:eastAsia="Calibri" w:hAnsi="Times New Roman" w:cs="Times New Roman"/>
          <w:u w:color="000000"/>
          <w:lang w:val="en-GB"/>
        </w:rPr>
        <w:t xml:space="preserve"> and accommodation, however exploitative any of these were.</w:t>
      </w:r>
    </w:p>
    <w:p w14:paraId="309602BA" w14:textId="4935F88A" w:rsidR="00CC6B0D" w:rsidRPr="005D356F" w:rsidRDefault="00CC6B0D" w:rsidP="00CC6B0D">
      <w:pPr>
        <w:pStyle w:val="Body"/>
        <w:spacing w:after="160" w:line="259" w:lineRule="auto"/>
        <w:jc w:val="both"/>
        <w:rPr>
          <w:rFonts w:ascii="Times New Roman" w:eastAsia="Calibri" w:hAnsi="Times New Roman" w:cs="Times New Roman"/>
          <w:u w:color="000000"/>
          <w:lang w:val="en-GB"/>
        </w:rPr>
      </w:pPr>
      <w:r w:rsidRPr="005D356F">
        <w:rPr>
          <w:rFonts w:ascii="Times New Roman" w:eastAsia="Calibri" w:hAnsi="Times New Roman" w:cs="Times New Roman"/>
          <w:u w:color="000000"/>
          <w:lang w:val="en-GB"/>
        </w:rPr>
        <w:t>In Australia, many survivors of trafficking are not eligible for accommodation options due to their immigration status</w:t>
      </w:r>
      <w:r w:rsidR="001F27A9">
        <w:rPr>
          <w:rFonts w:ascii="Times New Roman" w:eastAsia="Calibri" w:hAnsi="Times New Roman" w:cs="Times New Roman"/>
          <w:u w:color="000000"/>
          <w:lang w:val="en-GB"/>
        </w:rPr>
        <w:t xml:space="preserve">. </w:t>
      </w:r>
      <w:r w:rsidRPr="005D356F">
        <w:rPr>
          <w:rFonts w:ascii="Times New Roman" w:eastAsia="Calibri" w:hAnsi="Times New Roman" w:cs="Times New Roman"/>
          <w:u w:color="000000"/>
          <w:lang w:val="en-GB"/>
        </w:rPr>
        <w:t>More than half of survivors supported by the Australian Red cross are on a temporary visa, making them ineligible for access to social housing in the states of New South Wales, Victoria, Tasmania, and the Australian Capital Territory.</w:t>
      </w:r>
      <w:r w:rsidRPr="005D356F">
        <w:rPr>
          <w:rStyle w:val="FootnoteReference"/>
          <w:rFonts w:ascii="Times New Roman" w:eastAsia="Calibri" w:hAnsi="Times New Roman" w:cs="Times New Roman"/>
          <w:u w:color="000000"/>
          <w:lang w:val="en-GB"/>
        </w:rPr>
        <w:footnoteReference w:id="2"/>
      </w:r>
      <w:r w:rsidRPr="005D356F">
        <w:rPr>
          <w:rFonts w:ascii="Times New Roman" w:eastAsia="Calibri" w:hAnsi="Times New Roman" w:cs="Times New Roman"/>
          <w:u w:color="000000"/>
          <w:lang w:val="en-GB"/>
        </w:rPr>
        <w:t xml:space="preserve"> </w:t>
      </w:r>
      <w:r w:rsidR="001F27A9">
        <w:rPr>
          <w:rFonts w:ascii="Times New Roman" w:eastAsia="Calibri" w:hAnsi="Times New Roman" w:cs="Times New Roman"/>
          <w:u w:color="000000"/>
          <w:lang w:val="en-GB"/>
        </w:rPr>
        <w:t>Many survivors are also</w:t>
      </w:r>
      <w:r w:rsidRPr="005D356F">
        <w:rPr>
          <w:rFonts w:ascii="Times New Roman" w:eastAsia="Calibri" w:hAnsi="Times New Roman" w:cs="Times New Roman"/>
          <w:u w:color="000000"/>
          <w:lang w:val="en-GB"/>
        </w:rPr>
        <w:t xml:space="preserve"> </w:t>
      </w:r>
      <w:r w:rsidR="001F27A9">
        <w:rPr>
          <w:rFonts w:ascii="Times New Roman" w:eastAsia="Calibri" w:hAnsi="Times New Roman" w:cs="Times New Roman"/>
          <w:u w:color="000000"/>
          <w:lang w:val="en-GB"/>
        </w:rPr>
        <w:t>unable to pay privately for accommodation due to a</w:t>
      </w:r>
      <w:r w:rsidR="001F27A9" w:rsidRPr="005D356F">
        <w:rPr>
          <w:rFonts w:ascii="Times New Roman" w:eastAsia="Calibri" w:hAnsi="Times New Roman" w:cs="Times New Roman"/>
          <w:u w:color="000000"/>
          <w:lang w:val="en-GB"/>
        </w:rPr>
        <w:t xml:space="preserve"> lack of</w:t>
      </w:r>
      <w:r w:rsidR="001F27A9">
        <w:rPr>
          <w:rFonts w:ascii="Times New Roman" w:eastAsia="Calibri" w:hAnsi="Times New Roman" w:cs="Times New Roman"/>
          <w:u w:color="000000"/>
          <w:lang w:val="en-GB"/>
        </w:rPr>
        <w:t xml:space="preserve"> stable</w:t>
      </w:r>
      <w:r w:rsidR="001F27A9" w:rsidRPr="005D356F">
        <w:rPr>
          <w:rFonts w:ascii="Times New Roman" w:eastAsia="Calibri" w:hAnsi="Times New Roman" w:cs="Times New Roman"/>
          <w:u w:color="000000"/>
          <w:lang w:val="en-GB"/>
        </w:rPr>
        <w:t xml:space="preserve"> income</w:t>
      </w:r>
      <w:r w:rsidR="001F27A9">
        <w:rPr>
          <w:rFonts w:ascii="Times New Roman" w:eastAsia="Calibri" w:hAnsi="Times New Roman" w:cs="Times New Roman"/>
          <w:u w:color="000000"/>
          <w:lang w:val="en-GB"/>
        </w:rPr>
        <w:t xml:space="preserve">, </w:t>
      </w:r>
      <w:r w:rsidR="001F27A9" w:rsidRPr="005D356F">
        <w:rPr>
          <w:rFonts w:ascii="Times New Roman" w:eastAsia="Calibri" w:hAnsi="Times New Roman" w:cs="Times New Roman"/>
          <w:u w:color="000000"/>
          <w:lang w:val="en-GB"/>
        </w:rPr>
        <w:t xml:space="preserve">as result of </w:t>
      </w:r>
      <w:r w:rsidR="001F27A9">
        <w:rPr>
          <w:rFonts w:ascii="Times New Roman" w:eastAsia="Calibri" w:hAnsi="Times New Roman" w:cs="Times New Roman"/>
          <w:u w:color="000000"/>
          <w:lang w:val="en-GB"/>
        </w:rPr>
        <w:t xml:space="preserve">the </w:t>
      </w:r>
      <w:r w:rsidR="001F27A9" w:rsidRPr="005D356F">
        <w:rPr>
          <w:rFonts w:ascii="Times New Roman" w:eastAsia="Calibri" w:hAnsi="Times New Roman" w:cs="Times New Roman"/>
          <w:u w:color="000000"/>
          <w:lang w:val="en-GB"/>
        </w:rPr>
        <w:t>restrictions on their right to work.</w:t>
      </w:r>
      <w:r w:rsidR="001F27A9" w:rsidRPr="005D356F">
        <w:rPr>
          <w:rFonts w:ascii="Times New Roman" w:eastAsia="Calibri" w:hAnsi="Times New Roman" w:cs="Times New Roman"/>
          <w:u w:color="000000"/>
          <w:vertAlign w:val="superscript"/>
          <w:lang w:val="en-GB"/>
        </w:rPr>
        <w:footnoteReference w:id="3"/>
      </w:r>
    </w:p>
    <w:p w14:paraId="05F36673" w14:textId="7135B284" w:rsidR="00CC6B0D" w:rsidRPr="005D356F" w:rsidRDefault="00CC6B0D" w:rsidP="00CC6B0D">
      <w:pPr>
        <w:pStyle w:val="Body"/>
        <w:spacing w:after="160" w:line="259" w:lineRule="auto"/>
        <w:jc w:val="both"/>
        <w:rPr>
          <w:rFonts w:ascii="Times New Roman" w:eastAsia="Calibri" w:hAnsi="Times New Roman" w:cs="Times New Roman"/>
          <w:u w:color="000000"/>
          <w:lang w:val="en-GB"/>
        </w:rPr>
      </w:pPr>
      <w:r w:rsidRPr="005D356F">
        <w:rPr>
          <w:rFonts w:ascii="Times New Roman" w:eastAsia="Calibri" w:hAnsi="Times New Roman" w:cs="Times New Roman"/>
          <w:u w:color="000000"/>
          <w:lang w:val="en-GB"/>
        </w:rPr>
        <w:t xml:space="preserve">Survivors are only eligible for longer-term visas if they participate in the investigation of a human trafficking or slavery offence. This immediately excludes survivors who are unwilling or unable to engage with authorities, leaving them unsupported and vulnerable to homelessness. Moreover, even for those </w:t>
      </w:r>
      <w:r>
        <w:rPr>
          <w:rFonts w:ascii="Times New Roman" w:eastAsia="Calibri" w:hAnsi="Times New Roman" w:cs="Times New Roman"/>
          <w:u w:color="000000"/>
          <w:lang w:val="en-GB"/>
        </w:rPr>
        <w:t xml:space="preserve">survivors </w:t>
      </w:r>
      <w:r w:rsidRPr="005D356F">
        <w:rPr>
          <w:rFonts w:ascii="Times New Roman" w:eastAsia="Calibri" w:hAnsi="Times New Roman" w:cs="Times New Roman"/>
          <w:u w:color="000000"/>
          <w:lang w:val="en-GB"/>
        </w:rPr>
        <w:t>who do engage with the authorities, their eligibility for these longer-term visas will cease once an investigation closes, which creates uncertainty when they are applying for community or public housing.</w:t>
      </w:r>
      <w:r w:rsidRPr="005D356F">
        <w:rPr>
          <w:rStyle w:val="FootnoteReference"/>
          <w:rFonts w:ascii="Times New Roman" w:eastAsia="Calibri" w:hAnsi="Times New Roman" w:cs="Times New Roman"/>
          <w:u w:color="000000"/>
          <w:lang w:val="en-GB"/>
        </w:rPr>
        <w:footnoteReference w:id="4"/>
      </w:r>
    </w:p>
    <w:p w14:paraId="0FDC87AB" w14:textId="4E50550C" w:rsidR="00CC6B0D" w:rsidRDefault="00CC6B0D" w:rsidP="00EE76AA">
      <w:pPr>
        <w:pStyle w:val="Body"/>
        <w:spacing w:after="160" w:line="259" w:lineRule="auto"/>
        <w:jc w:val="both"/>
        <w:rPr>
          <w:rFonts w:ascii="Times New Roman" w:eastAsia="Calibri" w:hAnsi="Times New Roman" w:cs="Times New Roman"/>
          <w:u w:color="000000"/>
          <w:lang w:val="en-GB"/>
        </w:rPr>
      </w:pPr>
      <w:r>
        <w:rPr>
          <w:rFonts w:ascii="Times New Roman" w:eastAsia="Calibri" w:hAnsi="Times New Roman" w:cs="Times New Roman"/>
          <w:u w:color="000000"/>
          <w:lang w:val="en-GB"/>
        </w:rPr>
        <w:t>In</w:t>
      </w:r>
      <w:r w:rsidR="00EE76AA" w:rsidRPr="005D356F">
        <w:rPr>
          <w:rFonts w:ascii="Times New Roman" w:eastAsia="Calibri" w:hAnsi="Times New Roman" w:cs="Times New Roman"/>
          <w:u w:color="000000"/>
          <w:lang w:val="en-GB"/>
        </w:rPr>
        <w:t xml:space="preserve"> France, </w:t>
      </w:r>
      <w:r>
        <w:rPr>
          <w:rFonts w:ascii="Times New Roman" w:eastAsia="Calibri" w:hAnsi="Times New Roman" w:cs="Times New Roman"/>
          <w:u w:color="000000"/>
          <w:lang w:val="en-GB"/>
        </w:rPr>
        <w:t>as</w:t>
      </w:r>
      <w:r w:rsidR="00EE76AA" w:rsidRPr="005D356F">
        <w:rPr>
          <w:rFonts w:ascii="Times New Roman" w:eastAsia="Calibri" w:hAnsi="Times New Roman" w:cs="Times New Roman"/>
          <w:u w:color="000000"/>
          <w:lang w:val="en-GB"/>
        </w:rPr>
        <w:t xml:space="preserve"> in </w:t>
      </w:r>
      <w:r w:rsidR="00FD29C8">
        <w:rPr>
          <w:rFonts w:ascii="Times New Roman" w:eastAsia="Calibri" w:hAnsi="Times New Roman" w:cs="Times New Roman"/>
          <w:u w:color="000000"/>
          <w:lang w:val="en-GB"/>
        </w:rPr>
        <w:t>other</w:t>
      </w:r>
      <w:r w:rsidR="00FD29C8" w:rsidRPr="005D356F">
        <w:rPr>
          <w:rFonts w:ascii="Times New Roman" w:eastAsia="Calibri" w:hAnsi="Times New Roman" w:cs="Times New Roman"/>
          <w:u w:color="000000"/>
          <w:lang w:val="en-GB"/>
        </w:rPr>
        <w:t xml:space="preserve"> </w:t>
      </w:r>
      <w:r w:rsidR="00EE76AA" w:rsidRPr="005D356F">
        <w:rPr>
          <w:rFonts w:ascii="Times New Roman" w:eastAsia="Calibri" w:hAnsi="Times New Roman" w:cs="Times New Roman"/>
          <w:u w:color="000000"/>
          <w:lang w:val="en-GB"/>
        </w:rPr>
        <w:t xml:space="preserve">European countries, the only available </w:t>
      </w:r>
      <w:r>
        <w:rPr>
          <w:rFonts w:ascii="Times New Roman" w:eastAsia="Calibri" w:hAnsi="Times New Roman" w:cs="Times New Roman"/>
          <w:u w:color="000000"/>
          <w:lang w:val="en-GB"/>
        </w:rPr>
        <w:t>process by which</w:t>
      </w:r>
      <w:r w:rsidR="00EE76AA" w:rsidRPr="005D356F">
        <w:rPr>
          <w:rFonts w:ascii="Times New Roman" w:eastAsia="Calibri" w:hAnsi="Times New Roman" w:cs="Times New Roman"/>
          <w:u w:color="000000"/>
          <w:lang w:val="en-GB"/>
        </w:rPr>
        <w:t xml:space="preserve"> survivors </w:t>
      </w:r>
      <w:r>
        <w:rPr>
          <w:rFonts w:ascii="Times New Roman" w:eastAsia="Calibri" w:hAnsi="Times New Roman" w:cs="Times New Roman"/>
          <w:u w:color="000000"/>
          <w:lang w:val="en-GB"/>
        </w:rPr>
        <w:t>of exploitation and slavery can</w:t>
      </w:r>
      <w:r w:rsidR="00EE76AA" w:rsidRPr="005D356F">
        <w:rPr>
          <w:rFonts w:ascii="Times New Roman" w:eastAsia="Calibri" w:hAnsi="Times New Roman" w:cs="Times New Roman"/>
          <w:u w:color="000000"/>
          <w:lang w:val="en-GB"/>
        </w:rPr>
        <w:t xml:space="preserve"> access state support, is to seek asylum. </w:t>
      </w:r>
      <w:r w:rsidRPr="005D356F">
        <w:rPr>
          <w:rFonts w:ascii="Times New Roman" w:eastAsia="Calibri" w:hAnsi="Times New Roman" w:cs="Times New Roman"/>
          <w:u w:color="000000"/>
          <w:lang w:val="en-GB"/>
        </w:rPr>
        <w:t>However,</w:t>
      </w:r>
      <w:r w:rsidR="00EE76AA" w:rsidRPr="005D356F">
        <w:rPr>
          <w:rFonts w:ascii="Times New Roman" w:eastAsia="Calibri" w:hAnsi="Times New Roman" w:cs="Times New Roman"/>
          <w:u w:color="000000"/>
          <w:lang w:val="en-GB"/>
        </w:rPr>
        <w:t xml:space="preserve"> asylum seekers are not allowed to work in France (as again is the case in</w:t>
      </w:r>
      <w:r>
        <w:rPr>
          <w:rFonts w:ascii="Times New Roman" w:eastAsia="Calibri" w:hAnsi="Times New Roman" w:cs="Times New Roman"/>
          <w:u w:color="000000"/>
          <w:lang w:val="en-GB"/>
        </w:rPr>
        <w:t xml:space="preserve"> many</w:t>
      </w:r>
      <w:r w:rsidR="00EE76AA" w:rsidRPr="005D356F">
        <w:rPr>
          <w:rFonts w:ascii="Times New Roman" w:eastAsia="Calibri" w:hAnsi="Times New Roman" w:cs="Times New Roman"/>
          <w:u w:color="000000"/>
          <w:lang w:val="en-GB"/>
        </w:rPr>
        <w:t xml:space="preserve"> European countries)</w:t>
      </w:r>
      <w:r>
        <w:rPr>
          <w:rFonts w:ascii="Times New Roman" w:eastAsia="Calibri" w:hAnsi="Times New Roman" w:cs="Times New Roman"/>
          <w:u w:color="000000"/>
          <w:lang w:val="en-GB"/>
        </w:rPr>
        <w:t xml:space="preserve"> and so cannot earn money to pay for private housin</w:t>
      </w:r>
      <w:r w:rsidR="001F27A9">
        <w:rPr>
          <w:rFonts w:ascii="Times New Roman" w:eastAsia="Calibri" w:hAnsi="Times New Roman" w:cs="Times New Roman"/>
          <w:u w:color="000000"/>
          <w:lang w:val="en-GB"/>
        </w:rPr>
        <w:t>g. T</w:t>
      </w:r>
      <w:r w:rsidRPr="005D356F">
        <w:rPr>
          <w:rFonts w:ascii="Times New Roman" w:eastAsia="Calibri" w:hAnsi="Times New Roman" w:cs="Times New Roman"/>
          <w:u w:color="000000"/>
          <w:lang w:val="en-GB"/>
        </w:rPr>
        <w:t>he only available state-provided emergency accommodation in France is hugely over-subscribed</w:t>
      </w:r>
      <w:r w:rsidR="00EE76AA" w:rsidRPr="005D356F">
        <w:rPr>
          <w:rFonts w:ascii="Times New Roman" w:eastAsia="Calibri" w:hAnsi="Times New Roman" w:cs="Times New Roman"/>
          <w:u w:color="000000"/>
          <w:lang w:val="en-GB"/>
        </w:rPr>
        <w:t xml:space="preserve">. </w:t>
      </w:r>
      <w:r>
        <w:rPr>
          <w:rFonts w:ascii="Times New Roman" w:eastAsia="Calibri" w:hAnsi="Times New Roman" w:cs="Times New Roman"/>
          <w:u w:color="000000"/>
          <w:lang w:val="en-GB"/>
        </w:rPr>
        <w:t>S</w:t>
      </w:r>
      <w:r w:rsidR="00EE76AA" w:rsidRPr="005D356F">
        <w:rPr>
          <w:rFonts w:ascii="Times New Roman" w:eastAsia="Calibri" w:hAnsi="Times New Roman" w:cs="Times New Roman"/>
          <w:u w:color="000000"/>
          <w:lang w:val="en-GB"/>
        </w:rPr>
        <w:t xml:space="preserve">urvivors report that when they contact the emergency accommodation phone platform (115), they </w:t>
      </w:r>
      <w:r w:rsidR="00431E32">
        <w:rPr>
          <w:rFonts w:ascii="Times New Roman" w:eastAsia="Calibri" w:hAnsi="Times New Roman" w:cs="Times New Roman"/>
          <w:u w:color="000000"/>
          <w:lang w:val="en-GB"/>
        </w:rPr>
        <w:t xml:space="preserve">are </w:t>
      </w:r>
      <w:r w:rsidR="00EE76AA" w:rsidRPr="005D356F">
        <w:rPr>
          <w:rFonts w:ascii="Times New Roman" w:eastAsia="Calibri" w:hAnsi="Times New Roman" w:cs="Times New Roman"/>
          <w:u w:color="000000"/>
          <w:lang w:val="en-GB"/>
        </w:rPr>
        <w:t>often offered only a single night with no guarantee of being able to stay longer.</w:t>
      </w:r>
      <w:r w:rsidR="00EE76AA" w:rsidRPr="005D356F">
        <w:rPr>
          <w:rStyle w:val="FootnoteReference"/>
          <w:rFonts w:ascii="Times New Roman" w:eastAsia="Calibri" w:hAnsi="Times New Roman" w:cs="Times New Roman"/>
          <w:u w:color="000000"/>
          <w:lang w:val="en-GB"/>
        </w:rPr>
        <w:footnoteReference w:id="5"/>
      </w:r>
      <w:r w:rsidR="00EE76AA" w:rsidRPr="005D356F">
        <w:rPr>
          <w:rFonts w:ascii="Times New Roman" w:eastAsia="Calibri" w:hAnsi="Times New Roman" w:cs="Times New Roman"/>
          <w:u w:color="000000"/>
          <w:lang w:val="en-GB"/>
        </w:rPr>
        <w:t xml:space="preserve"> Survivors have reported waking up every morning at 5 o’clock to call 115, yet most times the lines are already too busy and there is no answer.</w:t>
      </w:r>
      <w:r w:rsidR="00EE76AA" w:rsidRPr="005D356F">
        <w:rPr>
          <w:rStyle w:val="FootnoteReference"/>
          <w:rFonts w:ascii="Times New Roman" w:eastAsia="Calibri" w:hAnsi="Times New Roman" w:cs="Times New Roman"/>
          <w:u w:color="000000"/>
          <w:lang w:val="en-GB"/>
        </w:rPr>
        <w:footnoteReference w:id="6"/>
      </w:r>
      <w:r w:rsidR="00EE76AA" w:rsidRPr="005D356F">
        <w:rPr>
          <w:rFonts w:ascii="Times New Roman" w:eastAsia="Calibri" w:hAnsi="Times New Roman" w:cs="Times New Roman"/>
          <w:u w:color="000000"/>
          <w:lang w:val="en-GB"/>
        </w:rPr>
        <w:t xml:space="preserve"> </w:t>
      </w:r>
      <w:r w:rsidR="00D8599B" w:rsidRPr="005D356F">
        <w:rPr>
          <w:rFonts w:ascii="Times New Roman" w:eastAsia="Calibri" w:hAnsi="Times New Roman" w:cs="Times New Roman"/>
          <w:u w:color="000000"/>
          <w:lang w:val="en-GB"/>
        </w:rPr>
        <w:t xml:space="preserve"> </w:t>
      </w:r>
    </w:p>
    <w:p w14:paraId="58DE7154" w14:textId="768AC893" w:rsidR="00EE76AA" w:rsidRPr="005D356F" w:rsidRDefault="00CC6B0D" w:rsidP="00EE76AA">
      <w:pPr>
        <w:pStyle w:val="Body"/>
        <w:spacing w:after="160" w:line="259" w:lineRule="auto"/>
        <w:jc w:val="both"/>
        <w:rPr>
          <w:rFonts w:ascii="Times New Roman" w:eastAsia="Calibri" w:hAnsi="Times New Roman" w:cs="Times New Roman"/>
          <w:u w:color="000000"/>
          <w:lang w:val="en-GB"/>
        </w:rPr>
      </w:pPr>
      <w:r>
        <w:rPr>
          <w:rFonts w:ascii="Times New Roman" w:eastAsia="Calibri" w:hAnsi="Times New Roman" w:cs="Times New Roman"/>
          <w:u w:color="000000"/>
          <w:lang w:val="en-GB"/>
        </w:rPr>
        <w:lastRenderedPageBreak/>
        <w:t xml:space="preserve">Moreover, many asylum seekers </w:t>
      </w:r>
      <w:r w:rsidR="001F27A9">
        <w:rPr>
          <w:rFonts w:ascii="Times New Roman" w:eastAsia="Calibri" w:hAnsi="Times New Roman" w:cs="Times New Roman"/>
          <w:u w:color="000000"/>
          <w:lang w:val="en-GB"/>
        </w:rPr>
        <w:t xml:space="preserve">in France </w:t>
      </w:r>
      <w:r>
        <w:rPr>
          <w:rFonts w:ascii="Times New Roman" w:eastAsia="Calibri" w:hAnsi="Times New Roman" w:cs="Times New Roman"/>
          <w:u w:color="000000"/>
          <w:lang w:val="en-GB"/>
        </w:rPr>
        <w:t>are prohibited from accessing the limited accommodation that is available by</w:t>
      </w:r>
      <w:r w:rsidRPr="005D356F">
        <w:rPr>
          <w:rFonts w:ascii="Times New Roman" w:eastAsia="Calibri" w:hAnsi="Times New Roman" w:cs="Times New Roman"/>
          <w:u w:color="000000"/>
          <w:lang w:val="en-GB"/>
        </w:rPr>
        <w:t xml:space="preserve"> the </w:t>
      </w:r>
      <w:r>
        <w:rPr>
          <w:rFonts w:ascii="Times New Roman" w:eastAsia="Calibri" w:hAnsi="Times New Roman" w:cs="Times New Roman"/>
          <w:u w:color="000000"/>
          <w:lang w:val="en-GB"/>
        </w:rPr>
        <w:t xml:space="preserve">EU </w:t>
      </w:r>
      <w:r w:rsidRPr="005D356F">
        <w:rPr>
          <w:rFonts w:ascii="Times New Roman" w:eastAsia="Calibri" w:hAnsi="Times New Roman" w:cs="Times New Roman"/>
          <w:u w:color="000000"/>
          <w:lang w:val="en-GB"/>
        </w:rPr>
        <w:t xml:space="preserve">Dublin Regulation which prohibits survivors of </w:t>
      </w:r>
      <w:r>
        <w:rPr>
          <w:rFonts w:ascii="Times New Roman" w:eastAsia="Calibri" w:hAnsi="Times New Roman" w:cs="Times New Roman"/>
          <w:u w:color="000000"/>
          <w:lang w:val="en-GB"/>
        </w:rPr>
        <w:t>trafficking</w:t>
      </w:r>
      <w:r w:rsidRPr="005D356F">
        <w:rPr>
          <w:rFonts w:ascii="Times New Roman" w:eastAsia="Calibri" w:hAnsi="Times New Roman" w:cs="Times New Roman"/>
          <w:u w:color="000000"/>
          <w:lang w:val="en-GB"/>
        </w:rPr>
        <w:t xml:space="preserve"> who have moved from one country to another in Europe (freely or not) from accessing the asylum process,</w:t>
      </w:r>
      <w:r>
        <w:rPr>
          <w:rFonts w:ascii="Times New Roman" w:eastAsia="Calibri" w:hAnsi="Times New Roman" w:cs="Times New Roman"/>
          <w:u w:color="000000"/>
          <w:lang w:val="en-GB"/>
        </w:rPr>
        <w:t xml:space="preserve"> and therefore from accessing any of the suppor</w:t>
      </w:r>
      <w:r w:rsidR="001F27A9">
        <w:rPr>
          <w:rFonts w:ascii="Times New Roman" w:eastAsia="Calibri" w:hAnsi="Times New Roman" w:cs="Times New Roman"/>
          <w:u w:color="000000"/>
          <w:lang w:val="en-GB"/>
        </w:rPr>
        <w:t xml:space="preserve">t </w:t>
      </w:r>
      <w:r>
        <w:rPr>
          <w:rFonts w:ascii="Times New Roman" w:eastAsia="Calibri" w:hAnsi="Times New Roman" w:cs="Times New Roman"/>
          <w:u w:color="000000"/>
          <w:lang w:val="en-GB"/>
        </w:rPr>
        <w:t xml:space="preserve">services designated </w:t>
      </w:r>
      <w:r w:rsidRPr="005D356F">
        <w:rPr>
          <w:rFonts w:ascii="Times New Roman" w:eastAsia="Calibri" w:hAnsi="Times New Roman" w:cs="Times New Roman"/>
          <w:u w:color="000000"/>
          <w:lang w:val="en-GB"/>
        </w:rPr>
        <w:t>for asylum-seekers.</w:t>
      </w:r>
      <w:r w:rsidRPr="005D356F">
        <w:rPr>
          <w:rStyle w:val="FootnoteReference"/>
          <w:rFonts w:ascii="Times New Roman" w:eastAsia="Calibri" w:hAnsi="Times New Roman" w:cs="Times New Roman"/>
          <w:u w:color="000000"/>
          <w:lang w:val="en-GB"/>
        </w:rPr>
        <w:footnoteReference w:id="7"/>
      </w:r>
    </w:p>
    <w:p w14:paraId="75CCFF02" w14:textId="1E5059FA" w:rsidR="00EE76AA" w:rsidRPr="00AC2B7C" w:rsidRDefault="00EE76AA" w:rsidP="00AC2B7C">
      <w:pPr>
        <w:pStyle w:val="Body"/>
        <w:numPr>
          <w:ilvl w:val="0"/>
          <w:numId w:val="4"/>
        </w:numPr>
        <w:spacing w:after="160" w:line="259" w:lineRule="auto"/>
        <w:jc w:val="both"/>
        <w:rPr>
          <w:rFonts w:ascii="Times New Roman" w:eastAsia="Calibri" w:hAnsi="Times New Roman" w:cs="Times New Roman"/>
          <w:lang w:val="en-GB"/>
        </w:rPr>
      </w:pPr>
      <w:r w:rsidRPr="00AC2B7C">
        <w:rPr>
          <w:rFonts w:ascii="Times New Roman" w:eastAsia="Calibri" w:hAnsi="Times New Roman" w:cs="Times New Roman"/>
          <w:lang w:val="en-GB"/>
        </w:rPr>
        <w:t>Paternalistic anti-trafficking support services push survivors away from housing services</w:t>
      </w:r>
    </w:p>
    <w:p w14:paraId="545FD8C6" w14:textId="71C3DE12" w:rsidR="00EE76AA" w:rsidRPr="005D356F" w:rsidRDefault="00EE76AA" w:rsidP="00EE76AA">
      <w:pPr>
        <w:pStyle w:val="Body"/>
        <w:spacing w:after="160" w:line="259" w:lineRule="auto"/>
        <w:jc w:val="both"/>
        <w:rPr>
          <w:rFonts w:ascii="Times New Roman" w:eastAsia="Calibri" w:hAnsi="Times New Roman" w:cs="Times New Roman"/>
          <w:u w:color="000000"/>
          <w:lang w:val="en-GB"/>
        </w:rPr>
      </w:pPr>
      <w:r w:rsidRPr="005D356F">
        <w:rPr>
          <w:rFonts w:ascii="Times New Roman" w:eastAsia="Calibri" w:hAnsi="Times New Roman" w:cs="Times New Roman"/>
          <w:u w:color="000000"/>
          <w:lang w:val="en-GB"/>
        </w:rPr>
        <w:t>In the United States, punitive policies and procedures have limited the implementation of trauma-informed housing services</w:t>
      </w:r>
      <w:r w:rsidR="00A12CA1" w:rsidRPr="005D356F">
        <w:rPr>
          <w:rFonts w:ascii="Times New Roman" w:eastAsia="Calibri" w:hAnsi="Times New Roman" w:cs="Times New Roman"/>
          <w:u w:color="000000"/>
          <w:lang w:val="en-GB"/>
        </w:rPr>
        <w:t>, leading to housing instability for survivors seeking safety</w:t>
      </w:r>
      <w:r w:rsidRPr="005D356F">
        <w:rPr>
          <w:rFonts w:ascii="Times New Roman" w:eastAsia="Calibri" w:hAnsi="Times New Roman" w:cs="Times New Roman"/>
          <w:u w:color="000000"/>
          <w:lang w:val="en-GB"/>
        </w:rPr>
        <w:t>.</w:t>
      </w:r>
      <w:r w:rsidRPr="005D356F">
        <w:rPr>
          <w:rFonts w:ascii="Times New Roman" w:eastAsia="Calibri" w:hAnsi="Times New Roman" w:cs="Times New Roman"/>
          <w:u w:color="000000"/>
          <w:vertAlign w:val="superscript"/>
          <w:lang w:val="en-GB"/>
        </w:rPr>
        <w:footnoteReference w:id="8"/>
      </w:r>
      <w:r w:rsidRPr="005D356F">
        <w:rPr>
          <w:rFonts w:ascii="Times New Roman" w:eastAsia="Calibri" w:hAnsi="Times New Roman" w:cs="Times New Roman"/>
          <w:u w:color="000000"/>
          <w:lang w:val="en-GB"/>
        </w:rPr>
        <w:t xml:space="preserve"> Historically, anti-trafficking housing programmes have employed practices that restrict survivor autonomy by establishing prerequisites such as sobriety or limiting cell phone use. In addition, some programmes require participation in case management or therapy, and opening of savings accounts, as a condition of using their services. While the programmes may see these policies as necessary for the safety of staff and other residents, such practices can recreate the power and control dynamics that a survivor experienced during their trafficking situation</w:t>
      </w:r>
      <w:r w:rsidR="00A12CA1" w:rsidRPr="005D356F">
        <w:rPr>
          <w:rFonts w:ascii="Times New Roman" w:eastAsia="Calibri" w:hAnsi="Times New Roman" w:cs="Times New Roman"/>
          <w:u w:color="000000"/>
          <w:lang w:val="en-GB"/>
        </w:rPr>
        <w:t>, pushing survivors away from otherwise safe housing options</w:t>
      </w:r>
      <w:r w:rsidRPr="005D356F">
        <w:rPr>
          <w:rFonts w:ascii="Times New Roman" w:eastAsia="Calibri" w:hAnsi="Times New Roman" w:cs="Times New Roman"/>
          <w:u w:color="000000"/>
          <w:lang w:val="en-GB"/>
        </w:rPr>
        <w:t>.</w:t>
      </w:r>
      <w:r w:rsidR="0035424E" w:rsidRPr="005D356F">
        <w:rPr>
          <w:rStyle w:val="FootnoteReference"/>
          <w:rFonts w:ascii="Times New Roman" w:eastAsia="Calibri" w:hAnsi="Times New Roman" w:cs="Times New Roman"/>
          <w:u w:color="000000"/>
          <w:lang w:val="en-GB"/>
        </w:rPr>
        <w:footnoteReference w:id="9"/>
      </w:r>
    </w:p>
    <w:p w14:paraId="16BA4A23" w14:textId="6E491623" w:rsidR="009C4A41" w:rsidRDefault="00A12CA1" w:rsidP="00EE76AA">
      <w:pPr>
        <w:pStyle w:val="Body"/>
        <w:spacing w:after="160" w:line="259" w:lineRule="auto"/>
        <w:jc w:val="both"/>
        <w:rPr>
          <w:rFonts w:ascii="Times New Roman" w:eastAsia="Calibri" w:hAnsi="Times New Roman" w:cs="Times New Roman"/>
          <w:u w:color="000000"/>
          <w:lang w:val="en-GB"/>
        </w:rPr>
      </w:pPr>
      <w:r w:rsidRPr="005D356F">
        <w:rPr>
          <w:rFonts w:ascii="Times New Roman" w:eastAsia="Calibri" w:hAnsi="Times New Roman" w:cs="Times New Roman"/>
          <w:u w:color="000000"/>
          <w:lang w:val="en-GB"/>
        </w:rPr>
        <w:t>Similarly, i</w:t>
      </w:r>
      <w:r w:rsidR="009C4A41" w:rsidRPr="005D356F">
        <w:rPr>
          <w:rFonts w:ascii="Times New Roman" w:eastAsia="Calibri" w:hAnsi="Times New Roman" w:cs="Times New Roman"/>
          <w:u w:color="000000"/>
          <w:lang w:val="en-GB"/>
        </w:rPr>
        <w:t>n Australia, of the accommodation services which are available to survivors, many have rules and requirements that are not supportive of survivors’ unique</w:t>
      </w:r>
      <w:r w:rsidRPr="005D356F">
        <w:rPr>
          <w:rFonts w:ascii="Times New Roman" w:eastAsia="Calibri" w:hAnsi="Times New Roman" w:cs="Times New Roman"/>
          <w:u w:color="000000"/>
          <w:lang w:val="en-GB"/>
        </w:rPr>
        <w:t xml:space="preserve"> needs</w:t>
      </w:r>
      <w:r w:rsidR="009C4A41" w:rsidRPr="005D356F">
        <w:rPr>
          <w:rFonts w:ascii="Times New Roman" w:eastAsia="Calibri" w:hAnsi="Times New Roman" w:cs="Times New Roman"/>
          <w:u w:color="000000"/>
          <w:lang w:val="en-GB"/>
        </w:rPr>
        <w:t>. These include restrictions on survivors’ freedom of movement (curfews, limitations on staying away from the premises)</w:t>
      </w:r>
      <w:r w:rsidR="00FD29C8">
        <w:rPr>
          <w:rFonts w:ascii="Times New Roman" w:eastAsia="Calibri" w:hAnsi="Times New Roman" w:cs="Times New Roman"/>
          <w:u w:color="000000"/>
          <w:lang w:val="en-GB"/>
        </w:rPr>
        <w:t xml:space="preserve"> or</w:t>
      </w:r>
      <w:r w:rsidR="009C4A41" w:rsidRPr="005D356F">
        <w:rPr>
          <w:rFonts w:ascii="Times New Roman" w:eastAsia="Calibri" w:hAnsi="Times New Roman" w:cs="Times New Roman"/>
          <w:u w:color="000000"/>
          <w:lang w:val="en-GB"/>
        </w:rPr>
        <w:t xml:space="preserve"> on the use of alcohol and other drugs (which makes survivors experiencing substance addiction more vulnerable to homelessness).</w:t>
      </w:r>
      <w:r w:rsidR="009C4A41" w:rsidRPr="005D356F">
        <w:rPr>
          <w:rStyle w:val="FootnoteReference"/>
          <w:rFonts w:ascii="Times New Roman" w:eastAsia="Calibri" w:hAnsi="Times New Roman" w:cs="Times New Roman"/>
          <w:u w:color="000000"/>
          <w:lang w:val="en-GB"/>
        </w:rPr>
        <w:footnoteReference w:id="10"/>
      </w:r>
    </w:p>
    <w:p w14:paraId="168BEE0F" w14:textId="1165A908" w:rsidR="00FD29C8" w:rsidRPr="005D356F" w:rsidRDefault="009C5B42" w:rsidP="00EE76AA">
      <w:pPr>
        <w:pStyle w:val="Body"/>
        <w:spacing w:after="160" w:line="259" w:lineRule="auto"/>
        <w:jc w:val="both"/>
        <w:rPr>
          <w:rFonts w:ascii="Times New Roman" w:hAnsi="Times New Roman" w:cs="Times New Roman"/>
          <w:lang w:val="en-GB"/>
        </w:rPr>
      </w:pPr>
      <w:r>
        <w:rPr>
          <w:rFonts w:ascii="Times New Roman" w:eastAsia="Calibri" w:hAnsi="Times New Roman" w:cs="Times New Roman"/>
          <w:u w:color="000000"/>
          <w:lang w:val="en-GB"/>
        </w:rPr>
        <w:t xml:space="preserve">In Malaysia, all migrant victims of trafficking identified by the authorities are forcibly </w:t>
      </w:r>
      <w:r w:rsidR="00884AE5">
        <w:rPr>
          <w:rFonts w:ascii="Times New Roman" w:eastAsia="Calibri" w:hAnsi="Times New Roman" w:cs="Times New Roman"/>
          <w:u w:color="000000"/>
          <w:lang w:val="en-GB"/>
        </w:rPr>
        <w:t>placed</w:t>
      </w:r>
      <w:r>
        <w:rPr>
          <w:rFonts w:ascii="Times New Roman" w:eastAsia="Calibri" w:hAnsi="Times New Roman" w:cs="Times New Roman"/>
          <w:u w:color="000000"/>
          <w:lang w:val="en-GB"/>
        </w:rPr>
        <w:t xml:space="preserve"> in shelters for the duration of the criminal proceedings against their traffickers or while awaiting repatriation. The state-run shelters, however, </w:t>
      </w:r>
      <w:r w:rsidR="0001081D">
        <w:rPr>
          <w:rFonts w:ascii="Times New Roman" w:eastAsia="Calibri" w:hAnsi="Times New Roman" w:cs="Times New Roman"/>
          <w:u w:color="000000"/>
          <w:lang w:val="en-GB"/>
        </w:rPr>
        <w:t xml:space="preserve">resemble prisons, with severe overcrowding, lack of psychological, </w:t>
      </w:r>
      <w:proofErr w:type="gramStart"/>
      <w:r w:rsidR="0001081D">
        <w:rPr>
          <w:rFonts w:ascii="Times New Roman" w:eastAsia="Calibri" w:hAnsi="Times New Roman" w:cs="Times New Roman"/>
          <w:u w:color="000000"/>
          <w:lang w:val="en-GB"/>
        </w:rPr>
        <w:t>medical</w:t>
      </w:r>
      <w:proofErr w:type="gramEnd"/>
      <w:r w:rsidR="0001081D">
        <w:rPr>
          <w:rFonts w:ascii="Times New Roman" w:eastAsia="Calibri" w:hAnsi="Times New Roman" w:cs="Times New Roman"/>
          <w:u w:color="000000"/>
          <w:lang w:val="en-GB"/>
        </w:rPr>
        <w:t xml:space="preserve"> or legal services and women forced to wear uniforms and having their freedom of movement and contacts with the outside world restricted.</w:t>
      </w:r>
      <w:r w:rsidR="000751FF">
        <w:rPr>
          <w:rStyle w:val="FootnoteReference"/>
          <w:rFonts w:ascii="Times New Roman" w:eastAsia="Calibri" w:hAnsi="Times New Roman" w:cs="Times New Roman"/>
          <w:u w:color="000000"/>
          <w:lang w:val="en-GB"/>
        </w:rPr>
        <w:footnoteReference w:id="11"/>
      </w:r>
      <w:r w:rsidR="0001081D">
        <w:rPr>
          <w:rFonts w:ascii="Times New Roman" w:eastAsia="Calibri" w:hAnsi="Times New Roman" w:cs="Times New Roman"/>
          <w:u w:color="000000"/>
          <w:lang w:val="en-GB"/>
        </w:rPr>
        <w:t xml:space="preserve"> </w:t>
      </w:r>
    </w:p>
    <w:p w14:paraId="2F532572" w14:textId="7EA5DF46" w:rsidR="005D356F" w:rsidRPr="00AC2B7C" w:rsidRDefault="005D356F" w:rsidP="00AC2B7C">
      <w:pPr>
        <w:pStyle w:val="Body"/>
        <w:numPr>
          <w:ilvl w:val="0"/>
          <w:numId w:val="4"/>
        </w:numPr>
        <w:spacing w:after="160" w:line="259" w:lineRule="auto"/>
        <w:jc w:val="both"/>
        <w:rPr>
          <w:rFonts w:ascii="Times New Roman" w:eastAsia="Calibri" w:hAnsi="Times New Roman" w:cs="Times New Roman"/>
          <w:lang w:val="en-GB"/>
        </w:rPr>
      </w:pPr>
      <w:r w:rsidRPr="00AC2B7C">
        <w:rPr>
          <w:rFonts w:ascii="Times New Roman" w:eastAsia="Calibri" w:hAnsi="Times New Roman" w:cs="Times New Roman"/>
          <w:lang w:val="en-GB"/>
        </w:rPr>
        <w:t xml:space="preserve">Homelessness can be a driver for women to migrate overseas for work, including in exploitative conditions </w:t>
      </w:r>
    </w:p>
    <w:p w14:paraId="5FE1BCD0" w14:textId="1CC04E63" w:rsidR="003A165C" w:rsidRPr="005D356F" w:rsidRDefault="005D356F" w:rsidP="003A165C">
      <w:pPr>
        <w:pStyle w:val="Body"/>
        <w:spacing w:after="160" w:line="259" w:lineRule="auto"/>
        <w:jc w:val="both"/>
        <w:rPr>
          <w:rFonts w:ascii="Times New Roman" w:eastAsia="Calibri" w:hAnsi="Times New Roman" w:cs="Times New Roman"/>
          <w:lang w:val="en-GB"/>
        </w:rPr>
      </w:pPr>
      <w:r w:rsidRPr="005D356F">
        <w:rPr>
          <w:rFonts w:ascii="Times New Roman" w:eastAsia="Calibri" w:hAnsi="Times New Roman" w:cs="Times New Roman"/>
          <w:lang w:val="en-GB"/>
        </w:rPr>
        <w:t xml:space="preserve">In a recent study that GAATW </w:t>
      </w:r>
      <w:r w:rsidR="005C3BE4">
        <w:rPr>
          <w:rFonts w:ascii="Times New Roman" w:eastAsia="Calibri" w:hAnsi="Times New Roman" w:cs="Times New Roman"/>
          <w:lang w:val="en-GB"/>
        </w:rPr>
        <w:t>conducted</w:t>
      </w:r>
      <w:r w:rsidR="005C3BE4" w:rsidRPr="005D356F">
        <w:rPr>
          <w:rFonts w:ascii="Times New Roman" w:eastAsia="Calibri" w:hAnsi="Times New Roman" w:cs="Times New Roman"/>
          <w:lang w:val="en-GB"/>
        </w:rPr>
        <w:t xml:space="preserve"> </w:t>
      </w:r>
      <w:r w:rsidRPr="005D356F">
        <w:rPr>
          <w:rFonts w:ascii="Times New Roman" w:eastAsia="Calibri" w:hAnsi="Times New Roman" w:cs="Times New Roman"/>
          <w:lang w:val="en-GB"/>
        </w:rPr>
        <w:t xml:space="preserve">with partners across South Asia, buying land or building a house was a specific motivation for </w:t>
      </w:r>
      <w:r w:rsidR="003A165C">
        <w:rPr>
          <w:rFonts w:ascii="Times New Roman" w:eastAsia="Calibri" w:hAnsi="Times New Roman" w:cs="Times New Roman"/>
          <w:lang w:val="en-GB"/>
        </w:rPr>
        <w:t xml:space="preserve">many </w:t>
      </w:r>
      <w:r w:rsidRPr="005D356F">
        <w:rPr>
          <w:rFonts w:ascii="Times New Roman" w:eastAsia="Calibri" w:hAnsi="Times New Roman" w:cs="Times New Roman"/>
          <w:lang w:val="en-GB"/>
        </w:rPr>
        <w:t>women who migrated overseas to work in Middle Eastern countries.</w:t>
      </w:r>
      <w:r w:rsidRPr="005D356F">
        <w:rPr>
          <w:rStyle w:val="FootnoteReference"/>
          <w:rFonts w:ascii="Times New Roman" w:eastAsia="Calibri" w:hAnsi="Times New Roman" w:cs="Times New Roman"/>
          <w:lang w:val="en-GB"/>
        </w:rPr>
        <w:footnoteReference w:id="12"/>
      </w:r>
      <w:r w:rsidRPr="005D356F">
        <w:rPr>
          <w:rFonts w:ascii="Times New Roman" w:eastAsia="Calibri" w:hAnsi="Times New Roman" w:cs="Times New Roman"/>
          <w:lang w:val="en-GB"/>
        </w:rPr>
        <w:t xml:space="preserve"> </w:t>
      </w:r>
      <w:r w:rsidR="003A165C" w:rsidRPr="005D356F">
        <w:rPr>
          <w:rFonts w:ascii="Times New Roman" w:eastAsia="Calibri" w:hAnsi="Times New Roman" w:cs="Times New Roman"/>
          <w:lang w:val="en-GB"/>
        </w:rPr>
        <w:t>In Andhra Pradesh,</w:t>
      </w:r>
      <w:r w:rsidR="001F27A9">
        <w:rPr>
          <w:rFonts w:ascii="Times New Roman" w:eastAsia="Calibri" w:hAnsi="Times New Roman" w:cs="Times New Roman"/>
          <w:lang w:val="en-GB"/>
        </w:rPr>
        <w:t xml:space="preserve"> India,</w:t>
      </w:r>
      <w:r w:rsidR="003A165C" w:rsidRPr="005D356F">
        <w:rPr>
          <w:rFonts w:ascii="Times New Roman" w:eastAsia="Calibri" w:hAnsi="Times New Roman" w:cs="Times New Roman"/>
          <w:lang w:val="en-GB"/>
        </w:rPr>
        <w:t xml:space="preserve"> many women who migrate</w:t>
      </w:r>
      <w:r w:rsidR="003A165C">
        <w:rPr>
          <w:rFonts w:ascii="Times New Roman" w:eastAsia="Calibri" w:hAnsi="Times New Roman" w:cs="Times New Roman"/>
          <w:lang w:val="en-GB"/>
        </w:rPr>
        <w:t>d</w:t>
      </w:r>
      <w:r w:rsidR="003A165C" w:rsidRPr="005D356F">
        <w:rPr>
          <w:rFonts w:ascii="Times New Roman" w:eastAsia="Calibri" w:hAnsi="Times New Roman" w:cs="Times New Roman"/>
          <w:lang w:val="en-GB"/>
        </w:rPr>
        <w:t xml:space="preserve"> for work c</w:t>
      </w:r>
      <w:r w:rsidR="003A165C">
        <w:rPr>
          <w:rFonts w:ascii="Times New Roman" w:eastAsia="Calibri" w:hAnsi="Times New Roman" w:cs="Times New Roman"/>
          <w:lang w:val="en-GB"/>
        </w:rPr>
        <w:t>ame</w:t>
      </w:r>
      <w:r w:rsidR="003A165C" w:rsidRPr="005D356F">
        <w:rPr>
          <w:rFonts w:ascii="Times New Roman" w:eastAsia="Calibri" w:hAnsi="Times New Roman" w:cs="Times New Roman"/>
          <w:lang w:val="en-GB"/>
        </w:rPr>
        <w:t xml:space="preserve"> from the most marginalised communities, living on the periphery of villages without proper shelte</w:t>
      </w:r>
      <w:r w:rsidR="003A165C">
        <w:rPr>
          <w:rFonts w:ascii="Times New Roman" w:eastAsia="Calibri" w:hAnsi="Times New Roman" w:cs="Times New Roman"/>
          <w:lang w:val="en-GB"/>
        </w:rPr>
        <w:t>r</w:t>
      </w:r>
      <w:r w:rsidR="001F27A9">
        <w:rPr>
          <w:rFonts w:ascii="Times New Roman" w:eastAsia="Calibri" w:hAnsi="Times New Roman" w:cs="Times New Roman"/>
          <w:lang w:val="en-GB"/>
        </w:rPr>
        <w:t xml:space="preserve">. Many of these women </w:t>
      </w:r>
      <w:r w:rsidR="003A165C">
        <w:rPr>
          <w:rFonts w:ascii="Times New Roman" w:eastAsia="Calibri" w:hAnsi="Times New Roman" w:cs="Times New Roman"/>
          <w:lang w:val="en-GB"/>
        </w:rPr>
        <w:t>were from</w:t>
      </w:r>
      <w:r w:rsidR="003A165C" w:rsidRPr="005D356F">
        <w:rPr>
          <w:rFonts w:ascii="Times New Roman" w:eastAsia="Calibri" w:hAnsi="Times New Roman" w:cs="Times New Roman"/>
          <w:lang w:val="en-GB"/>
        </w:rPr>
        <w:t xml:space="preserve"> </w:t>
      </w:r>
      <w:r w:rsidR="003A165C">
        <w:rPr>
          <w:rFonts w:ascii="Times New Roman" w:eastAsia="Calibri" w:hAnsi="Times New Roman" w:cs="Times New Roman"/>
          <w:lang w:val="en-GB"/>
        </w:rPr>
        <w:t>“</w:t>
      </w:r>
      <w:r w:rsidR="003A165C" w:rsidRPr="005D356F">
        <w:rPr>
          <w:rFonts w:ascii="Times New Roman" w:eastAsia="Calibri" w:hAnsi="Times New Roman" w:cs="Times New Roman"/>
          <w:lang w:val="en-GB"/>
        </w:rPr>
        <w:t>Scheduled Castes</w:t>
      </w:r>
      <w:r w:rsidR="003A165C">
        <w:rPr>
          <w:rFonts w:ascii="Times New Roman" w:eastAsia="Calibri" w:hAnsi="Times New Roman" w:cs="Times New Roman"/>
          <w:lang w:val="en-GB"/>
        </w:rPr>
        <w:t>,”</w:t>
      </w:r>
      <w:r w:rsidR="003A165C" w:rsidRPr="005D356F">
        <w:rPr>
          <w:rFonts w:ascii="Times New Roman" w:eastAsia="Calibri" w:hAnsi="Times New Roman" w:cs="Times New Roman"/>
          <w:lang w:val="en-GB"/>
        </w:rPr>
        <w:t xml:space="preserve"> </w:t>
      </w:r>
      <w:r w:rsidR="003A165C">
        <w:rPr>
          <w:rFonts w:ascii="Times New Roman" w:eastAsia="Calibri" w:hAnsi="Times New Roman" w:cs="Times New Roman"/>
          <w:lang w:val="en-GB"/>
        </w:rPr>
        <w:t xml:space="preserve">who </w:t>
      </w:r>
      <w:r w:rsidR="003A165C" w:rsidRPr="005D356F">
        <w:rPr>
          <w:rFonts w:ascii="Times New Roman" w:eastAsia="Calibri" w:hAnsi="Times New Roman" w:cs="Times New Roman"/>
          <w:lang w:val="en-GB"/>
        </w:rPr>
        <w:t>are often ignored by government housing schemes. In order to survive, these women typically engage in agricultural work or domestic work in the homes of wealthier members of the community, but are sometimes targeted by agents who promise “domestic work” overseas that will earn them enough money to finally buy a home.</w:t>
      </w:r>
      <w:r w:rsidR="003A165C" w:rsidRPr="005D356F">
        <w:rPr>
          <w:rStyle w:val="FootnoteReference"/>
          <w:rFonts w:ascii="Times New Roman" w:eastAsia="Calibri" w:hAnsi="Times New Roman" w:cs="Times New Roman"/>
          <w:lang w:val="en-GB"/>
        </w:rPr>
        <w:footnoteReference w:id="13"/>
      </w:r>
      <w:r w:rsidR="003A165C" w:rsidRPr="005D356F">
        <w:rPr>
          <w:rFonts w:ascii="Times New Roman" w:eastAsia="Calibri" w:hAnsi="Times New Roman" w:cs="Times New Roman"/>
          <w:lang w:val="en-GB"/>
        </w:rPr>
        <w:t xml:space="preserve"> </w:t>
      </w:r>
    </w:p>
    <w:p w14:paraId="23D052D8" w14:textId="063206AB" w:rsidR="005D356F" w:rsidRDefault="001F27A9" w:rsidP="005D356F">
      <w:pPr>
        <w:pStyle w:val="Body"/>
        <w:spacing w:after="160" w:line="259" w:lineRule="auto"/>
        <w:jc w:val="both"/>
        <w:rPr>
          <w:rFonts w:ascii="Times New Roman" w:eastAsia="Calibri" w:hAnsi="Times New Roman" w:cs="Times New Roman"/>
          <w:lang w:val="en-GB"/>
        </w:rPr>
      </w:pPr>
      <w:r>
        <w:rPr>
          <w:rFonts w:ascii="Times New Roman" w:eastAsia="Calibri" w:hAnsi="Times New Roman" w:cs="Times New Roman"/>
          <w:lang w:val="en-GB"/>
        </w:rPr>
        <w:t>Some</w:t>
      </w:r>
      <w:r w:rsidR="005D356F" w:rsidRPr="005D356F">
        <w:rPr>
          <w:rFonts w:ascii="Times New Roman" w:eastAsia="Calibri" w:hAnsi="Times New Roman" w:cs="Times New Roman"/>
          <w:lang w:val="en-GB"/>
        </w:rPr>
        <w:t xml:space="preserve"> </w:t>
      </w:r>
      <w:r w:rsidR="003A165C">
        <w:rPr>
          <w:rFonts w:ascii="Times New Roman" w:eastAsia="Calibri" w:hAnsi="Times New Roman" w:cs="Times New Roman"/>
          <w:lang w:val="en-GB"/>
        </w:rPr>
        <w:t xml:space="preserve">of these </w:t>
      </w:r>
      <w:r w:rsidR="005D356F" w:rsidRPr="005D356F">
        <w:rPr>
          <w:rFonts w:ascii="Times New Roman" w:eastAsia="Calibri" w:hAnsi="Times New Roman" w:cs="Times New Roman"/>
          <w:lang w:val="en-GB"/>
        </w:rPr>
        <w:t>women</w:t>
      </w:r>
      <w:r w:rsidR="003A165C">
        <w:rPr>
          <w:rFonts w:ascii="Times New Roman" w:eastAsia="Calibri" w:hAnsi="Times New Roman" w:cs="Times New Roman"/>
          <w:lang w:val="en-GB"/>
        </w:rPr>
        <w:t xml:space="preserve"> went on to endure </w:t>
      </w:r>
      <w:r w:rsidR="005D356F" w:rsidRPr="005D356F">
        <w:rPr>
          <w:rFonts w:ascii="Times New Roman" w:eastAsia="Calibri" w:hAnsi="Times New Roman" w:cs="Times New Roman"/>
          <w:lang w:val="en-GB"/>
        </w:rPr>
        <w:t xml:space="preserve">exploitative working conditions, trafficking and slavery whilst overseas, </w:t>
      </w:r>
      <w:r w:rsidR="003A165C">
        <w:rPr>
          <w:rFonts w:ascii="Times New Roman" w:eastAsia="Calibri" w:hAnsi="Times New Roman" w:cs="Times New Roman"/>
          <w:lang w:val="en-GB"/>
        </w:rPr>
        <w:t xml:space="preserve">and </w:t>
      </w:r>
      <w:r w:rsidR="005D356F" w:rsidRPr="005D356F">
        <w:rPr>
          <w:rFonts w:ascii="Times New Roman" w:eastAsia="Calibri" w:hAnsi="Times New Roman" w:cs="Times New Roman"/>
          <w:lang w:val="en-GB"/>
        </w:rPr>
        <w:t xml:space="preserve">returned without having earned the money they had hoped to. This precarity worsened during COVID-19 and many of the returnees we spoke with </w:t>
      </w:r>
      <w:r w:rsidR="00AC2B7C">
        <w:rPr>
          <w:rFonts w:ascii="Times New Roman" w:eastAsia="Calibri" w:hAnsi="Times New Roman" w:cs="Times New Roman"/>
          <w:lang w:val="en-GB"/>
        </w:rPr>
        <w:t xml:space="preserve">across South Asia </w:t>
      </w:r>
      <w:r w:rsidR="005D356F" w:rsidRPr="005D356F">
        <w:rPr>
          <w:rFonts w:ascii="Times New Roman" w:eastAsia="Calibri" w:hAnsi="Times New Roman" w:cs="Times New Roman"/>
          <w:lang w:val="en-GB"/>
        </w:rPr>
        <w:t xml:space="preserve">did not have houses of their own and </w:t>
      </w:r>
      <w:r w:rsidR="005D356F" w:rsidRPr="005D356F">
        <w:rPr>
          <w:rFonts w:ascii="Times New Roman" w:eastAsia="Calibri" w:hAnsi="Times New Roman" w:cs="Times New Roman"/>
          <w:lang w:val="en-GB"/>
        </w:rPr>
        <w:lastRenderedPageBreak/>
        <w:t>were unable to pay rent.</w:t>
      </w:r>
      <w:r w:rsidR="005D356F" w:rsidRPr="005D356F">
        <w:rPr>
          <w:rStyle w:val="FootnoteReference"/>
          <w:rFonts w:ascii="Times New Roman" w:eastAsia="Calibri" w:hAnsi="Times New Roman" w:cs="Times New Roman"/>
          <w:lang w:val="en-GB"/>
        </w:rPr>
        <w:footnoteReference w:id="14"/>
      </w:r>
      <w:r w:rsidR="005D356F" w:rsidRPr="005D356F">
        <w:rPr>
          <w:rFonts w:ascii="Times New Roman" w:eastAsia="Calibri" w:hAnsi="Times New Roman" w:cs="Times New Roman"/>
          <w:lang w:val="en-GB"/>
        </w:rPr>
        <w:t xml:space="preserve"> Others had to mortgage their homes in order to repay exorbitant debts to migration brokers.</w:t>
      </w:r>
      <w:r w:rsidR="005D356F" w:rsidRPr="005D356F">
        <w:rPr>
          <w:rStyle w:val="FootnoteReference"/>
          <w:rFonts w:ascii="Times New Roman" w:eastAsia="Calibri" w:hAnsi="Times New Roman" w:cs="Times New Roman"/>
          <w:lang w:val="en-GB"/>
        </w:rPr>
        <w:footnoteReference w:id="15"/>
      </w:r>
    </w:p>
    <w:p w14:paraId="483670BD" w14:textId="77777777" w:rsidR="00AC2B7C" w:rsidRPr="005D356F" w:rsidRDefault="00AC2B7C" w:rsidP="005D356F">
      <w:pPr>
        <w:pStyle w:val="Body"/>
        <w:spacing w:after="160" w:line="259" w:lineRule="auto"/>
        <w:jc w:val="both"/>
        <w:rPr>
          <w:rFonts w:ascii="Times New Roman" w:eastAsia="Calibri" w:hAnsi="Times New Roman" w:cs="Times New Roman"/>
          <w:lang w:val="en-GB"/>
        </w:rPr>
      </w:pPr>
    </w:p>
    <w:p w14:paraId="5E6DD495" w14:textId="4374DB03" w:rsidR="00815287" w:rsidRPr="00AC2B7C" w:rsidRDefault="00A513DE" w:rsidP="00AC2B7C">
      <w:pPr>
        <w:pStyle w:val="Body"/>
        <w:numPr>
          <w:ilvl w:val="0"/>
          <w:numId w:val="4"/>
        </w:numPr>
        <w:spacing w:after="160" w:line="259" w:lineRule="auto"/>
        <w:jc w:val="both"/>
        <w:rPr>
          <w:rFonts w:ascii="Times New Roman" w:eastAsia="Calibri" w:hAnsi="Times New Roman" w:cs="Times New Roman"/>
          <w:lang w:val="en-GB"/>
        </w:rPr>
      </w:pPr>
      <w:r w:rsidRPr="00AC2B7C">
        <w:rPr>
          <w:rFonts w:ascii="Times New Roman" w:eastAsia="Calibri" w:hAnsi="Times New Roman" w:cs="Times New Roman"/>
          <w:lang w:val="en-GB"/>
        </w:rPr>
        <w:t>Anti-trafficking initiatives can fuel homelessness when they conflate sex work with trafficking</w:t>
      </w:r>
      <w:r w:rsidR="00AC2B7C" w:rsidRPr="00AC2B7C">
        <w:rPr>
          <w:rFonts w:ascii="Times New Roman" w:eastAsia="Calibri" w:hAnsi="Times New Roman" w:cs="Times New Roman"/>
          <w:lang w:val="en-GB"/>
        </w:rPr>
        <w:t xml:space="preserve"> and slavery</w:t>
      </w:r>
    </w:p>
    <w:p w14:paraId="0AF93460" w14:textId="0ED6D042" w:rsidR="00B93FAD" w:rsidRPr="005D356F" w:rsidRDefault="00B93FAD" w:rsidP="00B93FAD">
      <w:pPr>
        <w:pStyle w:val="Body"/>
        <w:spacing w:after="160" w:line="259" w:lineRule="auto"/>
        <w:jc w:val="both"/>
        <w:rPr>
          <w:rFonts w:ascii="Times New Roman" w:eastAsia="Calibri" w:hAnsi="Times New Roman" w:cs="Times New Roman"/>
          <w:u w:color="000000"/>
          <w:lang w:val="en-GB"/>
        </w:rPr>
      </w:pPr>
      <w:r w:rsidRPr="005D356F">
        <w:rPr>
          <w:rFonts w:ascii="Times New Roman" w:eastAsia="Calibri" w:hAnsi="Times New Roman" w:cs="Times New Roman"/>
          <w:u w:color="000000"/>
          <w:lang w:val="en-GB"/>
        </w:rPr>
        <w:t>International research</w:t>
      </w:r>
      <w:r w:rsidR="003A165C">
        <w:rPr>
          <w:rFonts w:ascii="Times New Roman" w:eastAsia="Calibri" w:hAnsi="Times New Roman" w:cs="Times New Roman"/>
          <w:u w:color="000000"/>
          <w:lang w:val="en-GB"/>
        </w:rPr>
        <w:t xml:space="preserve"> has often focused on participation in sex work</w:t>
      </w:r>
      <w:r w:rsidR="00AC2B7C">
        <w:rPr>
          <w:rFonts w:ascii="Times New Roman" w:eastAsia="Calibri" w:hAnsi="Times New Roman" w:cs="Times New Roman"/>
          <w:u w:color="000000"/>
          <w:lang w:val="en-GB"/>
        </w:rPr>
        <w:t xml:space="preserve"> by people experiencing homelessness</w:t>
      </w:r>
      <w:r w:rsidR="003A165C">
        <w:rPr>
          <w:rFonts w:ascii="Times New Roman" w:eastAsia="Calibri" w:hAnsi="Times New Roman" w:cs="Times New Roman"/>
          <w:u w:color="000000"/>
          <w:lang w:val="en-GB"/>
        </w:rPr>
        <w:t xml:space="preserve"> as evidence of </w:t>
      </w:r>
      <w:r w:rsidR="00AC2B7C">
        <w:rPr>
          <w:rFonts w:ascii="Times New Roman" w:eastAsia="Calibri" w:hAnsi="Times New Roman" w:cs="Times New Roman"/>
          <w:u w:color="000000"/>
          <w:lang w:val="en-GB"/>
        </w:rPr>
        <w:t>their</w:t>
      </w:r>
      <w:r w:rsidR="003A165C">
        <w:rPr>
          <w:rFonts w:ascii="Times New Roman" w:eastAsia="Calibri" w:hAnsi="Times New Roman" w:cs="Times New Roman"/>
          <w:u w:color="000000"/>
          <w:lang w:val="en-GB"/>
        </w:rPr>
        <w:t xml:space="preserve"> victimisation and exploitation,</w:t>
      </w:r>
      <w:r w:rsidRPr="005D356F">
        <w:rPr>
          <w:rFonts w:ascii="Times New Roman" w:eastAsia="Calibri" w:hAnsi="Times New Roman" w:cs="Times New Roman"/>
          <w:u w:color="000000"/>
          <w:lang w:val="en-GB"/>
        </w:rPr>
        <w:t xml:space="preserve"> yet sex work can actually be a means through which homeless people are able to meet their basic needs</w:t>
      </w:r>
      <w:r w:rsidR="003A165C">
        <w:rPr>
          <w:rFonts w:ascii="Times New Roman" w:eastAsia="Calibri" w:hAnsi="Times New Roman" w:cs="Times New Roman"/>
          <w:u w:color="000000"/>
          <w:lang w:val="en-GB"/>
        </w:rPr>
        <w:t xml:space="preserve">. Rather, it is the anti-trafficking initiatives </w:t>
      </w:r>
      <w:r w:rsidR="00AC2B7C">
        <w:rPr>
          <w:rFonts w:ascii="Times New Roman" w:eastAsia="Calibri" w:hAnsi="Times New Roman" w:cs="Times New Roman"/>
          <w:u w:color="000000"/>
          <w:lang w:val="en-GB"/>
        </w:rPr>
        <w:t>that</w:t>
      </w:r>
      <w:r w:rsidR="003A165C">
        <w:rPr>
          <w:rFonts w:ascii="Times New Roman" w:eastAsia="Calibri" w:hAnsi="Times New Roman" w:cs="Times New Roman"/>
          <w:u w:color="000000"/>
          <w:lang w:val="en-GB"/>
        </w:rPr>
        <w:t xml:space="preserve"> conflate sex work with exploitation, which </w:t>
      </w:r>
      <w:r w:rsidR="00AC2B7C">
        <w:rPr>
          <w:rFonts w:ascii="Times New Roman" w:eastAsia="Calibri" w:hAnsi="Times New Roman" w:cs="Times New Roman"/>
          <w:u w:color="000000"/>
          <w:lang w:val="en-GB"/>
        </w:rPr>
        <w:t xml:space="preserve">often </w:t>
      </w:r>
      <w:r w:rsidR="003A165C">
        <w:rPr>
          <w:rFonts w:ascii="Times New Roman" w:eastAsia="Calibri" w:hAnsi="Times New Roman" w:cs="Times New Roman"/>
          <w:u w:color="000000"/>
          <w:lang w:val="en-GB"/>
        </w:rPr>
        <w:t>contribute to homelessness.</w:t>
      </w:r>
      <w:r w:rsidRPr="005D356F">
        <w:rPr>
          <w:rStyle w:val="FootnoteReference"/>
          <w:rFonts w:ascii="Times New Roman" w:eastAsia="Calibri" w:hAnsi="Times New Roman" w:cs="Times New Roman"/>
          <w:u w:color="000000"/>
          <w:lang w:val="en-GB"/>
        </w:rPr>
        <w:footnoteReference w:id="16"/>
      </w:r>
    </w:p>
    <w:p w14:paraId="26944547" w14:textId="5F8C2CC2" w:rsidR="00AC2B7C" w:rsidRDefault="00A513DE" w:rsidP="000679E7">
      <w:pPr>
        <w:pStyle w:val="Body"/>
        <w:spacing w:after="160" w:line="259" w:lineRule="auto"/>
        <w:jc w:val="both"/>
        <w:rPr>
          <w:rFonts w:ascii="Times New Roman" w:eastAsia="Calibri" w:hAnsi="Times New Roman" w:cs="Times New Roman"/>
          <w:u w:color="000000"/>
          <w:lang w:val="en-GB"/>
        </w:rPr>
      </w:pPr>
      <w:r w:rsidRPr="005D356F">
        <w:rPr>
          <w:rFonts w:ascii="Times New Roman" w:eastAsia="Calibri" w:hAnsi="Times New Roman" w:cs="Times New Roman"/>
          <w:u w:color="000000"/>
          <w:lang w:val="en-GB"/>
        </w:rPr>
        <w:t>The conflation of sex work with trafficking</w:t>
      </w:r>
      <w:r w:rsidR="0035424E" w:rsidRPr="005D356F">
        <w:rPr>
          <w:rFonts w:ascii="Times New Roman" w:eastAsia="Calibri" w:hAnsi="Times New Roman" w:cs="Times New Roman"/>
          <w:u w:color="000000"/>
          <w:lang w:val="en-GB"/>
        </w:rPr>
        <w:t xml:space="preserve"> and slavery</w:t>
      </w:r>
      <w:r w:rsidRPr="005D356F">
        <w:rPr>
          <w:rFonts w:ascii="Times New Roman" w:eastAsia="Calibri" w:hAnsi="Times New Roman" w:cs="Times New Roman"/>
          <w:u w:color="000000"/>
          <w:lang w:val="en-GB"/>
        </w:rPr>
        <w:t xml:space="preserve"> has led to the criminalisation of sex work in much of the United States.</w:t>
      </w:r>
      <w:r w:rsidR="00B93FAD" w:rsidRPr="005D356F">
        <w:rPr>
          <w:rFonts w:ascii="Times New Roman" w:eastAsia="Calibri" w:hAnsi="Times New Roman" w:cs="Times New Roman"/>
          <w:u w:color="000000"/>
          <w:vertAlign w:val="superscript"/>
          <w:lang w:val="en-GB"/>
        </w:rPr>
        <w:footnoteReference w:id="17"/>
      </w:r>
      <w:r w:rsidR="00B93FAD" w:rsidRPr="005D356F">
        <w:rPr>
          <w:rFonts w:ascii="Times New Roman" w:eastAsia="Calibri" w:hAnsi="Times New Roman" w:cs="Times New Roman"/>
          <w:u w:color="000000"/>
          <w:lang w:val="en-GB"/>
        </w:rPr>
        <w:t xml:space="preserve"> These same attitudes have also led to specific restrictions on the ability of migrants to engage in sex wor</w:t>
      </w:r>
      <w:r w:rsidR="00AC2B7C">
        <w:rPr>
          <w:rFonts w:ascii="Times New Roman" w:eastAsia="Calibri" w:hAnsi="Times New Roman" w:cs="Times New Roman"/>
          <w:u w:color="000000"/>
          <w:lang w:val="en-GB"/>
        </w:rPr>
        <w:t>k</w:t>
      </w:r>
      <w:r w:rsidR="00B93FAD" w:rsidRPr="005D356F">
        <w:rPr>
          <w:rFonts w:ascii="Times New Roman" w:eastAsia="Calibri" w:hAnsi="Times New Roman" w:cs="Times New Roman"/>
          <w:u w:color="000000"/>
          <w:lang w:val="en-GB"/>
        </w:rPr>
        <w:t xml:space="preserve"> in</w:t>
      </w:r>
      <w:r w:rsidR="00AC2B7C">
        <w:rPr>
          <w:rFonts w:ascii="Times New Roman" w:eastAsia="Calibri" w:hAnsi="Times New Roman" w:cs="Times New Roman"/>
          <w:u w:color="000000"/>
          <w:lang w:val="en-GB"/>
        </w:rPr>
        <w:t>, for example,</w:t>
      </w:r>
      <w:r w:rsidR="00B93FAD" w:rsidRPr="005D356F">
        <w:rPr>
          <w:rFonts w:ascii="Times New Roman" w:eastAsia="Calibri" w:hAnsi="Times New Roman" w:cs="Times New Roman"/>
          <w:u w:color="000000"/>
          <w:lang w:val="en-GB"/>
        </w:rPr>
        <w:t xml:space="preserve"> New Zealand,</w:t>
      </w:r>
      <w:r w:rsidR="00AC2B7C">
        <w:rPr>
          <w:rFonts w:ascii="Times New Roman" w:eastAsia="Calibri" w:hAnsi="Times New Roman" w:cs="Times New Roman"/>
          <w:u w:color="000000"/>
          <w:lang w:val="en-GB"/>
        </w:rPr>
        <w:t xml:space="preserve"> where</w:t>
      </w:r>
      <w:r w:rsidR="00B93FAD" w:rsidRPr="005D356F">
        <w:rPr>
          <w:rFonts w:ascii="Times New Roman" w:eastAsia="Calibri" w:hAnsi="Times New Roman" w:cs="Times New Roman"/>
          <w:u w:color="000000"/>
          <w:lang w:val="en-GB"/>
        </w:rPr>
        <w:t xml:space="preserve"> despite the decriminalisation of sex work amongst adults, it remains illegal for migrants on temporary visas to work in the sex industry.</w:t>
      </w:r>
      <w:r w:rsidR="00B93FAD" w:rsidRPr="005D356F">
        <w:rPr>
          <w:rStyle w:val="FootnoteReference"/>
          <w:rFonts w:ascii="Times New Roman" w:eastAsia="Calibri" w:hAnsi="Times New Roman" w:cs="Times New Roman"/>
          <w:u w:color="000000"/>
          <w:lang w:val="en-GB"/>
        </w:rPr>
        <w:footnoteReference w:id="18"/>
      </w:r>
      <w:r w:rsidR="003A165C">
        <w:rPr>
          <w:rFonts w:ascii="Times New Roman" w:eastAsia="Calibri" w:hAnsi="Times New Roman" w:cs="Times New Roman"/>
          <w:u w:color="000000"/>
          <w:lang w:val="en-GB"/>
        </w:rPr>
        <w:t xml:space="preserve"> </w:t>
      </w:r>
    </w:p>
    <w:p w14:paraId="368141DB" w14:textId="73B1FE69" w:rsidR="00815287" w:rsidRPr="005D356F" w:rsidRDefault="003A165C" w:rsidP="000679E7">
      <w:pPr>
        <w:pStyle w:val="Body"/>
        <w:spacing w:after="160" w:line="259" w:lineRule="auto"/>
        <w:jc w:val="both"/>
        <w:rPr>
          <w:rFonts w:ascii="Times New Roman" w:eastAsia="Calibri" w:hAnsi="Times New Roman" w:cs="Times New Roman"/>
          <w:u w:color="000000"/>
          <w:lang w:val="en-GB"/>
        </w:rPr>
      </w:pPr>
      <w:r>
        <w:rPr>
          <w:rFonts w:ascii="Times New Roman" w:eastAsia="Calibri" w:hAnsi="Times New Roman" w:cs="Times New Roman"/>
          <w:u w:color="000000"/>
          <w:lang w:val="en-GB"/>
        </w:rPr>
        <w:t>Far from tackling exploitation, th</w:t>
      </w:r>
      <w:r w:rsidR="00AC2B7C">
        <w:rPr>
          <w:rFonts w:ascii="Times New Roman" w:eastAsia="Calibri" w:hAnsi="Times New Roman" w:cs="Times New Roman"/>
          <w:u w:color="000000"/>
          <w:lang w:val="en-GB"/>
        </w:rPr>
        <w:t xml:space="preserve">ese attitudes </w:t>
      </w:r>
      <w:r>
        <w:rPr>
          <w:rFonts w:ascii="Times New Roman" w:eastAsia="Calibri" w:hAnsi="Times New Roman" w:cs="Times New Roman"/>
          <w:u w:color="000000"/>
          <w:lang w:val="en-GB"/>
        </w:rPr>
        <w:t>ha</w:t>
      </w:r>
      <w:r w:rsidR="00AC2B7C">
        <w:rPr>
          <w:rFonts w:ascii="Times New Roman" w:eastAsia="Calibri" w:hAnsi="Times New Roman" w:cs="Times New Roman"/>
          <w:u w:color="000000"/>
          <w:lang w:val="en-GB"/>
        </w:rPr>
        <w:t>ve</w:t>
      </w:r>
      <w:r>
        <w:rPr>
          <w:rFonts w:ascii="Times New Roman" w:eastAsia="Calibri" w:hAnsi="Times New Roman" w:cs="Times New Roman"/>
          <w:u w:color="000000"/>
          <w:lang w:val="en-GB"/>
        </w:rPr>
        <w:t xml:space="preserve"> had a huge impact on</w:t>
      </w:r>
      <w:r w:rsidR="005C3BE4">
        <w:rPr>
          <w:rFonts w:ascii="Times New Roman" w:eastAsia="Calibri" w:hAnsi="Times New Roman" w:cs="Times New Roman"/>
          <w:u w:color="000000"/>
          <w:lang w:val="en-GB"/>
        </w:rPr>
        <w:t xml:space="preserve"> the vulnerability of</w:t>
      </w:r>
      <w:r>
        <w:rPr>
          <w:rFonts w:ascii="Times New Roman" w:eastAsia="Calibri" w:hAnsi="Times New Roman" w:cs="Times New Roman"/>
          <w:u w:color="000000"/>
          <w:lang w:val="en-GB"/>
        </w:rPr>
        <w:t xml:space="preserve"> people engaged in sex work to homelessness.</w:t>
      </w:r>
      <w:r w:rsidR="00AC2B7C">
        <w:rPr>
          <w:rFonts w:ascii="Times New Roman" w:eastAsia="Calibri" w:hAnsi="Times New Roman" w:cs="Times New Roman"/>
          <w:u w:color="000000"/>
          <w:lang w:val="en-GB"/>
        </w:rPr>
        <w:t xml:space="preserve"> </w:t>
      </w:r>
      <w:r w:rsidR="00B93FAD" w:rsidRPr="005D356F">
        <w:rPr>
          <w:rFonts w:ascii="Times New Roman" w:eastAsia="Calibri" w:hAnsi="Times New Roman" w:cs="Times New Roman"/>
          <w:u w:color="000000"/>
          <w:lang w:val="en-GB"/>
        </w:rPr>
        <w:t>In the United States, w</w:t>
      </w:r>
      <w:r w:rsidR="0035424E" w:rsidRPr="005D356F">
        <w:rPr>
          <w:rFonts w:ascii="Times New Roman" w:eastAsia="Calibri" w:hAnsi="Times New Roman" w:cs="Times New Roman"/>
          <w:u w:color="000000"/>
          <w:lang w:val="en-GB"/>
        </w:rPr>
        <w:t>omen engaging in street-based sex work, who are the primary targets of prostitution arrests and incarceration, often report unstable housing or homelessness</w:t>
      </w:r>
      <w:r>
        <w:rPr>
          <w:rFonts w:ascii="Times New Roman" w:eastAsia="Calibri" w:hAnsi="Times New Roman" w:cs="Times New Roman"/>
          <w:u w:color="000000"/>
          <w:lang w:val="en-GB"/>
        </w:rPr>
        <w:t xml:space="preserve"> as a result of repeated arrests and detention</w:t>
      </w:r>
      <w:r w:rsidR="0035424E" w:rsidRPr="005D356F">
        <w:rPr>
          <w:rFonts w:ascii="Times New Roman" w:eastAsia="Calibri" w:hAnsi="Times New Roman" w:cs="Times New Roman"/>
          <w:u w:color="000000"/>
          <w:lang w:val="en-GB"/>
        </w:rPr>
        <w:t>.</w:t>
      </w:r>
      <w:r w:rsidR="0035424E" w:rsidRPr="005D356F">
        <w:rPr>
          <w:rFonts w:ascii="Times New Roman" w:eastAsia="Calibri" w:hAnsi="Times New Roman" w:cs="Times New Roman"/>
          <w:u w:color="000000"/>
          <w:vertAlign w:val="superscript"/>
          <w:lang w:val="en-GB"/>
        </w:rPr>
        <w:footnoteReference w:id="19"/>
      </w:r>
      <w:r w:rsidR="0035424E" w:rsidRPr="005D356F">
        <w:rPr>
          <w:rFonts w:ascii="Times New Roman" w:eastAsia="Calibri" w:hAnsi="Times New Roman" w:cs="Times New Roman"/>
          <w:u w:color="000000"/>
          <w:lang w:val="en-GB"/>
        </w:rPr>
        <w:t xml:space="preserve"> </w:t>
      </w:r>
      <w:r w:rsidR="00B93FAD" w:rsidRPr="005D356F">
        <w:rPr>
          <w:rFonts w:ascii="Times New Roman" w:eastAsia="Calibri" w:hAnsi="Times New Roman" w:cs="Times New Roman"/>
          <w:u w:color="000000"/>
          <w:lang w:val="en-GB"/>
        </w:rPr>
        <w:t>Sex work may</w:t>
      </w:r>
      <w:r w:rsidR="0035424E" w:rsidRPr="005D356F">
        <w:rPr>
          <w:rFonts w:ascii="Times New Roman" w:eastAsia="Calibri" w:hAnsi="Times New Roman" w:cs="Times New Roman"/>
          <w:u w:color="000000"/>
          <w:lang w:val="en-GB"/>
        </w:rPr>
        <w:t xml:space="preserve"> also </w:t>
      </w:r>
      <w:r w:rsidR="00B93FAD" w:rsidRPr="005D356F">
        <w:rPr>
          <w:rFonts w:ascii="Times New Roman" w:eastAsia="Calibri" w:hAnsi="Times New Roman" w:cs="Times New Roman"/>
          <w:u w:color="000000"/>
          <w:lang w:val="en-GB"/>
        </w:rPr>
        <w:t>constitute the basis for eviction or exclusion from publi</w:t>
      </w:r>
      <w:r w:rsidR="000679E7" w:rsidRPr="005D356F">
        <w:rPr>
          <w:rFonts w:ascii="Times New Roman" w:eastAsia="Calibri" w:hAnsi="Times New Roman" w:cs="Times New Roman"/>
          <w:u w:color="000000"/>
          <w:lang w:val="en-GB"/>
        </w:rPr>
        <w:t>c</w:t>
      </w:r>
      <w:r w:rsidR="00B93FAD" w:rsidRPr="005D356F">
        <w:rPr>
          <w:rFonts w:ascii="Times New Roman" w:eastAsia="Calibri" w:hAnsi="Times New Roman" w:cs="Times New Roman"/>
          <w:u w:color="000000"/>
          <w:lang w:val="en-GB"/>
        </w:rPr>
        <w:t xml:space="preserve"> housing.</w:t>
      </w:r>
      <w:r w:rsidR="00B93FAD" w:rsidRPr="005D356F">
        <w:rPr>
          <w:rFonts w:ascii="Times New Roman" w:eastAsia="Calibri" w:hAnsi="Times New Roman" w:cs="Times New Roman"/>
          <w:u w:color="000000"/>
          <w:vertAlign w:val="superscript"/>
          <w:lang w:val="en-GB"/>
        </w:rPr>
        <w:footnoteReference w:id="20"/>
      </w:r>
      <w:r w:rsidR="0035424E" w:rsidRPr="005D356F">
        <w:rPr>
          <w:rFonts w:ascii="Times New Roman" w:eastAsia="Calibri" w:hAnsi="Times New Roman" w:cs="Times New Roman"/>
          <w:u w:color="000000"/>
          <w:lang w:val="en-GB"/>
        </w:rPr>
        <w:t xml:space="preserve"> The scale of this problem is exemplified by </w:t>
      </w:r>
      <w:r w:rsidR="005C3BE4">
        <w:rPr>
          <w:rFonts w:ascii="Times New Roman" w:eastAsia="Calibri" w:hAnsi="Times New Roman" w:cs="Times New Roman"/>
          <w:u w:color="000000"/>
          <w:lang w:val="en-GB"/>
        </w:rPr>
        <w:t>the fact</w:t>
      </w:r>
      <w:r w:rsidR="0035424E" w:rsidRPr="005D356F">
        <w:rPr>
          <w:rFonts w:ascii="Times New Roman" w:eastAsia="Calibri" w:hAnsi="Times New Roman" w:cs="Times New Roman"/>
          <w:u w:color="000000"/>
          <w:lang w:val="en-GB"/>
        </w:rPr>
        <w:t xml:space="preserve"> that some women engaged in sex work have described jail as a viable housing option, in juxtaposition to the difficulty of obtaining and maintaining housing as a person engaged in sex work in the United States.</w:t>
      </w:r>
      <w:r w:rsidR="008411F5" w:rsidRPr="005D356F">
        <w:rPr>
          <w:rStyle w:val="FootnoteReference"/>
          <w:rFonts w:ascii="Times New Roman" w:eastAsia="Calibri" w:hAnsi="Times New Roman" w:cs="Times New Roman"/>
          <w:u w:color="000000"/>
          <w:lang w:val="en-GB"/>
        </w:rPr>
        <w:footnoteReference w:id="21"/>
      </w:r>
      <w:r w:rsidR="0035424E" w:rsidRPr="005D356F">
        <w:rPr>
          <w:rFonts w:ascii="Times New Roman" w:eastAsia="Calibri" w:hAnsi="Times New Roman" w:cs="Times New Roman"/>
          <w:u w:color="000000"/>
          <w:lang w:val="en-GB"/>
        </w:rPr>
        <w:t xml:space="preserve"> </w:t>
      </w:r>
    </w:p>
    <w:p w14:paraId="5443CF57" w14:textId="006B01BC" w:rsidR="00B93FAD" w:rsidRPr="005D356F" w:rsidRDefault="00B93FAD" w:rsidP="000679E7">
      <w:pPr>
        <w:pStyle w:val="Body"/>
        <w:spacing w:after="160" w:line="259" w:lineRule="auto"/>
        <w:jc w:val="both"/>
        <w:rPr>
          <w:rFonts w:ascii="Times New Roman" w:eastAsia="Calibri" w:hAnsi="Times New Roman" w:cs="Times New Roman"/>
          <w:u w:color="000000"/>
          <w:lang w:val="en-GB"/>
        </w:rPr>
      </w:pPr>
      <w:r w:rsidRPr="005D356F">
        <w:rPr>
          <w:rFonts w:ascii="Times New Roman" w:eastAsia="Calibri" w:hAnsi="Times New Roman" w:cs="Times New Roman"/>
          <w:u w:color="000000"/>
          <w:lang w:val="en-GB"/>
        </w:rPr>
        <w:t xml:space="preserve">The long-term impact of criminalisation has </w:t>
      </w:r>
      <w:r w:rsidR="00AC2B7C">
        <w:rPr>
          <w:rFonts w:ascii="Times New Roman" w:eastAsia="Calibri" w:hAnsi="Times New Roman" w:cs="Times New Roman"/>
          <w:u w:color="000000"/>
          <w:lang w:val="en-GB"/>
        </w:rPr>
        <w:t xml:space="preserve">also </w:t>
      </w:r>
      <w:r w:rsidRPr="005D356F">
        <w:rPr>
          <w:rFonts w:ascii="Times New Roman" w:eastAsia="Calibri" w:hAnsi="Times New Roman" w:cs="Times New Roman"/>
          <w:u w:color="000000"/>
          <w:lang w:val="en-GB"/>
        </w:rPr>
        <w:t xml:space="preserve">been demonstrated in New Zealand, where even post-decriminalisation, historic convictions have made it more difficult for sex workers to obtain jobs </w:t>
      </w:r>
      <w:r w:rsidR="003A165C">
        <w:rPr>
          <w:rFonts w:ascii="Times New Roman" w:eastAsia="Calibri" w:hAnsi="Times New Roman" w:cs="Times New Roman"/>
          <w:u w:color="000000"/>
          <w:lang w:val="en-GB"/>
        </w:rPr>
        <w:t xml:space="preserve">and a stable income </w:t>
      </w:r>
      <w:r w:rsidRPr="005D356F">
        <w:rPr>
          <w:rFonts w:ascii="Times New Roman" w:eastAsia="Calibri" w:hAnsi="Times New Roman" w:cs="Times New Roman"/>
          <w:u w:color="000000"/>
          <w:lang w:val="en-GB"/>
        </w:rPr>
        <w:t>and has therefore made many more vulnerable to homelessness.</w:t>
      </w:r>
      <w:r w:rsidRPr="005D356F">
        <w:rPr>
          <w:rStyle w:val="FootnoteReference"/>
          <w:rFonts w:ascii="Times New Roman" w:eastAsia="Calibri" w:hAnsi="Times New Roman" w:cs="Times New Roman"/>
          <w:u w:color="000000"/>
          <w:lang w:val="en-GB"/>
        </w:rPr>
        <w:footnoteReference w:id="22"/>
      </w:r>
      <w:r w:rsidRPr="005D356F">
        <w:rPr>
          <w:rFonts w:ascii="Times New Roman" w:eastAsia="Calibri" w:hAnsi="Times New Roman" w:cs="Times New Roman"/>
          <w:u w:color="000000"/>
          <w:lang w:val="en-GB"/>
        </w:rPr>
        <w:t xml:space="preserve"> </w:t>
      </w:r>
    </w:p>
    <w:p w14:paraId="5D9B8732" w14:textId="78EA9A42" w:rsidR="00EE76AA" w:rsidRDefault="00AC2B7C" w:rsidP="00AC2B7C">
      <w:pPr>
        <w:pStyle w:val="Body"/>
        <w:numPr>
          <w:ilvl w:val="0"/>
          <w:numId w:val="2"/>
        </w:numPr>
        <w:spacing w:after="160" w:line="259" w:lineRule="auto"/>
        <w:jc w:val="both"/>
        <w:rPr>
          <w:rFonts w:ascii="Times New Roman" w:hAnsi="Times New Roman" w:cs="Times New Roman"/>
          <w:u w:val="single"/>
          <w:lang w:val="en-GB"/>
        </w:rPr>
      </w:pPr>
      <w:r>
        <w:rPr>
          <w:rFonts w:ascii="Times New Roman" w:hAnsi="Times New Roman" w:cs="Times New Roman"/>
          <w:u w:val="single"/>
          <w:lang w:val="en-GB"/>
        </w:rPr>
        <w:t>Recommendations</w:t>
      </w:r>
    </w:p>
    <w:p w14:paraId="553465A4" w14:textId="1F0092B4" w:rsidR="00AC2B7C" w:rsidRDefault="002D0239" w:rsidP="00AC2B7C">
      <w:pPr>
        <w:pStyle w:val="Body"/>
        <w:spacing w:after="160" w:line="259" w:lineRule="auto"/>
        <w:jc w:val="both"/>
        <w:rPr>
          <w:rFonts w:ascii="Times New Roman" w:hAnsi="Times New Roman" w:cs="Times New Roman"/>
          <w:lang w:val="en-GB"/>
        </w:rPr>
      </w:pPr>
      <w:r>
        <w:rPr>
          <w:rFonts w:ascii="Times New Roman" w:hAnsi="Times New Roman" w:cs="Times New Roman"/>
          <w:lang w:val="en-GB"/>
        </w:rPr>
        <w:t xml:space="preserve">In light of the above, </w:t>
      </w:r>
      <w:r w:rsidR="00AC2B7C">
        <w:rPr>
          <w:rFonts w:ascii="Times New Roman" w:hAnsi="Times New Roman" w:cs="Times New Roman"/>
          <w:lang w:val="en-GB"/>
        </w:rPr>
        <w:t>GAATW recommends that Member States:</w:t>
      </w:r>
    </w:p>
    <w:p w14:paraId="4E419B1F" w14:textId="359A4583" w:rsidR="00FC08EC" w:rsidRPr="00044035" w:rsidRDefault="00FC08EC" w:rsidP="00FC08EC">
      <w:pPr>
        <w:pStyle w:val="ListParagraph"/>
        <w:numPr>
          <w:ilvl w:val="0"/>
          <w:numId w:val="5"/>
        </w:numPr>
        <w:jc w:val="both"/>
        <w:rPr>
          <w:rFonts w:ascii="Times New Roman" w:hAnsi="Times New Roman" w:cs="Times New Roman"/>
          <w:lang w:val="en-US"/>
        </w:rPr>
      </w:pPr>
      <w:r w:rsidRPr="00044035">
        <w:rPr>
          <w:rFonts w:ascii="Times New Roman" w:hAnsi="Times New Roman" w:cs="Times New Roman"/>
          <w:lang w:val="en-US"/>
        </w:rPr>
        <w:t xml:space="preserve">Ensure all survivors have access to safe and affordable housing irrespective of their immigration status. This includes giving irregular migrants and migrants on temporary visas access to social/public housing, permission to work </w:t>
      </w:r>
      <w:r w:rsidR="002D0239">
        <w:rPr>
          <w:rFonts w:ascii="Times New Roman" w:hAnsi="Times New Roman" w:cs="Times New Roman"/>
          <w:lang w:val="en-US"/>
        </w:rPr>
        <w:t xml:space="preserve">so as to be able </w:t>
      </w:r>
      <w:r w:rsidRPr="00044035">
        <w:rPr>
          <w:rFonts w:ascii="Times New Roman" w:hAnsi="Times New Roman" w:cs="Times New Roman"/>
          <w:lang w:val="en-US"/>
        </w:rPr>
        <w:t>to earn a stable income</w:t>
      </w:r>
      <w:r w:rsidR="002D0239">
        <w:rPr>
          <w:rFonts w:ascii="Times New Roman" w:hAnsi="Times New Roman" w:cs="Times New Roman"/>
          <w:lang w:val="en-US"/>
        </w:rPr>
        <w:t>, and access to adequate welfare benefits for those who are unable to work</w:t>
      </w:r>
      <w:r w:rsidRPr="00044035">
        <w:rPr>
          <w:rFonts w:ascii="Times New Roman" w:hAnsi="Times New Roman" w:cs="Times New Roman"/>
          <w:lang w:val="en-US"/>
        </w:rPr>
        <w:t xml:space="preserve">. </w:t>
      </w:r>
    </w:p>
    <w:p w14:paraId="45E8DD63" w14:textId="3532FFEE" w:rsidR="00FC08EC" w:rsidRPr="00044035" w:rsidRDefault="00FC08EC" w:rsidP="00FC08EC">
      <w:pPr>
        <w:pStyle w:val="ListParagraph"/>
        <w:numPr>
          <w:ilvl w:val="0"/>
          <w:numId w:val="5"/>
        </w:numPr>
        <w:jc w:val="both"/>
        <w:rPr>
          <w:rFonts w:ascii="Times New Roman" w:hAnsi="Times New Roman" w:cs="Times New Roman"/>
          <w:lang w:val="en-US"/>
        </w:rPr>
      </w:pPr>
      <w:r w:rsidRPr="00044035">
        <w:rPr>
          <w:rFonts w:ascii="Times New Roman" w:hAnsi="Times New Roman" w:cs="Times New Roman"/>
          <w:lang w:val="en-US"/>
        </w:rPr>
        <w:t>Ensure that access to safe and affordable housing for survivors is not contingent on survivors</w:t>
      </w:r>
      <w:r w:rsidR="002D0239">
        <w:rPr>
          <w:rFonts w:ascii="Times New Roman" w:hAnsi="Times New Roman" w:cs="Times New Roman"/>
          <w:lang w:val="en-US"/>
        </w:rPr>
        <w:t>’</w:t>
      </w:r>
      <w:r w:rsidRPr="00044035">
        <w:rPr>
          <w:rFonts w:ascii="Times New Roman" w:hAnsi="Times New Roman" w:cs="Times New Roman"/>
          <w:lang w:val="en-US"/>
        </w:rPr>
        <w:t xml:space="preserve"> cooperation with law enforcement authorities.</w:t>
      </w:r>
    </w:p>
    <w:p w14:paraId="1181F2BD" w14:textId="77777777" w:rsidR="00FC08EC" w:rsidRPr="00044035" w:rsidRDefault="00FC08EC" w:rsidP="00FC08EC">
      <w:pPr>
        <w:pStyle w:val="ListParagraph"/>
        <w:numPr>
          <w:ilvl w:val="0"/>
          <w:numId w:val="5"/>
        </w:numPr>
        <w:jc w:val="both"/>
        <w:rPr>
          <w:rFonts w:ascii="Times New Roman" w:hAnsi="Times New Roman" w:cs="Times New Roman"/>
          <w:lang w:val="en-US"/>
        </w:rPr>
      </w:pPr>
      <w:r w:rsidRPr="00044035">
        <w:rPr>
          <w:rFonts w:ascii="Times New Roman" w:hAnsi="Times New Roman" w:cs="Times New Roman"/>
          <w:lang w:val="en-US"/>
        </w:rPr>
        <w:t>Establish a national framework for identifying victims of trafficking and slavery, and implement measures to provide for the physical, psychological and social recovery of victims, including the provision of appropriate housing.</w:t>
      </w:r>
    </w:p>
    <w:p w14:paraId="4149F2FC" w14:textId="2FF97BC0" w:rsidR="00FC08EC" w:rsidRPr="00044035" w:rsidRDefault="00FC08EC" w:rsidP="00FC08EC">
      <w:pPr>
        <w:pStyle w:val="ListParagraph"/>
        <w:numPr>
          <w:ilvl w:val="0"/>
          <w:numId w:val="5"/>
        </w:numPr>
        <w:jc w:val="both"/>
        <w:rPr>
          <w:rFonts w:ascii="Times New Roman" w:hAnsi="Times New Roman" w:cs="Times New Roman"/>
          <w:lang w:val="en-US"/>
        </w:rPr>
      </w:pPr>
      <w:r w:rsidRPr="00044035">
        <w:rPr>
          <w:rFonts w:ascii="Times New Roman" w:hAnsi="Times New Roman" w:cs="Times New Roman"/>
          <w:lang w:val="en-US"/>
        </w:rPr>
        <w:lastRenderedPageBreak/>
        <w:t>Ensure that housing services provided to survivors are supportive of survivors’ unique needs and do not unduly restrict their autonomy, including their freedom of movement, their right to a family life and their ability to work</w:t>
      </w:r>
      <w:r>
        <w:rPr>
          <w:rFonts w:ascii="Times New Roman" w:hAnsi="Times New Roman" w:cs="Times New Roman"/>
          <w:lang w:val="en-US"/>
        </w:rPr>
        <w:t xml:space="preserve"> (including restrictions on which sectors of work survivors may engage in)</w:t>
      </w:r>
      <w:r w:rsidRPr="00044035">
        <w:rPr>
          <w:rFonts w:ascii="Times New Roman" w:hAnsi="Times New Roman" w:cs="Times New Roman"/>
          <w:lang w:val="en-US"/>
        </w:rPr>
        <w:t xml:space="preserve">. </w:t>
      </w:r>
    </w:p>
    <w:p w14:paraId="4CFB7B79" w14:textId="77777777" w:rsidR="00FC08EC" w:rsidRPr="00044035" w:rsidRDefault="00FC08EC" w:rsidP="00FC08EC">
      <w:pPr>
        <w:pStyle w:val="ListParagraph"/>
        <w:numPr>
          <w:ilvl w:val="0"/>
          <w:numId w:val="5"/>
        </w:numPr>
        <w:jc w:val="both"/>
        <w:rPr>
          <w:rFonts w:ascii="Times New Roman" w:hAnsi="Times New Roman" w:cs="Times New Roman"/>
          <w:lang w:val="en-US"/>
        </w:rPr>
      </w:pPr>
      <w:r w:rsidRPr="00044035">
        <w:rPr>
          <w:rFonts w:ascii="Times New Roman" w:hAnsi="Times New Roman" w:cs="Times New Roman"/>
          <w:lang w:val="en-US"/>
        </w:rPr>
        <w:t xml:space="preserve">Ensure that the right to adequate housing is guaranteed for all people, without discrimination. </w:t>
      </w:r>
    </w:p>
    <w:p w14:paraId="66BCA733" w14:textId="77777777" w:rsidR="00FC08EC" w:rsidRPr="00044035" w:rsidRDefault="00FC08EC" w:rsidP="00FC08EC">
      <w:pPr>
        <w:pStyle w:val="ListParagraph"/>
        <w:numPr>
          <w:ilvl w:val="0"/>
          <w:numId w:val="5"/>
        </w:numPr>
        <w:jc w:val="both"/>
        <w:rPr>
          <w:rFonts w:ascii="Times New Roman" w:hAnsi="Times New Roman" w:cs="Times New Roman"/>
          <w:lang w:val="en-US"/>
        </w:rPr>
      </w:pPr>
      <w:r w:rsidRPr="00044035">
        <w:rPr>
          <w:rFonts w:ascii="Times New Roman" w:hAnsi="Times New Roman" w:cs="Times New Roman"/>
          <w:lang w:val="en-US"/>
        </w:rPr>
        <w:t xml:space="preserve">End anti-trafficking initiatives which conflate sex work with trafficking and slavery, </w:t>
      </w:r>
      <w:proofErr w:type="spellStart"/>
      <w:r w:rsidRPr="00044035">
        <w:rPr>
          <w:rFonts w:ascii="Times New Roman" w:hAnsi="Times New Roman" w:cs="Times New Roman"/>
          <w:lang w:val="en-US"/>
        </w:rPr>
        <w:t>decriminalise</w:t>
      </w:r>
      <w:proofErr w:type="spellEnd"/>
      <w:r w:rsidRPr="00044035">
        <w:rPr>
          <w:rFonts w:ascii="Times New Roman" w:hAnsi="Times New Roman" w:cs="Times New Roman"/>
          <w:lang w:val="en-US"/>
        </w:rPr>
        <w:t xml:space="preserve"> sex work, remove restrictions on the rights of migrant to carry out sex work, and expunge any historic convictions for sex work.</w:t>
      </w:r>
    </w:p>
    <w:p w14:paraId="04ECFE2E" w14:textId="2FABA536" w:rsidR="00AC2B7C" w:rsidRDefault="00AC2B7C" w:rsidP="00FC08EC">
      <w:pPr>
        <w:pStyle w:val="Body"/>
        <w:spacing w:after="160" w:line="259" w:lineRule="auto"/>
        <w:ind w:left="1080"/>
        <w:jc w:val="both"/>
        <w:rPr>
          <w:rFonts w:ascii="Times New Roman" w:hAnsi="Times New Roman" w:cs="Times New Roman"/>
          <w:lang w:val="en-GB"/>
        </w:rPr>
      </w:pPr>
    </w:p>
    <w:p w14:paraId="148E0AE6" w14:textId="77777777" w:rsidR="00AC2B7C" w:rsidRPr="00AC2B7C" w:rsidRDefault="00AC2B7C" w:rsidP="00AC2B7C">
      <w:pPr>
        <w:pStyle w:val="Body"/>
        <w:spacing w:after="160" w:line="259" w:lineRule="auto"/>
        <w:jc w:val="both"/>
        <w:rPr>
          <w:rFonts w:ascii="Times New Roman" w:hAnsi="Times New Roman" w:cs="Times New Roman"/>
          <w:lang w:val="en-GB"/>
        </w:rPr>
      </w:pPr>
    </w:p>
    <w:sectPr w:rsidR="00AC2B7C" w:rsidRPr="00AC2B7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E812" w14:textId="77777777" w:rsidR="00653ED5" w:rsidRDefault="00653ED5">
      <w:r>
        <w:separator/>
      </w:r>
    </w:p>
  </w:endnote>
  <w:endnote w:type="continuationSeparator" w:id="0">
    <w:p w14:paraId="1D026658" w14:textId="77777777" w:rsidR="00653ED5" w:rsidRDefault="0065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42D9" w14:textId="77777777" w:rsidR="00815287" w:rsidRDefault="008152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FFDC" w14:textId="77777777" w:rsidR="00653ED5" w:rsidRDefault="00653ED5">
      <w:r>
        <w:separator/>
      </w:r>
    </w:p>
  </w:footnote>
  <w:footnote w:type="continuationSeparator" w:id="0">
    <w:p w14:paraId="6BF871D1" w14:textId="77777777" w:rsidR="00653ED5" w:rsidRDefault="00653ED5">
      <w:r>
        <w:continuationSeparator/>
      </w:r>
    </w:p>
  </w:footnote>
  <w:footnote w:type="continuationNotice" w:id="1">
    <w:p w14:paraId="0AE4540F" w14:textId="77777777" w:rsidR="00653ED5" w:rsidRDefault="00653ED5"/>
  </w:footnote>
  <w:footnote w:id="2">
    <w:p w14:paraId="60F0203B" w14:textId="77777777" w:rsidR="00CC6B0D" w:rsidRPr="005D356F" w:rsidRDefault="00CC6B0D" w:rsidP="00CC6B0D">
      <w:pPr>
        <w:pStyle w:val="FootnoteText"/>
      </w:pPr>
      <w:r w:rsidRPr="005D356F">
        <w:rPr>
          <w:rStyle w:val="FootnoteReference"/>
        </w:rPr>
        <w:footnoteRef/>
      </w:r>
      <w:r w:rsidRPr="005D356F">
        <w:t xml:space="preserve"> K Raby, N Chazal, L Garcia-</w:t>
      </w:r>
      <w:proofErr w:type="spellStart"/>
      <w:r w:rsidRPr="005D356F">
        <w:t>Daza</w:t>
      </w:r>
      <w:proofErr w:type="spellEnd"/>
      <w:r w:rsidRPr="005D356F">
        <w:t xml:space="preserve">, and G </w:t>
      </w:r>
      <w:proofErr w:type="spellStart"/>
      <w:r w:rsidRPr="005D356F">
        <w:t>Mebalds</w:t>
      </w:r>
      <w:proofErr w:type="spellEnd"/>
      <w:r w:rsidRPr="005D356F">
        <w:t xml:space="preserve">, ‘“No Income, Temporary Visa, and Too Many Triggers”: Barriers in accommodating survivors of human trafficking and slavery in Australia’, </w:t>
      </w:r>
      <w:r w:rsidRPr="005D356F">
        <w:rPr>
          <w:i/>
          <w:iCs/>
        </w:rPr>
        <w:t>Anti-Trafficking Review</w:t>
      </w:r>
      <w:r w:rsidRPr="005D356F">
        <w:t>,</w:t>
      </w:r>
      <w:r w:rsidRPr="005D356F">
        <w:rPr>
          <w:i/>
          <w:iCs/>
        </w:rPr>
        <w:t xml:space="preserve"> </w:t>
      </w:r>
      <w:r w:rsidRPr="005D356F">
        <w:t>issue 20, 2023</w:t>
      </w:r>
    </w:p>
  </w:footnote>
  <w:footnote w:id="3">
    <w:p w14:paraId="38796089" w14:textId="26B22646" w:rsidR="001F27A9" w:rsidRPr="005D356F" w:rsidRDefault="001F27A9" w:rsidP="001F27A9">
      <w:pPr>
        <w:pStyle w:val="Footnote"/>
        <w:rPr>
          <w:rFonts w:ascii="Times New Roman" w:hAnsi="Times New Roman" w:cs="Times New Roman"/>
          <w:sz w:val="20"/>
          <w:szCs w:val="20"/>
        </w:rPr>
      </w:pPr>
      <w:r w:rsidRPr="005D356F">
        <w:rPr>
          <w:rFonts w:ascii="Times New Roman" w:hAnsi="Times New Roman" w:cs="Times New Roman"/>
          <w:sz w:val="20"/>
          <w:szCs w:val="20"/>
          <w:vertAlign w:val="superscript"/>
        </w:rPr>
        <w:footnoteRef/>
      </w:r>
      <w:r w:rsidRPr="005D356F">
        <w:rPr>
          <w:rFonts w:ascii="Times New Roman" w:eastAsia="Arial Unicode MS" w:hAnsi="Times New Roman" w:cs="Times New Roman"/>
          <w:sz w:val="20"/>
          <w:szCs w:val="20"/>
        </w:rPr>
        <w:t xml:space="preserve"> </w:t>
      </w:r>
      <w:r w:rsidR="00FD29C8" w:rsidRPr="00A513DE">
        <w:rPr>
          <w:rFonts w:ascii="Times New Roman" w:hAnsi="Times New Roman" w:cs="Times New Roman"/>
          <w:i/>
          <w:iCs/>
          <w:sz w:val="20"/>
          <w:szCs w:val="20"/>
          <w:lang w:val="en-US"/>
        </w:rPr>
        <w:t>Ibid.</w:t>
      </w:r>
    </w:p>
  </w:footnote>
  <w:footnote w:id="4">
    <w:p w14:paraId="6E733B95" w14:textId="50ECF33E" w:rsidR="00CC6B0D" w:rsidRPr="00A513DE" w:rsidRDefault="00CC6B0D" w:rsidP="00CC6B0D">
      <w:pPr>
        <w:pStyle w:val="FootnoteText"/>
        <w:rPr>
          <w:lang w:val="en-GB"/>
        </w:rPr>
      </w:pPr>
      <w:r w:rsidRPr="005D356F">
        <w:rPr>
          <w:rStyle w:val="FootnoteReference"/>
        </w:rPr>
        <w:footnoteRef/>
      </w:r>
      <w:r w:rsidRPr="005D356F">
        <w:t xml:space="preserve"> </w:t>
      </w:r>
      <w:r w:rsidR="00FD29C8" w:rsidRPr="00A513DE">
        <w:rPr>
          <w:i/>
          <w:iCs/>
          <w:lang w:val="en-GB"/>
        </w:rPr>
        <w:t>Ibid.</w:t>
      </w:r>
    </w:p>
  </w:footnote>
  <w:footnote w:id="5">
    <w:p w14:paraId="6C459CB2" w14:textId="77777777" w:rsidR="00EE76AA" w:rsidRPr="005D356F" w:rsidRDefault="00EE76AA" w:rsidP="00EE76AA">
      <w:pPr>
        <w:pStyle w:val="FootnoteText"/>
      </w:pPr>
      <w:r w:rsidRPr="005D356F">
        <w:rPr>
          <w:rStyle w:val="FootnoteReference"/>
        </w:rPr>
        <w:footnoteRef/>
      </w:r>
      <w:r w:rsidRPr="005D356F">
        <w:t xml:space="preserve"> Information provided by Association Mist (Mission </w:t>
      </w:r>
      <w:proofErr w:type="spellStart"/>
      <w:r w:rsidRPr="005D356F">
        <w:t>d'Intervention</w:t>
      </w:r>
      <w:proofErr w:type="spellEnd"/>
      <w:r w:rsidRPr="005D356F">
        <w:t xml:space="preserve"> et de </w:t>
      </w:r>
      <w:proofErr w:type="spellStart"/>
      <w:r w:rsidRPr="005D356F">
        <w:t>Sensibilisation</w:t>
      </w:r>
      <w:proofErr w:type="spellEnd"/>
      <w:r w:rsidRPr="005D356F">
        <w:t xml:space="preserve"> </w:t>
      </w:r>
      <w:proofErr w:type="spellStart"/>
      <w:r w:rsidRPr="005D356F">
        <w:t>contre</w:t>
      </w:r>
      <w:proofErr w:type="spellEnd"/>
      <w:r w:rsidRPr="005D356F">
        <w:t xml:space="preserve"> la </w:t>
      </w:r>
      <w:proofErr w:type="spellStart"/>
      <w:r w:rsidRPr="005D356F">
        <w:t>Traite</w:t>
      </w:r>
      <w:proofErr w:type="spellEnd"/>
      <w:r w:rsidRPr="005D356F">
        <w:t>)</w:t>
      </w:r>
    </w:p>
  </w:footnote>
  <w:footnote w:id="6">
    <w:p w14:paraId="45993E44" w14:textId="77777777" w:rsidR="00EE76AA" w:rsidRPr="005D356F" w:rsidRDefault="00EE76AA" w:rsidP="00EE76AA">
      <w:pPr>
        <w:pStyle w:val="FootnoteText"/>
      </w:pPr>
      <w:r w:rsidRPr="005D356F">
        <w:rPr>
          <w:rStyle w:val="FootnoteReference"/>
        </w:rPr>
        <w:footnoteRef/>
      </w:r>
      <w:r w:rsidRPr="005D356F">
        <w:t xml:space="preserve"> Information provided by Association Mist (Mission </w:t>
      </w:r>
      <w:proofErr w:type="spellStart"/>
      <w:r w:rsidRPr="005D356F">
        <w:t>d'Intervention</w:t>
      </w:r>
      <w:proofErr w:type="spellEnd"/>
      <w:r w:rsidRPr="005D356F">
        <w:t xml:space="preserve"> et de </w:t>
      </w:r>
      <w:proofErr w:type="spellStart"/>
      <w:r w:rsidRPr="005D356F">
        <w:t>Sensibilisation</w:t>
      </w:r>
      <w:proofErr w:type="spellEnd"/>
      <w:r w:rsidRPr="005D356F">
        <w:t xml:space="preserve"> </w:t>
      </w:r>
      <w:proofErr w:type="spellStart"/>
      <w:r w:rsidRPr="005D356F">
        <w:t>contre</w:t>
      </w:r>
      <w:proofErr w:type="spellEnd"/>
      <w:r w:rsidRPr="005D356F">
        <w:t xml:space="preserve"> la </w:t>
      </w:r>
      <w:proofErr w:type="spellStart"/>
      <w:r w:rsidRPr="005D356F">
        <w:t>Traite</w:t>
      </w:r>
      <w:proofErr w:type="spellEnd"/>
      <w:r w:rsidRPr="005D356F">
        <w:t>)</w:t>
      </w:r>
    </w:p>
  </w:footnote>
  <w:footnote w:id="7">
    <w:p w14:paraId="06DE6645" w14:textId="77777777" w:rsidR="00CC6B0D" w:rsidRPr="005D356F" w:rsidRDefault="00CC6B0D" w:rsidP="00CC6B0D">
      <w:pPr>
        <w:pStyle w:val="FootnoteText"/>
      </w:pPr>
      <w:r w:rsidRPr="005D356F">
        <w:rPr>
          <w:rStyle w:val="FootnoteReference"/>
        </w:rPr>
        <w:footnoteRef/>
      </w:r>
      <w:r w:rsidRPr="005D356F">
        <w:t xml:space="preserve"> </w:t>
      </w:r>
      <w:r w:rsidRPr="005D356F">
        <w:rPr>
          <w:color w:val="202122"/>
          <w:shd w:val="clear" w:color="auto" w:fill="FFFFFF"/>
        </w:rPr>
        <w:t>The Dublin Regulation (Regulation No. 604/2013 of the European Parliament and the Council)</w:t>
      </w:r>
    </w:p>
  </w:footnote>
  <w:footnote w:id="8">
    <w:p w14:paraId="7C0C173E" w14:textId="31C83BEE" w:rsidR="00EE76AA" w:rsidRPr="005D356F" w:rsidRDefault="00EE76AA" w:rsidP="00EE76AA">
      <w:pPr>
        <w:pStyle w:val="Footnote"/>
        <w:rPr>
          <w:rFonts w:ascii="Times New Roman" w:hAnsi="Times New Roman" w:cs="Times New Roman"/>
          <w:sz w:val="20"/>
          <w:szCs w:val="20"/>
        </w:rPr>
      </w:pPr>
      <w:r w:rsidRPr="005D356F">
        <w:rPr>
          <w:rFonts w:ascii="Times New Roman" w:hAnsi="Times New Roman" w:cs="Times New Roman"/>
          <w:sz w:val="20"/>
          <w:szCs w:val="20"/>
          <w:vertAlign w:val="superscript"/>
        </w:rPr>
        <w:footnoteRef/>
      </w:r>
      <w:r w:rsidRPr="005D356F">
        <w:rPr>
          <w:rFonts w:ascii="Times New Roman" w:eastAsia="Arial Unicode MS" w:hAnsi="Times New Roman" w:cs="Times New Roman"/>
          <w:sz w:val="20"/>
          <w:szCs w:val="20"/>
        </w:rPr>
        <w:t xml:space="preserve"> </w:t>
      </w:r>
      <w:r w:rsidRPr="005D356F">
        <w:rPr>
          <w:rFonts w:ascii="Times New Roman" w:eastAsia="Arial Unicode MS" w:hAnsi="Times New Roman" w:cs="Times New Roman"/>
          <w:sz w:val="20"/>
          <w:szCs w:val="20"/>
          <w:lang w:val="en-US"/>
        </w:rPr>
        <w:t xml:space="preserve">K Romero, T Torres, A Jones and C </w:t>
      </w:r>
      <w:proofErr w:type="spellStart"/>
      <w:r w:rsidRPr="005D356F">
        <w:rPr>
          <w:rFonts w:ascii="Times New Roman" w:eastAsia="Arial Unicode MS" w:hAnsi="Times New Roman" w:cs="Times New Roman"/>
          <w:sz w:val="20"/>
          <w:szCs w:val="20"/>
          <w:lang w:val="en-US"/>
        </w:rPr>
        <w:t>Dacosta</w:t>
      </w:r>
      <w:proofErr w:type="spellEnd"/>
      <w:r w:rsidRPr="005D356F">
        <w:rPr>
          <w:rFonts w:ascii="Times New Roman" w:eastAsia="Arial Unicode MS" w:hAnsi="Times New Roman" w:cs="Times New Roman"/>
          <w:sz w:val="20"/>
          <w:szCs w:val="20"/>
          <w:lang w:val="en-US"/>
        </w:rPr>
        <w:t>-Reyes, ‘</w:t>
      </w:r>
      <w:r w:rsidRPr="005D356F">
        <w:rPr>
          <w:rFonts w:ascii="Times New Roman" w:hAnsi="Times New Roman" w:cs="Times New Roman"/>
          <w:sz w:val="20"/>
          <w:szCs w:val="20"/>
          <w:lang w:val="en-US"/>
        </w:rPr>
        <w:t xml:space="preserve">Closing the Door on Survivors: How anti-trafficking </w:t>
      </w:r>
      <w:proofErr w:type="spellStart"/>
      <w:r w:rsidRPr="005D356F">
        <w:rPr>
          <w:rFonts w:ascii="Times New Roman" w:hAnsi="Times New Roman" w:cs="Times New Roman"/>
          <w:sz w:val="20"/>
          <w:szCs w:val="20"/>
          <w:lang w:val="en-US"/>
        </w:rPr>
        <w:t>programmes</w:t>
      </w:r>
      <w:proofErr w:type="spellEnd"/>
      <w:r w:rsidRPr="005D356F">
        <w:rPr>
          <w:rFonts w:ascii="Times New Roman" w:hAnsi="Times New Roman" w:cs="Times New Roman"/>
          <w:sz w:val="20"/>
          <w:szCs w:val="20"/>
          <w:lang w:val="en-US"/>
        </w:rPr>
        <w:t xml:space="preserve"> in the US limit access to housing,’ </w:t>
      </w:r>
      <w:r w:rsidR="005D356F" w:rsidRPr="005D356F">
        <w:rPr>
          <w:rFonts w:ascii="Times New Roman" w:hAnsi="Times New Roman" w:cs="Times New Roman"/>
          <w:i/>
          <w:iCs/>
          <w:sz w:val="20"/>
          <w:szCs w:val="20"/>
          <w:lang w:val="en-US"/>
        </w:rPr>
        <w:t>Anti-Trafficking Review</w:t>
      </w:r>
      <w:r w:rsidR="005D356F" w:rsidRPr="005D356F">
        <w:rPr>
          <w:rFonts w:ascii="Times New Roman" w:hAnsi="Times New Roman" w:cs="Times New Roman"/>
          <w:sz w:val="20"/>
          <w:szCs w:val="20"/>
          <w:lang w:val="en-US"/>
        </w:rPr>
        <w:t>,</w:t>
      </w:r>
      <w:r w:rsidR="005D356F" w:rsidRPr="005D356F">
        <w:rPr>
          <w:rFonts w:ascii="Times New Roman" w:hAnsi="Times New Roman" w:cs="Times New Roman"/>
          <w:i/>
          <w:iCs/>
          <w:sz w:val="20"/>
          <w:szCs w:val="20"/>
          <w:lang w:val="en-US"/>
        </w:rPr>
        <w:t xml:space="preserve"> </w:t>
      </w:r>
      <w:r w:rsidR="005D356F" w:rsidRPr="005D356F">
        <w:rPr>
          <w:rFonts w:ascii="Times New Roman" w:hAnsi="Times New Roman" w:cs="Times New Roman"/>
          <w:sz w:val="20"/>
          <w:szCs w:val="20"/>
          <w:lang w:val="en-US"/>
        </w:rPr>
        <w:t>issue 20, 2023</w:t>
      </w:r>
    </w:p>
  </w:footnote>
  <w:footnote w:id="9">
    <w:p w14:paraId="022B4617" w14:textId="520B242D" w:rsidR="0035424E" w:rsidRPr="005D356F" w:rsidRDefault="0035424E" w:rsidP="0035424E">
      <w:pPr>
        <w:pStyle w:val="FootnoteText"/>
      </w:pPr>
      <w:r w:rsidRPr="005D356F">
        <w:rPr>
          <w:rStyle w:val="FootnoteReference"/>
        </w:rPr>
        <w:footnoteRef/>
      </w:r>
      <w:r w:rsidRPr="005D356F">
        <w:t xml:space="preserve"> </w:t>
      </w:r>
      <w:r w:rsidR="00FD29C8" w:rsidRPr="00A513DE">
        <w:rPr>
          <w:i/>
          <w:iCs/>
        </w:rPr>
        <w:t>Ibid.</w:t>
      </w:r>
    </w:p>
  </w:footnote>
  <w:footnote w:id="10">
    <w:p w14:paraId="01373AA2" w14:textId="5CD54EF9" w:rsidR="009C4A41" w:rsidRPr="005D356F" w:rsidRDefault="009C4A41" w:rsidP="0035424E">
      <w:pPr>
        <w:pStyle w:val="FootnoteText"/>
      </w:pPr>
      <w:r w:rsidRPr="005D356F">
        <w:rPr>
          <w:rStyle w:val="FootnoteReference"/>
        </w:rPr>
        <w:footnoteRef/>
      </w:r>
      <w:r w:rsidRPr="005D356F">
        <w:t xml:space="preserve"> K Raby, N Chazal, L Garcia-</w:t>
      </w:r>
      <w:proofErr w:type="spellStart"/>
      <w:r w:rsidRPr="005D356F">
        <w:t>Daza</w:t>
      </w:r>
      <w:proofErr w:type="spellEnd"/>
      <w:r w:rsidRPr="005D356F">
        <w:t xml:space="preserve">, and G </w:t>
      </w:r>
      <w:proofErr w:type="spellStart"/>
      <w:r w:rsidRPr="005D356F">
        <w:t>Mebalds</w:t>
      </w:r>
      <w:proofErr w:type="spellEnd"/>
      <w:r w:rsidRPr="005D356F">
        <w:t xml:space="preserve">, ‘“No Income, Temporary Visa, and Too Many Triggers”: Barriers in accommodating survivors of human trafficking and slavery in Australia’, </w:t>
      </w:r>
      <w:r w:rsidRPr="005D356F">
        <w:rPr>
          <w:i/>
          <w:iCs/>
        </w:rPr>
        <w:t>Anti-Trafficking Review</w:t>
      </w:r>
      <w:r w:rsidRPr="005D356F">
        <w:t>,</w:t>
      </w:r>
      <w:r w:rsidRPr="005D356F">
        <w:rPr>
          <w:i/>
          <w:iCs/>
        </w:rPr>
        <w:t xml:space="preserve"> </w:t>
      </w:r>
      <w:r w:rsidRPr="005D356F">
        <w:t>issue 20, 2023</w:t>
      </w:r>
    </w:p>
  </w:footnote>
  <w:footnote w:id="11">
    <w:p w14:paraId="04126131" w14:textId="7E0C3BE3" w:rsidR="000751FF" w:rsidRPr="00A513DE" w:rsidRDefault="000751FF">
      <w:pPr>
        <w:pStyle w:val="FootnoteText"/>
        <w:rPr>
          <w:lang w:val="en-GB"/>
        </w:rPr>
      </w:pPr>
      <w:r>
        <w:rPr>
          <w:rStyle w:val="FootnoteReference"/>
        </w:rPr>
        <w:footnoteRef/>
      </w:r>
      <w:r>
        <w:t xml:space="preserve"> </w:t>
      </w:r>
      <w:r w:rsidRPr="000751FF">
        <w:rPr>
          <w:lang w:val="en-GB"/>
        </w:rPr>
        <w:t xml:space="preserve">H B A Hamid, ‘Shelter Homes – Safe haven or prison?’, </w:t>
      </w:r>
      <w:r w:rsidRPr="000751FF">
        <w:rPr>
          <w:i/>
          <w:lang w:val="en-GB"/>
        </w:rPr>
        <w:t>Anti-Trafficking Review</w:t>
      </w:r>
      <w:r w:rsidRPr="000751FF">
        <w:rPr>
          <w:iCs/>
          <w:lang w:val="en-GB"/>
        </w:rPr>
        <w:t>,</w:t>
      </w:r>
      <w:r w:rsidRPr="000751FF">
        <w:rPr>
          <w:i/>
          <w:lang w:val="en-GB"/>
        </w:rPr>
        <w:t xml:space="preserve"> </w:t>
      </w:r>
      <w:r w:rsidRPr="000751FF">
        <w:rPr>
          <w:lang w:val="en-GB"/>
        </w:rPr>
        <w:t>issue 20, 2023</w:t>
      </w:r>
      <w:r>
        <w:rPr>
          <w:lang w:val="en-GB"/>
        </w:rPr>
        <w:t>.</w:t>
      </w:r>
    </w:p>
  </w:footnote>
  <w:footnote w:id="12">
    <w:p w14:paraId="45C3127B" w14:textId="77777777" w:rsidR="005D356F" w:rsidRPr="005D356F" w:rsidRDefault="005D356F" w:rsidP="005D356F">
      <w:pPr>
        <w:pStyle w:val="FootnoteText"/>
      </w:pPr>
      <w:r w:rsidRPr="005D356F">
        <w:rPr>
          <w:rStyle w:val="FootnoteReference"/>
        </w:rPr>
        <w:footnoteRef/>
      </w:r>
      <w:r w:rsidRPr="005D356F">
        <w:t xml:space="preserve">Sustainable Reintegration – What Do Women Migrant Workers in the South Asia-Middle East Corridor </w:t>
      </w:r>
      <w:proofErr w:type="gramStart"/>
      <w:r w:rsidRPr="005D356F">
        <w:t>Say?,</w:t>
      </w:r>
      <w:proofErr w:type="gramEnd"/>
      <w:r w:rsidRPr="005D356F">
        <w:t xml:space="preserve"> GAATW, Bangkok, 2022.</w:t>
      </w:r>
    </w:p>
  </w:footnote>
  <w:footnote w:id="13">
    <w:p w14:paraId="39870F92" w14:textId="77777777" w:rsidR="003A165C" w:rsidRPr="005D356F" w:rsidRDefault="003A165C" w:rsidP="003A165C">
      <w:pPr>
        <w:pStyle w:val="FootnoteText"/>
      </w:pPr>
      <w:r w:rsidRPr="005D356F">
        <w:rPr>
          <w:rStyle w:val="FootnoteReference"/>
        </w:rPr>
        <w:footnoteRef/>
      </w:r>
      <w:r w:rsidRPr="005D356F">
        <w:t xml:space="preserve"> Information provided by the National Workers Welfare Trust (NWWT).</w:t>
      </w:r>
    </w:p>
  </w:footnote>
  <w:footnote w:id="14">
    <w:p w14:paraId="67A8D093" w14:textId="77777777" w:rsidR="005D356F" w:rsidRPr="005D356F" w:rsidRDefault="005D356F" w:rsidP="005D356F">
      <w:pPr>
        <w:pStyle w:val="FootnoteText"/>
      </w:pPr>
      <w:r w:rsidRPr="005D356F">
        <w:rPr>
          <w:rStyle w:val="FootnoteReference"/>
        </w:rPr>
        <w:footnoteRef/>
      </w:r>
      <w:r w:rsidRPr="005D356F">
        <w:t xml:space="preserve"> Sustainable Reintegration – What Do Women Migrant Workers in the South Asia-Middle East Corridor </w:t>
      </w:r>
      <w:proofErr w:type="gramStart"/>
      <w:r w:rsidRPr="005D356F">
        <w:t>Say?,</w:t>
      </w:r>
      <w:proofErr w:type="gramEnd"/>
      <w:r w:rsidRPr="005D356F">
        <w:t xml:space="preserve"> GAATW, Bangkok, 2022.</w:t>
      </w:r>
    </w:p>
  </w:footnote>
  <w:footnote w:id="15">
    <w:p w14:paraId="525673B7" w14:textId="04E984D0" w:rsidR="005D356F" w:rsidRPr="005D356F" w:rsidRDefault="005D356F" w:rsidP="005D356F">
      <w:pPr>
        <w:pStyle w:val="FootnoteText"/>
      </w:pPr>
      <w:r w:rsidRPr="005D356F">
        <w:rPr>
          <w:rStyle w:val="FootnoteReference"/>
        </w:rPr>
        <w:footnoteRef/>
      </w:r>
      <w:r w:rsidRPr="005D356F">
        <w:t xml:space="preserve"> </w:t>
      </w:r>
      <w:r w:rsidR="005C3BE4" w:rsidRPr="00A513DE">
        <w:rPr>
          <w:i/>
          <w:iCs/>
        </w:rPr>
        <w:t>Ibid</w:t>
      </w:r>
      <w:r w:rsidRPr="00A513DE">
        <w:rPr>
          <w:i/>
          <w:iCs/>
        </w:rPr>
        <w:t>.</w:t>
      </w:r>
    </w:p>
  </w:footnote>
  <w:footnote w:id="16">
    <w:p w14:paraId="5FEF6D19" w14:textId="7FB99966" w:rsidR="00B93FAD" w:rsidRPr="005D356F" w:rsidRDefault="00B93FAD" w:rsidP="00B93FAD">
      <w:pPr>
        <w:pStyle w:val="FootnoteText"/>
      </w:pPr>
      <w:r w:rsidRPr="005D356F">
        <w:rPr>
          <w:rStyle w:val="FootnoteReference"/>
        </w:rPr>
        <w:footnoteRef/>
      </w:r>
      <w:r w:rsidRPr="005D356F">
        <w:t xml:space="preserve"> B Fraser, E Chisholm, and N Pierse, ‘</w:t>
      </w:r>
      <w:proofErr w:type="spellStart"/>
      <w:r w:rsidRPr="005D356F">
        <w:t>Takatapui</w:t>
      </w:r>
      <w:proofErr w:type="spellEnd"/>
      <w:r w:rsidRPr="005D356F">
        <w:t xml:space="preserve">/LGBTIQ+ people’s experiences of homelessness and sex work in Aotearoa New Zealand,’ </w:t>
      </w:r>
      <w:r w:rsidR="005D356F" w:rsidRPr="005D356F">
        <w:rPr>
          <w:i/>
          <w:iCs/>
        </w:rPr>
        <w:t>Anti-Trafficking Review</w:t>
      </w:r>
      <w:r w:rsidR="005D356F" w:rsidRPr="005D356F">
        <w:t>,</w:t>
      </w:r>
      <w:r w:rsidR="005D356F" w:rsidRPr="005D356F">
        <w:rPr>
          <w:i/>
          <w:iCs/>
        </w:rPr>
        <w:t xml:space="preserve"> </w:t>
      </w:r>
      <w:r w:rsidR="005D356F" w:rsidRPr="005D356F">
        <w:t>issue 20, 2023</w:t>
      </w:r>
    </w:p>
  </w:footnote>
  <w:footnote w:id="17">
    <w:p w14:paraId="6FAFDCE9" w14:textId="28FD6FA8" w:rsidR="00B93FAD" w:rsidRPr="005D356F" w:rsidRDefault="00B93FAD" w:rsidP="00B93FAD">
      <w:pPr>
        <w:pStyle w:val="Footnote"/>
        <w:rPr>
          <w:rFonts w:ascii="Times New Roman" w:hAnsi="Times New Roman" w:cs="Times New Roman"/>
          <w:sz w:val="20"/>
          <w:szCs w:val="20"/>
        </w:rPr>
      </w:pPr>
      <w:r w:rsidRPr="005D356F">
        <w:rPr>
          <w:rFonts w:ascii="Times New Roman" w:eastAsia="Calibri Light" w:hAnsi="Times New Roman" w:cs="Times New Roman"/>
          <w:sz w:val="20"/>
          <w:szCs w:val="20"/>
          <w:u w:color="000000"/>
          <w:vertAlign w:val="superscript"/>
          <w:lang w:val="en-US"/>
        </w:rPr>
        <w:footnoteRef/>
      </w:r>
      <w:r w:rsidRPr="005D356F">
        <w:rPr>
          <w:rFonts w:ascii="Times New Roman" w:eastAsia="Calibri" w:hAnsi="Times New Roman" w:cs="Times New Roman"/>
          <w:sz w:val="20"/>
          <w:szCs w:val="20"/>
          <w:u w:color="000000"/>
        </w:rPr>
        <w:t xml:space="preserve"> </w:t>
      </w:r>
      <w:r w:rsidRPr="005D356F">
        <w:rPr>
          <w:rFonts w:ascii="Times New Roman" w:eastAsia="Arial Unicode MS" w:hAnsi="Times New Roman" w:cs="Times New Roman"/>
          <w:sz w:val="20"/>
          <w:szCs w:val="20"/>
          <w:lang w:val="en-US"/>
        </w:rPr>
        <w:t>C S Shdaimah, N D Franke, T D Becker, C S Leon, ‘</w:t>
      </w:r>
      <w:r w:rsidRPr="005D356F">
        <w:rPr>
          <w:rFonts w:ascii="Times New Roman" w:eastAsia="Calibri Light" w:hAnsi="Times New Roman" w:cs="Times New Roman"/>
          <w:sz w:val="20"/>
          <w:szCs w:val="20"/>
          <w:lang w:val="en-US"/>
        </w:rPr>
        <w:t xml:space="preserve">Of House and Home: The meanings of housing for women engaged in </w:t>
      </w:r>
      <w:proofErr w:type="spellStart"/>
      <w:r w:rsidRPr="005D356F">
        <w:rPr>
          <w:rFonts w:ascii="Times New Roman" w:eastAsia="Calibri Light" w:hAnsi="Times New Roman" w:cs="Times New Roman"/>
          <w:sz w:val="20"/>
          <w:szCs w:val="20"/>
          <w:lang w:val="en-US"/>
        </w:rPr>
        <w:t>criminalised</w:t>
      </w:r>
      <w:proofErr w:type="spellEnd"/>
      <w:r w:rsidRPr="005D356F">
        <w:rPr>
          <w:rFonts w:ascii="Times New Roman" w:eastAsia="Calibri Light" w:hAnsi="Times New Roman" w:cs="Times New Roman"/>
          <w:sz w:val="20"/>
          <w:szCs w:val="20"/>
          <w:lang w:val="en-US"/>
        </w:rPr>
        <w:t xml:space="preserve"> street-based sex work,’ </w:t>
      </w:r>
      <w:r w:rsidR="005D356F" w:rsidRPr="005D356F">
        <w:rPr>
          <w:rFonts w:ascii="Times New Roman" w:hAnsi="Times New Roman" w:cs="Times New Roman"/>
          <w:i/>
          <w:iCs/>
          <w:sz w:val="20"/>
          <w:szCs w:val="20"/>
          <w:lang w:val="en-US"/>
        </w:rPr>
        <w:t>Anti-Trafficking Review</w:t>
      </w:r>
      <w:r w:rsidR="005D356F" w:rsidRPr="005D356F">
        <w:rPr>
          <w:rFonts w:ascii="Times New Roman" w:hAnsi="Times New Roman" w:cs="Times New Roman"/>
          <w:sz w:val="20"/>
          <w:szCs w:val="20"/>
          <w:lang w:val="en-US"/>
        </w:rPr>
        <w:t>,</w:t>
      </w:r>
      <w:r w:rsidR="005D356F" w:rsidRPr="005D356F">
        <w:rPr>
          <w:rFonts w:ascii="Times New Roman" w:hAnsi="Times New Roman" w:cs="Times New Roman"/>
          <w:i/>
          <w:iCs/>
          <w:sz w:val="20"/>
          <w:szCs w:val="20"/>
          <w:lang w:val="en-US"/>
        </w:rPr>
        <w:t xml:space="preserve"> </w:t>
      </w:r>
      <w:r w:rsidR="005D356F" w:rsidRPr="005D356F">
        <w:rPr>
          <w:rFonts w:ascii="Times New Roman" w:hAnsi="Times New Roman" w:cs="Times New Roman"/>
          <w:sz w:val="20"/>
          <w:szCs w:val="20"/>
          <w:lang w:val="en-US"/>
        </w:rPr>
        <w:t>issue 20, 2023</w:t>
      </w:r>
    </w:p>
  </w:footnote>
  <w:footnote w:id="18">
    <w:p w14:paraId="27FBFCA5" w14:textId="36F9FB62" w:rsidR="00B93FAD" w:rsidRPr="005D356F" w:rsidRDefault="00B93FAD" w:rsidP="00B93FAD">
      <w:pPr>
        <w:pStyle w:val="FootnoteText"/>
      </w:pPr>
      <w:r w:rsidRPr="005D356F">
        <w:rPr>
          <w:rStyle w:val="FootnoteReference"/>
        </w:rPr>
        <w:footnoteRef/>
      </w:r>
      <w:r w:rsidRPr="005D356F">
        <w:t xml:space="preserve"> B Fraser, E Chisholm, and N Pierse, ‘</w:t>
      </w:r>
      <w:proofErr w:type="spellStart"/>
      <w:r w:rsidRPr="005D356F">
        <w:t>Takatapui</w:t>
      </w:r>
      <w:proofErr w:type="spellEnd"/>
      <w:r w:rsidRPr="005D356F">
        <w:t xml:space="preserve">/LGBTIQ+ people’s experiences of homelessness and sex work in Aotearoa New Zealand,’ </w:t>
      </w:r>
      <w:r w:rsidR="005D356F" w:rsidRPr="005D356F">
        <w:rPr>
          <w:i/>
          <w:iCs/>
        </w:rPr>
        <w:t>Anti-Trafficking Review</w:t>
      </w:r>
      <w:r w:rsidR="005D356F" w:rsidRPr="005D356F">
        <w:t>,</w:t>
      </w:r>
      <w:r w:rsidR="005D356F" w:rsidRPr="005D356F">
        <w:rPr>
          <w:i/>
          <w:iCs/>
        </w:rPr>
        <w:t xml:space="preserve"> </w:t>
      </w:r>
      <w:r w:rsidR="005D356F" w:rsidRPr="005D356F">
        <w:t>issue 20, 2023</w:t>
      </w:r>
    </w:p>
  </w:footnote>
  <w:footnote w:id="19">
    <w:p w14:paraId="67E6AC3D" w14:textId="084BB5C0" w:rsidR="0035424E" w:rsidRPr="005D356F" w:rsidRDefault="0035424E" w:rsidP="008411F5">
      <w:pPr>
        <w:pStyle w:val="Footnote"/>
        <w:rPr>
          <w:rFonts w:ascii="Times New Roman" w:hAnsi="Times New Roman" w:cs="Times New Roman"/>
          <w:sz w:val="20"/>
          <w:szCs w:val="20"/>
        </w:rPr>
      </w:pPr>
      <w:r w:rsidRPr="005D356F">
        <w:rPr>
          <w:rFonts w:ascii="Times New Roman" w:eastAsia="Calibri Light" w:hAnsi="Times New Roman" w:cs="Times New Roman"/>
          <w:sz w:val="20"/>
          <w:szCs w:val="20"/>
          <w:u w:color="000000"/>
          <w:vertAlign w:val="superscript"/>
          <w:lang w:val="en-US"/>
        </w:rPr>
        <w:footnoteRef/>
      </w:r>
      <w:r w:rsidRPr="005D356F">
        <w:rPr>
          <w:rFonts w:ascii="Times New Roman" w:eastAsia="Calibri" w:hAnsi="Times New Roman" w:cs="Times New Roman"/>
          <w:sz w:val="20"/>
          <w:szCs w:val="20"/>
          <w:u w:color="000000"/>
        </w:rPr>
        <w:t xml:space="preserve"> </w:t>
      </w:r>
      <w:r w:rsidR="008411F5" w:rsidRPr="005D356F">
        <w:rPr>
          <w:rFonts w:ascii="Times New Roman" w:eastAsia="Arial Unicode MS" w:hAnsi="Times New Roman" w:cs="Times New Roman"/>
          <w:sz w:val="20"/>
          <w:szCs w:val="20"/>
          <w:lang w:val="en-US"/>
        </w:rPr>
        <w:t>C S Shdaimah, N D Franke, T D Becker, C S Leon, ‘</w:t>
      </w:r>
      <w:r w:rsidR="008411F5" w:rsidRPr="005D356F">
        <w:rPr>
          <w:rFonts w:ascii="Times New Roman" w:eastAsia="Calibri Light" w:hAnsi="Times New Roman" w:cs="Times New Roman"/>
          <w:sz w:val="20"/>
          <w:szCs w:val="20"/>
          <w:lang w:val="en-US"/>
        </w:rPr>
        <w:t xml:space="preserve">Of House and Home: The meanings of housing for women engaged in </w:t>
      </w:r>
      <w:proofErr w:type="spellStart"/>
      <w:r w:rsidR="008411F5" w:rsidRPr="005D356F">
        <w:rPr>
          <w:rFonts w:ascii="Times New Roman" w:eastAsia="Calibri Light" w:hAnsi="Times New Roman" w:cs="Times New Roman"/>
          <w:sz w:val="20"/>
          <w:szCs w:val="20"/>
          <w:lang w:val="en-US"/>
        </w:rPr>
        <w:t>criminalised</w:t>
      </w:r>
      <w:proofErr w:type="spellEnd"/>
      <w:r w:rsidR="008411F5" w:rsidRPr="005D356F">
        <w:rPr>
          <w:rFonts w:ascii="Times New Roman" w:eastAsia="Calibri Light" w:hAnsi="Times New Roman" w:cs="Times New Roman"/>
          <w:sz w:val="20"/>
          <w:szCs w:val="20"/>
          <w:lang w:val="en-US"/>
        </w:rPr>
        <w:t xml:space="preserve"> street-based sex work,’ </w:t>
      </w:r>
      <w:r w:rsidR="005D356F" w:rsidRPr="005D356F">
        <w:rPr>
          <w:rFonts w:ascii="Times New Roman" w:hAnsi="Times New Roman" w:cs="Times New Roman"/>
          <w:i/>
          <w:iCs/>
          <w:sz w:val="20"/>
          <w:szCs w:val="20"/>
          <w:lang w:val="en-US"/>
        </w:rPr>
        <w:t>Anti-Trafficking Review</w:t>
      </w:r>
      <w:r w:rsidR="005D356F" w:rsidRPr="005D356F">
        <w:rPr>
          <w:rFonts w:ascii="Times New Roman" w:hAnsi="Times New Roman" w:cs="Times New Roman"/>
          <w:sz w:val="20"/>
          <w:szCs w:val="20"/>
          <w:lang w:val="en-US"/>
        </w:rPr>
        <w:t>,</w:t>
      </w:r>
      <w:r w:rsidR="005D356F" w:rsidRPr="005D356F">
        <w:rPr>
          <w:rFonts w:ascii="Times New Roman" w:hAnsi="Times New Roman" w:cs="Times New Roman"/>
          <w:i/>
          <w:iCs/>
          <w:sz w:val="20"/>
          <w:szCs w:val="20"/>
          <w:lang w:val="en-US"/>
        </w:rPr>
        <w:t xml:space="preserve"> </w:t>
      </w:r>
      <w:r w:rsidR="005D356F" w:rsidRPr="005D356F">
        <w:rPr>
          <w:rFonts w:ascii="Times New Roman" w:hAnsi="Times New Roman" w:cs="Times New Roman"/>
          <w:sz w:val="20"/>
          <w:szCs w:val="20"/>
          <w:lang w:val="en-US"/>
        </w:rPr>
        <w:t>issue 20, 2023</w:t>
      </w:r>
    </w:p>
  </w:footnote>
  <w:footnote w:id="20">
    <w:p w14:paraId="538AE882" w14:textId="486FE03C" w:rsidR="00815287" w:rsidRPr="005C3BE4" w:rsidRDefault="00A513DE" w:rsidP="0035424E">
      <w:pPr>
        <w:pStyle w:val="Footnote"/>
        <w:rPr>
          <w:rFonts w:ascii="Times New Roman" w:hAnsi="Times New Roman" w:cs="Times New Roman"/>
          <w:sz w:val="20"/>
          <w:szCs w:val="20"/>
        </w:rPr>
      </w:pPr>
      <w:r w:rsidRPr="005D356F">
        <w:rPr>
          <w:rFonts w:ascii="Times New Roman" w:hAnsi="Times New Roman" w:cs="Times New Roman"/>
          <w:sz w:val="20"/>
          <w:szCs w:val="20"/>
          <w:vertAlign w:val="superscript"/>
        </w:rPr>
        <w:footnoteRef/>
      </w:r>
      <w:r w:rsidRPr="005D356F">
        <w:rPr>
          <w:rFonts w:ascii="Times New Roman" w:eastAsia="Arial Unicode MS" w:hAnsi="Times New Roman" w:cs="Times New Roman"/>
          <w:sz w:val="20"/>
          <w:szCs w:val="20"/>
        </w:rPr>
        <w:t xml:space="preserve"> </w:t>
      </w:r>
      <w:r w:rsidR="005C3BE4" w:rsidRPr="00A513DE">
        <w:rPr>
          <w:rFonts w:ascii="Times New Roman" w:eastAsia="Arial Unicode MS" w:hAnsi="Times New Roman" w:cs="Times New Roman"/>
          <w:i/>
          <w:iCs/>
          <w:sz w:val="20"/>
          <w:szCs w:val="20"/>
        </w:rPr>
        <w:t>Ibid.</w:t>
      </w:r>
    </w:p>
  </w:footnote>
  <w:footnote w:id="21">
    <w:p w14:paraId="1D524527" w14:textId="1DCB5FF6" w:rsidR="008411F5" w:rsidRPr="005D356F" w:rsidRDefault="008411F5" w:rsidP="008411F5">
      <w:pPr>
        <w:pStyle w:val="Footnote"/>
        <w:rPr>
          <w:rFonts w:ascii="Times New Roman" w:hAnsi="Times New Roman" w:cs="Times New Roman"/>
          <w:sz w:val="20"/>
          <w:szCs w:val="20"/>
        </w:rPr>
      </w:pPr>
      <w:r w:rsidRPr="005D356F">
        <w:rPr>
          <w:rStyle w:val="FootnoteReference"/>
          <w:rFonts w:ascii="Times New Roman" w:hAnsi="Times New Roman" w:cs="Times New Roman"/>
          <w:sz w:val="20"/>
          <w:szCs w:val="20"/>
        </w:rPr>
        <w:footnoteRef/>
      </w:r>
      <w:r w:rsidRPr="005D356F">
        <w:rPr>
          <w:rFonts w:ascii="Times New Roman" w:hAnsi="Times New Roman" w:cs="Times New Roman"/>
          <w:sz w:val="20"/>
          <w:szCs w:val="20"/>
        </w:rPr>
        <w:t xml:space="preserve"> </w:t>
      </w:r>
      <w:r w:rsidR="005C3BE4" w:rsidRPr="00A513DE">
        <w:rPr>
          <w:rFonts w:ascii="Times New Roman" w:eastAsia="Arial Unicode MS" w:hAnsi="Times New Roman" w:cs="Times New Roman"/>
          <w:i/>
          <w:iCs/>
          <w:sz w:val="20"/>
          <w:szCs w:val="20"/>
          <w:lang w:val="en-US"/>
        </w:rPr>
        <w:t>Ibid.</w:t>
      </w:r>
    </w:p>
  </w:footnote>
  <w:footnote w:id="22">
    <w:p w14:paraId="0FFD8460" w14:textId="6483C268" w:rsidR="00B93FAD" w:rsidRPr="005D356F" w:rsidRDefault="00B93FAD">
      <w:pPr>
        <w:pStyle w:val="FootnoteText"/>
      </w:pPr>
      <w:r w:rsidRPr="005D356F">
        <w:rPr>
          <w:rStyle w:val="FootnoteReference"/>
        </w:rPr>
        <w:footnoteRef/>
      </w:r>
      <w:r w:rsidRPr="005D356F">
        <w:t xml:space="preserve"> B Fraser, E Chisholm, and N Pierse, ‘</w:t>
      </w:r>
      <w:proofErr w:type="spellStart"/>
      <w:r w:rsidRPr="005D356F">
        <w:t>Takatapui</w:t>
      </w:r>
      <w:proofErr w:type="spellEnd"/>
      <w:r w:rsidRPr="005D356F">
        <w:t xml:space="preserve">/LGBTIQ+ people’s experiences of homelessness and sex work in Aotearoa New Zealand,’ </w:t>
      </w:r>
      <w:r w:rsidR="005D356F" w:rsidRPr="005D356F">
        <w:rPr>
          <w:i/>
          <w:iCs/>
        </w:rPr>
        <w:t>Anti-Trafficking Review</w:t>
      </w:r>
      <w:r w:rsidR="005D356F" w:rsidRPr="005D356F">
        <w:t>,</w:t>
      </w:r>
      <w:r w:rsidR="005D356F" w:rsidRPr="005D356F">
        <w:rPr>
          <w:i/>
          <w:iCs/>
        </w:rPr>
        <w:t xml:space="preserve"> </w:t>
      </w:r>
      <w:r w:rsidR="005D356F" w:rsidRPr="005D356F">
        <w:t>issue 20,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686E" w14:textId="77777777" w:rsidR="00815287" w:rsidRDefault="008152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2F2C"/>
    <w:multiLevelType w:val="hybridMultilevel"/>
    <w:tmpl w:val="2D16FD92"/>
    <w:lvl w:ilvl="0" w:tplc="AC5E0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672EDC"/>
    <w:multiLevelType w:val="hybridMultilevel"/>
    <w:tmpl w:val="9BEAD77A"/>
    <w:lvl w:ilvl="0" w:tplc="2F90E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3566A"/>
    <w:multiLevelType w:val="multilevel"/>
    <w:tmpl w:val="2242963E"/>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9604AB"/>
    <w:multiLevelType w:val="multilevel"/>
    <w:tmpl w:val="21EE3344"/>
    <w:styleLink w:val="ImportedStyle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5734A56"/>
    <w:multiLevelType w:val="hybridMultilevel"/>
    <w:tmpl w:val="3CD8AEB8"/>
    <w:lvl w:ilvl="0" w:tplc="9C142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6B2A9F"/>
    <w:multiLevelType w:val="multilevel"/>
    <w:tmpl w:val="21EE3344"/>
    <w:numStyleLink w:val="ImportedStyle1"/>
  </w:abstractNum>
  <w:num w:numId="1" w16cid:durableId="1080981271">
    <w:abstractNumId w:val="3"/>
  </w:num>
  <w:num w:numId="2" w16cid:durableId="587931164">
    <w:abstractNumId w:val="5"/>
  </w:num>
  <w:num w:numId="3" w16cid:durableId="1721125311">
    <w:abstractNumId w:val="2"/>
  </w:num>
  <w:num w:numId="4" w16cid:durableId="158547615">
    <w:abstractNumId w:val="1"/>
  </w:num>
  <w:num w:numId="5" w16cid:durableId="225532672">
    <w:abstractNumId w:val="0"/>
  </w:num>
  <w:num w:numId="6" w16cid:durableId="1315404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87"/>
    <w:rsid w:val="00002833"/>
    <w:rsid w:val="0001081D"/>
    <w:rsid w:val="000569FC"/>
    <w:rsid w:val="000679E7"/>
    <w:rsid w:val="00072BA3"/>
    <w:rsid w:val="000751FF"/>
    <w:rsid w:val="001F27A9"/>
    <w:rsid w:val="002D0239"/>
    <w:rsid w:val="0035424E"/>
    <w:rsid w:val="003A165C"/>
    <w:rsid w:val="003C717A"/>
    <w:rsid w:val="00431E32"/>
    <w:rsid w:val="005B4250"/>
    <w:rsid w:val="005C3BE4"/>
    <w:rsid w:val="005D356F"/>
    <w:rsid w:val="00653ED5"/>
    <w:rsid w:val="00666465"/>
    <w:rsid w:val="006A4A3F"/>
    <w:rsid w:val="00815287"/>
    <w:rsid w:val="0081798F"/>
    <w:rsid w:val="008243A1"/>
    <w:rsid w:val="008411F5"/>
    <w:rsid w:val="0086636F"/>
    <w:rsid w:val="00884AE5"/>
    <w:rsid w:val="00885A54"/>
    <w:rsid w:val="008D6CEF"/>
    <w:rsid w:val="009C4A41"/>
    <w:rsid w:val="009C5B42"/>
    <w:rsid w:val="00A12CA1"/>
    <w:rsid w:val="00A513DE"/>
    <w:rsid w:val="00AC2B7C"/>
    <w:rsid w:val="00AE0E9A"/>
    <w:rsid w:val="00B92E62"/>
    <w:rsid w:val="00B93FAD"/>
    <w:rsid w:val="00C76832"/>
    <w:rsid w:val="00CC6B0D"/>
    <w:rsid w:val="00D8599B"/>
    <w:rsid w:val="00E85B44"/>
    <w:rsid w:val="00EE76AA"/>
    <w:rsid w:val="00FC08EC"/>
    <w:rsid w:val="00FD29C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7684"/>
  <w15:docId w15:val="{7C249D12-EC71-43CC-9348-294323CF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paragraph" w:styleId="EndnoteText">
    <w:name w:val="endnote text"/>
    <w:basedOn w:val="Normal"/>
    <w:link w:val="EndnoteTextChar"/>
    <w:uiPriority w:val="99"/>
    <w:semiHidden/>
    <w:unhideWhenUsed/>
    <w:rsid w:val="000679E7"/>
    <w:rPr>
      <w:sz w:val="20"/>
      <w:szCs w:val="20"/>
    </w:rPr>
  </w:style>
  <w:style w:type="character" w:customStyle="1" w:styleId="EndnoteTextChar">
    <w:name w:val="Endnote Text Char"/>
    <w:basedOn w:val="DefaultParagraphFont"/>
    <w:link w:val="EndnoteText"/>
    <w:uiPriority w:val="99"/>
    <w:semiHidden/>
    <w:rsid w:val="000679E7"/>
    <w:rPr>
      <w:lang w:val="en-US" w:eastAsia="en-US" w:bidi="ar-SA"/>
    </w:rPr>
  </w:style>
  <w:style w:type="character" w:styleId="EndnoteReference">
    <w:name w:val="endnote reference"/>
    <w:basedOn w:val="DefaultParagraphFont"/>
    <w:uiPriority w:val="99"/>
    <w:semiHidden/>
    <w:unhideWhenUsed/>
    <w:rsid w:val="000679E7"/>
    <w:rPr>
      <w:vertAlign w:val="superscript"/>
    </w:rPr>
  </w:style>
  <w:style w:type="paragraph" w:styleId="FootnoteText">
    <w:name w:val="footnote text"/>
    <w:basedOn w:val="Normal"/>
    <w:link w:val="FootnoteTextChar"/>
    <w:uiPriority w:val="99"/>
    <w:semiHidden/>
    <w:unhideWhenUsed/>
    <w:rsid w:val="000679E7"/>
    <w:rPr>
      <w:sz w:val="20"/>
      <w:szCs w:val="20"/>
    </w:rPr>
  </w:style>
  <w:style w:type="character" w:customStyle="1" w:styleId="FootnoteTextChar">
    <w:name w:val="Footnote Text Char"/>
    <w:basedOn w:val="DefaultParagraphFont"/>
    <w:link w:val="FootnoteText"/>
    <w:uiPriority w:val="99"/>
    <w:semiHidden/>
    <w:rsid w:val="000679E7"/>
    <w:rPr>
      <w:lang w:val="en-US" w:eastAsia="en-US" w:bidi="ar-SA"/>
    </w:rPr>
  </w:style>
  <w:style w:type="character" w:styleId="FootnoteReference">
    <w:name w:val="footnote reference"/>
    <w:basedOn w:val="DefaultParagraphFont"/>
    <w:uiPriority w:val="99"/>
    <w:semiHidden/>
    <w:unhideWhenUsed/>
    <w:rsid w:val="000679E7"/>
    <w:rPr>
      <w:vertAlign w:val="superscript"/>
    </w:rPr>
  </w:style>
  <w:style w:type="paragraph" w:styleId="ListParagraph">
    <w:name w:val="List Paragraph"/>
    <w:basedOn w:val="Normal"/>
    <w:uiPriority w:val="34"/>
    <w:qFormat/>
    <w:rsid w:val="00FC08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kern w:val="2"/>
      <w:sz w:val="22"/>
      <w:szCs w:val="28"/>
      <w:bdr w:val="none" w:sz="0" w:space="0" w:color="auto"/>
      <w:lang w:val="en-GB" w:bidi="th-TH"/>
      <w14:ligatures w14:val="standardContextual"/>
    </w:rPr>
  </w:style>
  <w:style w:type="paragraph" w:styleId="Revision">
    <w:name w:val="Revision"/>
    <w:hidden/>
    <w:uiPriority w:val="99"/>
    <w:semiHidden/>
    <w:rsid w:val="00FD29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 w:type="character" w:styleId="CommentReference">
    <w:name w:val="annotation reference"/>
    <w:basedOn w:val="DefaultParagraphFont"/>
    <w:uiPriority w:val="99"/>
    <w:semiHidden/>
    <w:unhideWhenUsed/>
    <w:rsid w:val="0081798F"/>
    <w:rPr>
      <w:sz w:val="16"/>
      <w:szCs w:val="16"/>
    </w:rPr>
  </w:style>
  <w:style w:type="paragraph" w:styleId="CommentText">
    <w:name w:val="annotation text"/>
    <w:basedOn w:val="Normal"/>
    <w:link w:val="CommentTextChar"/>
    <w:uiPriority w:val="99"/>
    <w:semiHidden/>
    <w:unhideWhenUsed/>
    <w:rsid w:val="0081798F"/>
    <w:rPr>
      <w:sz w:val="20"/>
      <w:szCs w:val="20"/>
    </w:rPr>
  </w:style>
  <w:style w:type="character" w:customStyle="1" w:styleId="CommentTextChar">
    <w:name w:val="Comment Text Char"/>
    <w:basedOn w:val="DefaultParagraphFont"/>
    <w:link w:val="CommentText"/>
    <w:uiPriority w:val="99"/>
    <w:semiHidden/>
    <w:rsid w:val="0081798F"/>
    <w:rPr>
      <w:lang w:val="en-US" w:eastAsia="en-US" w:bidi="ar-SA"/>
    </w:rPr>
  </w:style>
  <w:style w:type="paragraph" w:styleId="CommentSubject">
    <w:name w:val="annotation subject"/>
    <w:basedOn w:val="CommentText"/>
    <w:next w:val="CommentText"/>
    <w:link w:val="CommentSubjectChar"/>
    <w:uiPriority w:val="99"/>
    <w:semiHidden/>
    <w:unhideWhenUsed/>
    <w:rsid w:val="0081798F"/>
    <w:rPr>
      <w:b/>
      <w:bCs/>
    </w:rPr>
  </w:style>
  <w:style w:type="character" w:customStyle="1" w:styleId="CommentSubjectChar">
    <w:name w:val="Comment Subject Char"/>
    <w:basedOn w:val="CommentTextChar"/>
    <w:link w:val="CommentSubject"/>
    <w:uiPriority w:val="99"/>
    <w:semiHidden/>
    <w:rsid w:val="0081798F"/>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2874-591E-4693-9137-3550696C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8810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Satya Jennings Herrera Renteria</cp:lastModifiedBy>
  <cp:revision>2</cp:revision>
  <dcterms:created xsi:type="dcterms:W3CDTF">2023-03-31T07:23:00Z</dcterms:created>
  <dcterms:modified xsi:type="dcterms:W3CDTF">2023-03-31T07:23:00Z</dcterms:modified>
</cp:coreProperties>
</file>