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7B0A" w14:textId="77777777" w:rsidR="00C1182B" w:rsidRPr="00C1182B" w:rsidRDefault="00C1182B" w:rsidP="00C1182B">
      <w:pPr>
        <w:spacing w:after="0" w:line="240" w:lineRule="auto"/>
        <w:jc w:val="center"/>
        <w:rPr>
          <w:rFonts w:ascii="Times New Roman" w:eastAsia="Times New Roman" w:hAnsi="Times New Roman" w:cs="Times New Roman"/>
          <w:b/>
          <w:bCs/>
          <w:noProof/>
          <w:sz w:val="20"/>
          <w:szCs w:val="20"/>
        </w:rPr>
      </w:pPr>
      <w:r w:rsidRPr="00C1182B">
        <w:rPr>
          <w:rFonts w:ascii="Times New Roman" w:eastAsia="Times New Roman" w:hAnsi="Times New Roman" w:cs="Times New Roman"/>
          <w:b/>
          <w:bCs/>
          <w:noProof/>
          <w:sz w:val="20"/>
          <w:szCs w:val="20"/>
        </w:rPr>
        <w:t xml:space="preserve">Mandate of the Independent Expert on protection against violence and discrimination </w:t>
      </w:r>
    </w:p>
    <w:p w14:paraId="387FED80" w14:textId="77777777" w:rsidR="00C1182B" w:rsidRPr="00C1182B" w:rsidRDefault="00C1182B" w:rsidP="00C1182B">
      <w:pPr>
        <w:spacing w:after="0" w:line="240" w:lineRule="auto"/>
        <w:jc w:val="center"/>
        <w:rPr>
          <w:rFonts w:ascii="Times New Roman" w:eastAsia="Times New Roman" w:hAnsi="Times New Roman" w:cs="Times New Roman"/>
          <w:b/>
          <w:bCs/>
          <w:sz w:val="20"/>
          <w:szCs w:val="20"/>
        </w:rPr>
      </w:pPr>
      <w:r w:rsidRPr="00C1182B">
        <w:rPr>
          <w:rFonts w:ascii="Times New Roman" w:eastAsia="Times New Roman" w:hAnsi="Times New Roman" w:cs="Times New Roman"/>
          <w:b/>
          <w:bCs/>
          <w:noProof/>
          <w:sz w:val="20"/>
          <w:szCs w:val="20"/>
        </w:rPr>
        <w:t>based on sexual orientation and gender identity</w:t>
      </w:r>
    </w:p>
    <w:tbl>
      <w:tblPr>
        <w:tblW w:w="0" w:type="auto"/>
        <w:tblInd w:w="-936" w:type="dxa"/>
        <w:tblLook w:val="04A0" w:firstRow="1" w:lastRow="0" w:firstColumn="1" w:lastColumn="0" w:noHBand="0" w:noVBand="1"/>
      </w:tblPr>
      <w:tblGrid>
        <w:gridCol w:w="63"/>
        <w:gridCol w:w="119"/>
      </w:tblGrid>
      <w:tr w:rsidR="00C1182B" w:rsidRPr="00C1182B" w14:paraId="7BB624F7" w14:textId="77777777" w:rsidTr="00C1182B">
        <w:tc>
          <w:tcPr>
            <w:tcW w:w="0" w:type="auto"/>
            <w:tcMar>
              <w:top w:w="113" w:type="dxa"/>
              <w:left w:w="57" w:type="dxa"/>
              <w:bottom w:w="113" w:type="dxa"/>
              <w:right w:w="0" w:type="dxa"/>
            </w:tcMar>
          </w:tcPr>
          <w:p w14:paraId="1EC70A30" w14:textId="77777777" w:rsidR="00C1182B" w:rsidRPr="00C1182B" w:rsidRDefault="00C1182B" w:rsidP="00C1182B">
            <w:pPr>
              <w:spacing w:after="0" w:line="240" w:lineRule="auto"/>
              <w:rPr>
                <w:rFonts w:ascii="Times New Roman" w:eastAsia="Times New Roman" w:hAnsi="Times New Roman" w:cs="Times New Roman"/>
                <w:sz w:val="14"/>
                <w:szCs w:val="14"/>
              </w:rPr>
            </w:pPr>
          </w:p>
        </w:tc>
        <w:tc>
          <w:tcPr>
            <w:tcW w:w="0" w:type="auto"/>
            <w:tcMar>
              <w:top w:w="113" w:type="dxa"/>
              <w:left w:w="113" w:type="dxa"/>
              <w:bottom w:w="113" w:type="dxa"/>
              <w:right w:w="0" w:type="dxa"/>
            </w:tcMar>
          </w:tcPr>
          <w:p w14:paraId="54DEA03D" w14:textId="77777777" w:rsidR="00C1182B" w:rsidRPr="00C1182B" w:rsidRDefault="00C1182B" w:rsidP="00C1182B">
            <w:pPr>
              <w:spacing w:after="0" w:line="240" w:lineRule="auto"/>
              <w:rPr>
                <w:rFonts w:ascii="Times New Roman" w:eastAsia="Times New Roman" w:hAnsi="Times New Roman" w:cs="Times New Roman"/>
                <w:sz w:val="24"/>
                <w:szCs w:val="24"/>
              </w:rPr>
            </w:pPr>
          </w:p>
        </w:tc>
      </w:tr>
    </w:tbl>
    <w:p w14:paraId="15B50BA6" w14:textId="17D393BB" w:rsidR="00C1182B" w:rsidRDefault="00C1182B" w:rsidP="00C1182B">
      <w:pPr>
        <w:tabs>
          <w:tab w:val="left" w:pos="993"/>
        </w:tabs>
        <w:spacing w:after="0" w:line="240" w:lineRule="auto"/>
        <w:jc w:val="center"/>
        <w:rPr>
          <w:rFonts w:ascii="Calibri" w:eastAsia="Times New Roman" w:hAnsi="Calibri" w:cs="Calibri"/>
          <w:b/>
        </w:rPr>
      </w:pPr>
      <w:r w:rsidRPr="00C1182B">
        <w:rPr>
          <w:rFonts w:ascii="Calibri" w:eastAsia="Times New Roman" w:hAnsi="Calibri" w:cs="Calibri"/>
          <w:b/>
        </w:rPr>
        <w:t>Country visit to the Kingdom of Cambodia</w:t>
      </w:r>
    </w:p>
    <w:p w14:paraId="2AD7291A" w14:textId="77777777" w:rsidR="00C1182B" w:rsidRPr="00C1182B" w:rsidRDefault="00C1182B" w:rsidP="00C1182B">
      <w:pPr>
        <w:tabs>
          <w:tab w:val="left" w:pos="993"/>
        </w:tabs>
        <w:spacing w:after="0" w:line="240" w:lineRule="auto"/>
        <w:jc w:val="center"/>
        <w:rPr>
          <w:rFonts w:ascii="Calibri" w:eastAsia="Times New Roman" w:hAnsi="Calibri" w:cs="Calibri"/>
          <w:b/>
          <w:bCs/>
        </w:rPr>
      </w:pPr>
    </w:p>
    <w:p w14:paraId="5D8C92C7" w14:textId="6847EA8B" w:rsidR="00C1182B" w:rsidRPr="00C1182B" w:rsidRDefault="00C1182B" w:rsidP="00C1182B">
      <w:pPr>
        <w:tabs>
          <w:tab w:val="left" w:pos="993"/>
        </w:tabs>
        <w:spacing w:after="0" w:line="240" w:lineRule="auto"/>
        <w:jc w:val="center"/>
        <w:rPr>
          <w:rFonts w:ascii="Calibri" w:eastAsia="Times New Roman" w:hAnsi="Calibri" w:cs="Calibri"/>
          <w:b/>
        </w:rPr>
      </w:pPr>
      <w:r w:rsidRPr="00C1182B">
        <w:rPr>
          <w:rFonts w:ascii="Calibri" w:eastAsia="Times New Roman" w:hAnsi="Calibri" w:cs="Calibri"/>
          <w:b/>
        </w:rPr>
        <w:t xml:space="preserve">(10 January 2023 </w:t>
      </w:r>
      <w:r>
        <w:rPr>
          <w:rFonts w:ascii="Calibri" w:eastAsia="Times New Roman" w:hAnsi="Calibri" w:cs="Calibri"/>
          <w:b/>
        </w:rPr>
        <w:t>-</w:t>
      </w:r>
      <w:r w:rsidRPr="00C1182B">
        <w:rPr>
          <w:rFonts w:ascii="Calibri" w:eastAsia="Times New Roman" w:hAnsi="Calibri" w:cs="Calibri"/>
          <w:b/>
        </w:rPr>
        <w:t xml:space="preserve"> 20 January 2023)</w:t>
      </w:r>
    </w:p>
    <w:p w14:paraId="74E7D453" w14:textId="77777777" w:rsidR="00C1182B" w:rsidRPr="00C1182B" w:rsidRDefault="00C1182B" w:rsidP="00C1182B">
      <w:pPr>
        <w:tabs>
          <w:tab w:val="left" w:pos="993"/>
        </w:tabs>
        <w:spacing w:after="0" w:line="240" w:lineRule="auto"/>
        <w:rPr>
          <w:rFonts w:ascii="Calibri" w:eastAsia="Times New Roman" w:hAnsi="Calibri" w:cs="Calibri"/>
        </w:rPr>
      </w:pPr>
    </w:p>
    <w:p w14:paraId="7CC973E7" w14:textId="2543D58F" w:rsidR="00C1182B" w:rsidRDefault="00C1182B" w:rsidP="00C1182B">
      <w:pPr>
        <w:tabs>
          <w:tab w:val="left" w:pos="993"/>
        </w:tabs>
        <w:spacing w:after="0" w:line="240" w:lineRule="auto"/>
        <w:jc w:val="center"/>
        <w:rPr>
          <w:rFonts w:ascii="Calibri" w:eastAsia="Times New Roman" w:hAnsi="Calibri" w:cs="Calibri"/>
          <w:b/>
          <w:u w:val="single"/>
        </w:rPr>
      </w:pPr>
      <w:r w:rsidRPr="00C1182B">
        <w:rPr>
          <w:rFonts w:ascii="Calibri" w:eastAsia="Times New Roman" w:hAnsi="Calibri" w:cs="Calibri"/>
          <w:b/>
          <w:u w:val="single"/>
        </w:rPr>
        <w:t>Background note</w:t>
      </w:r>
    </w:p>
    <w:p w14:paraId="3CEAE41E" w14:textId="1A3E2878" w:rsidR="00C1182B" w:rsidRDefault="00C1182B" w:rsidP="00C1182B">
      <w:pPr>
        <w:tabs>
          <w:tab w:val="left" w:pos="993"/>
        </w:tabs>
        <w:spacing w:after="0" w:line="240" w:lineRule="auto"/>
        <w:rPr>
          <w:rFonts w:ascii="Calibri" w:eastAsia="Times New Roman" w:hAnsi="Calibri" w:cs="Calibri"/>
          <w:b/>
          <w:u w:val="single"/>
        </w:rPr>
      </w:pPr>
    </w:p>
    <w:p w14:paraId="5DA347B4" w14:textId="77777777" w:rsidR="00C1182B" w:rsidRPr="00C1182B" w:rsidRDefault="00C1182B" w:rsidP="00C1182B">
      <w:pPr>
        <w:tabs>
          <w:tab w:val="left" w:pos="993"/>
        </w:tabs>
        <w:spacing w:after="0" w:line="240" w:lineRule="auto"/>
        <w:rPr>
          <w:rFonts w:ascii="Calibri" w:eastAsia="Times New Roman" w:hAnsi="Calibri" w:cs="Calibri"/>
          <w:b/>
          <w:u w:val="single"/>
        </w:rPr>
      </w:pPr>
    </w:p>
    <w:p w14:paraId="67829A4D" w14:textId="77777777" w:rsidR="00C1182B" w:rsidRPr="00C1182B" w:rsidRDefault="00C1182B" w:rsidP="00071D42">
      <w:pPr>
        <w:tabs>
          <w:tab w:val="left" w:pos="993"/>
        </w:tabs>
        <w:spacing w:after="0" w:line="240" w:lineRule="auto"/>
        <w:jc w:val="both"/>
        <w:rPr>
          <w:rFonts w:ascii="Calibri" w:eastAsia="Times New Roman" w:hAnsi="Calibri" w:cs="Calibri"/>
          <w:b/>
        </w:rPr>
      </w:pPr>
      <w:r w:rsidRPr="00C1182B">
        <w:rPr>
          <w:rFonts w:ascii="Calibri" w:eastAsia="Times New Roman" w:hAnsi="Calibri" w:cs="Calibri"/>
          <w:b/>
        </w:rPr>
        <w:t>The Independent Expert</w:t>
      </w:r>
    </w:p>
    <w:p w14:paraId="7FA2E9DC" w14:textId="77777777" w:rsidR="00C1182B" w:rsidRDefault="00C1182B" w:rsidP="00071D42">
      <w:pPr>
        <w:tabs>
          <w:tab w:val="left" w:pos="993"/>
        </w:tabs>
        <w:spacing w:after="0" w:line="240" w:lineRule="auto"/>
        <w:jc w:val="both"/>
        <w:rPr>
          <w:rFonts w:ascii="Calibri" w:eastAsia="Times New Roman" w:hAnsi="Calibri" w:cs="Calibri"/>
          <w:bCs/>
        </w:rPr>
      </w:pPr>
    </w:p>
    <w:p w14:paraId="13B6BFEE" w14:textId="5D955C52" w:rsidR="003C4708" w:rsidRDefault="00C1182B" w:rsidP="00071D42">
      <w:pPr>
        <w:tabs>
          <w:tab w:val="left" w:pos="993"/>
        </w:tabs>
        <w:spacing w:after="0" w:line="240" w:lineRule="auto"/>
        <w:jc w:val="both"/>
        <w:rPr>
          <w:rFonts w:ascii="Calibri" w:eastAsia="Times New Roman" w:hAnsi="Calibri" w:cs="Calibri"/>
          <w:bCs/>
        </w:rPr>
      </w:pPr>
      <w:r w:rsidRPr="00C1182B">
        <w:rPr>
          <w:rFonts w:ascii="Calibri" w:eastAsia="Times New Roman" w:hAnsi="Calibri" w:cs="Calibri"/>
          <w:bCs/>
        </w:rPr>
        <w:t xml:space="preserve">The United Nations Independent Expert on protection against violence and discrimination based on sexual orientation and gender identity (IE SOGI), Victor Madrigal-Borloz, is a Costa Rican jurist. He is a senior visiting researcher at the Harvard Law School’s Human Rights Program. He served as the Secretary-General of the International Rehabilitation Council for Torture Victims (IRCT), a global network of over 150 rehabilitation centres with the vision of full enjoyment of the right to rehabilitation for all victims of torture and ill treatment until 30 June 2019. Mr. Madrigal-Borloz was a member of the UN Subcommittee on the Prevention of Torture from 2013 to 2016. Prior to this he worked at the Inter-American Commission on Human Rights, the Inter-American Court of Human Rights, and the Danish Institute for Human Rights.  </w:t>
      </w:r>
    </w:p>
    <w:p w14:paraId="4603A249" w14:textId="77777777" w:rsidR="007E7570" w:rsidRPr="00C1182B" w:rsidRDefault="007E7570" w:rsidP="00071D42">
      <w:pPr>
        <w:tabs>
          <w:tab w:val="left" w:pos="993"/>
        </w:tabs>
        <w:spacing w:after="0" w:line="240" w:lineRule="auto"/>
        <w:jc w:val="both"/>
        <w:rPr>
          <w:rFonts w:ascii="Calibri" w:eastAsia="Times New Roman" w:hAnsi="Calibri" w:cs="Calibri"/>
          <w:bCs/>
        </w:rPr>
      </w:pPr>
    </w:p>
    <w:p w14:paraId="57705995" w14:textId="77777777" w:rsidR="00C1182B" w:rsidRPr="00C1182B" w:rsidRDefault="00C1182B" w:rsidP="00071D42">
      <w:pPr>
        <w:tabs>
          <w:tab w:val="left" w:pos="993"/>
        </w:tabs>
        <w:spacing w:after="0" w:line="240" w:lineRule="auto"/>
        <w:jc w:val="both"/>
        <w:rPr>
          <w:rFonts w:ascii="Calibri" w:eastAsia="Times New Roman" w:hAnsi="Calibri" w:cs="Calibri"/>
          <w:b/>
          <w:u w:val="single"/>
        </w:rPr>
      </w:pPr>
    </w:p>
    <w:p w14:paraId="44D46872" w14:textId="71E185B6" w:rsidR="00C1182B" w:rsidRPr="00C1182B" w:rsidRDefault="00C1182B" w:rsidP="00071D42">
      <w:pPr>
        <w:jc w:val="both"/>
        <w:rPr>
          <w:b/>
        </w:rPr>
      </w:pPr>
      <w:r w:rsidRPr="00C1182B">
        <w:rPr>
          <w:b/>
        </w:rPr>
        <w:t xml:space="preserve">Mandate of the Independent </w:t>
      </w:r>
      <w:r w:rsidR="003C4708">
        <w:rPr>
          <w:b/>
        </w:rPr>
        <w:t>E</w:t>
      </w:r>
      <w:r w:rsidRPr="00C1182B">
        <w:rPr>
          <w:b/>
        </w:rPr>
        <w:t>xpert</w:t>
      </w:r>
    </w:p>
    <w:p w14:paraId="5865DCA6" w14:textId="368C0035" w:rsidR="00C1182B" w:rsidRPr="00C1182B" w:rsidRDefault="00C1182B" w:rsidP="00071D42">
      <w:pPr>
        <w:jc w:val="both"/>
      </w:pPr>
      <w:r>
        <w:t>P</w:t>
      </w:r>
      <w:r w:rsidRPr="00C1182B">
        <w:t xml:space="preserve">ursuant to </w:t>
      </w:r>
      <w:hyperlink r:id="rId7" w:history="1">
        <w:r w:rsidR="00EB0A33">
          <w:rPr>
            <w:rStyle w:val="Hyperlink"/>
            <w:rFonts w:cstheme="minorHAnsi"/>
          </w:rPr>
          <w:t>resolution 32/2</w:t>
        </w:r>
      </w:hyperlink>
      <w:r w:rsidR="00EB0A33">
        <w:t xml:space="preserve"> and </w:t>
      </w:r>
      <w:hyperlink r:id="rId8" w:history="1">
        <w:r w:rsidRPr="00C1182B">
          <w:rPr>
            <w:rStyle w:val="Hyperlink"/>
          </w:rPr>
          <w:t>50/10</w:t>
        </w:r>
      </w:hyperlink>
      <w:r w:rsidRPr="00C1182B">
        <w:t xml:space="preserve"> of the Human Rights Council, the Human Rights Council mandated the Independent Expert to:</w:t>
      </w:r>
    </w:p>
    <w:p w14:paraId="56CEAF6F" w14:textId="77777777" w:rsidR="00C1182B" w:rsidRPr="00C1182B" w:rsidRDefault="00C1182B" w:rsidP="00071D42">
      <w:pPr>
        <w:numPr>
          <w:ilvl w:val="0"/>
          <w:numId w:val="1"/>
        </w:numPr>
        <w:jc w:val="both"/>
      </w:pPr>
      <w:r w:rsidRPr="00C1182B">
        <w:t xml:space="preserve">Assess the implementation of existing international human rights instruments with regard to ways to overcome violence and discrimination against persons on the basis of their sexual orientation or gender identity, while identifying both best practices and </w:t>
      </w:r>
      <w:proofErr w:type="gramStart"/>
      <w:r w:rsidRPr="00C1182B">
        <w:t>gaps;</w:t>
      </w:r>
      <w:proofErr w:type="gramEnd"/>
    </w:p>
    <w:p w14:paraId="522D1B13" w14:textId="77777777" w:rsidR="00C1182B" w:rsidRPr="00C1182B" w:rsidRDefault="00C1182B" w:rsidP="00071D42">
      <w:pPr>
        <w:numPr>
          <w:ilvl w:val="0"/>
          <w:numId w:val="1"/>
        </w:numPr>
        <w:jc w:val="both"/>
      </w:pPr>
      <w:r w:rsidRPr="00C1182B">
        <w:t xml:space="preserve">Raise awareness of violence and discrimination against persons on the basis of their sexual orientation or gender identity, and to identify and address the root causes of violence and </w:t>
      </w:r>
      <w:proofErr w:type="gramStart"/>
      <w:r w:rsidRPr="00C1182B">
        <w:t>discrimination;</w:t>
      </w:r>
      <w:proofErr w:type="gramEnd"/>
    </w:p>
    <w:p w14:paraId="27749B5E" w14:textId="77777777" w:rsidR="00C1182B" w:rsidRPr="00C1182B" w:rsidRDefault="00C1182B" w:rsidP="00071D42">
      <w:pPr>
        <w:numPr>
          <w:ilvl w:val="0"/>
          <w:numId w:val="1"/>
        </w:numPr>
        <w:jc w:val="both"/>
      </w:pPr>
      <w:r w:rsidRPr="00C1182B">
        <w:t xml:space="preserve">Engage in dialogue and to consult with States and other relevant stakeholders, including United Nations agencies, programmes and funds, regional human rights mechanisms, national human rights institutions, civil society organizations and academic </w:t>
      </w:r>
      <w:proofErr w:type="gramStart"/>
      <w:r w:rsidRPr="00C1182B">
        <w:t>institutions;</w:t>
      </w:r>
      <w:proofErr w:type="gramEnd"/>
    </w:p>
    <w:p w14:paraId="3F793B77" w14:textId="77777777" w:rsidR="00C1182B" w:rsidRPr="00C1182B" w:rsidRDefault="00C1182B" w:rsidP="00071D42">
      <w:pPr>
        <w:numPr>
          <w:ilvl w:val="0"/>
          <w:numId w:val="1"/>
        </w:numPr>
        <w:jc w:val="both"/>
      </w:pPr>
      <w:r w:rsidRPr="00C1182B">
        <w:t xml:space="preserve">Work in cooperation with States in order to foster the implementation of measures that contribute to the protection of all persons against violence and discrimination based on sexual orientation and gender </w:t>
      </w:r>
      <w:proofErr w:type="gramStart"/>
      <w:r w:rsidRPr="00C1182B">
        <w:t>identity;</w:t>
      </w:r>
      <w:proofErr w:type="gramEnd"/>
    </w:p>
    <w:p w14:paraId="28EB27A9" w14:textId="77777777" w:rsidR="00C1182B" w:rsidRPr="00C1182B" w:rsidRDefault="00C1182B" w:rsidP="00071D42">
      <w:pPr>
        <w:numPr>
          <w:ilvl w:val="0"/>
          <w:numId w:val="1"/>
        </w:numPr>
        <w:jc w:val="both"/>
      </w:pPr>
      <w:r w:rsidRPr="00C1182B">
        <w:lastRenderedPageBreak/>
        <w:t xml:space="preserve">Address the multiple, intersecting and aggravated forms of violence and discrimination faced by persons on the basis of their sexual orientation and gender </w:t>
      </w:r>
      <w:proofErr w:type="gramStart"/>
      <w:r w:rsidRPr="00C1182B">
        <w:t>identity;</w:t>
      </w:r>
      <w:proofErr w:type="gramEnd"/>
    </w:p>
    <w:p w14:paraId="78456502" w14:textId="4799AE69" w:rsidR="00C1182B" w:rsidRPr="00C1182B" w:rsidRDefault="00C1182B" w:rsidP="00071D42">
      <w:pPr>
        <w:numPr>
          <w:ilvl w:val="0"/>
          <w:numId w:val="1"/>
        </w:numPr>
        <w:jc w:val="both"/>
      </w:pPr>
      <w:r w:rsidRPr="00C1182B">
        <w:t xml:space="preserve">Conduct, facilitate and support the provision of advisory services, technical assistance, capacity-building and international cooperation in support of national efforts to combat violence and discrimination against persons </w:t>
      </w:r>
      <w:proofErr w:type="gramStart"/>
      <w:r w:rsidRPr="00C1182B">
        <w:t>on the basis of</w:t>
      </w:r>
      <w:proofErr w:type="gramEnd"/>
      <w:r w:rsidRPr="00C1182B">
        <w:t xml:space="preserve"> their sexual orientation or gender identity.</w:t>
      </w:r>
    </w:p>
    <w:p w14:paraId="1940FBE9" w14:textId="259710D1" w:rsidR="00C1182B" w:rsidRDefault="00C1182B" w:rsidP="00071D42">
      <w:pPr>
        <w:jc w:val="both"/>
      </w:pPr>
      <w:r w:rsidRPr="00C1182B">
        <w:t xml:space="preserve">By its resolution </w:t>
      </w:r>
      <w:r>
        <w:t>50/10</w:t>
      </w:r>
      <w:r w:rsidRPr="00C1182B">
        <w:t xml:space="preserve"> of </w:t>
      </w:r>
      <w:r>
        <w:t>July</w:t>
      </w:r>
      <w:r w:rsidRPr="00C1182B">
        <w:t xml:space="preserve"> </w:t>
      </w:r>
      <w:r>
        <w:t>2022</w:t>
      </w:r>
      <w:r w:rsidRPr="00C1182B">
        <w:t xml:space="preserve">, </w:t>
      </w:r>
      <w:r w:rsidR="00EB0A33">
        <w:t xml:space="preserve">the </w:t>
      </w:r>
      <w:r w:rsidRPr="00C1182B">
        <w:t xml:space="preserve">mandate </w:t>
      </w:r>
      <w:r w:rsidR="00EB0A33" w:rsidRPr="00EB0A33">
        <w:t xml:space="preserve">of Independent Expert on protection against violence and discrimination based on sexual orientation and gender identity </w:t>
      </w:r>
      <w:r w:rsidRPr="00C1182B">
        <w:t>was renewed for a period of three years</w:t>
      </w:r>
      <w:r w:rsidR="00EB0A33">
        <w:t xml:space="preserve"> </w:t>
      </w:r>
      <w:r w:rsidR="00EB0A33" w:rsidRPr="00EB0A33">
        <w:t>to enable the mandate holder to continue to work in accordance with the mandate established by the Human Rights Council in its resolution 32/2</w:t>
      </w:r>
      <w:r w:rsidR="00EB0A33">
        <w:t xml:space="preserve">. </w:t>
      </w:r>
    </w:p>
    <w:p w14:paraId="00D75788" w14:textId="0DA535D2" w:rsidR="00EB0A33" w:rsidRDefault="00EB0A33" w:rsidP="007E7570">
      <w:pPr>
        <w:tabs>
          <w:tab w:val="left" w:pos="993"/>
        </w:tabs>
        <w:rPr>
          <w:rFonts w:cstheme="minorHAnsi"/>
        </w:rPr>
      </w:pPr>
      <w:r>
        <w:rPr>
          <w:rFonts w:cstheme="minorHAnsi"/>
        </w:rPr>
        <w:t xml:space="preserve">More information available at: </w:t>
      </w:r>
      <w:hyperlink r:id="rId9" w:history="1">
        <w:r>
          <w:rPr>
            <w:rStyle w:val="Hyperlink"/>
            <w:rFonts w:cstheme="minorHAnsi"/>
          </w:rPr>
          <w:t>http://www.ohchr.org/EN/Issues/SexualOrientationGender/Pages/Index.aspx</w:t>
        </w:r>
      </w:hyperlink>
      <w:r>
        <w:rPr>
          <w:rFonts w:cstheme="minorHAnsi"/>
        </w:rPr>
        <w:t xml:space="preserve"> </w:t>
      </w:r>
    </w:p>
    <w:p w14:paraId="160E637A" w14:textId="77777777" w:rsidR="007E7570" w:rsidRPr="007E7570" w:rsidRDefault="007E7570" w:rsidP="007E7570">
      <w:pPr>
        <w:tabs>
          <w:tab w:val="left" w:pos="993"/>
        </w:tabs>
        <w:rPr>
          <w:rFonts w:cstheme="minorHAnsi"/>
        </w:rPr>
      </w:pPr>
    </w:p>
    <w:p w14:paraId="0F813AC4" w14:textId="6045A2C5" w:rsidR="00EB0A33" w:rsidRDefault="00EB0A33" w:rsidP="00071D42">
      <w:pPr>
        <w:jc w:val="both"/>
      </w:pPr>
      <w:r w:rsidRPr="00EB0A33">
        <w:t xml:space="preserve">The opening words of the Universal Declaration of Human Rights are unequivocal: “All human beings are born free and equal in dignity and rights.” These principles have been confirmed more recently with the sustainable development goals, which are all based on a single, guiding principle: to leave no one behind. The legal obligations of States to safeguard the human rights of lesbian, gay, bisexual, trans (LGBT) and gender-diverse persons are well established in international human rights law </w:t>
      </w:r>
      <w:proofErr w:type="gramStart"/>
      <w:r w:rsidRPr="00EB0A33">
        <w:t>on the basis of</w:t>
      </w:r>
      <w:proofErr w:type="gramEnd"/>
      <w:r w:rsidRPr="00EB0A33">
        <w:t xml:space="preserve"> the Universal Declaration of Human Rights.</w:t>
      </w:r>
    </w:p>
    <w:p w14:paraId="6A823968" w14:textId="1A99B43F" w:rsidR="00EB0A33" w:rsidRPr="00EB0A33" w:rsidRDefault="00EB0A33" w:rsidP="00071D42">
      <w:pPr>
        <w:jc w:val="both"/>
      </w:pPr>
      <w:r>
        <w:t>As stated in</w:t>
      </w:r>
      <w:r w:rsidRPr="00EB0A33">
        <w:t xml:space="preserve"> the Vienna Declaration and Programme of Action</w:t>
      </w:r>
      <w:r>
        <w:t>,</w:t>
      </w:r>
      <w:r w:rsidRPr="00EB0A33">
        <w:t xml:space="preserve"> all human rights are universal, indivisible and interdependent and interrelated, the international community must treat human rights globally in a fair and equal manner, on the same footing, and with the same emphasis, and that while the significance of national and regional particularities and various historical, cultural and religious backgrounds must be borne in mind, it is the duty of States, regardless of their political, economic and cultural systems, to promote and protect all human rights and fundamental freedoms</w:t>
      </w:r>
      <w:r>
        <w:t>.</w:t>
      </w:r>
    </w:p>
    <w:p w14:paraId="4D648D36" w14:textId="7E037C5F" w:rsidR="00EB0A33" w:rsidRPr="00EB0A33" w:rsidRDefault="00EB0A33" w:rsidP="00071D42">
      <w:pPr>
        <w:jc w:val="both"/>
      </w:pPr>
      <w:r w:rsidRPr="00EB0A33">
        <w:t xml:space="preserve">All people, irrespective of sex, sexual </w:t>
      </w:r>
      <w:proofErr w:type="gramStart"/>
      <w:r w:rsidRPr="00EB0A33">
        <w:t>orientation</w:t>
      </w:r>
      <w:proofErr w:type="gramEnd"/>
      <w:r w:rsidRPr="00EB0A33">
        <w:t xml:space="preserve"> or gender identity, are entitled to enjoy the protections provided for by international human rights law, including in respect of rights to life, security of person and privacy, the right to be free from torture, arbitrary arrest and detention, the right to be free from discrimination and the right to freedom of expression, association and peaceful assembly.</w:t>
      </w:r>
    </w:p>
    <w:p w14:paraId="3B519BB9" w14:textId="410AFCE9" w:rsidR="00DB1832" w:rsidRPr="007E7570" w:rsidRDefault="00EB0A33" w:rsidP="00071D42">
      <w:pPr>
        <w:jc w:val="both"/>
      </w:pPr>
      <w:r w:rsidRPr="00EB0A33">
        <w:t xml:space="preserve">For more information on applicable international human rights standards in this context, please refer to the </w:t>
      </w:r>
      <w:hyperlink r:id="rId10" w:history="1">
        <w:r w:rsidRPr="00EB0A33">
          <w:rPr>
            <w:rStyle w:val="Hyperlink"/>
          </w:rPr>
          <w:t>Born Free and Equal</w:t>
        </w:r>
      </w:hyperlink>
      <w:r w:rsidRPr="00EB0A33">
        <w:t xml:space="preserve"> booklet (Revised Edition) published by OHCHR in 2019, the </w:t>
      </w:r>
      <w:hyperlink r:id="rId11" w:history="1">
        <w:r w:rsidRPr="00EB0A33">
          <w:rPr>
            <w:rStyle w:val="Hyperlink"/>
          </w:rPr>
          <w:t>work of the Independent Expert</w:t>
        </w:r>
      </w:hyperlink>
      <w:r w:rsidRPr="00EB0A33">
        <w:t xml:space="preserve">, </w:t>
      </w:r>
      <w:r w:rsidRPr="00EB0A33">
        <w:rPr>
          <w:lang w:val="en-US"/>
        </w:rPr>
        <w:t>and the first two official UN reports on violence and discrimination based on sexual orientation and gender identity (</w:t>
      </w:r>
      <w:hyperlink r:id="rId12" w:history="1">
        <w:r w:rsidRPr="00EB0A33">
          <w:rPr>
            <w:rStyle w:val="Hyperlink"/>
            <w:lang w:val="en-US"/>
          </w:rPr>
          <w:t>A/HRC/19/41</w:t>
        </w:r>
      </w:hyperlink>
      <w:r w:rsidRPr="00EB0A33">
        <w:rPr>
          <w:lang w:val="en-US"/>
        </w:rPr>
        <w:t xml:space="preserve"> and </w:t>
      </w:r>
      <w:hyperlink r:id="rId13" w:history="1">
        <w:r w:rsidRPr="00EB0A33">
          <w:rPr>
            <w:rStyle w:val="Hyperlink"/>
            <w:lang w:val="en-US"/>
          </w:rPr>
          <w:t>A/HRC/29/23</w:t>
        </w:r>
      </w:hyperlink>
      <w:r w:rsidRPr="00EB0A33">
        <w:rPr>
          <w:lang w:val="en-US"/>
        </w:rPr>
        <w:t>) which were presented to the Human Rights Council in 2012 and 2015, respectively.</w:t>
      </w:r>
    </w:p>
    <w:p w14:paraId="34BFE950" w14:textId="68024D05" w:rsidR="00DB1832" w:rsidRPr="00DB1832" w:rsidRDefault="00DB1832" w:rsidP="00071D42">
      <w:pPr>
        <w:jc w:val="both"/>
        <w:rPr>
          <w:b/>
        </w:rPr>
      </w:pPr>
      <w:r w:rsidRPr="00DB1832">
        <w:rPr>
          <w:b/>
        </w:rPr>
        <w:lastRenderedPageBreak/>
        <w:t xml:space="preserve">Framework and purpose of the visit </w:t>
      </w:r>
    </w:p>
    <w:p w14:paraId="1133BB0B" w14:textId="0E24B2A5" w:rsidR="00DB1832" w:rsidRDefault="00DB1832" w:rsidP="00071D42">
      <w:pPr>
        <w:jc w:val="both"/>
        <w:rPr>
          <w:b/>
        </w:rPr>
      </w:pPr>
      <w:r w:rsidRPr="00DB1832">
        <w:t xml:space="preserve">Within the framework of the </w:t>
      </w:r>
      <w:hyperlink r:id="rId14" w:history="1">
        <w:r w:rsidRPr="00DB1832">
          <w:rPr>
            <w:rStyle w:val="Hyperlink"/>
          </w:rPr>
          <w:t>terms of reference</w:t>
        </w:r>
      </w:hyperlink>
      <w:r w:rsidRPr="00DB1832">
        <w:t xml:space="preserve"> for fact-finding missions by experts, the purpose of the visit of the Independent Expert is to understand, in the spirit of cooperation and dialogue, how the </w:t>
      </w:r>
      <w:r w:rsidRPr="00DB1832">
        <w:rPr>
          <w:bCs/>
        </w:rPr>
        <w:t>Kingdom of Cambodia</w:t>
      </w:r>
      <w:r w:rsidRPr="00DB1832">
        <w:t xml:space="preserve"> endeavour to combat violence and discrimination against persons on the basis of their sexual orientation or gender identity, while identifying both best practices and gaps. </w:t>
      </w:r>
    </w:p>
    <w:p w14:paraId="30E6273A" w14:textId="77777777" w:rsidR="007E7570" w:rsidRPr="007E7570" w:rsidRDefault="007E7570" w:rsidP="00071D42">
      <w:pPr>
        <w:jc w:val="both"/>
        <w:rPr>
          <w:b/>
        </w:rPr>
      </w:pPr>
    </w:p>
    <w:p w14:paraId="089B604E" w14:textId="77777777" w:rsidR="00DB1832" w:rsidRPr="00DB1832" w:rsidRDefault="00DB1832" w:rsidP="00071D42">
      <w:pPr>
        <w:jc w:val="both"/>
      </w:pPr>
      <w:r w:rsidRPr="00DB1832">
        <w:t>During his visit, the Independent Expert will study:</w:t>
      </w:r>
    </w:p>
    <w:p w14:paraId="4BCA3281" w14:textId="6F0734FC" w:rsidR="00DB1832" w:rsidRPr="00DB1832" w:rsidRDefault="00DB1832" w:rsidP="00071D42">
      <w:pPr>
        <w:numPr>
          <w:ilvl w:val="0"/>
          <w:numId w:val="2"/>
        </w:numPr>
        <w:jc w:val="both"/>
        <w:rPr>
          <w:lang w:val="en-US"/>
        </w:rPr>
      </w:pPr>
      <w:r w:rsidRPr="00DB1832">
        <w:rPr>
          <w:lang w:val="en-US"/>
        </w:rPr>
        <w:t xml:space="preserve">The different manifestations of violence and discrimination against people on the basis of their sexual orientation and gender identity, their causes and </w:t>
      </w:r>
      <w:proofErr w:type="gramStart"/>
      <w:r w:rsidRPr="00DB1832">
        <w:rPr>
          <w:lang w:val="en-US"/>
        </w:rPr>
        <w:t>consequences;</w:t>
      </w:r>
      <w:proofErr w:type="gramEnd"/>
    </w:p>
    <w:p w14:paraId="2700521C" w14:textId="77777777" w:rsidR="00DB1832" w:rsidRPr="00DB1832" w:rsidRDefault="00DB1832" w:rsidP="00071D42">
      <w:pPr>
        <w:numPr>
          <w:ilvl w:val="0"/>
          <w:numId w:val="2"/>
        </w:numPr>
        <w:jc w:val="both"/>
        <w:rPr>
          <w:lang w:val="en-US"/>
        </w:rPr>
      </w:pPr>
      <w:r w:rsidRPr="00DB1832">
        <w:rPr>
          <w:lang w:val="en-US"/>
        </w:rPr>
        <w:t xml:space="preserve">The implementation of international human rights instruments to overcome violence and discrimination against people on the basis of their sexual orientation and gender </w:t>
      </w:r>
      <w:proofErr w:type="gramStart"/>
      <w:r w:rsidRPr="00DB1832">
        <w:rPr>
          <w:lang w:val="en-US"/>
        </w:rPr>
        <w:t>identity;</w:t>
      </w:r>
      <w:proofErr w:type="gramEnd"/>
    </w:p>
    <w:p w14:paraId="525ACE71" w14:textId="77777777" w:rsidR="00DB1832" w:rsidRPr="00DB1832" w:rsidRDefault="00DB1832" w:rsidP="00071D42">
      <w:pPr>
        <w:numPr>
          <w:ilvl w:val="0"/>
          <w:numId w:val="2"/>
        </w:numPr>
        <w:jc w:val="both"/>
        <w:rPr>
          <w:lang w:val="en-US"/>
        </w:rPr>
      </w:pPr>
      <w:r w:rsidRPr="00DB1832">
        <w:rPr>
          <w:lang w:val="en-US"/>
        </w:rPr>
        <w:t>The State responses and measures to address violence and discrimination against people on the basis of their sexual orientation and gender identity (constitutional, legislative, and institutional framework, as well as inter-sectorial responses to violence and discrimination</w:t>
      </w:r>
      <w:proofErr w:type="gramStart"/>
      <w:r w:rsidRPr="00DB1832">
        <w:rPr>
          <w:lang w:val="en-US"/>
        </w:rPr>
        <w:t>);</w:t>
      </w:r>
      <w:proofErr w:type="gramEnd"/>
    </w:p>
    <w:p w14:paraId="00AEAFD4" w14:textId="77777777" w:rsidR="00DB1832" w:rsidRPr="00DB1832" w:rsidRDefault="00DB1832" w:rsidP="00071D42">
      <w:pPr>
        <w:numPr>
          <w:ilvl w:val="0"/>
          <w:numId w:val="2"/>
        </w:numPr>
        <w:jc w:val="both"/>
        <w:rPr>
          <w:lang w:val="en-US"/>
        </w:rPr>
      </w:pPr>
      <w:r w:rsidRPr="00DB1832">
        <w:rPr>
          <w:lang w:val="en-US"/>
        </w:rPr>
        <w:t xml:space="preserve">The implications of discrimination and stigmatization on </w:t>
      </w:r>
      <w:proofErr w:type="gramStart"/>
      <w:r w:rsidRPr="00DB1832">
        <w:rPr>
          <w:lang w:val="en-US"/>
        </w:rPr>
        <w:t>violence;</w:t>
      </w:r>
      <w:proofErr w:type="gramEnd"/>
    </w:p>
    <w:p w14:paraId="489C0546" w14:textId="77777777" w:rsidR="00DB1832" w:rsidRPr="00DB1832" w:rsidRDefault="00DB1832" w:rsidP="00071D42">
      <w:pPr>
        <w:numPr>
          <w:ilvl w:val="0"/>
          <w:numId w:val="2"/>
        </w:numPr>
        <w:jc w:val="both"/>
        <w:rPr>
          <w:lang w:val="en-US"/>
        </w:rPr>
      </w:pPr>
      <w:r w:rsidRPr="00DB1832">
        <w:rPr>
          <w:lang w:val="en-US"/>
        </w:rPr>
        <w:t xml:space="preserve">Gaps and challenges in fulfilling the State’s obligations to eliminate violence and discrimination against people </w:t>
      </w:r>
      <w:proofErr w:type="gramStart"/>
      <w:r w:rsidRPr="00DB1832">
        <w:rPr>
          <w:lang w:val="en-US"/>
        </w:rPr>
        <w:t>on the basis of</w:t>
      </w:r>
      <w:proofErr w:type="gramEnd"/>
      <w:r w:rsidRPr="00DB1832">
        <w:rPr>
          <w:lang w:val="en-US"/>
        </w:rPr>
        <w:t xml:space="preserve"> their sexual orientation and gender identity (prevention, protection, prosecution).</w:t>
      </w:r>
    </w:p>
    <w:p w14:paraId="55034F57" w14:textId="7D3FEAE2" w:rsidR="00DB1832" w:rsidRDefault="00DB1832" w:rsidP="00071D42">
      <w:pPr>
        <w:jc w:val="both"/>
      </w:pPr>
      <w:r w:rsidRPr="00DB1832">
        <w:t xml:space="preserve">Lesbian, gay, bisexual, trans and gender-diverse </w:t>
      </w:r>
      <w:r w:rsidR="00071D42">
        <w:t xml:space="preserve">(LGBT) </w:t>
      </w:r>
      <w:r w:rsidRPr="00DB1832">
        <w:t xml:space="preserve">persons are very diverse. The Independent Expert will study how each group faces distinct challenges and realities. He will also </w:t>
      </w:r>
      <w:proofErr w:type="gramStart"/>
      <w:r w:rsidRPr="00DB1832">
        <w:t>look into</w:t>
      </w:r>
      <w:proofErr w:type="gramEnd"/>
      <w:r w:rsidRPr="00DB1832">
        <w:t xml:space="preserve"> the situation of LGBT persons affected by multiple, intersecting and aggravated forms of violence and discrimination and those in situations of vulnerability. </w:t>
      </w:r>
    </w:p>
    <w:p w14:paraId="1822EB52" w14:textId="77777777" w:rsidR="00071D42" w:rsidRPr="00DB1832" w:rsidRDefault="00071D42" w:rsidP="00071D42">
      <w:pPr>
        <w:jc w:val="both"/>
      </w:pPr>
    </w:p>
    <w:p w14:paraId="43BA6CCF" w14:textId="77777777" w:rsidR="00DB1832" w:rsidRPr="00DB1832" w:rsidRDefault="00DB1832" w:rsidP="00071D42">
      <w:pPr>
        <w:jc w:val="both"/>
        <w:rPr>
          <w:b/>
        </w:rPr>
      </w:pPr>
      <w:r w:rsidRPr="00DB1832">
        <w:rPr>
          <w:b/>
        </w:rPr>
        <w:t>Meetings and other activities during the visit</w:t>
      </w:r>
    </w:p>
    <w:p w14:paraId="5DE5DAD1" w14:textId="087BBA42" w:rsidR="00DB1832" w:rsidRPr="00DB1832" w:rsidRDefault="00DB1832" w:rsidP="00071D42">
      <w:pPr>
        <w:jc w:val="both"/>
        <w:rPr>
          <w:lang w:val="en-US"/>
        </w:rPr>
      </w:pPr>
      <w:r>
        <w:rPr>
          <w:lang w:val="en-US"/>
        </w:rPr>
        <w:t>During the country visit to the Kingdom of Cambodia, the</w:t>
      </w:r>
      <w:r w:rsidRPr="00DB1832">
        <w:rPr>
          <w:lang w:val="en-US"/>
        </w:rPr>
        <w:t xml:space="preserve"> Independent Expert </w:t>
      </w:r>
      <w:r>
        <w:rPr>
          <w:lang w:val="en-US"/>
        </w:rPr>
        <w:t>plans to</w:t>
      </w:r>
      <w:r w:rsidRPr="00DB1832">
        <w:rPr>
          <w:lang w:val="en-US"/>
        </w:rPr>
        <w:t xml:space="preserve"> meet</w:t>
      </w:r>
      <w:r>
        <w:rPr>
          <w:lang w:val="en-US"/>
        </w:rPr>
        <w:t xml:space="preserve"> the </w:t>
      </w:r>
      <w:r w:rsidRPr="00DB1832">
        <w:rPr>
          <w:lang w:val="en-US"/>
        </w:rPr>
        <w:t xml:space="preserve">stakeholders </w:t>
      </w:r>
      <w:r>
        <w:rPr>
          <w:lang w:val="en-US"/>
        </w:rPr>
        <w:t xml:space="preserve">at the national level </w:t>
      </w:r>
      <w:r w:rsidRPr="00DB1832">
        <w:rPr>
          <w:lang w:val="en-US"/>
        </w:rPr>
        <w:t xml:space="preserve">involved in fighting all aspects related to violence and discrimination against LGBT persons, including government officials, national human rights organizations, civil society organizations, UN representatives, </w:t>
      </w:r>
      <w:proofErr w:type="gramStart"/>
      <w:r w:rsidRPr="00DB1832">
        <w:rPr>
          <w:lang w:val="en-US"/>
        </w:rPr>
        <w:t>academics</w:t>
      </w:r>
      <w:proofErr w:type="gramEnd"/>
      <w:r w:rsidRPr="00DB1832">
        <w:rPr>
          <w:lang w:val="en-US"/>
        </w:rPr>
        <w:t xml:space="preserve"> and victims.</w:t>
      </w:r>
    </w:p>
    <w:p w14:paraId="5194FEC3" w14:textId="129DEA3E" w:rsidR="00DB1832" w:rsidRPr="00DB1832" w:rsidRDefault="00DB1832" w:rsidP="00071D42">
      <w:pPr>
        <w:jc w:val="both"/>
        <w:rPr>
          <w:lang w:val="en"/>
        </w:rPr>
      </w:pPr>
      <w:r w:rsidRPr="00DB1832">
        <w:t xml:space="preserve">Official meetings, at all levels of Government, are coordinated by the central authorities while other </w:t>
      </w:r>
      <w:r w:rsidRPr="00DB1832">
        <w:rPr>
          <w:lang w:val="en"/>
        </w:rPr>
        <w:t>meetings are prepared by the Independent Expert with the support of the UN country team in the field.</w:t>
      </w:r>
    </w:p>
    <w:p w14:paraId="003BF139" w14:textId="77777777" w:rsidR="00DB1832" w:rsidRPr="00DB1832" w:rsidRDefault="00DB1832" w:rsidP="00071D42">
      <w:pPr>
        <w:jc w:val="both"/>
        <w:rPr>
          <w:lang w:val="en"/>
        </w:rPr>
      </w:pPr>
      <w:r w:rsidRPr="00DB1832">
        <w:rPr>
          <w:lang w:val="en"/>
        </w:rPr>
        <w:lastRenderedPageBreak/>
        <w:t xml:space="preserve">During country missions, the Independent Expert conducts site visits and spends time outside the capital city to better understand the issue of violence and discrimination against people based on their sexual orientation and gender identity throughout the country. The Independent Expert invites and appreciates suggestions of places and locations to visit during his stay in the country. </w:t>
      </w:r>
    </w:p>
    <w:p w14:paraId="12EF8094" w14:textId="77777777" w:rsidR="00FE256E" w:rsidRDefault="00FE256E" w:rsidP="00071D42">
      <w:pPr>
        <w:jc w:val="both"/>
        <w:rPr>
          <w:lang w:val="en"/>
        </w:rPr>
      </w:pPr>
    </w:p>
    <w:p w14:paraId="112E105C" w14:textId="4F300FE2" w:rsidR="00DB1832" w:rsidRPr="00DB1832" w:rsidRDefault="00DB1832" w:rsidP="00071D42">
      <w:pPr>
        <w:jc w:val="both"/>
        <w:rPr>
          <w:lang w:val="en"/>
        </w:rPr>
      </w:pPr>
      <w:r w:rsidRPr="00DB1832">
        <w:rPr>
          <w:lang w:val="en"/>
        </w:rPr>
        <w:t xml:space="preserve">The Independent Expert would like to invite civil society actors to send inputs ahead of his visit, </w:t>
      </w:r>
      <w:r w:rsidRPr="00DB1832">
        <w:t>such as:</w:t>
      </w:r>
    </w:p>
    <w:p w14:paraId="2F366061" w14:textId="2827F3F7" w:rsidR="00DB1832" w:rsidRPr="00DB1832" w:rsidRDefault="00DB1832" w:rsidP="00071D42">
      <w:pPr>
        <w:numPr>
          <w:ilvl w:val="0"/>
          <w:numId w:val="3"/>
        </w:numPr>
        <w:jc w:val="both"/>
      </w:pPr>
      <w:r w:rsidRPr="00DB1832">
        <w:t xml:space="preserve">Recent analytical reports or surveys on LGBT people in the </w:t>
      </w:r>
      <w:r w:rsidR="00FE256E">
        <w:t>Kingdom of Cambodia</w:t>
      </w:r>
    </w:p>
    <w:p w14:paraId="541C439A" w14:textId="77777777" w:rsidR="00DB1832" w:rsidRPr="00DB1832" w:rsidRDefault="00DB1832" w:rsidP="00071D42">
      <w:pPr>
        <w:numPr>
          <w:ilvl w:val="0"/>
          <w:numId w:val="3"/>
        </w:numPr>
        <w:jc w:val="both"/>
      </w:pPr>
      <w:r w:rsidRPr="00DB1832">
        <w:t xml:space="preserve">Information on the policy, programmes and legal framework with respect to protection against violence and discrimination based on sexual orientation and gender </w:t>
      </w:r>
      <w:proofErr w:type="gramStart"/>
      <w:r w:rsidRPr="00DB1832">
        <w:t>identity;</w:t>
      </w:r>
      <w:proofErr w:type="gramEnd"/>
    </w:p>
    <w:p w14:paraId="5B5A4708" w14:textId="77777777" w:rsidR="00DB1832" w:rsidRPr="00DB1832" w:rsidRDefault="00DB1832" w:rsidP="00071D42">
      <w:pPr>
        <w:numPr>
          <w:ilvl w:val="0"/>
          <w:numId w:val="3"/>
        </w:numPr>
        <w:jc w:val="both"/>
      </w:pPr>
      <w:r w:rsidRPr="00DB1832">
        <w:t xml:space="preserve">Priority issues/concerns and situations that warrant the attention of the Independent </w:t>
      </w:r>
      <w:proofErr w:type="gramStart"/>
      <w:r w:rsidRPr="00DB1832">
        <w:t>Expert;</w:t>
      </w:r>
      <w:proofErr w:type="gramEnd"/>
    </w:p>
    <w:p w14:paraId="3163E0D0" w14:textId="77777777" w:rsidR="00DB1832" w:rsidRPr="00DB1832" w:rsidRDefault="00DB1832" w:rsidP="00071D42">
      <w:pPr>
        <w:numPr>
          <w:ilvl w:val="0"/>
          <w:numId w:val="3"/>
        </w:numPr>
        <w:jc w:val="both"/>
      </w:pPr>
      <w:r w:rsidRPr="00DB1832">
        <w:t xml:space="preserve">Suggestions on issues to examine and related locations to </w:t>
      </w:r>
      <w:proofErr w:type="gramStart"/>
      <w:r w:rsidRPr="00DB1832">
        <w:t>visit;</w:t>
      </w:r>
      <w:proofErr w:type="gramEnd"/>
    </w:p>
    <w:p w14:paraId="5FB45C69" w14:textId="77777777" w:rsidR="00DB1832" w:rsidRPr="00DB1832" w:rsidRDefault="00DB1832" w:rsidP="00071D42">
      <w:pPr>
        <w:numPr>
          <w:ilvl w:val="0"/>
          <w:numId w:val="3"/>
        </w:numPr>
        <w:jc w:val="both"/>
      </w:pPr>
      <w:r w:rsidRPr="00DB1832">
        <w:t xml:space="preserve">Suggestions on Government officials and civil society actors to meet in different regions in relation to suggested locations to visit. </w:t>
      </w:r>
    </w:p>
    <w:p w14:paraId="569617F5" w14:textId="77777777" w:rsidR="00FE256E" w:rsidRDefault="00FE256E" w:rsidP="00071D42">
      <w:pPr>
        <w:jc w:val="both"/>
      </w:pPr>
    </w:p>
    <w:p w14:paraId="232C92DE" w14:textId="17B172EB" w:rsidR="00DB1832" w:rsidRPr="00DB1832" w:rsidRDefault="00DB1832" w:rsidP="00071D42">
      <w:pPr>
        <w:jc w:val="both"/>
      </w:pPr>
      <w:r w:rsidRPr="00DB1832">
        <w:t xml:space="preserve">Kindly submit information to </w:t>
      </w:r>
      <w:hyperlink r:id="rId15" w:history="1">
        <w:r w:rsidR="003C4708" w:rsidRPr="00ED2D63">
          <w:rPr>
            <w:rStyle w:val="Hyperlink"/>
          </w:rPr>
          <w:t>hrc-ie-sogi@un.org</w:t>
        </w:r>
      </w:hyperlink>
      <w:r w:rsidR="003C4708">
        <w:t xml:space="preserve">. </w:t>
      </w:r>
      <w:r w:rsidRPr="00DB1832">
        <w:t>Please indicate "202</w:t>
      </w:r>
      <w:r w:rsidR="00FE256E">
        <w:t>3</w:t>
      </w:r>
      <w:r w:rsidRPr="00DB1832">
        <w:t xml:space="preserve"> Visit to </w:t>
      </w:r>
      <w:r w:rsidR="00FE256E">
        <w:t>Cambodia</w:t>
      </w:r>
      <w:r w:rsidRPr="00DB1832">
        <w:t>" in the subject heading of the email submission.</w:t>
      </w:r>
    </w:p>
    <w:p w14:paraId="3BADC29A" w14:textId="4341B55F" w:rsidR="00FE256E" w:rsidRDefault="00DB1832" w:rsidP="00071D42">
      <w:pPr>
        <w:jc w:val="both"/>
      </w:pPr>
      <w:r w:rsidRPr="00DB1832">
        <w:t xml:space="preserve">The Independent Expert will end the country visit in </w:t>
      </w:r>
      <w:r w:rsidR="00FE256E" w:rsidRPr="00FE256E">
        <w:t>Phnom Penh</w:t>
      </w:r>
      <w:r w:rsidR="00FE256E">
        <w:t xml:space="preserve"> </w:t>
      </w:r>
      <w:r w:rsidRPr="00DB1832">
        <w:t xml:space="preserve">where he will provide a final debriefing to the Government and hold a press conference to share the preliminary findings of the mission. </w:t>
      </w:r>
    </w:p>
    <w:p w14:paraId="4AD7D614" w14:textId="77777777" w:rsidR="003C4708" w:rsidRDefault="003C4708" w:rsidP="00071D42">
      <w:pPr>
        <w:jc w:val="both"/>
      </w:pPr>
    </w:p>
    <w:p w14:paraId="6EEF8923" w14:textId="1C6DCF13" w:rsidR="00FE256E" w:rsidRPr="007E7570" w:rsidRDefault="00FE256E" w:rsidP="00071D42">
      <w:pPr>
        <w:jc w:val="both"/>
        <w:rPr>
          <w:b/>
          <w:bCs/>
        </w:rPr>
      </w:pPr>
      <w:r w:rsidRPr="007E7570">
        <w:rPr>
          <w:b/>
          <w:bCs/>
        </w:rPr>
        <w:t>Outcome</w:t>
      </w:r>
    </w:p>
    <w:p w14:paraId="766CF78D" w14:textId="01DE3642" w:rsidR="00FE256E" w:rsidRDefault="00FE256E" w:rsidP="00071D42">
      <w:pPr>
        <w:jc w:val="both"/>
      </w:pPr>
      <w:r w:rsidRPr="00FE256E">
        <w:t>The Independent Expert will offer recommendations to support the Government’s efforts in eliminating violence and discrimination based on sexual orientation and gender identity. A mission report will be presented to the Human Rights Council in June 2023.</w:t>
      </w:r>
    </w:p>
    <w:p w14:paraId="44D43DB2" w14:textId="77777777" w:rsidR="003C4708" w:rsidRPr="00FE256E" w:rsidRDefault="003C4708" w:rsidP="00071D42">
      <w:pPr>
        <w:jc w:val="both"/>
      </w:pPr>
    </w:p>
    <w:p w14:paraId="64DC2022" w14:textId="553C8B91" w:rsidR="005640BE" w:rsidRDefault="00FE256E" w:rsidP="003C4708">
      <w:pPr>
        <w:jc w:val="center"/>
      </w:pPr>
      <w:r w:rsidRPr="00FE256E">
        <w:t>****</w:t>
      </w:r>
    </w:p>
    <w:sectPr w:rsidR="005640BE">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D449" w14:textId="77777777" w:rsidR="00C1182B" w:rsidRDefault="00C1182B" w:rsidP="00C1182B">
      <w:pPr>
        <w:spacing w:after="0" w:line="240" w:lineRule="auto"/>
      </w:pPr>
      <w:r>
        <w:separator/>
      </w:r>
    </w:p>
  </w:endnote>
  <w:endnote w:type="continuationSeparator" w:id="0">
    <w:p w14:paraId="0375C551" w14:textId="77777777" w:rsidR="00C1182B" w:rsidRDefault="00C1182B" w:rsidP="00C1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CD27" w14:textId="77777777" w:rsidR="00C1182B" w:rsidRDefault="00C1182B" w:rsidP="00C1182B">
      <w:pPr>
        <w:spacing w:after="0" w:line="240" w:lineRule="auto"/>
      </w:pPr>
      <w:r>
        <w:separator/>
      </w:r>
    </w:p>
  </w:footnote>
  <w:footnote w:type="continuationSeparator" w:id="0">
    <w:p w14:paraId="50192B81" w14:textId="77777777" w:rsidR="00C1182B" w:rsidRDefault="00C1182B" w:rsidP="00C11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F0F5" w14:textId="77777777" w:rsidR="00C1182B" w:rsidRPr="00C1182B" w:rsidRDefault="00C1182B" w:rsidP="00C1182B">
    <w:pPr>
      <w:tabs>
        <w:tab w:val="left" w:pos="720"/>
        <w:tab w:val="center" w:pos="4153"/>
        <w:tab w:val="right" w:pos="8306"/>
      </w:tabs>
      <w:snapToGrid w:val="0"/>
      <w:spacing w:after="0" w:line="240" w:lineRule="auto"/>
      <w:jc w:val="center"/>
      <w:rPr>
        <w:rFonts w:ascii="Times New Roman" w:eastAsia="Times New Roman" w:hAnsi="Times New Roman" w:cs="Times New Roman"/>
        <w:sz w:val="14"/>
        <w:szCs w:val="14"/>
      </w:rPr>
    </w:pPr>
    <w:r w:rsidRPr="00C1182B">
      <w:rPr>
        <w:rFonts w:ascii="Times New Roman" w:eastAsia="Times New Roman" w:hAnsi="Times New Roman" w:cs="Times New Roman"/>
        <w:noProof/>
        <w:sz w:val="14"/>
        <w:szCs w:val="14"/>
        <w:lang w:eastAsia="en-GB"/>
      </w:rPr>
      <w:drawing>
        <wp:inline distT="0" distB="0" distL="0" distR="0" wp14:anchorId="12C4881F" wp14:editId="18A6B7AD">
          <wp:extent cx="283845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7C8FB201" w14:textId="77777777" w:rsidR="00C1182B" w:rsidRPr="00C1182B" w:rsidRDefault="00C1182B" w:rsidP="00C1182B">
    <w:pPr>
      <w:tabs>
        <w:tab w:val="right" w:pos="3686"/>
        <w:tab w:val="left" w:pos="5812"/>
        <w:tab w:val="right" w:pos="8306"/>
      </w:tabs>
      <w:snapToGrid w:val="0"/>
      <w:spacing w:after="0" w:line="240" w:lineRule="auto"/>
      <w:jc w:val="center"/>
      <w:rPr>
        <w:rFonts w:ascii="Times New Roman" w:eastAsia="Times New Roman" w:hAnsi="Times New Roman" w:cs="Times New Roman"/>
        <w:sz w:val="14"/>
        <w:szCs w:val="14"/>
        <w:lang w:val="fr-CH"/>
      </w:rPr>
    </w:pPr>
    <w:r w:rsidRPr="00C1182B">
      <w:rPr>
        <w:rFonts w:ascii="Times New Roman" w:eastAsia="Times New Roman" w:hAnsi="Times New Roman" w:cs="Times New Roman"/>
        <w:sz w:val="14"/>
        <w:szCs w:val="14"/>
        <w:lang w:val="fr-CH"/>
      </w:rPr>
      <w:t>PALAIS DES NATIONS • 1211 GENEVA 10, SWITZERLAND</w:t>
    </w:r>
  </w:p>
  <w:p w14:paraId="2FACC9C0" w14:textId="77777777" w:rsidR="00C1182B" w:rsidRPr="00C1182B" w:rsidRDefault="00C1182B" w:rsidP="00C1182B">
    <w:pPr>
      <w:tabs>
        <w:tab w:val="right" w:pos="3686"/>
        <w:tab w:val="left" w:pos="5812"/>
        <w:tab w:val="right" w:pos="8306"/>
      </w:tabs>
      <w:snapToGrid w:val="0"/>
      <w:spacing w:before="80" w:after="360" w:line="240" w:lineRule="auto"/>
      <w:jc w:val="center"/>
      <w:rPr>
        <w:rFonts w:ascii="Times New Roman" w:eastAsia="Times New Roman" w:hAnsi="Times New Roman" w:cs="Times New Roman"/>
        <w:sz w:val="14"/>
        <w:szCs w:val="14"/>
        <w:lang w:val="fr-CH"/>
      </w:rPr>
    </w:pPr>
    <w:r w:rsidRPr="00C1182B">
      <w:rPr>
        <w:rFonts w:ascii="Times New Roman" w:eastAsia="Times New Roman" w:hAnsi="Times New Roman" w:cs="Times New Roman"/>
        <w:sz w:val="14"/>
        <w:szCs w:val="14"/>
        <w:lang w:val="fr-CH"/>
      </w:rPr>
      <w:t xml:space="preserve">www.ohchr.org • </w:t>
    </w:r>
    <w:proofErr w:type="gramStart"/>
    <w:r w:rsidRPr="00C1182B">
      <w:rPr>
        <w:rFonts w:ascii="Times New Roman" w:eastAsia="Times New Roman" w:hAnsi="Times New Roman" w:cs="Times New Roman"/>
        <w:sz w:val="14"/>
        <w:szCs w:val="14"/>
        <w:lang w:val="fr-CH"/>
      </w:rPr>
      <w:t>TEL:</w:t>
    </w:r>
    <w:proofErr w:type="gramEnd"/>
    <w:r w:rsidRPr="00C1182B">
      <w:rPr>
        <w:rFonts w:ascii="Times New Roman" w:eastAsia="Times New Roman" w:hAnsi="Times New Roman" w:cs="Times New Roman"/>
        <w:sz w:val="14"/>
        <w:szCs w:val="14"/>
        <w:lang w:val="fr-CH"/>
      </w:rPr>
      <w:t xml:space="preserve"> +41 22 917 9000 • FAX: +41 22 917 9008 • E-MAIL: registry@ohchr.org</w:t>
    </w:r>
  </w:p>
  <w:p w14:paraId="0DF012A3" w14:textId="77777777" w:rsidR="00C1182B" w:rsidRPr="00C1182B" w:rsidRDefault="00C1182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E1B8F"/>
    <w:multiLevelType w:val="hybridMultilevel"/>
    <w:tmpl w:val="07C8E8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26D098B"/>
    <w:multiLevelType w:val="hybridMultilevel"/>
    <w:tmpl w:val="F230BD4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342CCB"/>
    <w:multiLevelType w:val="hybridMultilevel"/>
    <w:tmpl w:val="4D786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2B"/>
    <w:rsid w:val="00071D42"/>
    <w:rsid w:val="003C4708"/>
    <w:rsid w:val="005640BE"/>
    <w:rsid w:val="007E7570"/>
    <w:rsid w:val="00C1182B"/>
    <w:rsid w:val="00DB1832"/>
    <w:rsid w:val="00EB0A33"/>
    <w:rsid w:val="00FE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B3FE"/>
  <w15:chartTrackingRefBased/>
  <w15:docId w15:val="{2D1B1697-1E58-418F-A11D-15C67D0B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82B"/>
  </w:style>
  <w:style w:type="paragraph" w:styleId="Footer">
    <w:name w:val="footer"/>
    <w:basedOn w:val="Normal"/>
    <w:link w:val="FooterChar"/>
    <w:uiPriority w:val="99"/>
    <w:unhideWhenUsed/>
    <w:rsid w:val="00C11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82B"/>
  </w:style>
  <w:style w:type="character" w:styleId="Hyperlink">
    <w:name w:val="Hyperlink"/>
    <w:basedOn w:val="DefaultParagraphFont"/>
    <w:uiPriority w:val="99"/>
    <w:unhideWhenUsed/>
    <w:rsid w:val="00C1182B"/>
    <w:rPr>
      <w:color w:val="0563C1" w:themeColor="hyperlink"/>
      <w:u w:val="single"/>
    </w:rPr>
  </w:style>
  <w:style w:type="character" w:styleId="UnresolvedMention">
    <w:name w:val="Unresolved Mention"/>
    <w:basedOn w:val="DefaultParagraphFont"/>
    <w:uiPriority w:val="99"/>
    <w:semiHidden/>
    <w:unhideWhenUsed/>
    <w:rsid w:val="00C11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36154">
      <w:bodyDiv w:val="1"/>
      <w:marLeft w:val="0"/>
      <w:marRight w:val="0"/>
      <w:marTop w:val="0"/>
      <w:marBottom w:val="0"/>
      <w:divBdr>
        <w:top w:val="none" w:sz="0" w:space="0" w:color="auto"/>
        <w:left w:val="none" w:sz="0" w:space="0" w:color="auto"/>
        <w:bottom w:val="none" w:sz="0" w:space="0" w:color="auto"/>
        <w:right w:val="none" w:sz="0" w:space="0" w:color="auto"/>
      </w:divBdr>
    </w:div>
    <w:div w:id="478231117">
      <w:bodyDiv w:val="1"/>
      <w:marLeft w:val="0"/>
      <w:marRight w:val="0"/>
      <w:marTop w:val="0"/>
      <w:marBottom w:val="0"/>
      <w:divBdr>
        <w:top w:val="none" w:sz="0" w:space="0" w:color="auto"/>
        <w:left w:val="none" w:sz="0" w:space="0" w:color="auto"/>
        <w:bottom w:val="none" w:sz="0" w:space="0" w:color="auto"/>
        <w:right w:val="none" w:sz="0" w:space="0" w:color="auto"/>
      </w:divBdr>
    </w:div>
    <w:div w:id="494491760">
      <w:bodyDiv w:val="1"/>
      <w:marLeft w:val="0"/>
      <w:marRight w:val="0"/>
      <w:marTop w:val="0"/>
      <w:marBottom w:val="0"/>
      <w:divBdr>
        <w:top w:val="none" w:sz="0" w:space="0" w:color="auto"/>
        <w:left w:val="none" w:sz="0" w:space="0" w:color="auto"/>
        <w:bottom w:val="none" w:sz="0" w:space="0" w:color="auto"/>
        <w:right w:val="none" w:sz="0" w:space="0" w:color="auto"/>
      </w:divBdr>
    </w:div>
    <w:div w:id="626354080">
      <w:bodyDiv w:val="1"/>
      <w:marLeft w:val="0"/>
      <w:marRight w:val="0"/>
      <w:marTop w:val="0"/>
      <w:marBottom w:val="0"/>
      <w:divBdr>
        <w:top w:val="none" w:sz="0" w:space="0" w:color="auto"/>
        <w:left w:val="none" w:sz="0" w:space="0" w:color="auto"/>
        <w:bottom w:val="none" w:sz="0" w:space="0" w:color="auto"/>
        <w:right w:val="none" w:sz="0" w:space="0" w:color="auto"/>
      </w:divBdr>
    </w:div>
    <w:div w:id="874578175">
      <w:bodyDiv w:val="1"/>
      <w:marLeft w:val="0"/>
      <w:marRight w:val="0"/>
      <w:marTop w:val="0"/>
      <w:marBottom w:val="0"/>
      <w:divBdr>
        <w:top w:val="none" w:sz="0" w:space="0" w:color="auto"/>
        <w:left w:val="none" w:sz="0" w:space="0" w:color="auto"/>
        <w:bottom w:val="none" w:sz="0" w:space="0" w:color="auto"/>
        <w:right w:val="none" w:sz="0" w:space="0" w:color="auto"/>
      </w:divBdr>
    </w:div>
    <w:div w:id="998658149">
      <w:bodyDiv w:val="1"/>
      <w:marLeft w:val="0"/>
      <w:marRight w:val="0"/>
      <w:marTop w:val="0"/>
      <w:marBottom w:val="0"/>
      <w:divBdr>
        <w:top w:val="none" w:sz="0" w:space="0" w:color="auto"/>
        <w:left w:val="none" w:sz="0" w:space="0" w:color="auto"/>
        <w:bottom w:val="none" w:sz="0" w:space="0" w:color="auto"/>
        <w:right w:val="none" w:sz="0" w:space="0" w:color="auto"/>
      </w:divBdr>
    </w:div>
    <w:div w:id="1094207947">
      <w:bodyDiv w:val="1"/>
      <w:marLeft w:val="0"/>
      <w:marRight w:val="0"/>
      <w:marTop w:val="0"/>
      <w:marBottom w:val="0"/>
      <w:divBdr>
        <w:top w:val="none" w:sz="0" w:space="0" w:color="auto"/>
        <w:left w:val="none" w:sz="0" w:space="0" w:color="auto"/>
        <w:bottom w:val="none" w:sz="0" w:space="0" w:color="auto"/>
        <w:right w:val="none" w:sz="0" w:space="0" w:color="auto"/>
      </w:divBdr>
    </w:div>
    <w:div w:id="1605310267">
      <w:bodyDiv w:val="1"/>
      <w:marLeft w:val="0"/>
      <w:marRight w:val="0"/>
      <w:marTop w:val="0"/>
      <w:marBottom w:val="0"/>
      <w:divBdr>
        <w:top w:val="none" w:sz="0" w:space="0" w:color="auto"/>
        <w:left w:val="none" w:sz="0" w:space="0" w:color="auto"/>
        <w:bottom w:val="none" w:sz="0" w:space="0" w:color="auto"/>
        <w:right w:val="none" w:sz="0" w:space="0" w:color="auto"/>
      </w:divBdr>
    </w:div>
    <w:div w:id="1674524354">
      <w:bodyDiv w:val="1"/>
      <w:marLeft w:val="0"/>
      <w:marRight w:val="0"/>
      <w:marTop w:val="0"/>
      <w:marBottom w:val="0"/>
      <w:divBdr>
        <w:top w:val="none" w:sz="0" w:space="0" w:color="auto"/>
        <w:left w:val="none" w:sz="0" w:space="0" w:color="auto"/>
        <w:bottom w:val="none" w:sz="0" w:space="0" w:color="auto"/>
        <w:right w:val="none" w:sz="0" w:space="0" w:color="auto"/>
      </w:divBdr>
    </w:div>
    <w:div w:id="2047371162">
      <w:bodyDiv w:val="1"/>
      <w:marLeft w:val="0"/>
      <w:marRight w:val="0"/>
      <w:marTop w:val="0"/>
      <w:marBottom w:val="0"/>
      <w:divBdr>
        <w:top w:val="none" w:sz="0" w:space="0" w:color="auto"/>
        <w:left w:val="none" w:sz="0" w:space="0" w:color="auto"/>
        <w:bottom w:val="none" w:sz="0" w:space="0" w:color="auto"/>
        <w:right w:val="none" w:sz="0" w:space="0" w:color="auto"/>
      </w:divBdr>
    </w:div>
    <w:div w:id="21003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Home/Mobile?FinalSymbol=A%2Fhrc%2Fres%2F50%2F10&amp;Language=E&amp;DeviceType=Desktop&amp;LangRequested=False" TargetMode="External"/><Relationship Id="rId13" Type="http://schemas.openxmlformats.org/officeDocument/2006/relationships/hyperlink" Target="https://documents.un.org/prod/ods.nsf/xpSearchResultsM.xsp?search=((FIELD%20DS1%20=%20AHRC2923*)%20OR%20(FIELD%20DS2%20=%20AHRC2923*)%20OR%20(FIELD%20DS3%20=%20AHRC2923*)%20OR%20(FIELD%20ACDS%20=%20AHRC2923*))&amp;sort=ADS&amp;dir=ascending"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ap.ohchr.org/documents/dpage_e.aspx?si=A/HRC/RES/32/2" TargetMode="External"/><Relationship Id="rId12" Type="http://schemas.openxmlformats.org/officeDocument/2006/relationships/hyperlink" Target="https://documents.un.org/prod/ods.nsf/xpSearchResultsM.xsp?search=((FIELD%20DS1%20=%20AHRC1941*)%20OR%20(FIELD%20DS2%20=%20AHRC1941*)%20OR%20(FIELD%20DS3%20=%20AHRC1941*)%20OR%20(FIELD%20ACDS%20=%20AHRC1941*))&amp;sort=ADS&amp;dir=ascend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Issues/SexualOrientationGender/Pages/AnnualReports.aspx" TargetMode="External"/><Relationship Id="rId5" Type="http://schemas.openxmlformats.org/officeDocument/2006/relationships/footnotes" Target="footnotes.xml"/><Relationship Id="rId15" Type="http://schemas.openxmlformats.org/officeDocument/2006/relationships/hyperlink" Target="mailto:hrc-ie-sogi@un.org" TargetMode="External"/><Relationship Id="rId10" Type="http://schemas.openxmlformats.org/officeDocument/2006/relationships/hyperlink" Target="http://www.ohchr.org/EN/Issues/Discrimination/Pages/BornFreeEqualBooklet.asp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ohchr.org/EN/Issues/SexualOrientationGender/Pages/Index.aspx" TargetMode="External"/><Relationship Id="rId14" Type="http://schemas.openxmlformats.org/officeDocument/2006/relationships/hyperlink" Target="http://www.ohchr.org/EN/HRBodies/SP/Pages/TermsOfReferen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66BE119D-C794-4B94-826F-C41321F2E2B3}"/>
</file>

<file path=customXml/itemProps2.xml><?xml version="1.0" encoding="utf-8"?>
<ds:datastoreItem xmlns:ds="http://schemas.openxmlformats.org/officeDocument/2006/customXml" ds:itemID="{704A43D9-20EE-4A57-9A39-14F3A726CFFB}"/>
</file>

<file path=customXml/itemProps3.xml><?xml version="1.0" encoding="utf-8"?>
<ds:datastoreItem xmlns:ds="http://schemas.openxmlformats.org/officeDocument/2006/customXml" ds:itemID="{E309AEE6-37F2-4653-B403-6E856DB15E3D}"/>
</file>

<file path=docProps/app.xml><?xml version="1.0" encoding="utf-8"?>
<Properties xmlns="http://schemas.openxmlformats.org/officeDocument/2006/extended-properties" xmlns:vt="http://schemas.openxmlformats.org/officeDocument/2006/docPropsVTypes">
  <Template>Normal.dotm</Template>
  <TotalTime>3</TotalTime>
  <Pages>4</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Sandul</dc:creator>
  <cp:keywords/>
  <dc:description/>
  <cp:lastModifiedBy>Manon Beury</cp:lastModifiedBy>
  <cp:revision>3</cp:revision>
  <dcterms:created xsi:type="dcterms:W3CDTF">2022-12-05T13:00:00Z</dcterms:created>
  <dcterms:modified xsi:type="dcterms:W3CDTF">2022-12-09T15:42:00Z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