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E3" w:rsidRDefault="007B07E3" w:rsidP="007B07E3">
      <w:pPr>
        <w:rPr>
          <w:rFonts w:cs="Arial"/>
        </w:rPr>
      </w:pPr>
    </w:p>
    <w:p w:rsidR="0037793D" w:rsidRDefault="00865AE7" w:rsidP="0037793D">
      <w:pPr>
        <w:rPr>
          <w:rFonts w:eastAsia="Times New Roman" w:cs="Arial"/>
          <w:b/>
          <w:bCs/>
          <w:szCs w:val="24"/>
        </w:rPr>
      </w:pPr>
      <w:r>
        <w:rPr>
          <w:rFonts w:eastAsia="Times New Roman" w:cs="Arial"/>
          <w:b/>
          <w:bCs/>
          <w:szCs w:val="24"/>
        </w:rPr>
        <w:t>Nota No.:  59</w:t>
      </w:r>
      <w:r w:rsidR="0037793D">
        <w:rPr>
          <w:rFonts w:eastAsia="Times New Roman" w:cs="Arial"/>
          <w:b/>
          <w:bCs/>
          <w:szCs w:val="24"/>
        </w:rPr>
        <w:t>/202</w:t>
      </w:r>
      <w:r w:rsidR="00126D98">
        <w:rPr>
          <w:rFonts w:eastAsia="Times New Roman" w:cs="Arial"/>
          <w:b/>
          <w:bCs/>
          <w:szCs w:val="24"/>
        </w:rPr>
        <w:t>4</w:t>
      </w:r>
    </w:p>
    <w:p w:rsidR="00D825E1" w:rsidRDefault="00D825E1" w:rsidP="0037793D">
      <w:pPr>
        <w:rPr>
          <w:rFonts w:eastAsia="Times New Roman" w:cs="Arial"/>
          <w:b/>
          <w:bCs/>
          <w:szCs w:val="24"/>
        </w:rPr>
      </w:pPr>
    </w:p>
    <w:p w:rsidR="00BD1A93" w:rsidRDefault="0037793D" w:rsidP="008150DD">
      <w:pPr>
        <w:spacing w:before="240" w:after="240" w:line="360" w:lineRule="auto"/>
        <w:ind w:firstLine="850"/>
        <w:rPr>
          <w:rFonts w:eastAsia="Times New Roman" w:cs="Arial"/>
          <w:szCs w:val="24"/>
          <w:lang w:val="es-ES_tradnl"/>
        </w:rPr>
      </w:pPr>
      <w:r w:rsidRPr="000679AC">
        <w:rPr>
          <w:rFonts w:eastAsia="Times New Roman" w:cs="Arial"/>
          <w:szCs w:val="24"/>
          <w:lang w:val="es-ES_tradnl"/>
        </w:rPr>
        <w:t>La Misión Permanente de la República de Cuba ante la Oficina de las Naciones Unidas en Ginebra y los Organismos Internacionales</w:t>
      </w:r>
      <w:r w:rsidR="008E666B">
        <w:rPr>
          <w:rFonts w:eastAsia="Times New Roman" w:cs="Arial"/>
          <w:szCs w:val="24"/>
          <w:lang w:val="es-ES_tradnl"/>
        </w:rPr>
        <w:t xml:space="preserve"> </w:t>
      </w:r>
      <w:r w:rsidRPr="000679AC">
        <w:rPr>
          <w:rFonts w:eastAsia="Times New Roman" w:cs="Arial"/>
          <w:szCs w:val="24"/>
          <w:lang w:val="es-ES_tradnl"/>
        </w:rPr>
        <w:t>en Suiza saluda atentamente a la Oficina del Alto Comisionado de las Naciones Unidas para los Derechos Humanos</w:t>
      </w:r>
      <w:r w:rsidR="004318CC">
        <w:rPr>
          <w:rFonts w:eastAsia="Times New Roman" w:cs="Arial"/>
          <w:szCs w:val="24"/>
          <w:lang w:val="es-ES_tradnl"/>
        </w:rPr>
        <w:t xml:space="preserve">, </w:t>
      </w:r>
      <w:r w:rsidRPr="000679AC">
        <w:rPr>
          <w:rFonts w:eastAsia="Times New Roman" w:cs="Arial"/>
          <w:szCs w:val="24"/>
          <w:lang w:val="es-ES_tradnl"/>
        </w:rPr>
        <w:t xml:space="preserve">y tiene el honor de referirse a </w:t>
      </w:r>
      <w:r w:rsidRPr="00473892">
        <w:rPr>
          <w:rFonts w:eastAsia="Times New Roman" w:cs="Arial"/>
          <w:szCs w:val="24"/>
          <w:lang w:val="es-ES_tradnl"/>
        </w:rPr>
        <w:t xml:space="preserve">la solicitud de información </w:t>
      </w:r>
      <w:r w:rsidR="001427DA" w:rsidRPr="001427DA">
        <w:rPr>
          <w:rFonts w:eastAsia="Times New Roman" w:cs="Arial"/>
          <w:szCs w:val="24"/>
          <w:lang w:val="es-ES_tradnl"/>
        </w:rPr>
        <w:t>en virtud de la</w:t>
      </w:r>
      <w:r w:rsidR="00391E35">
        <w:rPr>
          <w:rFonts w:eastAsia="Times New Roman" w:cs="Arial"/>
          <w:szCs w:val="24"/>
          <w:lang w:val="es-ES_tradnl"/>
        </w:rPr>
        <w:t>s</w:t>
      </w:r>
      <w:r w:rsidR="001427DA" w:rsidRPr="001427DA">
        <w:rPr>
          <w:rFonts w:eastAsia="Times New Roman" w:cs="Arial"/>
          <w:szCs w:val="24"/>
          <w:lang w:val="es-ES_tradnl"/>
        </w:rPr>
        <w:t xml:space="preserve"> resoluci</w:t>
      </w:r>
      <w:r w:rsidR="00391E35">
        <w:rPr>
          <w:rFonts w:eastAsia="Times New Roman" w:cs="Arial"/>
          <w:szCs w:val="24"/>
          <w:lang w:val="es-ES_tradnl"/>
        </w:rPr>
        <w:t>ones 32/2, 41/18 y 50/10</w:t>
      </w:r>
      <w:r w:rsidR="001427DA" w:rsidRPr="001427DA">
        <w:rPr>
          <w:rFonts w:eastAsia="Times New Roman" w:cs="Arial"/>
          <w:szCs w:val="24"/>
          <w:lang w:val="es-ES_tradnl"/>
        </w:rPr>
        <w:t xml:space="preserve"> </w:t>
      </w:r>
      <w:r w:rsidR="008108EF" w:rsidRPr="008108EF">
        <w:rPr>
          <w:rFonts w:eastAsia="Times New Roman" w:cs="Arial"/>
          <w:szCs w:val="24"/>
          <w:lang w:val="es-ES_tradnl"/>
        </w:rPr>
        <w:t>del C</w:t>
      </w:r>
      <w:r w:rsidR="008108EF">
        <w:rPr>
          <w:rFonts w:eastAsia="Times New Roman" w:cs="Arial"/>
          <w:szCs w:val="24"/>
          <w:lang w:val="es-ES_tradnl"/>
        </w:rPr>
        <w:t xml:space="preserve">onsejo de </w:t>
      </w:r>
      <w:r w:rsidR="008108EF" w:rsidRPr="008108EF">
        <w:rPr>
          <w:rFonts w:eastAsia="Times New Roman" w:cs="Arial"/>
          <w:szCs w:val="24"/>
          <w:lang w:val="es-ES_tradnl"/>
        </w:rPr>
        <w:t>D</w:t>
      </w:r>
      <w:r w:rsidR="008108EF">
        <w:rPr>
          <w:rFonts w:eastAsia="Times New Roman" w:cs="Arial"/>
          <w:szCs w:val="24"/>
          <w:lang w:val="es-ES_tradnl"/>
        </w:rPr>
        <w:t xml:space="preserve">erechos </w:t>
      </w:r>
      <w:r w:rsidR="008108EF" w:rsidRPr="008108EF">
        <w:rPr>
          <w:rFonts w:eastAsia="Times New Roman" w:cs="Arial"/>
          <w:szCs w:val="24"/>
          <w:lang w:val="es-ES_tradnl"/>
        </w:rPr>
        <w:t>H</w:t>
      </w:r>
      <w:r w:rsidR="008108EF">
        <w:rPr>
          <w:rFonts w:eastAsia="Times New Roman" w:cs="Arial"/>
          <w:szCs w:val="24"/>
          <w:lang w:val="es-ES_tradnl"/>
        </w:rPr>
        <w:t>umanos</w:t>
      </w:r>
      <w:r w:rsidR="008150DD">
        <w:rPr>
          <w:rFonts w:eastAsia="Times New Roman" w:cs="Arial"/>
          <w:szCs w:val="24"/>
          <w:lang w:val="es-ES_tradnl"/>
        </w:rPr>
        <w:t>, relativa</w:t>
      </w:r>
      <w:r w:rsidR="00391E35">
        <w:rPr>
          <w:rFonts w:eastAsia="Times New Roman" w:cs="Arial"/>
          <w:szCs w:val="24"/>
          <w:lang w:val="es-ES_tradnl"/>
        </w:rPr>
        <w:t>s</w:t>
      </w:r>
      <w:r w:rsidR="008150DD">
        <w:rPr>
          <w:rFonts w:eastAsia="Times New Roman" w:cs="Arial"/>
          <w:szCs w:val="24"/>
          <w:lang w:val="es-ES_tradnl"/>
        </w:rPr>
        <w:t xml:space="preserve"> a </w:t>
      </w:r>
      <w:r w:rsidR="00391E35">
        <w:rPr>
          <w:rFonts w:eastAsia="Times New Roman" w:cs="Arial"/>
          <w:szCs w:val="24"/>
          <w:lang w:val="es-ES_tradnl"/>
        </w:rPr>
        <w:t xml:space="preserve">la </w:t>
      </w:r>
      <w:r w:rsidR="00391E35" w:rsidRPr="00391E35">
        <w:rPr>
          <w:rFonts w:eastAsia="Times New Roman" w:cs="Arial"/>
          <w:szCs w:val="24"/>
          <w:lang w:val="es-ES_tradnl"/>
        </w:rPr>
        <w:t>protección contra la violencia y la discriminación por motivos de orientación sexual o identidad de género, en relación con los derechos humanos a la libertad de expresión, asociación y reunión</w:t>
      </w:r>
      <w:r w:rsidR="001A7A66">
        <w:rPr>
          <w:rFonts w:eastAsia="Times New Roman" w:cs="Arial"/>
          <w:szCs w:val="24"/>
          <w:lang w:val="es-ES_tradnl"/>
        </w:rPr>
        <w:t xml:space="preserve"> pacífica</w:t>
      </w:r>
      <w:r w:rsidR="00D156D6">
        <w:rPr>
          <w:rFonts w:eastAsia="Times New Roman" w:cs="Arial"/>
          <w:szCs w:val="24"/>
          <w:lang w:val="es-ES_tradnl"/>
        </w:rPr>
        <w:t>.</w:t>
      </w:r>
    </w:p>
    <w:p w:rsidR="0037793D" w:rsidRDefault="0037793D" w:rsidP="0037793D">
      <w:pPr>
        <w:spacing w:before="240" w:after="240" w:line="360" w:lineRule="auto"/>
        <w:ind w:firstLine="850"/>
        <w:rPr>
          <w:rFonts w:eastAsia="Times New Roman" w:cs="Arial"/>
          <w:szCs w:val="24"/>
          <w:lang w:val="es-ES_tradnl"/>
        </w:rPr>
      </w:pPr>
      <w:r>
        <w:rPr>
          <w:rFonts w:eastAsia="Times New Roman" w:cs="Arial"/>
          <w:szCs w:val="24"/>
          <w:lang w:val="es-ES_tradnl"/>
        </w:rPr>
        <w:t>En tal sentido, la Misión Permanente tiene a bien adjuntar</w:t>
      </w:r>
      <w:r w:rsidR="008E666B">
        <w:rPr>
          <w:rFonts w:eastAsia="Times New Roman" w:cs="Arial"/>
          <w:szCs w:val="24"/>
          <w:lang w:val="es-ES_tradnl"/>
        </w:rPr>
        <w:t xml:space="preserve"> los comentarios sobre</w:t>
      </w:r>
      <w:r>
        <w:rPr>
          <w:rFonts w:eastAsia="Times New Roman" w:cs="Arial"/>
          <w:szCs w:val="24"/>
          <w:lang w:val="es-ES_tradnl"/>
        </w:rPr>
        <w:t xml:space="preserve"> la información solicitada.</w:t>
      </w:r>
    </w:p>
    <w:p w:rsidR="0037793D" w:rsidRDefault="0037793D" w:rsidP="0037793D">
      <w:pPr>
        <w:spacing w:before="240" w:after="240" w:line="360" w:lineRule="auto"/>
        <w:ind w:firstLine="850"/>
        <w:rPr>
          <w:rFonts w:eastAsia="Times New Roman" w:cs="Arial"/>
          <w:szCs w:val="24"/>
          <w:lang w:val="es-ES_tradnl"/>
        </w:rPr>
      </w:pPr>
      <w:r>
        <w:rPr>
          <w:rFonts w:eastAsia="Times New Roman" w:cs="Arial"/>
          <w:szCs w:val="24"/>
          <w:lang w:val="es-ES_tradnl"/>
        </w:rPr>
        <w:t>La Misión Permanente de la República de Cuba ante la Oficina de las Naciones Unidas en Ginebra y los Organismos Internacionales en Suiza</w:t>
      </w:r>
      <w:r w:rsidR="00BF0B39">
        <w:rPr>
          <w:rFonts w:eastAsia="Times New Roman" w:cs="Arial"/>
          <w:szCs w:val="24"/>
          <w:lang w:val="es-ES_tradnl"/>
        </w:rPr>
        <w:t>,</w:t>
      </w:r>
      <w:r>
        <w:rPr>
          <w:rFonts w:eastAsia="Times New Roman" w:cs="Arial"/>
          <w:szCs w:val="24"/>
          <w:lang w:val="es-ES_tradnl"/>
        </w:rPr>
        <w:t xml:space="preserve"> aprovecha la ocasión para reiterar a la Oficina del Alto Comisionado de las Naciones Unidas para los Derechos Humanos el testimonio de su </w:t>
      </w:r>
      <w:r w:rsidR="00E74B7B">
        <w:rPr>
          <w:rFonts w:eastAsia="Times New Roman" w:cs="Arial"/>
          <w:szCs w:val="24"/>
          <w:lang w:val="es-ES_tradnl"/>
        </w:rPr>
        <w:t xml:space="preserve">más </w:t>
      </w:r>
      <w:r>
        <w:rPr>
          <w:rFonts w:eastAsia="Times New Roman" w:cs="Arial"/>
          <w:szCs w:val="24"/>
          <w:lang w:val="es-ES_tradnl"/>
        </w:rPr>
        <w:t>alta consideración.</w:t>
      </w:r>
    </w:p>
    <w:p w:rsidR="0037793D" w:rsidRDefault="0037793D" w:rsidP="0037793D">
      <w:pPr>
        <w:spacing w:before="240" w:after="240" w:line="360" w:lineRule="auto"/>
        <w:rPr>
          <w:rFonts w:eastAsia="Times New Roman" w:cs="Arial"/>
          <w:szCs w:val="24"/>
          <w:lang w:val="es-ES_tradnl"/>
        </w:rPr>
      </w:pPr>
    </w:p>
    <w:p w:rsidR="00865AE7" w:rsidRDefault="00865AE7" w:rsidP="0037793D">
      <w:pPr>
        <w:spacing w:before="240" w:after="240" w:line="360" w:lineRule="auto"/>
        <w:ind w:firstLine="850"/>
        <w:jc w:val="right"/>
        <w:rPr>
          <w:rFonts w:eastAsia="Times New Roman" w:cs="Arial"/>
          <w:szCs w:val="24"/>
          <w:lang w:val="es-ES_tradnl"/>
        </w:rPr>
      </w:pPr>
    </w:p>
    <w:p w:rsidR="00865AE7" w:rsidRDefault="00865AE7" w:rsidP="0037793D">
      <w:pPr>
        <w:spacing w:before="240" w:after="240" w:line="360" w:lineRule="auto"/>
        <w:ind w:firstLine="850"/>
        <w:jc w:val="right"/>
        <w:rPr>
          <w:rFonts w:eastAsia="Times New Roman" w:cs="Arial"/>
          <w:szCs w:val="24"/>
          <w:lang w:val="es-ES_tradnl"/>
        </w:rPr>
      </w:pPr>
    </w:p>
    <w:p w:rsidR="0037793D" w:rsidRDefault="0037793D" w:rsidP="0037793D">
      <w:pPr>
        <w:spacing w:before="240" w:after="240" w:line="360" w:lineRule="auto"/>
        <w:ind w:firstLine="850"/>
        <w:jc w:val="right"/>
        <w:rPr>
          <w:rFonts w:eastAsia="Times New Roman" w:cs="Arial"/>
          <w:szCs w:val="24"/>
          <w:lang w:val="es-ES_tradnl"/>
        </w:rPr>
      </w:pPr>
      <w:r>
        <w:rPr>
          <w:rFonts w:eastAsia="Times New Roman" w:cs="Arial"/>
          <w:szCs w:val="24"/>
          <w:lang w:val="es-ES_tradnl"/>
        </w:rPr>
        <w:t xml:space="preserve">Ginebra, </w:t>
      </w:r>
      <w:r w:rsidR="00CE1C53">
        <w:rPr>
          <w:rFonts w:eastAsia="Times New Roman" w:cs="Arial"/>
          <w:szCs w:val="24"/>
          <w:lang w:val="es-ES_tradnl"/>
        </w:rPr>
        <w:t>7</w:t>
      </w:r>
      <w:r w:rsidR="007A1BB3">
        <w:rPr>
          <w:rFonts w:eastAsia="Times New Roman" w:cs="Arial"/>
          <w:szCs w:val="24"/>
          <w:lang w:val="es-ES_tradnl"/>
        </w:rPr>
        <w:t xml:space="preserve"> </w:t>
      </w:r>
      <w:r w:rsidR="00126D98">
        <w:rPr>
          <w:rFonts w:eastAsia="Times New Roman" w:cs="Arial"/>
          <w:szCs w:val="24"/>
          <w:lang w:val="es-ES_tradnl"/>
        </w:rPr>
        <w:t xml:space="preserve">de </w:t>
      </w:r>
      <w:r w:rsidR="00D825E1">
        <w:rPr>
          <w:rFonts w:eastAsia="Times New Roman" w:cs="Arial"/>
          <w:szCs w:val="24"/>
          <w:lang w:val="es-ES_tradnl"/>
        </w:rPr>
        <w:t>febrero</w:t>
      </w:r>
      <w:r w:rsidR="00126D98">
        <w:rPr>
          <w:rFonts w:eastAsia="Times New Roman" w:cs="Arial"/>
          <w:szCs w:val="24"/>
          <w:lang w:val="es-ES_tradnl"/>
        </w:rPr>
        <w:t xml:space="preserve"> de 2024. </w:t>
      </w:r>
    </w:p>
    <w:p w:rsidR="0037793D" w:rsidRDefault="0037793D" w:rsidP="0037793D">
      <w:pPr>
        <w:rPr>
          <w:rFonts w:eastAsia="Times New Roman" w:cs="Arial"/>
          <w:b/>
          <w:szCs w:val="24"/>
          <w:lang w:val="es-ES_tradnl"/>
        </w:rPr>
      </w:pPr>
      <w:bookmarkStart w:id="0" w:name="_GoBack"/>
      <w:bookmarkEnd w:id="0"/>
      <w:r>
        <w:rPr>
          <w:rFonts w:eastAsia="Times New Roman" w:cs="Arial"/>
          <w:b/>
          <w:szCs w:val="24"/>
          <w:lang w:val="es-ES_tradnl"/>
        </w:rPr>
        <w:t>Oficina del Alto Comisionado</w:t>
      </w:r>
    </w:p>
    <w:p w:rsidR="0037793D" w:rsidRDefault="0037793D" w:rsidP="0037793D">
      <w:pPr>
        <w:rPr>
          <w:rFonts w:eastAsia="Times New Roman" w:cs="Arial"/>
          <w:b/>
          <w:szCs w:val="24"/>
          <w:lang w:val="es-ES_tradnl"/>
        </w:rPr>
      </w:pPr>
      <w:r>
        <w:rPr>
          <w:rFonts w:eastAsia="Times New Roman" w:cs="Arial"/>
          <w:b/>
          <w:szCs w:val="24"/>
          <w:lang w:val="es-ES_tradnl"/>
        </w:rPr>
        <w:t>de las Naciones Unidas</w:t>
      </w:r>
    </w:p>
    <w:p w:rsidR="0037793D" w:rsidRDefault="0037793D" w:rsidP="0037793D">
      <w:pPr>
        <w:rPr>
          <w:rFonts w:cs="Arial"/>
          <w:b/>
          <w:szCs w:val="24"/>
        </w:rPr>
      </w:pPr>
      <w:r>
        <w:rPr>
          <w:rFonts w:eastAsia="Times New Roman" w:cs="Arial"/>
          <w:b/>
          <w:szCs w:val="24"/>
          <w:lang w:val="es-ES_tradnl"/>
        </w:rPr>
        <w:t>para los Derechos Humanos</w:t>
      </w:r>
    </w:p>
    <w:p w:rsidR="0037793D" w:rsidRDefault="0037793D" w:rsidP="0037793D">
      <w:pPr>
        <w:spacing w:after="200" w:line="276" w:lineRule="auto"/>
        <w:rPr>
          <w:rFonts w:cs="Arial"/>
          <w:sz w:val="22"/>
        </w:rPr>
      </w:pPr>
      <w:r>
        <w:rPr>
          <w:rFonts w:cs="Arial"/>
          <w:b/>
          <w:szCs w:val="24"/>
        </w:rPr>
        <w:t>Ginebra</w:t>
      </w:r>
      <w:r>
        <w:rPr>
          <w:rFonts w:cs="Arial"/>
        </w:rPr>
        <w:t xml:space="preserve"> </w:t>
      </w:r>
      <w:r>
        <w:rPr>
          <w:rFonts w:cs="Arial"/>
        </w:rPr>
        <w:br w:type="page"/>
      </w:r>
    </w:p>
    <w:tbl>
      <w:tblPr>
        <w:tblStyle w:val="Tablaconcuadrcula"/>
        <w:tblW w:w="0" w:type="auto"/>
        <w:tblInd w:w="-5" w:type="dxa"/>
        <w:tblLook w:val="04A0" w:firstRow="1" w:lastRow="0" w:firstColumn="1" w:lastColumn="0" w:noHBand="0" w:noVBand="1"/>
      </w:tblPr>
      <w:tblGrid>
        <w:gridCol w:w="8835"/>
      </w:tblGrid>
      <w:tr w:rsidR="00126D98" w:rsidRPr="00B12759" w:rsidTr="00730BE5">
        <w:trPr>
          <w:trHeight w:val="1120"/>
        </w:trPr>
        <w:tc>
          <w:tcPr>
            <w:tcW w:w="9398" w:type="dxa"/>
            <w:tcBorders>
              <w:top w:val="single" w:sz="4" w:space="0" w:color="auto"/>
              <w:left w:val="single" w:sz="4" w:space="0" w:color="auto"/>
              <w:bottom w:val="single" w:sz="4" w:space="0" w:color="auto"/>
              <w:right w:val="single" w:sz="4" w:space="0" w:color="auto"/>
            </w:tcBorders>
            <w:hideMark/>
          </w:tcPr>
          <w:p w:rsidR="00126D98" w:rsidRPr="00B12759" w:rsidRDefault="00126D98" w:rsidP="00327EA9">
            <w:pPr>
              <w:spacing w:line="276" w:lineRule="auto"/>
              <w:ind w:left="142"/>
              <w:jc w:val="both"/>
              <w:rPr>
                <w:rFonts w:ascii="Arial" w:eastAsia="Times New Roman" w:hAnsi="Arial" w:cs="Arial"/>
                <w:b/>
                <w:sz w:val="28"/>
                <w:szCs w:val="28"/>
                <w:lang w:val="es-ES_tradnl"/>
              </w:rPr>
            </w:pPr>
            <w:r w:rsidRPr="00B12759">
              <w:rPr>
                <w:rFonts w:ascii="Arial" w:eastAsia="Times New Roman" w:hAnsi="Arial" w:cs="Arial"/>
                <w:b/>
                <w:sz w:val="28"/>
                <w:szCs w:val="28"/>
                <w:lang w:val="es-ES_tradnl"/>
              </w:rPr>
              <w:lastRenderedPageBreak/>
              <w:t xml:space="preserve">Comentarios de Cuba </w:t>
            </w:r>
            <w:bookmarkStart w:id="1" w:name="_Hlk156831773"/>
            <w:r w:rsidRPr="00B12759">
              <w:rPr>
                <w:rFonts w:ascii="Arial" w:eastAsia="Times New Roman" w:hAnsi="Arial" w:cs="Arial"/>
                <w:b/>
                <w:sz w:val="28"/>
                <w:szCs w:val="28"/>
                <w:lang w:val="es-ES_tradnl"/>
              </w:rPr>
              <w:t xml:space="preserve">sobre </w:t>
            </w:r>
            <w:r w:rsidRPr="00B12759">
              <w:rPr>
                <w:rFonts w:ascii="Arial" w:eastAsia="Times New Roman" w:hAnsi="Arial" w:cs="Arial"/>
                <w:b/>
                <w:sz w:val="28"/>
                <w:szCs w:val="28"/>
              </w:rPr>
              <w:t>solicitud de información</w:t>
            </w:r>
            <w:r>
              <w:t xml:space="preserve"> </w:t>
            </w:r>
            <w:r w:rsidR="002877F4">
              <w:rPr>
                <w:rFonts w:ascii="Arial" w:eastAsia="Times New Roman" w:hAnsi="Arial" w:cs="Arial"/>
                <w:b/>
                <w:sz w:val="28"/>
                <w:szCs w:val="28"/>
              </w:rPr>
              <w:t xml:space="preserve">relativa a </w:t>
            </w:r>
            <w:bookmarkEnd w:id="1"/>
            <w:r w:rsidR="00D156D6" w:rsidRPr="00D156D6">
              <w:rPr>
                <w:rFonts w:ascii="Arial" w:eastAsia="Times New Roman" w:hAnsi="Arial" w:cs="Arial"/>
                <w:b/>
                <w:sz w:val="28"/>
                <w:szCs w:val="28"/>
              </w:rPr>
              <w:t>la protección contra la violencia y la discriminación por motivos de orientación sexual o identidad de género, en relación con los derechos humanos a la libertad de expresión, asociación y reunión</w:t>
            </w:r>
            <w:r w:rsidR="00787BD4">
              <w:rPr>
                <w:rFonts w:ascii="Arial" w:eastAsia="Times New Roman" w:hAnsi="Arial" w:cs="Arial"/>
                <w:b/>
                <w:sz w:val="28"/>
                <w:szCs w:val="28"/>
              </w:rPr>
              <w:t xml:space="preserve">. </w:t>
            </w:r>
          </w:p>
        </w:tc>
      </w:tr>
    </w:tbl>
    <w:p w:rsidR="00126D98" w:rsidRDefault="00126D98" w:rsidP="00126D98">
      <w:pPr>
        <w:rPr>
          <w:rFonts w:cs="Arial"/>
          <w:sz w:val="28"/>
          <w:szCs w:val="28"/>
        </w:rPr>
      </w:pPr>
    </w:p>
    <w:p w:rsidR="00CE60F8" w:rsidRPr="00533D8C" w:rsidRDefault="005E7047" w:rsidP="00380212">
      <w:pPr>
        <w:spacing w:before="240" w:after="240" w:line="360" w:lineRule="auto"/>
        <w:rPr>
          <w:rFonts w:eastAsia="Times New Roman" w:cs="Arial"/>
          <w:szCs w:val="28"/>
        </w:rPr>
      </w:pPr>
      <w:r w:rsidRPr="00533D8C">
        <w:rPr>
          <w:rFonts w:eastAsia="Times New Roman" w:cs="Arial"/>
          <w:szCs w:val="28"/>
        </w:rPr>
        <w:t xml:space="preserve">En Cuba se promueve </w:t>
      </w:r>
      <w:r w:rsidR="001A7A66" w:rsidRPr="00533D8C">
        <w:rPr>
          <w:rFonts w:eastAsia="Times New Roman" w:cs="Arial"/>
          <w:szCs w:val="28"/>
        </w:rPr>
        <w:t xml:space="preserve">y respeta </w:t>
      </w:r>
      <w:r w:rsidRPr="00533D8C">
        <w:rPr>
          <w:rFonts w:eastAsia="Times New Roman" w:cs="Arial"/>
          <w:szCs w:val="28"/>
        </w:rPr>
        <w:t>el ejercicio de todas las libertades individuales y derechos de la ciudadanía, en estricto respeto a lo establecido por la Constitución y las leyes.</w:t>
      </w:r>
      <w:r w:rsidR="00851402" w:rsidRPr="00533D8C">
        <w:rPr>
          <w:rFonts w:eastAsia="Times New Roman" w:cs="Arial"/>
          <w:szCs w:val="28"/>
        </w:rPr>
        <w:t xml:space="preserve"> </w:t>
      </w:r>
    </w:p>
    <w:p w:rsidR="00CE60F8" w:rsidRPr="00533D8C" w:rsidRDefault="00CE60F8" w:rsidP="00380212">
      <w:pPr>
        <w:spacing w:before="240" w:after="240" w:line="360" w:lineRule="auto"/>
        <w:rPr>
          <w:rFonts w:eastAsia="Times New Roman" w:cs="Arial"/>
          <w:szCs w:val="28"/>
        </w:rPr>
      </w:pPr>
      <w:r w:rsidRPr="00533D8C">
        <w:rPr>
          <w:rFonts w:eastAsia="Times New Roman" w:cs="Arial"/>
          <w:szCs w:val="28"/>
        </w:rPr>
        <w:t>La Constitución de la República de Cuba</w:t>
      </w:r>
      <w:r w:rsidRPr="00533D8C">
        <w:rPr>
          <w:rStyle w:val="Refdenotaalpie"/>
          <w:rFonts w:eastAsia="Times New Roman" w:cs="Arial"/>
          <w:szCs w:val="28"/>
        </w:rPr>
        <w:footnoteReference w:id="1"/>
      </w:r>
      <w:r w:rsidRPr="00533D8C">
        <w:rPr>
          <w:rFonts w:eastAsia="Times New Roman" w:cs="Arial"/>
          <w:szCs w:val="28"/>
        </w:rPr>
        <w:t xml:space="preserve"> ratifica, en su Artículo 42, que todas las personas son iguales ante la ley. Por tanto, gozan de los mismos derechos, libertades y oportunidades, sin ninguna discriminación por razones de sexo, género, orientación sexual, identidad de género, o cualquier otra condición o circunstancia personal que implique distinción lesiva </w:t>
      </w:r>
      <w:r w:rsidR="001A7A66" w:rsidRPr="00533D8C">
        <w:rPr>
          <w:rFonts w:eastAsia="Times New Roman" w:cs="Arial"/>
          <w:szCs w:val="28"/>
        </w:rPr>
        <w:t>a</w:t>
      </w:r>
      <w:r w:rsidRPr="00533D8C">
        <w:rPr>
          <w:rFonts w:eastAsia="Times New Roman" w:cs="Arial"/>
          <w:szCs w:val="28"/>
        </w:rPr>
        <w:t xml:space="preserve"> la dignidad humana. </w:t>
      </w:r>
      <w:r w:rsidR="00B15669" w:rsidRPr="00533D8C">
        <w:rPr>
          <w:rFonts w:eastAsia="Times New Roman" w:cs="Arial"/>
          <w:szCs w:val="28"/>
        </w:rPr>
        <w:t>La violación del principio de igualdad está proscrita y es sancionada por la ley.</w:t>
      </w:r>
      <w:r w:rsidR="009A375B" w:rsidRPr="00533D8C">
        <w:rPr>
          <w:rStyle w:val="Refdenotaalpie"/>
          <w:rFonts w:eastAsia="Times New Roman" w:cs="Arial"/>
          <w:szCs w:val="28"/>
        </w:rPr>
        <w:footnoteReference w:id="2"/>
      </w:r>
    </w:p>
    <w:p w:rsidR="00533D8C" w:rsidRPr="00533D8C" w:rsidRDefault="00CE60F8" w:rsidP="00B15669">
      <w:pPr>
        <w:spacing w:before="240" w:after="240" w:line="360" w:lineRule="auto"/>
        <w:rPr>
          <w:rFonts w:eastAsia="Times New Roman" w:cs="Arial"/>
          <w:szCs w:val="28"/>
        </w:rPr>
      </w:pPr>
      <w:r w:rsidRPr="00533D8C">
        <w:rPr>
          <w:rFonts w:eastAsia="Times New Roman" w:cs="Arial"/>
          <w:szCs w:val="28"/>
        </w:rPr>
        <w:t xml:space="preserve">El Artículo 47 reconoce, además, el derecho de las personas al libre desarrollo de su personalidad, siempre bajo una conducta de respeto, fraternidad y solidaridad. </w:t>
      </w:r>
    </w:p>
    <w:p w:rsidR="00670734" w:rsidRPr="00533D8C" w:rsidRDefault="00A9240A" w:rsidP="00B15669">
      <w:pPr>
        <w:spacing w:before="240" w:after="240" w:line="360" w:lineRule="auto"/>
        <w:rPr>
          <w:rFonts w:eastAsia="Times New Roman" w:cs="Arial"/>
          <w:szCs w:val="28"/>
        </w:rPr>
      </w:pPr>
      <w:r w:rsidRPr="00533D8C">
        <w:rPr>
          <w:rFonts w:eastAsia="Times New Roman" w:cs="Arial"/>
          <w:szCs w:val="28"/>
        </w:rPr>
        <w:t xml:space="preserve">El Estado reconoce, respeta y garantiza a las personas la libertad de pensamiento, conciencia y expresión. </w:t>
      </w:r>
    </w:p>
    <w:p w:rsidR="00827FFA" w:rsidRPr="00533D8C" w:rsidRDefault="00827FFA" w:rsidP="00827FFA">
      <w:pPr>
        <w:spacing w:before="240" w:after="240" w:line="360" w:lineRule="auto"/>
        <w:rPr>
          <w:sz w:val="22"/>
        </w:rPr>
      </w:pPr>
      <w:r w:rsidRPr="00533D8C">
        <w:rPr>
          <w:rFonts w:cs="Arial"/>
          <w:szCs w:val="28"/>
        </w:rPr>
        <w:t xml:space="preserve">El </w:t>
      </w:r>
      <w:r w:rsidR="00D825E1" w:rsidRPr="00533D8C">
        <w:rPr>
          <w:rFonts w:cs="Arial"/>
          <w:szCs w:val="28"/>
        </w:rPr>
        <w:t xml:space="preserve">nuevo </w:t>
      </w:r>
      <w:r w:rsidRPr="00533D8C">
        <w:rPr>
          <w:rFonts w:cs="Arial"/>
          <w:szCs w:val="28"/>
        </w:rPr>
        <w:t>Código Penal</w:t>
      </w:r>
      <w:r w:rsidRPr="00533D8C">
        <w:rPr>
          <w:rStyle w:val="Refdenotaalpie"/>
          <w:rFonts w:cs="Arial"/>
          <w:szCs w:val="28"/>
        </w:rPr>
        <w:footnoteReference w:id="3"/>
      </w:r>
      <w:r w:rsidRPr="00533D8C">
        <w:rPr>
          <w:rFonts w:cs="Arial"/>
          <w:szCs w:val="28"/>
        </w:rPr>
        <w:t xml:space="preserve"> incluyó un Capítulo VIII titulado “Delito contra el </w:t>
      </w:r>
      <w:r w:rsidRPr="00533D8C">
        <w:rPr>
          <w:rFonts w:eastAsia="Times New Roman" w:cs="Arial"/>
          <w:szCs w:val="28"/>
        </w:rPr>
        <w:t xml:space="preserve">derecho de igualdad”, en el que se incorporó, explícitamente, que </w:t>
      </w:r>
      <w:r w:rsidRPr="00533D8C">
        <w:rPr>
          <w:rFonts w:eastAsia="Times New Roman" w:cs="Arial"/>
          <w:i/>
          <w:szCs w:val="28"/>
        </w:rPr>
        <w:t xml:space="preserve">quien discrimine a otra persona o promueva o incite a la discriminación, sea con manifestaciones y ánimo </w:t>
      </w:r>
      <w:r w:rsidRPr="00533D8C">
        <w:rPr>
          <w:rFonts w:eastAsia="Times New Roman" w:cs="Arial"/>
          <w:i/>
          <w:szCs w:val="28"/>
        </w:rPr>
        <w:lastRenderedPageBreak/>
        <w:t>ofensivo de su edad, sexo, género, orientación sexual, identidad de género, origen étnico, color de la piel, creencias religiosas, origen nacional o territorial o discapacidad, o cualquier otra lesiva a la dignidad humana, o con acciones para obstaculizarle o impedirle, por esos motivos, el ejercicio o disfrute de los derechos de igualdad establecidos en la ley, incurre en sanción de privación de libertad de seis meses a dos años o multa de doscientas a quinientas cuotas, o ambas.</w:t>
      </w:r>
    </w:p>
    <w:p w:rsidR="00B15669" w:rsidRPr="00533D8C" w:rsidRDefault="00B15669" w:rsidP="00B15669">
      <w:pPr>
        <w:spacing w:before="240" w:after="240" w:line="360" w:lineRule="auto"/>
        <w:rPr>
          <w:rFonts w:eastAsia="Times New Roman" w:cs="Arial"/>
          <w:szCs w:val="28"/>
        </w:rPr>
      </w:pPr>
      <w:r w:rsidRPr="00533D8C">
        <w:rPr>
          <w:rFonts w:eastAsia="Times New Roman" w:cs="Arial"/>
          <w:szCs w:val="28"/>
        </w:rPr>
        <w:t xml:space="preserve">La libertad de reunión pacífica, manifestación y asociación, con fines lícitos y pacíficos, también son reconocidos, siempre que se ejerzan con respeto al orden público y el acatamiento a las preceptivas establecidas en la ley. Tales derechos aparecen refrendados en los Artículos 54 y 56 del texto constitucional. </w:t>
      </w:r>
    </w:p>
    <w:p w:rsidR="00F228DE" w:rsidRPr="00533D8C" w:rsidRDefault="0019436E" w:rsidP="00380212">
      <w:pPr>
        <w:spacing w:before="240" w:after="240" w:line="360" w:lineRule="auto"/>
        <w:rPr>
          <w:rFonts w:eastAsia="Times New Roman" w:cs="Arial"/>
          <w:szCs w:val="28"/>
        </w:rPr>
      </w:pPr>
      <w:r w:rsidRPr="00533D8C">
        <w:rPr>
          <w:rFonts w:eastAsia="Times New Roman" w:cs="Arial"/>
          <w:szCs w:val="28"/>
        </w:rPr>
        <w:t>La creación del Centro Nacional de Educación Sexual (CENESEX) como entidad adscrita al Ministerio de Salud Pública, es concreción de la voluntad política del Estado de avanzar en el reconocimiento y garantía de los derechos sexuales</w:t>
      </w:r>
      <w:r w:rsidR="00E52BD3" w:rsidRPr="00533D8C">
        <w:rPr>
          <w:rFonts w:eastAsia="Times New Roman" w:cs="Arial"/>
          <w:szCs w:val="28"/>
        </w:rPr>
        <w:t xml:space="preserve"> y reproductivos, con un fuerte componente de promoción, educación y prevención</w:t>
      </w:r>
      <w:r w:rsidRPr="00533D8C">
        <w:rPr>
          <w:rFonts w:eastAsia="Times New Roman" w:cs="Arial"/>
          <w:szCs w:val="28"/>
        </w:rPr>
        <w:t>.</w:t>
      </w:r>
    </w:p>
    <w:p w:rsidR="0019436E" w:rsidRPr="00533D8C" w:rsidRDefault="00F228DE" w:rsidP="00380212">
      <w:pPr>
        <w:spacing w:before="240" w:after="240" w:line="360" w:lineRule="auto"/>
        <w:rPr>
          <w:rFonts w:eastAsia="Times New Roman" w:cs="Arial"/>
          <w:szCs w:val="28"/>
        </w:rPr>
      </w:pPr>
      <w:r w:rsidRPr="00533D8C">
        <w:rPr>
          <w:rFonts w:eastAsia="Times New Roman" w:cs="Arial"/>
          <w:szCs w:val="28"/>
        </w:rPr>
        <w:t xml:space="preserve">De 2018 a 2022, en el Centro Nacional de Educación Sexual (CENESEX) se brindó atención y asesoría a 352 casos por motivos de presunta discriminación por orientación sexual e identidad de género. De ellos, 150 por motivos de orientación sexual; 82 por razones de identidad de género; 70 por </w:t>
      </w:r>
      <w:r w:rsidR="00E52BD3" w:rsidRPr="00533D8C">
        <w:rPr>
          <w:rFonts w:eastAsia="Times New Roman" w:cs="Arial"/>
          <w:szCs w:val="28"/>
        </w:rPr>
        <w:t xml:space="preserve">presunta </w:t>
      </w:r>
      <w:r w:rsidRPr="00533D8C">
        <w:rPr>
          <w:rFonts w:eastAsia="Times New Roman" w:cs="Arial"/>
          <w:szCs w:val="28"/>
        </w:rPr>
        <w:t xml:space="preserve">violencia basada en género; 25 por violencia a personas </w:t>
      </w:r>
      <w:proofErr w:type="spellStart"/>
      <w:r w:rsidRPr="00533D8C">
        <w:rPr>
          <w:rFonts w:eastAsia="Times New Roman" w:cs="Arial"/>
          <w:szCs w:val="28"/>
        </w:rPr>
        <w:t>trans</w:t>
      </w:r>
      <w:proofErr w:type="spellEnd"/>
      <w:r w:rsidRPr="00533D8C">
        <w:rPr>
          <w:rFonts w:eastAsia="Times New Roman" w:cs="Arial"/>
          <w:szCs w:val="28"/>
        </w:rPr>
        <w:t xml:space="preserve"> y 25 p</w:t>
      </w:r>
      <w:r w:rsidR="006139DA">
        <w:rPr>
          <w:rFonts w:eastAsia="Times New Roman" w:cs="Arial"/>
          <w:szCs w:val="28"/>
        </w:rPr>
        <w:t>or violencia a personas LGBTIQ+</w:t>
      </w:r>
      <w:r w:rsidRPr="00533D8C">
        <w:rPr>
          <w:rStyle w:val="Refdenotaalpie"/>
          <w:rFonts w:eastAsia="Times New Roman" w:cs="Arial"/>
          <w:szCs w:val="28"/>
        </w:rPr>
        <w:footnoteReference w:id="4"/>
      </w:r>
      <w:r w:rsidR="006139DA">
        <w:rPr>
          <w:rFonts w:eastAsia="Times New Roman" w:cs="Arial"/>
          <w:szCs w:val="28"/>
        </w:rPr>
        <w:t>.</w:t>
      </w:r>
    </w:p>
    <w:p w:rsidR="00F228DE" w:rsidRPr="00533D8C" w:rsidRDefault="0019436E" w:rsidP="00F228DE">
      <w:pPr>
        <w:spacing w:before="240" w:after="240" w:line="360" w:lineRule="auto"/>
        <w:rPr>
          <w:rFonts w:eastAsia="Times New Roman" w:cs="Arial"/>
          <w:szCs w:val="28"/>
        </w:rPr>
      </w:pPr>
      <w:r w:rsidRPr="00533D8C">
        <w:rPr>
          <w:rFonts w:eastAsia="Times New Roman" w:cs="Arial"/>
          <w:szCs w:val="28"/>
        </w:rPr>
        <w:t>El Programa Nacional de Educación y Salud Sexual, que coordina el CENESEX, mediante su estrategia educativa</w:t>
      </w:r>
      <w:r w:rsidR="00485DFB" w:rsidRPr="00533D8C">
        <w:rPr>
          <w:rFonts w:eastAsia="Times New Roman" w:cs="Arial"/>
          <w:szCs w:val="28"/>
        </w:rPr>
        <w:t>,</w:t>
      </w:r>
      <w:r w:rsidRPr="00533D8C">
        <w:rPr>
          <w:rFonts w:eastAsia="Times New Roman" w:cs="Arial"/>
          <w:szCs w:val="28"/>
        </w:rPr>
        <w:t xml:space="preserve"> ha propiciado múltiples espacios de intercambio sobre la base de los principios de igualdad y no discriminación. En este sentido, ha desarrollado la articulación de redes sociales, debates online</w:t>
      </w:r>
      <w:r w:rsidR="00E52BD3" w:rsidRPr="00533D8C">
        <w:rPr>
          <w:rFonts w:eastAsia="Times New Roman" w:cs="Arial"/>
          <w:szCs w:val="28"/>
        </w:rPr>
        <w:t xml:space="preserve">, jornadas contra la </w:t>
      </w:r>
      <w:r w:rsidR="00E52BD3" w:rsidRPr="00533D8C">
        <w:rPr>
          <w:rFonts w:eastAsia="Times New Roman" w:cs="Arial"/>
          <w:szCs w:val="28"/>
        </w:rPr>
        <w:lastRenderedPageBreak/>
        <w:t xml:space="preserve">homofobia y la </w:t>
      </w:r>
      <w:proofErr w:type="spellStart"/>
      <w:r w:rsidR="00E52BD3" w:rsidRPr="00533D8C">
        <w:rPr>
          <w:rFonts w:eastAsia="Times New Roman" w:cs="Arial"/>
          <w:szCs w:val="28"/>
        </w:rPr>
        <w:t>transfobia</w:t>
      </w:r>
      <w:proofErr w:type="spellEnd"/>
      <w:r w:rsidRPr="00533D8C">
        <w:rPr>
          <w:rFonts w:eastAsia="Times New Roman" w:cs="Arial"/>
          <w:szCs w:val="28"/>
        </w:rPr>
        <w:t xml:space="preserve"> y campañas </w:t>
      </w:r>
      <w:r w:rsidR="00E52BD3" w:rsidRPr="00533D8C">
        <w:rPr>
          <w:rFonts w:eastAsia="Times New Roman" w:cs="Arial"/>
          <w:szCs w:val="28"/>
        </w:rPr>
        <w:t xml:space="preserve">de promoción </w:t>
      </w:r>
      <w:r w:rsidRPr="00533D8C">
        <w:rPr>
          <w:rFonts w:eastAsia="Times New Roman" w:cs="Arial"/>
          <w:szCs w:val="28"/>
        </w:rPr>
        <w:t xml:space="preserve">por el respeto a la libre orientación sexual. </w:t>
      </w:r>
    </w:p>
    <w:p w:rsidR="004C2D8F" w:rsidRPr="00533D8C" w:rsidRDefault="00485DFB" w:rsidP="00380212">
      <w:pPr>
        <w:spacing w:before="240" w:after="240" w:line="360" w:lineRule="auto"/>
        <w:rPr>
          <w:rFonts w:eastAsia="Times New Roman" w:cs="Arial"/>
          <w:szCs w:val="28"/>
        </w:rPr>
      </w:pPr>
      <w:r w:rsidRPr="00533D8C">
        <w:rPr>
          <w:rFonts w:eastAsia="Times New Roman" w:cs="Arial"/>
          <w:szCs w:val="28"/>
        </w:rPr>
        <w:t>La resolución No. 126 de 2008, emitida por el Ministro de Salud Pública y dirigida desde el CENESEX, establece garantías institucionales y materiales para el ejercicio de los derechos sexuales relativos a la libertad sexual, la autonomía, integridad y seguridad sexuales, así como la educación y atención de salud sexuales de forma universal y gratuita. Además, esta disposición asegura la posibilidad de expresar física y emocionalmente la sexualidad tal y como dese</w:t>
      </w:r>
      <w:r w:rsidR="00E52BD3" w:rsidRPr="00533D8C">
        <w:rPr>
          <w:rFonts w:eastAsia="Times New Roman" w:cs="Arial"/>
          <w:szCs w:val="28"/>
        </w:rPr>
        <w:t>e</w:t>
      </w:r>
      <w:r w:rsidRPr="00533D8C">
        <w:rPr>
          <w:rFonts w:eastAsia="Times New Roman" w:cs="Arial"/>
          <w:szCs w:val="28"/>
        </w:rPr>
        <w:t xml:space="preserve">n las personas transexuales. </w:t>
      </w:r>
    </w:p>
    <w:p w:rsidR="00485DFB" w:rsidRPr="00533D8C" w:rsidRDefault="00336541" w:rsidP="00380212">
      <w:pPr>
        <w:spacing w:before="240" w:after="240" w:line="360" w:lineRule="auto"/>
        <w:rPr>
          <w:rFonts w:eastAsia="Times New Roman" w:cs="Arial"/>
          <w:szCs w:val="28"/>
        </w:rPr>
      </w:pPr>
      <w:r w:rsidRPr="00533D8C">
        <w:rPr>
          <w:rFonts w:eastAsia="Times New Roman" w:cs="Arial"/>
          <w:szCs w:val="28"/>
        </w:rPr>
        <w:t>Por otra parte, e</w:t>
      </w:r>
      <w:r w:rsidR="004C2D8F" w:rsidRPr="00533D8C">
        <w:rPr>
          <w:rFonts w:eastAsia="Times New Roman" w:cs="Arial"/>
          <w:szCs w:val="28"/>
        </w:rPr>
        <w:t xml:space="preserve">l Artículo 92 de la Constitución establece que el Estado garantiza, de conformidad con la ley, que las personas puedan acceder a los órganos judiciales a fin de obtener una tutela efectiva de sus derechos e intereses legítimos. Las decisiones judiciales son de obligatorio cumplimiento y su irrespeto deriva responsabilidad para quien la incumpla. </w:t>
      </w:r>
    </w:p>
    <w:p w:rsidR="00E52BD3" w:rsidRPr="00533D8C" w:rsidRDefault="00485DFB" w:rsidP="00380212">
      <w:pPr>
        <w:spacing w:before="240" w:after="240" w:line="360" w:lineRule="auto"/>
        <w:rPr>
          <w:rFonts w:eastAsia="Times New Roman" w:cs="Arial"/>
          <w:szCs w:val="28"/>
        </w:rPr>
      </w:pPr>
      <w:r w:rsidRPr="00533D8C">
        <w:rPr>
          <w:rFonts w:eastAsia="Times New Roman" w:cs="Arial"/>
          <w:szCs w:val="28"/>
        </w:rPr>
        <w:t>En consecuencia, s</w:t>
      </w:r>
      <w:r w:rsidR="006B701A" w:rsidRPr="00533D8C">
        <w:rPr>
          <w:rFonts w:eastAsia="Times New Roman" w:cs="Arial"/>
          <w:szCs w:val="28"/>
        </w:rPr>
        <w:t xml:space="preserve">e </w:t>
      </w:r>
      <w:r w:rsidRPr="00533D8C">
        <w:rPr>
          <w:rFonts w:eastAsia="Times New Roman" w:cs="Arial"/>
          <w:szCs w:val="28"/>
        </w:rPr>
        <w:t xml:space="preserve">ha </w:t>
      </w:r>
      <w:r w:rsidR="006B701A" w:rsidRPr="00533D8C">
        <w:rPr>
          <w:rFonts w:eastAsia="Times New Roman" w:cs="Arial"/>
          <w:szCs w:val="28"/>
        </w:rPr>
        <w:t>fortalec</w:t>
      </w:r>
      <w:r w:rsidRPr="00533D8C">
        <w:rPr>
          <w:rFonts w:eastAsia="Times New Roman" w:cs="Arial"/>
          <w:szCs w:val="28"/>
        </w:rPr>
        <w:t>ido</w:t>
      </w:r>
      <w:r w:rsidR="006B701A" w:rsidRPr="00533D8C">
        <w:rPr>
          <w:rFonts w:eastAsia="Times New Roman" w:cs="Arial"/>
          <w:szCs w:val="28"/>
        </w:rPr>
        <w:t xml:space="preserve"> el acceso a los órganos judiciales para la tutela efectiva de los derechos y el debido proceso como garantía a la seguridad jurídica.</w:t>
      </w:r>
      <w:r w:rsidR="004C2D8F" w:rsidRPr="00533D8C">
        <w:rPr>
          <w:rFonts w:eastAsia="Times New Roman" w:cs="Arial"/>
          <w:szCs w:val="28"/>
        </w:rPr>
        <w:t xml:space="preserve"> </w:t>
      </w:r>
    </w:p>
    <w:p w:rsidR="006B701A" w:rsidRPr="00533D8C" w:rsidRDefault="004C2D8F" w:rsidP="00380212">
      <w:pPr>
        <w:spacing w:before="240" w:after="240" w:line="360" w:lineRule="auto"/>
        <w:rPr>
          <w:rFonts w:eastAsia="Times New Roman" w:cs="Arial"/>
          <w:szCs w:val="28"/>
        </w:rPr>
      </w:pPr>
      <w:r w:rsidRPr="00533D8C">
        <w:rPr>
          <w:rFonts w:eastAsia="Times New Roman" w:cs="Arial"/>
          <w:szCs w:val="28"/>
        </w:rPr>
        <w:t>Se constituyó la Dirección Nacional de Defensoría para la tutela urgente de los intereses de las personas en situaciones de vulnerabilidad en los entornos civil, familiar, laboral y mercantil.</w:t>
      </w:r>
    </w:p>
    <w:p w:rsidR="006B701A" w:rsidRPr="00533D8C" w:rsidRDefault="006B701A" w:rsidP="00380212">
      <w:pPr>
        <w:spacing w:before="240" w:after="240" w:line="360" w:lineRule="auto"/>
        <w:rPr>
          <w:rFonts w:eastAsia="Times New Roman" w:cs="Arial"/>
          <w:szCs w:val="28"/>
        </w:rPr>
      </w:pPr>
      <w:r w:rsidRPr="00533D8C">
        <w:rPr>
          <w:rFonts w:eastAsia="Times New Roman" w:cs="Arial"/>
          <w:szCs w:val="28"/>
        </w:rPr>
        <w:t>La Ley No. 153 de 2022</w:t>
      </w:r>
      <w:r w:rsidR="00485DFB" w:rsidRPr="00533D8C">
        <w:rPr>
          <w:rStyle w:val="Refdenotaalpie"/>
          <w:rFonts w:eastAsia="Times New Roman" w:cs="Arial"/>
          <w:szCs w:val="28"/>
        </w:rPr>
        <w:footnoteReference w:id="5"/>
      </w:r>
      <w:r w:rsidRPr="00533D8C">
        <w:rPr>
          <w:rFonts w:eastAsia="Times New Roman" w:cs="Arial"/>
          <w:szCs w:val="28"/>
        </w:rPr>
        <w:t>, “Ley del proceso de amparo de los derechos constitucionales”, brinda la protección de los derechos reconocidos en el texto constitucional. Son motivo de reclamación todos los derechos reconocidos en la Constitución de la República, que no tengan una vía de defensa propia en procesos judiciales de otra materia.</w:t>
      </w:r>
    </w:p>
    <w:p w:rsidR="00502F99" w:rsidRPr="00533D8C" w:rsidRDefault="00502F99" w:rsidP="00380212">
      <w:pPr>
        <w:spacing w:before="240" w:after="240" w:line="360" w:lineRule="auto"/>
        <w:rPr>
          <w:rFonts w:eastAsia="Times New Roman" w:cs="Arial"/>
          <w:szCs w:val="28"/>
        </w:rPr>
      </w:pPr>
      <w:r w:rsidRPr="00533D8C">
        <w:rPr>
          <w:rFonts w:eastAsia="Times New Roman" w:cs="Arial"/>
          <w:szCs w:val="28"/>
        </w:rPr>
        <w:lastRenderedPageBreak/>
        <w:t>La Ley No 141 de 2021 “Código de Procesos”</w:t>
      </w:r>
      <w:r w:rsidR="004C2D8F" w:rsidRPr="00533D8C">
        <w:rPr>
          <w:rStyle w:val="Refdenotaalpie"/>
          <w:rFonts w:eastAsia="Times New Roman" w:cs="Arial"/>
          <w:szCs w:val="28"/>
        </w:rPr>
        <w:footnoteReference w:id="6"/>
      </w:r>
      <w:r w:rsidRPr="00533D8C">
        <w:rPr>
          <w:rFonts w:eastAsia="Times New Roman" w:cs="Arial"/>
          <w:szCs w:val="28"/>
        </w:rPr>
        <w:t xml:space="preserve">, </w:t>
      </w:r>
      <w:r w:rsidR="004C2D8F" w:rsidRPr="00533D8C">
        <w:rPr>
          <w:rFonts w:eastAsia="Times New Roman" w:cs="Arial"/>
          <w:szCs w:val="28"/>
        </w:rPr>
        <w:t>r</w:t>
      </w:r>
      <w:r w:rsidRPr="00533D8C">
        <w:rPr>
          <w:rFonts w:eastAsia="Times New Roman" w:cs="Arial"/>
          <w:szCs w:val="28"/>
        </w:rPr>
        <w:t>egula lo relativo a las nulidades procesales en caso de violación de las garantías del debido proceso, incumplimiento las formalidades legales, se produce indefensión o algún perjuicio irreparable a cualquiera de las partes.</w:t>
      </w:r>
    </w:p>
    <w:p w:rsidR="0062674E" w:rsidRPr="00533D8C" w:rsidRDefault="00502F99" w:rsidP="00502F99">
      <w:pPr>
        <w:spacing w:before="240" w:after="240" w:line="360" w:lineRule="auto"/>
        <w:rPr>
          <w:rFonts w:eastAsia="Times New Roman" w:cs="Arial"/>
          <w:szCs w:val="28"/>
        </w:rPr>
      </w:pPr>
      <w:r w:rsidRPr="00533D8C">
        <w:rPr>
          <w:rFonts w:eastAsia="Times New Roman" w:cs="Arial"/>
          <w:szCs w:val="28"/>
        </w:rPr>
        <w:t>En el ámbito familiar, el Código de las Familias</w:t>
      </w:r>
      <w:r w:rsidR="004C2D8F" w:rsidRPr="00533D8C">
        <w:rPr>
          <w:rStyle w:val="Refdenotaalpie"/>
          <w:rFonts w:eastAsia="Times New Roman" w:cs="Arial"/>
          <w:szCs w:val="28"/>
        </w:rPr>
        <w:footnoteReference w:id="7"/>
      </w:r>
      <w:r w:rsidRPr="00533D8C">
        <w:rPr>
          <w:rFonts w:eastAsia="Times New Roman" w:cs="Arial"/>
          <w:szCs w:val="28"/>
        </w:rPr>
        <w:t xml:space="preserve"> establece que todos los asuntos sobre discriminación y violencia son de tutela urgente. La víctima tiene derecho a establecer denuncia y solicitar protección inmediata.</w:t>
      </w:r>
    </w:p>
    <w:p w:rsidR="0062674E" w:rsidRPr="00533D8C" w:rsidRDefault="0062674E" w:rsidP="0062674E">
      <w:pPr>
        <w:spacing w:before="240" w:after="240" w:line="360" w:lineRule="auto"/>
        <w:rPr>
          <w:rFonts w:eastAsia="Times New Roman" w:cs="Arial"/>
          <w:szCs w:val="28"/>
        </w:rPr>
      </w:pPr>
      <w:r w:rsidRPr="00533D8C">
        <w:rPr>
          <w:rFonts w:eastAsia="Times New Roman" w:cs="Arial"/>
          <w:szCs w:val="28"/>
        </w:rPr>
        <w:t>Además, reconoce como discriminación en el ámbito familiar toda acción u omisión que tenga por objeto o por resultado excluir, limitar o marginar por razones de orientación sexual o identidad de género, o cualquier otra condición o circunstancia personal que implique una distinción lesiva para la dignidad humana.</w:t>
      </w:r>
    </w:p>
    <w:p w:rsidR="00B2458E" w:rsidRPr="00533D8C" w:rsidRDefault="0062674E" w:rsidP="00502F99">
      <w:pPr>
        <w:spacing w:before="240" w:after="240" w:line="360" w:lineRule="auto"/>
        <w:rPr>
          <w:rFonts w:eastAsia="Times New Roman" w:cs="Arial"/>
          <w:szCs w:val="28"/>
        </w:rPr>
      </w:pPr>
      <w:r w:rsidRPr="00533D8C">
        <w:rPr>
          <w:rFonts w:eastAsia="Times New Roman" w:cs="Arial"/>
          <w:szCs w:val="28"/>
        </w:rPr>
        <w:t>La Ley de Comunicación Social de 2023 establece que e</w:t>
      </w:r>
      <w:r w:rsidR="00B2458E" w:rsidRPr="00533D8C">
        <w:rPr>
          <w:rFonts w:eastAsia="Times New Roman" w:cs="Arial"/>
          <w:szCs w:val="28"/>
        </w:rPr>
        <w:t>l Sistema de Comunicación Social debe respetar la diversidad cultural, sin discriminación por razones de sexo, género, orientación sexual</w:t>
      </w:r>
      <w:r w:rsidRPr="00533D8C">
        <w:rPr>
          <w:rFonts w:eastAsia="Times New Roman" w:cs="Arial"/>
          <w:szCs w:val="28"/>
        </w:rPr>
        <w:t xml:space="preserve"> e </w:t>
      </w:r>
      <w:r w:rsidR="00B2458E" w:rsidRPr="00533D8C">
        <w:rPr>
          <w:rFonts w:eastAsia="Times New Roman" w:cs="Arial"/>
          <w:szCs w:val="28"/>
        </w:rPr>
        <w:t>identidad de género</w:t>
      </w:r>
      <w:r w:rsidRPr="00533D8C">
        <w:rPr>
          <w:rFonts w:eastAsia="Times New Roman" w:cs="Arial"/>
          <w:szCs w:val="28"/>
        </w:rPr>
        <w:t>. Asimismo, debe c</w:t>
      </w:r>
      <w:r w:rsidR="00B2458E" w:rsidRPr="00533D8C">
        <w:rPr>
          <w:rFonts w:eastAsia="Times New Roman" w:cs="Arial"/>
          <w:szCs w:val="28"/>
        </w:rPr>
        <w:t xml:space="preserve">ontribuir a la cultura del diálogo y el consenso en la sociedad. </w:t>
      </w:r>
    </w:p>
    <w:p w:rsidR="00A3679C" w:rsidRPr="00533D8C" w:rsidRDefault="0062674E" w:rsidP="00502F99">
      <w:pPr>
        <w:spacing w:before="240" w:after="240" w:line="360" w:lineRule="auto"/>
        <w:rPr>
          <w:rFonts w:eastAsia="Times New Roman" w:cs="Arial"/>
          <w:szCs w:val="28"/>
        </w:rPr>
      </w:pPr>
      <w:r w:rsidRPr="00533D8C">
        <w:rPr>
          <w:rFonts w:eastAsia="Times New Roman" w:cs="Arial"/>
          <w:szCs w:val="28"/>
        </w:rPr>
        <w:t>Al respecto, el A</w:t>
      </w:r>
      <w:r w:rsidR="00A3679C" w:rsidRPr="00533D8C">
        <w:rPr>
          <w:rFonts w:eastAsia="Times New Roman" w:cs="Arial"/>
          <w:szCs w:val="28"/>
        </w:rPr>
        <w:t>rtículo 11</w:t>
      </w:r>
      <w:r w:rsidRPr="00533D8C">
        <w:rPr>
          <w:rFonts w:eastAsia="Times New Roman" w:cs="Arial"/>
          <w:szCs w:val="28"/>
        </w:rPr>
        <w:t xml:space="preserve"> refrenda que l</w:t>
      </w:r>
      <w:r w:rsidR="00A3679C" w:rsidRPr="00533D8C">
        <w:rPr>
          <w:rFonts w:eastAsia="Times New Roman" w:cs="Arial"/>
          <w:szCs w:val="28"/>
        </w:rPr>
        <w:t xml:space="preserve">os contenidos deben promover la inclusión y la convivencia social. En ningún caso pueden acosar, coaccionar o discriminar a una persona o grupos por razones de orientación sexual o identidad de género. </w:t>
      </w:r>
    </w:p>
    <w:p w:rsidR="00380212" w:rsidRPr="00533D8C" w:rsidRDefault="00A3679C" w:rsidP="00380212">
      <w:pPr>
        <w:spacing w:before="240" w:after="240" w:line="360" w:lineRule="auto"/>
        <w:rPr>
          <w:rFonts w:eastAsia="Times New Roman" w:cs="Arial"/>
          <w:szCs w:val="28"/>
        </w:rPr>
      </w:pPr>
      <w:r w:rsidRPr="00533D8C">
        <w:rPr>
          <w:rFonts w:eastAsia="Times New Roman" w:cs="Arial"/>
          <w:szCs w:val="28"/>
        </w:rPr>
        <w:t>Las personas naturales y jurídicas, cuando se consideren injustamente afectadas por contenidos divulgados a través de los medios de comunicación social u otra vía que facilite su conocimiento público, tienen derecho a interesar la rectificación o aclaración de hechos y conceptos referidos en esos contenidos.</w:t>
      </w:r>
    </w:p>
    <w:p w:rsidR="00E52BD3" w:rsidRPr="00533D8C" w:rsidRDefault="0062674E" w:rsidP="00380212">
      <w:pPr>
        <w:spacing w:before="240" w:after="240" w:line="360" w:lineRule="auto"/>
        <w:rPr>
          <w:rFonts w:eastAsia="Times New Roman" w:cs="Arial"/>
          <w:szCs w:val="28"/>
        </w:rPr>
      </w:pPr>
      <w:r w:rsidRPr="00533D8C">
        <w:rPr>
          <w:rFonts w:eastAsia="Times New Roman" w:cs="Arial"/>
          <w:szCs w:val="28"/>
        </w:rPr>
        <w:lastRenderedPageBreak/>
        <w:t xml:space="preserve">Como parte del profundo compromiso con la justicia social y la defensa de la plena igualdad de todos los cubanos y cubanas, se ha favorecido la ampliación de espacios de diálogo e interacción sobre estos temas desde posiciones de respeto, comprensión y sensibilización. </w:t>
      </w:r>
    </w:p>
    <w:p w:rsidR="0062674E" w:rsidRPr="00533D8C" w:rsidRDefault="0062674E" w:rsidP="00380212">
      <w:pPr>
        <w:spacing w:before="240" w:after="240" w:line="360" w:lineRule="auto"/>
        <w:rPr>
          <w:rFonts w:eastAsia="Times New Roman" w:cs="Arial"/>
          <w:szCs w:val="28"/>
        </w:rPr>
      </w:pPr>
      <w:r w:rsidRPr="00533D8C">
        <w:rPr>
          <w:rFonts w:eastAsia="Times New Roman" w:cs="Arial"/>
          <w:szCs w:val="28"/>
        </w:rPr>
        <w:t>Asimismo, se han intensificado las campañas de concienciación para combatir los estereotipos y la discriminación por cualquier motivo. Se capacita a los funcionarios públicos para la atención a estas temáticas.</w:t>
      </w:r>
    </w:p>
    <w:sectPr w:rsidR="0062674E" w:rsidRPr="00533D8C" w:rsidSect="00004754">
      <w:headerReference w:type="default" r:id="rId8"/>
      <w:footerReference w:type="default" r:id="rId9"/>
      <w:headerReference w:type="first" r:id="rId10"/>
      <w:footerReference w:type="first" r:id="rId11"/>
      <w:pgSz w:w="12242" w:h="15842"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FA5" w:rsidRDefault="00E92FA5" w:rsidP="00686C16">
      <w:r>
        <w:separator/>
      </w:r>
    </w:p>
  </w:endnote>
  <w:endnote w:type="continuationSeparator" w:id="0">
    <w:p w:rsidR="00E92FA5" w:rsidRDefault="00E92FA5" w:rsidP="00686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129527"/>
      <w:docPartObj>
        <w:docPartGallery w:val="Page Numbers (Bottom of Page)"/>
        <w:docPartUnique/>
      </w:docPartObj>
    </w:sdtPr>
    <w:sdtEndPr/>
    <w:sdtContent>
      <w:p w:rsidR="000C3A11" w:rsidRDefault="000C3A11">
        <w:pPr>
          <w:pStyle w:val="Piedepgina"/>
          <w:jc w:val="right"/>
        </w:pPr>
        <w:r>
          <w:fldChar w:fldCharType="begin"/>
        </w:r>
        <w:r>
          <w:instrText>PAGE   \* MERGEFORMAT</w:instrText>
        </w:r>
        <w:r>
          <w:fldChar w:fldCharType="separate"/>
        </w:r>
        <w:r w:rsidR="00865AE7">
          <w:rPr>
            <w:noProof/>
          </w:rPr>
          <w:t>6</w:t>
        </w:r>
        <w:r>
          <w:fldChar w:fldCharType="end"/>
        </w:r>
      </w:p>
    </w:sdtContent>
  </w:sdt>
  <w:p w:rsidR="00004754" w:rsidRDefault="00004754" w:rsidP="00004754">
    <w:pPr>
      <w:pStyle w:val="Piedepgina"/>
      <w:jc w:val="center"/>
      <w:rPr>
        <w:rFonts w:ascii="Century Gothic" w:hAnsi="Century Gothic"/>
        <w:color w:val="191497"/>
        <w:sz w:val="16"/>
        <w:szCs w:val="16"/>
      </w:rPr>
    </w:pPr>
    <w:r>
      <w:rPr>
        <w:rFonts w:ascii="Century Gothic" w:hAnsi="Century Gothic"/>
        <w:color w:val="191497"/>
        <w:sz w:val="16"/>
        <w:szCs w:val="16"/>
      </w:rPr>
      <w:t>Misión Permanente ante la Oficina de las Naciones Unidas en Ginebra y los Organismos Internacionales en Suiza</w:t>
    </w:r>
  </w:p>
  <w:p w:rsidR="00004754" w:rsidRDefault="00004754" w:rsidP="00004754">
    <w:pPr>
      <w:pStyle w:val="Piedepgina"/>
      <w:jc w:val="center"/>
      <w:rPr>
        <w:rFonts w:ascii="Century Gothic" w:hAnsi="Century Gothic"/>
        <w:color w:val="191497"/>
        <w:sz w:val="16"/>
        <w:szCs w:val="16"/>
        <w:lang w:val="fr-CH"/>
      </w:rPr>
    </w:pPr>
    <w:proofErr w:type="gramStart"/>
    <w:r>
      <w:rPr>
        <w:rFonts w:ascii="Century Gothic" w:hAnsi="Century Gothic"/>
        <w:color w:val="191497"/>
        <w:sz w:val="16"/>
        <w:szCs w:val="16"/>
        <w:lang w:val="fr-CH"/>
      </w:rPr>
      <w:t>Dirección:</w:t>
    </w:r>
    <w:proofErr w:type="gramEnd"/>
    <w:r>
      <w:rPr>
        <w:rFonts w:ascii="Century Gothic" w:hAnsi="Century Gothic"/>
        <w:color w:val="191497"/>
        <w:sz w:val="16"/>
        <w:szCs w:val="16"/>
        <w:lang w:val="fr-CH"/>
      </w:rPr>
      <w:t xml:space="preserve"> Chemin de Valérie 100. 1292. Chambésy Ginebra. </w:t>
    </w:r>
  </w:p>
  <w:p w:rsidR="00004754" w:rsidRDefault="00004754" w:rsidP="00004754">
    <w:pPr>
      <w:pStyle w:val="Piedepgina"/>
      <w:jc w:val="center"/>
      <w:rPr>
        <w:rFonts w:ascii="Century Gothic" w:hAnsi="Century Gothic"/>
        <w:color w:val="191497"/>
        <w:sz w:val="16"/>
        <w:szCs w:val="16"/>
        <w:lang w:val="fr-CH"/>
      </w:rPr>
    </w:pPr>
    <w:proofErr w:type="spellStart"/>
    <w:proofErr w:type="gramStart"/>
    <w:r>
      <w:rPr>
        <w:rFonts w:ascii="Century Gothic" w:hAnsi="Century Gothic"/>
        <w:color w:val="191497"/>
        <w:sz w:val="16"/>
        <w:szCs w:val="16"/>
        <w:lang w:val="fr-CH"/>
      </w:rPr>
      <w:t>Teléfonos</w:t>
    </w:r>
    <w:proofErr w:type="spellEnd"/>
    <w:r>
      <w:rPr>
        <w:rFonts w:ascii="Century Gothic" w:hAnsi="Century Gothic"/>
        <w:color w:val="191497"/>
        <w:sz w:val="16"/>
        <w:szCs w:val="16"/>
        <w:lang w:val="fr-CH"/>
      </w:rPr>
      <w:t>:</w:t>
    </w:r>
    <w:proofErr w:type="gramEnd"/>
    <w:r>
      <w:rPr>
        <w:rFonts w:ascii="Century Gothic" w:hAnsi="Century Gothic"/>
        <w:color w:val="191497"/>
        <w:sz w:val="16"/>
        <w:szCs w:val="16"/>
        <w:lang w:val="fr-CH"/>
      </w:rPr>
      <w:t xml:space="preserve"> (41) 22 758 94 30  Email: embacuba@ch.embacuba.cu</w:t>
    </w:r>
  </w:p>
  <w:p w:rsidR="000C3A11" w:rsidRPr="00004754" w:rsidRDefault="00004754" w:rsidP="00004754">
    <w:pPr>
      <w:pStyle w:val="Piedepgina"/>
      <w:jc w:val="center"/>
      <w:rPr>
        <w:rFonts w:ascii="Century Gothic" w:hAnsi="Century Gothic"/>
        <w:color w:val="191497"/>
        <w:sz w:val="16"/>
        <w:szCs w:val="16"/>
        <w:lang w:val="fr-CH"/>
      </w:rPr>
    </w:pPr>
    <w:proofErr w:type="spellStart"/>
    <w:r>
      <w:rPr>
        <w:rFonts w:ascii="Century Gothic" w:hAnsi="Century Gothic"/>
        <w:color w:val="191497"/>
        <w:sz w:val="16"/>
        <w:szCs w:val="16"/>
        <w:lang w:val="fr-CH"/>
      </w:rPr>
      <w:t>Redes</w:t>
    </w:r>
    <w:proofErr w:type="spellEnd"/>
    <w:r>
      <w:rPr>
        <w:rFonts w:ascii="Century Gothic" w:hAnsi="Century Gothic"/>
        <w:color w:val="191497"/>
        <w:sz w:val="16"/>
        <w:szCs w:val="16"/>
        <w:lang w:val="fr-CH"/>
      </w:rPr>
      <w:t xml:space="preserve"> </w:t>
    </w:r>
    <w:proofErr w:type="gramStart"/>
    <w:r>
      <w:rPr>
        <w:rFonts w:ascii="Century Gothic" w:hAnsi="Century Gothic"/>
        <w:color w:val="191497"/>
        <w:sz w:val="16"/>
        <w:szCs w:val="16"/>
        <w:lang w:val="fr-CH"/>
      </w:rPr>
      <w:t>sociales:</w:t>
    </w:r>
    <w:proofErr w:type="gramEnd"/>
    <w:r>
      <w:rPr>
        <w:rFonts w:ascii="Century Gothic" w:hAnsi="Century Gothic"/>
        <w:color w:val="191497"/>
        <w:sz w:val="16"/>
        <w:szCs w:val="16"/>
        <w:lang w:val="fr-CH"/>
      </w:rPr>
      <w:t xml:space="preserve"> @</w:t>
    </w:r>
    <w:proofErr w:type="spellStart"/>
    <w:r>
      <w:rPr>
        <w:rFonts w:ascii="Century Gothic" w:hAnsi="Century Gothic"/>
        <w:color w:val="191497"/>
        <w:sz w:val="16"/>
        <w:szCs w:val="16"/>
        <w:lang w:val="fr-CH"/>
      </w:rPr>
      <w:t>MisionCubaONUG</w:t>
    </w:r>
    <w:proofErr w:type="spellEnd"/>
    <w:r>
      <w:rPr>
        <w:rFonts w:ascii="Century Gothic" w:hAnsi="Century Gothic"/>
        <w:color w:val="191497"/>
        <w:sz w:val="16"/>
        <w:szCs w:val="16"/>
        <w:lang w:val="fr-CH"/>
      </w:rPr>
      <w:t xml:space="preserve"> (Twitter)@</w:t>
    </w:r>
    <w:proofErr w:type="spellStart"/>
    <w:r>
      <w:rPr>
        <w:rFonts w:ascii="Century Gothic" w:hAnsi="Century Gothic"/>
        <w:color w:val="191497"/>
        <w:sz w:val="16"/>
        <w:szCs w:val="16"/>
        <w:lang w:val="fr-CH"/>
      </w:rPr>
      <w:t>misioncubaginebra</w:t>
    </w:r>
    <w:proofErr w:type="spellEnd"/>
    <w:r>
      <w:rPr>
        <w:rFonts w:ascii="Century Gothic" w:hAnsi="Century Gothic"/>
        <w:color w:val="191497"/>
        <w:sz w:val="16"/>
        <w:szCs w:val="16"/>
        <w:lang w:val="fr-CH"/>
      </w:rPr>
      <w:t xml:space="preserve"> (Facebook)</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AE9" w:rsidRDefault="003A1AE9" w:rsidP="003A1AE9">
    <w:pPr>
      <w:pStyle w:val="Piedepgina"/>
      <w:jc w:val="center"/>
      <w:rPr>
        <w:rFonts w:ascii="Century Gothic" w:hAnsi="Century Gothic"/>
        <w:color w:val="191497"/>
        <w:sz w:val="16"/>
        <w:szCs w:val="16"/>
      </w:rPr>
    </w:pPr>
    <w:r>
      <w:rPr>
        <w:rFonts w:ascii="Century Gothic" w:hAnsi="Century Gothic"/>
        <w:color w:val="191497"/>
        <w:sz w:val="16"/>
        <w:szCs w:val="16"/>
      </w:rPr>
      <w:t>Misión Permanente ante la Oficina de las Naciones Unidas en Ginebra y los Organismos Internacionales en Suiza</w:t>
    </w:r>
  </w:p>
  <w:p w:rsidR="003A1AE9" w:rsidRDefault="003A1AE9" w:rsidP="003A1AE9">
    <w:pPr>
      <w:pStyle w:val="Piedepgina"/>
      <w:jc w:val="center"/>
      <w:rPr>
        <w:rFonts w:ascii="Century Gothic" w:hAnsi="Century Gothic"/>
        <w:color w:val="191497"/>
        <w:sz w:val="16"/>
        <w:szCs w:val="16"/>
        <w:lang w:val="fr-CH"/>
      </w:rPr>
    </w:pPr>
    <w:proofErr w:type="gramStart"/>
    <w:r>
      <w:rPr>
        <w:rFonts w:ascii="Century Gothic" w:hAnsi="Century Gothic"/>
        <w:color w:val="191497"/>
        <w:sz w:val="16"/>
        <w:szCs w:val="16"/>
        <w:lang w:val="fr-CH"/>
      </w:rPr>
      <w:t>Dirección:</w:t>
    </w:r>
    <w:proofErr w:type="gramEnd"/>
    <w:r>
      <w:rPr>
        <w:rFonts w:ascii="Century Gothic" w:hAnsi="Century Gothic"/>
        <w:color w:val="191497"/>
        <w:sz w:val="16"/>
        <w:szCs w:val="16"/>
        <w:lang w:val="fr-CH"/>
      </w:rPr>
      <w:t xml:space="preserve"> Chemin de Valérie 100. 1292. Chambésy Ginebra. </w:t>
    </w:r>
  </w:p>
  <w:p w:rsidR="003A1AE9" w:rsidRDefault="003A1AE9" w:rsidP="003A1AE9">
    <w:pPr>
      <w:pStyle w:val="Piedepgina"/>
      <w:jc w:val="center"/>
      <w:rPr>
        <w:rFonts w:ascii="Century Gothic" w:hAnsi="Century Gothic"/>
        <w:color w:val="191497"/>
        <w:sz w:val="16"/>
        <w:szCs w:val="16"/>
        <w:lang w:val="fr-CH"/>
      </w:rPr>
    </w:pPr>
    <w:proofErr w:type="spellStart"/>
    <w:proofErr w:type="gramStart"/>
    <w:r>
      <w:rPr>
        <w:rFonts w:ascii="Century Gothic" w:hAnsi="Century Gothic"/>
        <w:color w:val="191497"/>
        <w:sz w:val="16"/>
        <w:szCs w:val="16"/>
        <w:lang w:val="fr-CH"/>
      </w:rPr>
      <w:t>Teléfonos</w:t>
    </w:r>
    <w:proofErr w:type="spellEnd"/>
    <w:r>
      <w:rPr>
        <w:rFonts w:ascii="Century Gothic" w:hAnsi="Century Gothic"/>
        <w:color w:val="191497"/>
        <w:sz w:val="16"/>
        <w:szCs w:val="16"/>
        <w:lang w:val="fr-CH"/>
      </w:rPr>
      <w:t>:</w:t>
    </w:r>
    <w:proofErr w:type="gramEnd"/>
    <w:r>
      <w:rPr>
        <w:rFonts w:ascii="Century Gothic" w:hAnsi="Century Gothic"/>
        <w:color w:val="191497"/>
        <w:sz w:val="16"/>
        <w:szCs w:val="16"/>
        <w:lang w:val="fr-CH"/>
      </w:rPr>
      <w:t xml:space="preserve"> (41) 22 758 94 30  Email: embacuba@ch.embacuba.cu</w:t>
    </w:r>
  </w:p>
  <w:p w:rsidR="00B41AAE" w:rsidRPr="003A1AE9" w:rsidRDefault="003A1AE9" w:rsidP="003A1AE9">
    <w:pPr>
      <w:pStyle w:val="Piedepgina"/>
      <w:jc w:val="center"/>
      <w:rPr>
        <w:rFonts w:ascii="Century Gothic" w:hAnsi="Century Gothic"/>
        <w:color w:val="191497"/>
        <w:sz w:val="16"/>
        <w:szCs w:val="16"/>
        <w:lang w:val="fr-CH"/>
      </w:rPr>
    </w:pPr>
    <w:proofErr w:type="spellStart"/>
    <w:r>
      <w:rPr>
        <w:rFonts w:ascii="Century Gothic" w:hAnsi="Century Gothic"/>
        <w:color w:val="191497"/>
        <w:sz w:val="16"/>
        <w:szCs w:val="16"/>
        <w:lang w:val="fr-CH"/>
      </w:rPr>
      <w:t>Redes</w:t>
    </w:r>
    <w:proofErr w:type="spellEnd"/>
    <w:r>
      <w:rPr>
        <w:rFonts w:ascii="Century Gothic" w:hAnsi="Century Gothic"/>
        <w:color w:val="191497"/>
        <w:sz w:val="16"/>
        <w:szCs w:val="16"/>
        <w:lang w:val="fr-CH"/>
      </w:rPr>
      <w:t xml:space="preserve"> </w:t>
    </w:r>
    <w:proofErr w:type="gramStart"/>
    <w:r>
      <w:rPr>
        <w:rFonts w:ascii="Century Gothic" w:hAnsi="Century Gothic"/>
        <w:color w:val="191497"/>
        <w:sz w:val="16"/>
        <w:szCs w:val="16"/>
        <w:lang w:val="fr-CH"/>
      </w:rPr>
      <w:t>sociales:</w:t>
    </w:r>
    <w:proofErr w:type="gramEnd"/>
    <w:r>
      <w:rPr>
        <w:rFonts w:ascii="Century Gothic" w:hAnsi="Century Gothic"/>
        <w:color w:val="191497"/>
        <w:sz w:val="16"/>
        <w:szCs w:val="16"/>
        <w:lang w:val="fr-CH"/>
      </w:rPr>
      <w:t xml:space="preserve"> @</w:t>
    </w:r>
    <w:proofErr w:type="spellStart"/>
    <w:r>
      <w:rPr>
        <w:rFonts w:ascii="Century Gothic" w:hAnsi="Century Gothic"/>
        <w:color w:val="191497"/>
        <w:sz w:val="16"/>
        <w:szCs w:val="16"/>
        <w:lang w:val="fr-CH"/>
      </w:rPr>
      <w:t>MisionCubaONUG</w:t>
    </w:r>
    <w:proofErr w:type="spellEnd"/>
    <w:r>
      <w:rPr>
        <w:rFonts w:ascii="Century Gothic" w:hAnsi="Century Gothic"/>
        <w:color w:val="191497"/>
        <w:sz w:val="16"/>
        <w:szCs w:val="16"/>
        <w:lang w:val="fr-CH"/>
      </w:rPr>
      <w:t xml:space="preserve"> (Twitter)@</w:t>
    </w:r>
    <w:proofErr w:type="spellStart"/>
    <w:r>
      <w:rPr>
        <w:rFonts w:ascii="Century Gothic" w:hAnsi="Century Gothic"/>
        <w:color w:val="191497"/>
        <w:sz w:val="16"/>
        <w:szCs w:val="16"/>
        <w:lang w:val="fr-CH"/>
      </w:rPr>
      <w:t>misioncubaginebra</w:t>
    </w:r>
    <w:proofErr w:type="spellEnd"/>
    <w:r>
      <w:rPr>
        <w:rFonts w:ascii="Century Gothic" w:hAnsi="Century Gothic"/>
        <w:color w:val="191497"/>
        <w:sz w:val="16"/>
        <w:szCs w:val="16"/>
        <w:lang w:val="fr-CH"/>
      </w:rPr>
      <w:t xml:space="preserve"> (Facebook)</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FA5" w:rsidRDefault="00E92FA5" w:rsidP="00686C16">
      <w:r>
        <w:separator/>
      </w:r>
    </w:p>
  </w:footnote>
  <w:footnote w:type="continuationSeparator" w:id="0">
    <w:p w:rsidR="00E92FA5" w:rsidRDefault="00E92FA5" w:rsidP="00686C16">
      <w:r>
        <w:continuationSeparator/>
      </w:r>
    </w:p>
  </w:footnote>
  <w:footnote w:id="1">
    <w:p w:rsidR="00CE60F8" w:rsidRDefault="00CE60F8" w:rsidP="0019436E">
      <w:pPr>
        <w:pStyle w:val="Textonotapie"/>
        <w:jc w:val="both"/>
      </w:pPr>
      <w:r>
        <w:rPr>
          <w:rStyle w:val="Refdenotaalpie"/>
        </w:rPr>
        <w:footnoteRef/>
      </w:r>
      <w:r>
        <w:t xml:space="preserve"> </w:t>
      </w:r>
      <w:hyperlink r:id="rId1" w:history="1">
        <w:r w:rsidRPr="00940AFF">
          <w:rPr>
            <w:rStyle w:val="Hipervnculo"/>
          </w:rPr>
          <w:t>https://www.gacetaoficial.gob.cu/sites/default/files/goc-2019-ex5_0.pdf</w:t>
        </w:r>
      </w:hyperlink>
    </w:p>
  </w:footnote>
  <w:footnote w:id="2">
    <w:p w:rsidR="009A375B" w:rsidRDefault="009A375B" w:rsidP="0019436E">
      <w:pPr>
        <w:pStyle w:val="Textonotapie"/>
        <w:jc w:val="both"/>
      </w:pPr>
      <w:r>
        <w:rPr>
          <w:rStyle w:val="Refdenotaalpie"/>
        </w:rPr>
        <w:footnoteRef/>
      </w:r>
      <w:r>
        <w:t xml:space="preserve"> </w:t>
      </w:r>
      <w:r w:rsidRPr="00327EA9">
        <w:rPr>
          <w:rFonts w:ascii="Arial" w:hAnsi="Arial" w:cs="Arial"/>
        </w:rPr>
        <w:t>El Código Penal</w:t>
      </w:r>
      <w:r w:rsidR="0019436E" w:rsidRPr="00327EA9">
        <w:rPr>
          <w:rFonts w:ascii="Arial" w:hAnsi="Arial" w:cs="Arial"/>
        </w:rPr>
        <w:t xml:space="preserve"> (</w:t>
      </w:r>
      <w:hyperlink r:id="rId2" w:history="1">
        <w:r w:rsidR="0019436E" w:rsidRPr="00327EA9">
          <w:rPr>
            <w:rStyle w:val="Hipervnculo"/>
            <w:rFonts w:ascii="Arial" w:hAnsi="Arial" w:cs="Arial"/>
          </w:rPr>
          <w:t>https://www.gacetaoficial.gob.cu/sites/default/files/goc-2022-o93_0_0.pdf</w:t>
        </w:r>
      </w:hyperlink>
      <w:r w:rsidR="0019436E" w:rsidRPr="00327EA9">
        <w:rPr>
          <w:rStyle w:val="Hipervnculo"/>
          <w:rFonts w:ascii="Arial" w:hAnsi="Arial" w:cs="Arial"/>
        </w:rPr>
        <w:t xml:space="preserve">) </w:t>
      </w:r>
      <w:r w:rsidRPr="00327EA9">
        <w:rPr>
          <w:rFonts w:ascii="Arial" w:hAnsi="Arial" w:cs="Arial"/>
        </w:rPr>
        <w:t>incluyó un Capítulo VIII titulado “Delito contra el derecho de igualdad”, para enfrentar todas las formas de discriminación o distinción lesiva a la dignidad humana. Se incluyen figuras agravadas cuando concurren motivos discriminatorios en la comisión del hecho.</w:t>
      </w:r>
    </w:p>
  </w:footnote>
  <w:footnote w:id="3">
    <w:p w:rsidR="00827FFA" w:rsidRDefault="00827FFA" w:rsidP="00827FFA">
      <w:pPr>
        <w:pStyle w:val="Textonotapie"/>
      </w:pPr>
      <w:r>
        <w:rPr>
          <w:rStyle w:val="Refdenotaalpie"/>
        </w:rPr>
        <w:footnoteRef/>
      </w:r>
      <w:r>
        <w:t xml:space="preserve"> </w:t>
      </w:r>
      <w:hyperlink r:id="rId3" w:history="1">
        <w:r>
          <w:rPr>
            <w:rStyle w:val="Hipervnculo"/>
          </w:rPr>
          <w:t>https://www.gacetaoficial.gob.cu/sites/default/files/goc-2022-o93_0_0.pdf</w:t>
        </w:r>
      </w:hyperlink>
    </w:p>
  </w:footnote>
  <w:footnote w:id="4">
    <w:p w:rsidR="00F228DE" w:rsidRPr="00327EA9" w:rsidRDefault="00F228DE">
      <w:pPr>
        <w:pStyle w:val="Textonotapie"/>
      </w:pPr>
      <w:r>
        <w:rPr>
          <w:rStyle w:val="Refdenotaalpie"/>
        </w:rPr>
        <w:footnoteRef/>
      </w:r>
      <w:r w:rsidR="00327EA9" w:rsidRPr="00327EA9">
        <w:t xml:space="preserve"> Toma</w:t>
      </w:r>
      <w:r w:rsidR="00327EA9">
        <w:t>do del Informe de Cuba al IV ciclo del Examen Periódico Universa</w:t>
      </w:r>
      <w:r w:rsidR="00336541">
        <w:t>l de fecha 15 de noviembre de 2023.</w:t>
      </w:r>
      <w:r w:rsidRPr="00327EA9">
        <w:t xml:space="preserve"> </w:t>
      </w:r>
      <w:hyperlink r:id="rId4" w:history="1">
        <w:r w:rsidRPr="00327EA9">
          <w:rPr>
            <w:rStyle w:val="Hipervnculo"/>
          </w:rPr>
          <w:t>https://www.ohchr.org/en/hr-bodies/upr/cu-index</w:t>
        </w:r>
      </w:hyperlink>
      <w:r w:rsidRPr="00327EA9">
        <w:t xml:space="preserve"> </w:t>
      </w:r>
    </w:p>
  </w:footnote>
  <w:footnote w:id="5">
    <w:p w:rsidR="00485DFB" w:rsidRDefault="00485DFB">
      <w:pPr>
        <w:pStyle w:val="Textonotapie"/>
      </w:pPr>
      <w:r>
        <w:rPr>
          <w:rStyle w:val="Refdenotaalpie"/>
        </w:rPr>
        <w:footnoteRef/>
      </w:r>
      <w:r>
        <w:t xml:space="preserve"> </w:t>
      </w:r>
      <w:hyperlink r:id="rId5" w:history="1">
        <w:r w:rsidRPr="00886B6D">
          <w:rPr>
            <w:rStyle w:val="Hipervnculo"/>
          </w:rPr>
          <w:t>https://www.gacetaoficial.gob.cu/sites/default/files/goc-2022-o74.pdf</w:t>
        </w:r>
      </w:hyperlink>
      <w:r>
        <w:t xml:space="preserve"> </w:t>
      </w:r>
    </w:p>
  </w:footnote>
  <w:footnote w:id="6">
    <w:p w:rsidR="004C2D8F" w:rsidRDefault="004C2D8F">
      <w:pPr>
        <w:pStyle w:val="Textonotapie"/>
      </w:pPr>
      <w:r>
        <w:rPr>
          <w:rStyle w:val="Refdenotaalpie"/>
        </w:rPr>
        <w:footnoteRef/>
      </w:r>
      <w:r>
        <w:t xml:space="preserve"> </w:t>
      </w:r>
      <w:hyperlink r:id="rId6" w:history="1">
        <w:r w:rsidRPr="00886B6D">
          <w:rPr>
            <w:rStyle w:val="Hipervnculo"/>
          </w:rPr>
          <w:t>https://www.gacetaoficial.gob.cu/sites/default/files/goc-2021-o138.pdf</w:t>
        </w:r>
      </w:hyperlink>
      <w:r>
        <w:t xml:space="preserve"> </w:t>
      </w:r>
    </w:p>
  </w:footnote>
  <w:footnote w:id="7">
    <w:p w:rsidR="004C2D8F" w:rsidRDefault="004C2D8F">
      <w:pPr>
        <w:pStyle w:val="Textonotapie"/>
      </w:pPr>
      <w:r>
        <w:rPr>
          <w:rStyle w:val="Refdenotaalpie"/>
        </w:rPr>
        <w:footnoteRef/>
      </w:r>
      <w:r>
        <w:t xml:space="preserve"> </w:t>
      </w:r>
      <w:hyperlink r:id="rId7" w:history="1">
        <w:r w:rsidRPr="00886B6D">
          <w:rPr>
            <w:rStyle w:val="Hipervnculo"/>
          </w:rPr>
          <w:t>https://www.gacetaoficial.gob.cu/sites/default/files/goc-2022-o99_0.pdf</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754" w:rsidRDefault="00004754" w:rsidP="00004754">
    <w:pPr>
      <w:pStyle w:val="Encabezado"/>
      <w:jc w:val="center"/>
    </w:pPr>
    <w:r>
      <w:rPr>
        <w:noProof/>
        <w:lang w:val="es-MX" w:eastAsia="es-MX"/>
      </w:rPr>
      <w:drawing>
        <wp:inline distT="0" distB="0" distL="0" distR="0">
          <wp:extent cx="238125" cy="295275"/>
          <wp:effectExtent l="0" t="0" r="9525" b="9525"/>
          <wp:docPr id="3" name="Gráfico 3"/>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38125" cy="295275"/>
                  </a:xfrm>
                  <a:prstGeom prst="rect">
                    <a:avLst/>
                  </a:prstGeom>
                </pic:spPr>
              </pic:pic>
            </a:graphicData>
          </a:graphic>
        </wp:inline>
      </w:drawing>
    </w:r>
  </w:p>
  <w:p w:rsidR="00004754" w:rsidRDefault="00004754" w:rsidP="00004754">
    <w:pPr>
      <w:pStyle w:val="Encabezado"/>
      <w:jc w:val="center"/>
      <w:rPr>
        <w:rFonts w:ascii="Century Gothic" w:hAnsi="Century Gothic"/>
        <w:noProof/>
        <w:color w:val="191497"/>
        <w:sz w:val="16"/>
        <w:szCs w:val="16"/>
      </w:rPr>
    </w:pPr>
    <w:r>
      <w:rPr>
        <w:rFonts w:ascii="Century Gothic" w:hAnsi="Century Gothic"/>
        <w:noProof/>
        <w:color w:val="191497"/>
        <w:sz w:val="16"/>
        <w:szCs w:val="16"/>
      </w:rPr>
      <w:t>MISIÓN PERMANENTE DE LA REPÚBLICA DE CUBA</w:t>
    </w:r>
  </w:p>
  <w:p w:rsidR="00004754" w:rsidRDefault="00004754" w:rsidP="00004754">
    <w:pPr>
      <w:pStyle w:val="Encabezado"/>
      <w:jc w:val="center"/>
      <w:rPr>
        <w:rFonts w:ascii="Century Gothic" w:hAnsi="Century Gothic"/>
        <w:noProof/>
        <w:color w:val="191497"/>
        <w:sz w:val="16"/>
        <w:szCs w:val="16"/>
      </w:rPr>
    </w:pPr>
    <w:r>
      <w:rPr>
        <w:rFonts w:ascii="Century Gothic" w:hAnsi="Century Gothic"/>
        <w:noProof/>
        <w:color w:val="191497"/>
        <w:sz w:val="16"/>
        <w:szCs w:val="16"/>
      </w:rPr>
      <w:t xml:space="preserve">ANTE LA OFICINA DE LAS NACIONES UNIDAS EN GINEBRA </w:t>
    </w:r>
  </w:p>
  <w:p w:rsidR="00004754" w:rsidRDefault="00004754" w:rsidP="00004754">
    <w:pPr>
      <w:pStyle w:val="Encabezado"/>
      <w:jc w:val="center"/>
      <w:rPr>
        <w:rFonts w:ascii="Century Gothic" w:hAnsi="Century Gothic"/>
        <w:noProof/>
        <w:color w:val="191497"/>
        <w:sz w:val="16"/>
        <w:szCs w:val="16"/>
      </w:rPr>
    </w:pPr>
    <w:r>
      <w:rPr>
        <w:rFonts w:ascii="Century Gothic" w:hAnsi="Century Gothic"/>
        <w:noProof/>
        <w:color w:val="191497"/>
        <w:sz w:val="16"/>
        <w:szCs w:val="16"/>
      </w:rPr>
      <w:t>Y LOS ORGANISMOS INTERNACIONALES EN SUIZA</w:t>
    </w:r>
  </w:p>
  <w:p w:rsidR="001615FB" w:rsidRDefault="001615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AAE" w:rsidRDefault="00B41AAE" w:rsidP="00B41AAE">
    <w:pPr>
      <w:pStyle w:val="Encabezado"/>
      <w:jc w:val="left"/>
    </w:pPr>
    <w:r>
      <w:tab/>
    </w:r>
    <w:r>
      <w:rPr>
        <w:noProof/>
        <w:lang w:val="es-MX" w:eastAsia="es-MX"/>
      </w:rPr>
      <w:drawing>
        <wp:inline distT="0" distB="0" distL="0" distR="0" wp14:anchorId="20C452AD" wp14:editId="26A46F6C">
          <wp:extent cx="238125" cy="295275"/>
          <wp:effectExtent l="0" t="0" r="9525" b="9525"/>
          <wp:docPr id="2" name="Gráfico 3"/>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96DAC541-7B7A-43D3-8B79-37D633B846F1}">
                        <asvg:svgBlip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svg="http://schemas.microsoft.com/office/drawing/2016/SVG/main" r:embed="rId2"/>
                      </a:ext>
                    </a:extLst>
                  </a:blip>
                  <a:stretch>
                    <a:fillRect/>
                  </a:stretch>
                </pic:blipFill>
                <pic:spPr>
                  <a:xfrm>
                    <a:off x="0" y="0"/>
                    <a:ext cx="238125" cy="295275"/>
                  </a:xfrm>
                  <a:prstGeom prst="rect">
                    <a:avLst/>
                  </a:prstGeom>
                </pic:spPr>
              </pic:pic>
            </a:graphicData>
          </a:graphic>
        </wp:inline>
      </w:drawing>
    </w:r>
  </w:p>
  <w:p w:rsidR="00B41AAE" w:rsidRDefault="00B41AAE" w:rsidP="00B41AAE">
    <w:pPr>
      <w:pStyle w:val="Encabezado"/>
      <w:jc w:val="center"/>
      <w:rPr>
        <w:rFonts w:ascii="Century Gothic" w:hAnsi="Century Gothic"/>
        <w:noProof/>
        <w:color w:val="191497"/>
        <w:sz w:val="16"/>
        <w:szCs w:val="16"/>
      </w:rPr>
    </w:pPr>
    <w:r>
      <w:rPr>
        <w:rFonts w:ascii="Century Gothic" w:hAnsi="Century Gothic"/>
        <w:noProof/>
        <w:color w:val="191497"/>
        <w:sz w:val="16"/>
        <w:szCs w:val="16"/>
      </w:rPr>
      <w:t>MISIÓN PERMANENTE DE LA REPÚBLICA DE CUBA</w:t>
    </w:r>
  </w:p>
  <w:p w:rsidR="00B41AAE" w:rsidRDefault="00B41AAE" w:rsidP="00B41AAE">
    <w:pPr>
      <w:pStyle w:val="Encabezado"/>
      <w:jc w:val="center"/>
      <w:rPr>
        <w:rFonts w:ascii="Century Gothic" w:hAnsi="Century Gothic"/>
        <w:noProof/>
        <w:color w:val="191497"/>
        <w:sz w:val="16"/>
        <w:szCs w:val="16"/>
      </w:rPr>
    </w:pPr>
    <w:r>
      <w:rPr>
        <w:rFonts w:ascii="Century Gothic" w:hAnsi="Century Gothic"/>
        <w:noProof/>
        <w:color w:val="191497"/>
        <w:sz w:val="16"/>
        <w:szCs w:val="16"/>
      </w:rPr>
      <w:t xml:space="preserve">ANTE LA OFICINA DE LAS NACIONES UNIDAS EN GINEBRA </w:t>
    </w:r>
  </w:p>
  <w:p w:rsidR="00B41AAE" w:rsidRDefault="00B41AAE" w:rsidP="00B41AAE">
    <w:pPr>
      <w:pStyle w:val="Encabezado"/>
      <w:jc w:val="center"/>
      <w:rPr>
        <w:rFonts w:ascii="Century Gothic" w:hAnsi="Century Gothic"/>
        <w:noProof/>
        <w:color w:val="191497"/>
        <w:sz w:val="16"/>
        <w:szCs w:val="16"/>
      </w:rPr>
    </w:pPr>
    <w:r>
      <w:rPr>
        <w:rFonts w:ascii="Century Gothic" w:hAnsi="Century Gothic"/>
        <w:noProof/>
        <w:color w:val="191497"/>
        <w:sz w:val="16"/>
        <w:szCs w:val="16"/>
      </w:rPr>
      <w:t>Y LOS ORGANISMOS INTERNACIONALES EN SUIZA</w:t>
    </w:r>
  </w:p>
  <w:p w:rsidR="00B41AAE" w:rsidRDefault="00B41AAE" w:rsidP="00B41AAE">
    <w:pPr>
      <w:pStyle w:val="Encabezado"/>
      <w:tabs>
        <w:tab w:val="clear" w:pos="4252"/>
        <w:tab w:val="clear" w:pos="8504"/>
        <w:tab w:val="left" w:pos="510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7028A"/>
    <w:multiLevelType w:val="multilevel"/>
    <w:tmpl w:val="F6A26768"/>
    <w:lvl w:ilvl="0">
      <w:start w:val="1"/>
      <w:numFmt w:val="decimal"/>
      <w:lvlText w:val="%1."/>
      <w:lvlJc w:val="left"/>
      <w:pPr>
        <w:ind w:left="360" w:hanging="360"/>
      </w:pPr>
      <w:rPr>
        <w:rFonts w:ascii="Arial" w:hAnsi="Arial" w:cs="Arial" w:hint="default"/>
        <w:b w:val="0"/>
        <w:bCs w:val="0"/>
        <w:color w:val="auto"/>
        <w:sz w:val="32"/>
        <w:szCs w:val="3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71519C5"/>
    <w:multiLevelType w:val="hybridMultilevel"/>
    <w:tmpl w:val="0308898E"/>
    <w:lvl w:ilvl="0" w:tplc="B11612E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102CC7"/>
    <w:multiLevelType w:val="multilevel"/>
    <w:tmpl w:val="0D420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00D92"/>
    <w:multiLevelType w:val="hybridMultilevel"/>
    <w:tmpl w:val="7CE616E4"/>
    <w:lvl w:ilvl="0" w:tplc="BCF82F0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6D"/>
    <w:rsid w:val="00004754"/>
    <w:rsid w:val="000129CB"/>
    <w:rsid w:val="00012FD1"/>
    <w:rsid w:val="00017A1C"/>
    <w:rsid w:val="0002229F"/>
    <w:rsid w:val="00031B9C"/>
    <w:rsid w:val="000322C2"/>
    <w:rsid w:val="0003307C"/>
    <w:rsid w:val="000364A4"/>
    <w:rsid w:val="0004623F"/>
    <w:rsid w:val="00054A3E"/>
    <w:rsid w:val="000679AC"/>
    <w:rsid w:val="00070280"/>
    <w:rsid w:val="00074A64"/>
    <w:rsid w:val="00077895"/>
    <w:rsid w:val="00085A32"/>
    <w:rsid w:val="000941B8"/>
    <w:rsid w:val="0009453E"/>
    <w:rsid w:val="00097239"/>
    <w:rsid w:val="000A5AB5"/>
    <w:rsid w:val="000C21E5"/>
    <w:rsid w:val="000C3A11"/>
    <w:rsid w:val="000E02E2"/>
    <w:rsid w:val="000E0B8D"/>
    <w:rsid w:val="000E693E"/>
    <w:rsid w:val="00101261"/>
    <w:rsid w:val="00101928"/>
    <w:rsid w:val="001074DD"/>
    <w:rsid w:val="001101FB"/>
    <w:rsid w:val="00110925"/>
    <w:rsid w:val="00113BEE"/>
    <w:rsid w:val="0012000D"/>
    <w:rsid w:val="00124E3C"/>
    <w:rsid w:val="00126D98"/>
    <w:rsid w:val="00140350"/>
    <w:rsid w:val="001427DA"/>
    <w:rsid w:val="001615FB"/>
    <w:rsid w:val="00164521"/>
    <w:rsid w:val="00175482"/>
    <w:rsid w:val="00187EE9"/>
    <w:rsid w:val="00191381"/>
    <w:rsid w:val="0019436E"/>
    <w:rsid w:val="001A7A66"/>
    <w:rsid w:val="001B39FF"/>
    <w:rsid w:val="001B3FA3"/>
    <w:rsid w:val="001B69AF"/>
    <w:rsid w:val="001C42F8"/>
    <w:rsid w:val="001C4E04"/>
    <w:rsid w:val="001C601E"/>
    <w:rsid w:val="001D227F"/>
    <w:rsid w:val="001D6C2F"/>
    <w:rsid w:val="001E12DE"/>
    <w:rsid w:val="001E3CA2"/>
    <w:rsid w:val="001E78EC"/>
    <w:rsid w:val="0020214E"/>
    <w:rsid w:val="00204C4C"/>
    <w:rsid w:val="0020659D"/>
    <w:rsid w:val="00211784"/>
    <w:rsid w:val="0022550A"/>
    <w:rsid w:val="00230789"/>
    <w:rsid w:val="002450C4"/>
    <w:rsid w:val="00250B15"/>
    <w:rsid w:val="00254097"/>
    <w:rsid w:val="00255578"/>
    <w:rsid w:val="0026034F"/>
    <w:rsid w:val="002603D7"/>
    <w:rsid w:val="0026077B"/>
    <w:rsid w:val="00265CDC"/>
    <w:rsid w:val="00267F18"/>
    <w:rsid w:val="00283521"/>
    <w:rsid w:val="002877F4"/>
    <w:rsid w:val="00294A6E"/>
    <w:rsid w:val="002975F2"/>
    <w:rsid w:val="002A17DB"/>
    <w:rsid w:val="002A30D2"/>
    <w:rsid w:val="002B2F41"/>
    <w:rsid w:val="002C0762"/>
    <w:rsid w:val="002C1A14"/>
    <w:rsid w:val="002D4923"/>
    <w:rsid w:val="002D5E7D"/>
    <w:rsid w:val="002E2BE7"/>
    <w:rsid w:val="002F0FBB"/>
    <w:rsid w:val="002F5843"/>
    <w:rsid w:val="00311558"/>
    <w:rsid w:val="003136F6"/>
    <w:rsid w:val="00323DAF"/>
    <w:rsid w:val="0032465D"/>
    <w:rsid w:val="00327085"/>
    <w:rsid w:val="00327EA9"/>
    <w:rsid w:val="00336541"/>
    <w:rsid w:val="00352CA4"/>
    <w:rsid w:val="00353A49"/>
    <w:rsid w:val="003566DD"/>
    <w:rsid w:val="0036738B"/>
    <w:rsid w:val="0037295D"/>
    <w:rsid w:val="0037760A"/>
    <w:rsid w:val="0037793D"/>
    <w:rsid w:val="00380212"/>
    <w:rsid w:val="00390D89"/>
    <w:rsid w:val="00391E35"/>
    <w:rsid w:val="003A1AE9"/>
    <w:rsid w:val="003A4C8D"/>
    <w:rsid w:val="003A4D35"/>
    <w:rsid w:val="003B6618"/>
    <w:rsid w:val="003C0578"/>
    <w:rsid w:val="003C0D93"/>
    <w:rsid w:val="003C2A77"/>
    <w:rsid w:val="003D00F5"/>
    <w:rsid w:val="003D7276"/>
    <w:rsid w:val="003F0FB0"/>
    <w:rsid w:val="003F27D6"/>
    <w:rsid w:val="004048B1"/>
    <w:rsid w:val="0040795E"/>
    <w:rsid w:val="0042434B"/>
    <w:rsid w:val="004318CC"/>
    <w:rsid w:val="00451483"/>
    <w:rsid w:val="004633D2"/>
    <w:rsid w:val="00467C09"/>
    <w:rsid w:val="004714F4"/>
    <w:rsid w:val="00473892"/>
    <w:rsid w:val="00482184"/>
    <w:rsid w:val="00485DFB"/>
    <w:rsid w:val="00492B2C"/>
    <w:rsid w:val="00492F76"/>
    <w:rsid w:val="004B0255"/>
    <w:rsid w:val="004B6603"/>
    <w:rsid w:val="004C2D8F"/>
    <w:rsid w:val="004C42B1"/>
    <w:rsid w:val="004D00A5"/>
    <w:rsid w:val="004D0E3D"/>
    <w:rsid w:val="004E15AE"/>
    <w:rsid w:val="004E1666"/>
    <w:rsid w:val="004E6CF6"/>
    <w:rsid w:val="004E7426"/>
    <w:rsid w:val="004F3D60"/>
    <w:rsid w:val="0050032B"/>
    <w:rsid w:val="00502F99"/>
    <w:rsid w:val="00512D4F"/>
    <w:rsid w:val="00513C9E"/>
    <w:rsid w:val="00513EAE"/>
    <w:rsid w:val="00515EBD"/>
    <w:rsid w:val="00521134"/>
    <w:rsid w:val="00521F16"/>
    <w:rsid w:val="00523C05"/>
    <w:rsid w:val="00533D8C"/>
    <w:rsid w:val="00536F47"/>
    <w:rsid w:val="005500B5"/>
    <w:rsid w:val="005525EB"/>
    <w:rsid w:val="00573937"/>
    <w:rsid w:val="00580F92"/>
    <w:rsid w:val="0058711F"/>
    <w:rsid w:val="005873EF"/>
    <w:rsid w:val="00594C0E"/>
    <w:rsid w:val="0059768F"/>
    <w:rsid w:val="005A58CA"/>
    <w:rsid w:val="005B5C60"/>
    <w:rsid w:val="005C13AD"/>
    <w:rsid w:val="005C78ED"/>
    <w:rsid w:val="005D1B83"/>
    <w:rsid w:val="005D27F6"/>
    <w:rsid w:val="005D5614"/>
    <w:rsid w:val="005D56A0"/>
    <w:rsid w:val="005E538F"/>
    <w:rsid w:val="005E7047"/>
    <w:rsid w:val="005F0D2B"/>
    <w:rsid w:val="005F1593"/>
    <w:rsid w:val="006006DF"/>
    <w:rsid w:val="00610A00"/>
    <w:rsid w:val="006139DA"/>
    <w:rsid w:val="00622794"/>
    <w:rsid w:val="006248DF"/>
    <w:rsid w:val="00624AB3"/>
    <w:rsid w:val="00626557"/>
    <w:rsid w:val="0062674E"/>
    <w:rsid w:val="0063050D"/>
    <w:rsid w:val="0064034C"/>
    <w:rsid w:val="0064630B"/>
    <w:rsid w:val="00646C21"/>
    <w:rsid w:val="00647B67"/>
    <w:rsid w:val="00647E59"/>
    <w:rsid w:val="0065472A"/>
    <w:rsid w:val="00655006"/>
    <w:rsid w:val="00655EE5"/>
    <w:rsid w:val="00667D65"/>
    <w:rsid w:val="00670734"/>
    <w:rsid w:val="00674152"/>
    <w:rsid w:val="00674454"/>
    <w:rsid w:val="006835B0"/>
    <w:rsid w:val="00686C16"/>
    <w:rsid w:val="006A571A"/>
    <w:rsid w:val="006B44A8"/>
    <w:rsid w:val="006B5EC0"/>
    <w:rsid w:val="006B701A"/>
    <w:rsid w:val="006E13BC"/>
    <w:rsid w:val="006E2046"/>
    <w:rsid w:val="006E523D"/>
    <w:rsid w:val="006E59A6"/>
    <w:rsid w:val="006E7731"/>
    <w:rsid w:val="006F0E4B"/>
    <w:rsid w:val="006F3456"/>
    <w:rsid w:val="006F732B"/>
    <w:rsid w:val="00703EE5"/>
    <w:rsid w:val="00706263"/>
    <w:rsid w:val="00712E2B"/>
    <w:rsid w:val="0071757F"/>
    <w:rsid w:val="007301CF"/>
    <w:rsid w:val="00734EDA"/>
    <w:rsid w:val="00737EF2"/>
    <w:rsid w:val="00747559"/>
    <w:rsid w:val="00761766"/>
    <w:rsid w:val="007642D1"/>
    <w:rsid w:val="0076457F"/>
    <w:rsid w:val="00774179"/>
    <w:rsid w:val="007766CB"/>
    <w:rsid w:val="00777B1F"/>
    <w:rsid w:val="007857EA"/>
    <w:rsid w:val="007868FF"/>
    <w:rsid w:val="00787BD4"/>
    <w:rsid w:val="00791230"/>
    <w:rsid w:val="00793356"/>
    <w:rsid w:val="007A1BB3"/>
    <w:rsid w:val="007A7681"/>
    <w:rsid w:val="007A7B31"/>
    <w:rsid w:val="007B07E3"/>
    <w:rsid w:val="007B1F5B"/>
    <w:rsid w:val="007B2CB5"/>
    <w:rsid w:val="007B77CD"/>
    <w:rsid w:val="007C5930"/>
    <w:rsid w:val="007D4D36"/>
    <w:rsid w:val="007E5C18"/>
    <w:rsid w:val="007E7B13"/>
    <w:rsid w:val="007F297A"/>
    <w:rsid w:val="00804E91"/>
    <w:rsid w:val="008108EF"/>
    <w:rsid w:val="00812A8E"/>
    <w:rsid w:val="008150DD"/>
    <w:rsid w:val="00817CC0"/>
    <w:rsid w:val="0082593C"/>
    <w:rsid w:val="00827CEF"/>
    <w:rsid w:val="00827FFA"/>
    <w:rsid w:val="008311CB"/>
    <w:rsid w:val="00832621"/>
    <w:rsid w:val="00843CEC"/>
    <w:rsid w:val="00845DAC"/>
    <w:rsid w:val="0084669D"/>
    <w:rsid w:val="00851402"/>
    <w:rsid w:val="00855F41"/>
    <w:rsid w:val="008601E2"/>
    <w:rsid w:val="008637EA"/>
    <w:rsid w:val="00865AE7"/>
    <w:rsid w:val="00866D24"/>
    <w:rsid w:val="00872702"/>
    <w:rsid w:val="00874FB0"/>
    <w:rsid w:val="0088423E"/>
    <w:rsid w:val="00886225"/>
    <w:rsid w:val="00893BB8"/>
    <w:rsid w:val="0089585F"/>
    <w:rsid w:val="008A0F4A"/>
    <w:rsid w:val="008A1DBF"/>
    <w:rsid w:val="008A6BCE"/>
    <w:rsid w:val="008B1588"/>
    <w:rsid w:val="008D314F"/>
    <w:rsid w:val="008E666B"/>
    <w:rsid w:val="008F6CDE"/>
    <w:rsid w:val="009028EE"/>
    <w:rsid w:val="00905B73"/>
    <w:rsid w:val="00931B5D"/>
    <w:rsid w:val="0094462D"/>
    <w:rsid w:val="00954E1C"/>
    <w:rsid w:val="009734B8"/>
    <w:rsid w:val="00975C52"/>
    <w:rsid w:val="00975EF8"/>
    <w:rsid w:val="00976B51"/>
    <w:rsid w:val="009818EE"/>
    <w:rsid w:val="00984415"/>
    <w:rsid w:val="0098605F"/>
    <w:rsid w:val="009961EA"/>
    <w:rsid w:val="00997376"/>
    <w:rsid w:val="009A2FEB"/>
    <w:rsid w:val="009A375B"/>
    <w:rsid w:val="009A3CEA"/>
    <w:rsid w:val="009A7059"/>
    <w:rsid w:val="009B08A6"/>
    <w:rsid w:val="009C34A2"/>
    <w:rsid w:val="009C7379"/>
    <w:rsid w:val="009D2208"/>
    <w:rsid w:val="009D2C73"/>
    <w:rsid w:val="009D476D"/>
    <w:rsid w:val="009E7105"/>
    <w:rsid w:val="009F1445"/>
    <w:rsid w:val="009F2147"/>
    <w:rsid w:val="00A026E7"/>
    <w:rsid w:val="00A04F9E"/>
    <w:rsid w:val="00A12C7D"/>
    <w:rsid w:val="00A22A9E"/>
    <w:rsid w:val="00A3679C"/>
    <w:rsid w:val="00A446C3"/>
    <w:rsid w:val="00A44C04"/>
    <w:rsid w:val="00A57A8A"/>
    <w:rsid w:val="00A74968"/>
    <w:rsid w:val="00A82654"/>
    <w:rsid w:val="00A91CC1"/>
    <w:rsid w:val="00A9240A"/>
    <w:rsid w:val="00A9480B"/>
    <w:rsid w:val="00A95770"/>
    <w:rsid w:val="00AA2F0C"/>
    <w:rsid w:val="00AA7391"/>
    <w:rsid w:val="00AA771E"/>
    <w:rsid w:val="00AB68E8"/>
    <w:rsid w:val="00AC10E3"/>
    <w:rsid w:val="00AC1F3F"/>
    <w:rsid w:val="00AC4771"/>
    <w:rsid w:val="00AD03F9"/>
    <w:rsid w:val="00AD170C"/>
    <w:rsid w:val="00AD37E1"/>
    <w:rsid w:val="00AE06D2"/>
    <w:rsid w:val="00AF0C2A"/>
    <w:rsid w:val="00AF7C47"/>
    <w:rsid w:val="00B00214"/>
    <w:rsid w:val="00B0198E"/>
    <w:rsid w:val="00B02A69"/>
    <w:rsid w:val="00B06F30"/>
    <w:rsid w:val="00B12759"/>
    <w:rsid w:val="00B15669"/>
    <w:rsid w:val="00B17783"/>
    <w:rsid w:val="00B23AAC"/>
    <w:rsid w:val="00B2458E"/>
    <w:rsid w:val="00B41AAE"/>
    <w:rsid w:val="00B52B27"/>
    <w:rsid w:val="00B9439B"/>
    <w:rsid w:val="00B9780C"/>
    <w:rsid w:val="00BA00B5"/>
    <w:rsid w:val="00BA5D44"/>
    <w:rsid w:val="00BA74FF"/>
    <w:rsid w:val="00BD1A93"/>
    <w:rsid w:val="00BD794B"/>
    <w:rsid w:val="00BF0B39"/>
    <w:rsid w:val="00BF44AB"/>
    <w:rsid w:val="00C017DE"/>
    <w:rsid w:val="00C1098F"/>
    <w:rsid w:val="00C15743"/>
    <w:rsid w:val="00C1588D"/>
    <w:rsid w:val="00C16CA5"/>
    <w:rsid w:val="00C229C6"/>
    <w:rsid w:val="00C34511"/>
    <w:rsid w:val="00C4075A"/>
    <w:rsid w:val="00C46BCF"/>
    <w:rsid w:val="00C53F4C"/>
    <w:rsid w:val="00C609DB"/>
    <w:rsid w:val="00C67F07"/>
    <w:rsid w:val="00C8276A"/>
    <w:rsid w:val="00C90E1F"/>
    <w:rsid w:val="00C92256"/>
    <w:rsid w:val="00C95D52"/>
    <w:rsid w:val="00CA5DDE"/>
    <w:rsid w:val="00CB5E25"/>
    <w:rsid w:val="00CC2208"/>
    <w:rsid w:val="00CC7D1B"/>
    <w:rsid w:val="00CE1C53"/>
    <w:rsid w:val="00CE308F"/>
    <w:rsid w:val="00CE60F8"/>
    <w:rsid w:val="00CF2F5A"/>
    <w:rsid w:val="00CF35B3"/>
    <w:rsid w:val="00CF40DB"/>
    <w:rsid w:val="00CF7B5A"/>
    <w:rsid w:val="00D0026D"/>
    <w:rsid w:val="00D00EE4"/>
    <w:rsid w:val="00D06F25"/>
    <w:rsid w:val="00D156D6"/>
    <w:rsid w:val="00D2222C"/>
    <w:rsid w:val="00D305B5"/>
    <w:rsid w:val="00D52BA0"/>
    <w:rsid w:val="00D62156"/>
    <w:rsid w:val="00D66664"/>
    <w:rsid w:val="00D66D65"/>
    <w:rsid w:val="00D674B0"/>
    <w:rsid w:val="00D70B34"/>
    <w:rsid w:val="00D75674"/>
    <w:rsid w:val="00D76880"/>
    <w:rsid w:val="00D825E1"/>
    <w:rsid w:val="00D850FA"/>
    <w:rsid w:val="00D85C36"/>
    <w:rsid w:val="00D959D3"/>
    <w:rsid w:val="00DA4150"/>
    <w:rsid w:val="00DC3CDB"/>
    <w:rsid w:val="00DD1E59"/>
    <w:rsid w:val="00DE45AF"/>
    <w:rsid w:val="00DF0713"/>
    <w:rsid w:val="00DF4D05"/>
    <w:rsid w:val="00DF5AE9"/>
    <w:rsid w:val="00E066C2"/>
    <w:rsid w:val="00E1621A"/>
    <w:rsid w:val="00E353D1"/>
    <w:rsid w:val="00E44DA3"/>
    <w:rsid w:val="00E476FB"/>
    <w:rsid w:val="00E52BD3"/>
    <w:rsid w:val="00E67936"/>
    <w:rsid w:val="00E7349B"/>
    <w:rsid w:val="00E74B7B"/>
    <w:rsid w:val="00E75F78"/>
    <w:rsid w:val="00E92FA5"/>
    <w:rsid w:val="00E9303B"/>
    <w:rsid w:val="00EA09D4"/>
    <w:rsid w:val="00EA70EC"/>
    <w:rsid w:val="00EB07F1"/>
    <w:rsid w:val="00EB4822"/>
    <w:rsid w:val="00EB6A21"/>
    <w:rsid w:val="00EC52B5"/>
    <w:rsid w:val="00ED57BE"/>
    <w:rsid w:val="00ED6196"/>
    <w:rsid w:val="00EF0817"/>
    <w:rsid w:val="00EF5BEB"/>
    <w:rsid w:val="00EF702D"/>
    <w:rsid w:val="00F048D1"/>
    <w:rsid w:val="00F11068"/>
    <w:rsid w:val="00F14064"/>
    <w:rsid w:val="00F228DE"/>
    <w:rsid w:val="00F231D4"/>
    <w:rsid w:val="00F241E8"/>
    <w:rsid w:val="00F25236"/>
    <w:rsid w:val="00F25DBC"/>
    <w:rsid w:val="00F27E3A"/>
    <w:rsid w:val="00F30E0E"/>
    <w:rsid w:val="00F3542A"/>
    <w:rsid w:val="00F4578E"/>
    <w:rsid w:val="00F5428F"/>
    <w:rsid w:val="00F60ADD"/>
    <w:rsid w:val="00F60D2E"/>
    <w:rsid w:val="00F619F5"/>
    <w:rsid w:val="00F66634"/>
    <w:rsid w:val="00F82323"/>
    <w:rsid w:val="00F84608"/>
    <w:rsid w:val="00F90DA5"/>
    <w:rsid w:val="00FA17CC"/>
    <w:rsid w:val="00FA5FCE"/>
    <w:rsid w:val="00FC369F"/>
    <w:rsid w:val="00FC3950"/>
    <w:rsid w:val="00FC5458"/>
    <w:rsid w:val="00FC73BD"/>
    <w:rsid w:val="00FD52DD"/>
    <w:rsid w:val="00FF76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02A11"/>
  <w15:docId w15:val="{4C9F3823-8878-43FF-9C04-09FC8E7E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47B67"/>
    <w:pPr>
      <w:spacing w:before="100" w:beforeAutospacing="1" w:after="100" w:afterAutospacing="1"/>
      <w:jc w:val="left"/>
      <w:outlineLvl w:val="0"/>
    </w:pPr>
    <w:rPr>
      <w:rFonts w:ascii="Times New Roman" w:eastAsia="Times New Roman" w:hAnsi="Times New Roman" w:cs="Times New Roman"/>
      <w:b/>
      <w:bCs/>
      <w:kern w:val="36"/>
      <w:sz w:val="48"/>
      <w:szCs w:val="48"/>
      <w:lang w:eastAsia="es-ES"/>
    </w:rPr>
  </w:style>
  <w:style w:type="paragraph" w:styleId="Ttulo3">
    <w:name w:val="heading 3"/>
    <w:basedOn w:val="Normal"/>
    <w:next w:val="Normal"/>
    <w:link w:val="Ttulo3Car"/>
    <w:uiPriority w:val="9"/>
    <w:semiHidden/>
    <w:unhideWhenUsed/>
    <w:qFormat/>
    <w:rsid w:val="008A1DB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476D"/>
    <w:rPr>
      <w:rFonts w:ascii="Tahoma" w:hAnsi="Tahoma" w:cs="Tahoma"/>
      <w:sz w:val="16"/>
      <w:szCs w:val="16"/>
    </w:rPr>
  </w:style>
  <w:style w:type="character" w:customStyle="1" w:styleId="TextodegloboCar">
    <w:name w:val="Texto de globo Car"/>
    <w:basedOn w:val="Fuentedeprrafopredeter"/>
    <w:link w:val="Textodeglobo"/>
    <w:uiPriority w:val="99"/>
    <w:semiHidden/>
    <w:rsid w:val="009D476D"/>
    <w:rPr>
      <w:rFonts w:ascii="Tahoma" w:hAnsi="Tahoma" w:cs="Tahoma"/>
      <w:sz w:val="16"/>
      <w:szCs w:val="16"/>
    </w:rPr>
  </w:style>
  <w:style w:type="paragraph" w:styleId="NormalWeb">
    <w:name w:val="Normal (Web)"/>
    <w:basedOn w:val="Normal"/>
    <w:uiPriority w:val="99"/>
    <w:unhideWhenUsed/>
    <w:rsid w:val="007B07E3"/>
    <w:pPr>
      <w:spacing w:before="100" w:beforeAutospacing="1" w:after="100" w:afterAutospacing="1"/>
      <w:jc w:val="left"/>
    </w:pPr>
    <w:rPr>
      <w:rFonts w:ascii="Times New Roman" w:eastAsia="Times New Roman" w:hAnsi="Times New Roman" w:cs="Times New Roman"/>
      <w:szCs w:val="24"/>
      <w:lang w:eastAsia="es-ES_tradnl"/>
    </w:rPr>
  </w:style>
  <w:style w:type="table" w:styleId="Tablaconcuadrcula">
    <w:name w:val="Table Grid"/>
    <w:basedOn w:val="Tablanormal"/>
    <w:uiPriority w:val="59"/>
    <w:rsid w:val="00254097"/>
    <w:pPr>
      <w:jc w:val="left"/>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Fuentedeprrafopredeter"/>
    <w:rsid w:val="0065472A"/>
  </w:style>
  <w:style w:type="paragraph" w:customStyle="1" w:styleId="SingleTxtG">
    <w:name w:val="_ Single Txt_G"/>
    <w:basedOn w:val="Normal"/>
    <w:link w:val="SingleTxtGChar"/>
    <w:qFormat/>
    <w:rsid w:val="00855F41"/>
    <w:pPr>
      <w:spacing w:after="120"/>
      <w:ind w:left="1134" w:right="1134"/>
    </w:pPr>
    <w:rPr>
      <w:rFonts w:ascii="Times New Roman" w:eastAsia="Times New Roman" w:hAnsi="Times New Roman" w:cs="Times New Roman"/>
      <w:szCs w:val="24"/>
      <w:lang w:eastAsia="es-ES_tradnl"/>
    </w:rPr>
  </w:style>
  <w:style w:type="character" w:customStyle="1" w:styleId="SingleTxtGChar">
    <w:name w:val="_ Single Txt_G Char"/>
    <w:link w:val="SingleTxtG"/>
    <w:rsid w:val="00855F41"/>
    <w:rPr>
      <w:rFonts w:ascii="Times New Roman" w:eastAsia="Times New Roman" w:hAnsi="Times New Roman" w:cs="Times New Roman"/>
      <w:szCs w:val="24"/>
      <w:lang w:eastAsia="es-ES_tradnl"/>
    </w:rPr>
  </w:style>
  <w:style w:type="character" w:styleId="Textodelmarcadordeposicin">
    <w:name w:val="Placeholder Text"/>
    <w:basedOn w:val="Fuentedeprrafopredeter"/>
    <w:uiPriority w:val="99"/>
    <w:semiHidden/>
    <w:rsid w:val="00473892"/>
    <w:rPr>
      <w:color w:val="808080"/>
    </w:rPr>
  </w:style>
  <w:style w:type="paragraph" w:styleId="Prrafodelista">
    <w:name w:val="List Paragraph"/>
    <w:aliases w:val="Bullets,Paragraphe de liste1,List Paragraph11,List Paragraph1,Colorful List - Accent 11,references,Numbered paragraph,Paragraphe de liste,List Bullet-OpsManual,List Tables,Bullet List,FooterText,Lista vistosa - Énfasis 11,numbered,列出段落"/>
    <w:basedOn w:val="Normal"/>
    <w:link w:val="PrrafodelistaCar"/>
    <w:uiPriority w:val="34"/>
    <w:qFormat/>
    <w:rsid w:val="001D227F"/>
    <w:pPr>
      <w:spacing w:after="160" w:line="259" w:lineRule="auto"/>
      <w:ind w:left="720"/>
      <w:contextualSpacing/>
      <w:jc w:val="left"/>
    </w:pPr>
    <w:rPr>
      <w:rFonts w:ascii="Calibri" w:eastAsia="Calibri" w:hAnsi="Calibri" w:cs="Calibri"/>
      <w:sz w:val="22"/>
      <w:lang w:eastAsia="es-ES"/>
    </w:rPr>
  </w:style>
  <w:style w:type="character" w:customStyle="1" w:styleId="PrrafodelistaCar">
    <w:name w:val="Párrafo de lista Car"/>
    <w:aliases w:val="Bullets Car,Paragraphe de liste1 Car,List Paragraph11 Car,List Paragraph1 Car,Colorful List - Accent 11 Car,references Car,Numbered paragraph Car,Paragraphe de liste Car,List Bullet-OpsManual Car,List Tables Car,Bullet List Car"/>
    <w:link w:val="Prrafodelista"/>
    <w:uiPriority w:val="34"/>
    <w:qFormat/>
    <w:locked/>
    <w:rsid w:val="001D227F"/>
    <w:rPr>
      <w:rFonts w:ascii="Calibri" w:eastAsia="Calibri" w:hAnsi="Calibri" w:cs="Calibri"/>
      <w:sz w:val="22"/>
      <w:lang w:eastAsia="es-ES"/>
    </w:rPr>
  </w:style>
  <w:style w:type="character" w:customStyle="1" w:styleId="Ttulo1Car">
    <w:name w:val="Título 1 Car"/>
    <w:basedOn w:val="Fuentedeprrafopredeter"/>
    <w:link w:val="Ttulo1"/>
    <w:uiPriority w:val="9"/>
    <w:rsid w:val="00647B67"/>
    <w:rPr>
      <w:rFonts w:ascii="Times New Roman" w:eastAsia="Times New Roman" w:hAnsi="Times New Roman" w:cs="Times New Roman"/>
      <w:b/>
      <w:bCs/>
      <w:kern w:val="36"/>
      <w:sz w:val="48"/>
      <w:szCs w:val="48"/>
      <w:lang w:eastAsia="es-ES"/>
    </w:rPr>
  </w:style>
  <w:style w:type="character" w:customStyle="1" w:styleId="Ttulo3Car">
    <w:name w:val="Título 3 Car"/>
    <w:basedOn w:val="Fuentedeprrafopredeter"/>
    <w:link w:val="Ttulo3"/>
    <w:uiPriority w:val="9"/>
    <w:semiHidden/>
    <w:rsid w:val="008A1DBF"/>
    <w:rPr>
      <w:rFonts w:asciiTheme="majorHAnsi" w:eastAsiaTheme="majorEastAsia" w:hAnsiTheme="majorHAnsi" w:cstheme="majorBidi"/>
      <w:color w:val="243F60" w:themeColor="accent1" w:themeShade="7F"/>
      <w:szCs w:val="24"/>
    </w:rPr>
  </w:style>
  <w:style w:type="character" w:styleId="Refdenotaalfinal">
    <w:name w:val="endnote reference"/>
    <w:uiPriority w:val="99"/>
    <w:semiHidden/>
    <w:unhideWhenUsed/>
    <w:qFormat/>
    <w:rsid w:val="00686C16"/>
    <w:rPr>
      <w:vertAlign w:val="superscript"/>
    </w:rPr>
  </w:style>
  <w:style w:type="paragraph" w:styleId="Textonotaalfinal">
    <w:name w:val="endnote text"/>
    <w:basedOn w:val="Normal"/>
    <w:link w:val="TextonotaalfinalCar"/>
    <w:uiPriority w:val="99"/>
    <w:unhideWhenUsed/>
    <w:qFormat/>
    <w:rsid w:val="00686C16"/>
    <w:rPr>
      <w:rFonts w:ascii="Calibri" w:eastAsia="Calibri" w:hAnsi="Calibri" w:cs="Times New Roman"/>
      <w:sz w:val="20"/>
      <w:szCs w:val="20"/>
      <w:lang w:val="zh-CN" w:eastAsia="zh-CN"/>
    </w:rPr>
  </w:style>
  <w:style w:type="character" w:customStyle="1" w:styleId="TextonotaalfinalCar">
    <w:name w:val="Texto nota al final Car"/>
    <w:basedOn w:val="Fuentedeprrafopredeter"/>
    <w:link w:val="Textonotaalfinal"/>
    <w:uiPriority w:val="99"/>
    <w:qFormat/>
    <w:rsid w:val="00686C16"/>
    <w:rPr>
      <w:rFonts w:ascii="Calibri" w:eastAsia="Calibri" w:hAnsi="Calibri" w:cs="Times New Roman"/>
      <w:sz w:val="20"/>
      <w:szCs w:val="20"/>
      <w:lang w:val="zh-CN" w:eastAsia="zh-CN"/>
    </w:rPr>
  </w:style>
  <w:style w:type="character" w:styleId="Hipervnculo">
    <w:name w:val="Hyperlink"/>
    <w:basedOn w:val="Fuentedeprrafopredeter"/>
    <w:uiPriority w:val="99"/>
    <w:unhideWhenUsed/>
    <w:qFormat/>
    <w:rsid w:val="00686C16"/>
    <w:rPr>
      <w:color w:val="0000FF"/>
      <w:u w:val="single"/>
    </w:rPr>
  </w:style>
  <w:style w:type="paragraph" w:styleId="Encabezado">
    <w:name w:val="header"/>
    <w:basedOn w:val="Normal"/>
    <w:link w:val="EncabezadoCar"/>
    <w:uiPriority w:val="99"/>
    <w:unhideWhenUsed/>
    <w:rsid w:val="000C3A11"/>
    <w:pPr>
      <w:tabs>
        <w:tab w:val="center" w:pos="4252"/>
        <w:tab w:val="right" w:pos="8504"/>
      </w:tabs>
    </w:pPr>
  </w:style>
  <w:style w:type="character" w:customStyle="1" w:styleId="EncabezadoCar">
    <w:name w:val="Encabezado Car"/>
    <w:basedOn w:val="Fuentedeprrafopredeter"/>
    <w:link w:val="Encabezado"/>
    <w:uiPriority w:val="99"/>
    <w:rsid w:val="000C3A11"/>
  </w:style>
  <w:style w:type="paragraph" w:styleId="Piedepgina">
    <w:name w:val="footer"/>
    <w:basedOn w:val="Normal"/>
    <w:link w:val="PiedepginaCar"/>
    <w:uiPriority w:val="99"/>
    <w:unhideWhenUsed/>
    <w:rsid w:val="000C3A11"/>
    <w:pPr>
      <w:tabs>
        <w:tab w:val="center" w:pos="4252"/>
        <w:tab w:val="right" w:pos="8504"/>
      </w:tabs>
    </w:pPr>
  </w:style>
  <w:style w:type="character" w:customStyle="1" w:styleId="PiedepginaCar">
    <w:name w:val="Pie de página Car"/>
    <w:basedOn w:val="Fuentedeprrafopredeter"/>
    <w:link w:val="Piedepgina"/>
    <w:uiPriority w:val="99"/>
    <w:rsid w:val="000C3A11"/>
  </w:style>
  <w:style w:type="paragraph" w:styleId="HTMLconformatoprevio">
    <w:name w:val="HTML Preformatted"/>
    <w:basedOn w:val="Normal"/>
    <w:link w:val="HTMLconformatoprevioCar"/>
    <w:uiPriority w:val="99"/>
    <w:semiHidden/>
    <w:unhideWhenUsed/>
    <w:rsid w:val="00E74B7B"/>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74B7B"/>
    <w:rPr>
      <w:rFonts w:ascii="Consolas" w:hAnsi="Consolas"/>
      <w:sz w:val="20"/>
      <w:szCs w:val="20"/>
    </w:rPr>
  </w:style>
  <w:style w:type="paragraph" w:customStyle="1" w:styleId="Default">
    <w:name w:val="Default"/>
    <w:rsid w:val="00BA00B5"/>
    <w:pPr>
      <w:autoSpaceDE w:val="0"/>
      <w:autoSpaceDN w:val="0"/>
      <w:adjustRightInd w:val="0"/>
      <w:jc w:val="left"/>
    </w:pPr>
    <w:rPr>
      <w:rFonts w:ascii="Times New Roman" w:eastAsia="Times New Roman" w:hAnsi="Times New Roman" w:cs="Times New Roman"/>
      <w:color w:val="000000"/>
      <w:szCs w:val="24"/>
      <w:lang w:eastAsia="es-ES"/>
    </w:rPr>
  </w:style>
  <w:style w:type="paragraph" w:customStyle="1" w:styleId="text-align-justify">
    <w:name w:val="text-align-justify"/>
    <w:basedOn w:val="Normal"/>
    <w:rsid w:val="00BA00B5"/>
    <w:pPr>
      <w:spacing w:before="100" w:beforeAutospacing="1" w:after="100" w:afterAutospacing="1"/>
      <w:jc w:val="left"/>
    </w:pPr>
    <w:rPr>
      <w:rFonts w:ascii="Times New Roman" w:eastAsia="Times New Roman" w:hAnsi="Times New Roman" w:cs="Times New Roman"/>
      <w:szCs w:val="24"/>
      <w:lang w:eastAsia="es-ES"/>
    </w:rPr>
  </w:style>
  <w:style w:type="paragraph" w:styleId="Textonotapie">
    <w:name w:val="footnote text"/>
    <w:basedOn w:val="Normal"/>
    <w:link w:val="TextonotapieCar"/>
    <w:uiPriority w:val="99"/>
    <w:semiHidden/>
    <w:unhideWhenUsed/>
    <w:rsid w:val="00BA00B5"/>
    <w:pPr>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9"/>
    <w:semiHidden/>
    <w:rsid w:val="00BA00B5"/>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BA00B5"/>
    <w:rPr>
      <w:vertAlign w:val="superscript"/>
    </w:rPr>
  </w:style>
  <w:style w:type="paragraph" w:styleId="Textoindependiente">
    <w:name w:val="Body Text"/>
    <w:basedOn w:val="Normal"/>
    <w:link w:val="TextoindependienteCar"/>
    <w:semiHidden/>
    <w:rsid w:val="00BA00B5"/>
    <w:rPr>
      <w:rFonts w:eastAsia="Times New Roman" w:cs="Arial"/>
      <w:szCs w:val="24"/>
      <w:lang w:eastAsia="es-ES"/>
    </w:rPr>
  </w:style>
  <w:style w:type="character" w:customStyle="1" w:styleId="TextoindependienteCar">
    <w:name w:val="Texto independiente Car"/>
    <w:basedOn w:val="Fuentedeprrafopredeter"/>
    <w:link w:val="Textoindependiente"/>
    <w:semiHidden/>
    <w:rsid w:val="00BA00B5"/>
    <w:rPr>
      <w:rFonts w:eastAsia="Times New Roman" w:cs="Arial"/>
      <w:szCs w:val="24"/>
      <w:lang w:eastAsia="es-ES"/>
    </w:rPr>
  </w:style>
  <w:style w:type="character" w:styleId="nfasis">
    <w:name w:val="Emphasis"/>
    <w:uiPriority w:val="20"/>
    <w:qFormat/>
    <w:rsid w:val="00BA00B5"/>
    <w:rPr>
      <w:i/>
      <w:iCs/>
    </w:rPr>
  </w:style>
  <w:style w:type="character" w:styleId="Textoennegrita">
    <w:name w:val="Strong"/>
    <w:basedOn w:val="Fuentedeprrafopredeter"/>
    <w:uiPriority w:val="22"/>
    <w:qFormat/>
    <w:rsid w:val="00BA00B5"/>
    <w:rPr>
      <w:b/>
      <w:bCs/>
    </w:rPr>
  </w:style>
  <w:style w:type="character" w:customStyle="1" w:styleId="UnresolvedMention">
    <w:name w:val="Unresolved Mention"/>
    <w:basedOn w:val="Fuentedeprrafopredeter"/>
    <w:uiPriority w:val="99"/>
    <w:semiHidden/>
    <w:unhideWhenUsed/>
    <w:rsid w:val="00F60D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944">
      <w:bodyDiv w:val="1"/>
      <w:marLeft w:val="0"/>
      <w:marRight w:val="0"/>
      <w:marTop w:val="0"/>
      <w:marBottom w:val="0"/>
      <w:divBdr>
        <w:top w:val="none" w:sz="0" w:space="0" w:color="auto"/>
        <w:left w:val="none" w:sz="0" w:space="0" w:color="auto"/>
        <w:bottom w:val="none" w:sz="0" w:space="0" w:color="auto"/>
        <w:right w:val="none" w:sz="0" w:space="0" w:color="auto"/>
      </w:divBdr>
    </w:div>
    <w:div w:id="73162153">
      <w:bodyDiv w:val="1"/>
      <w:marLeft w:val="0"/>
      <w:marRight w:val="0"/>
      <w:marTop w:val="0"/>
      <w:marBottom w:val="0"/>
      <w:divBdr>
        <w:top w:val="none" w:sz="0" w:space="0" w:color="auto"/>
        <w:left w:val="none" w:sz="0" w:space="0" w:color="auto"/>
        <w:bottom w:val="none" w:sz="0" w:space="0" w:color="auto"/>
        <w:right w:val="none" w:sz="0" w:space="0" w:color="auto"/>
      </w:divBdr>
    </w:div>
    <w:div w:id="119958782">
      <w:bodyDiv w:val="1"/>
      <w:marLeft w:val="0"/>
      <w:marRight w:val="0"/>
      <w:marTop w:val="0"/>
      <w:marBottom w:val="0"/>
      <w:divBdr>
        <w:top w:val="none" w:sz="0" w:space="0" w:color="auto"/>
        <w:left w:val="none" w:sz="0" w:space="0" w:color="auto"/>
        <w:bottom w:val="none" w:sz="0" w:space="0" w:color="auto"/>
        <w:right w:val="none" w:sz="0" w:space="0" w:color="auto"/>
      </w:divBdr>
    </w:div>
    <w:div w:id="284628291">
      <w:bodyDiv w:val="1"/>
      <w:marLeft w:val="0"/>
      <w:marRight w:val="0"/>
      <w:marTop w:val="0"/>
      <w:marBottom w:val="0"/>
      <w:divBdr>
        <w:top w:val="none" w:sz="0" w:space="0" w:color="auto"/>
        <w:left w:val="none" w:sz="0" w:space="0" w:color="auto"/>
        <w:bottom w:val="none" w:sz="0" w:space="0" w:color="auto"/>
        <w:right w:val="none" w:sz="0" w:space="0" w:color="auto"/>
      </w:divBdr>
    </w:div>
    <w:div w:id="456065566">
      <w:bodyDiv w:val="1"/>
      <w:marLeft w:val="0"/>
      <w:marRight w:val="0"/>
      <w:marTop w:val="0"/>
      <w:marBottom w:val="0"/>
      <w:divBdr>
        <w:top w:val="none" w:sz="0" w:space="0" w:color="auto"/>
        <w:left w:val="none" w:sz="0" w:space="0" w:color="auto"/>
        <w:bottom w:val="none" w:sz="0" w:space="0" w:color="auto"/>
        <w:right w:val="none" w:sz="0" w:space="0" w:color="auto"/>
      </w:divBdr>
    </w:div>
    <w:div w:id="491142877">
      <w:bodyDiv w:val="1"/>
      <w:marLeft w:val="0"/>
      <w:marRight w:val="0"/>
      <w:marTop w:val="0"/>
      <w:marBottom w:val="0"/>
      <w:divBdr>
        <w:top w:val="none" w:sz="0" w:space="0" w:color="auto"/>
        <w:left w:val="none" w:sz="0" w:space="0" w:color="auto"/>
        <w:bottom w:val="none" w:sz="0" w:space="0" w:color="auto"/>
        <w:right w:val="none" w:sz="0" w:space="0" w:color="auto"/>
      </w:divBdr>
    </w:div>
    <w:div w:id="497616668">
      <w:bodyDiv w:val="1"/>
      <w:marLeft w:val="0"/>
      <w:marRight w:val="0"/>
      <w:marTop w:val="0"/>
      <w:marBottom w:val="0"/>
      <w:divBdr>
        <w:top w:val="none" w:sz="0" w:space="0" w:color="auto"/>
        <w:left w:val="none" w:sz="0" w:space="0" w:color="auto"/>
        <w:bottom w:val="none" w:sz="0" w:space="0" w:color="auto"/>
        <w:right w:val="none" w:sz="0" w:space="0" w:color="auto"/>
      </w:divBdr>
    </w:div>
    <w:div w:id="499544608">
      <w:bodyDiv w:val="1"/>
      <w:marLeft w:val="0"/>
      <w:marRight w:val="0"/>
      <w:marTop w:val="0"/>
      <w:marBottom w:val="0"/>
      <w:divBdr>
        <w:top w:val="none" w:sz="0" w:space="0" w:color="auto"/>
        <w:left w:val="none" w:sz="0" w:space="0" w:color="auto"/>
        <w:bottom w:val="none" w:sz="0" w:space="0" w:color="auto"/>
        <w:right w:val="none" w:sz="0" w:space="0" w:color="auto"/>
      </w:divBdr>
    </w:div>
    <w:div w:id="519784240">
      <w:bodyDiv w:val="1"/>
      <w:marLeft w:val="0"/>
      <w:marRight w:val="0"/>
      <w:marTop w:val="0"/>
      <w:marBottom w:val="0"/>
      <w:divBdr>
        <w:top w:val="none" w:sz="0" w:space="0" w:color="auto"/>
        <w:left w:val="none" w:sz="0" w:space="0" w:color="auto"/>
        <w:bottom w:val="none" w:sz="0" w:space="0" w:color="auto"/>
        <w:right w:val="none" w:sz="0" w:space="0" w:color="auto"/>
      </w:divBdr>
    </w:div>
    <w:div w:id="816647521">
      <w:bodyDiv w:val="1"/>
      <w:marLeft w:val="0"/>
      <w:marRight w:val="0"/>
      <w:marTop w:val="0"/>
      <w:marBottom w:val="0"/>
      <w:divBdr>
        <w:top w:val="none" w:sz="0" w:space="0" w:color="auto"/>
        <w:left w:val="none" w:sz="0" w:space="0" w:color="auto"/>
        <w:bottom w:val="none" w:sz="0" w:space="0" w:color="auto"/>
        <w:right w:val="none" w:sz="0" w:space="0" w:color="auto"/>
      </w:divBdr>
    </w:div>
    <w:div w:id="956908332">
      <w:bodyDiv w:val="1"/>
      <w:marLeft w:val="0"/>
      <w:marRight w:val="0"/>
      <w:marTop w:val="0"/>
      <w:marBottom w:val="0"/>
      <w:divBdr>
        <w:top w:val="none" w:sz="0" w:space="0" w:color="auto"/>
        <w:left w:val="none" w:sz="0" w:space="0" w:color="auto"/>
        <w:bottom w:val="none" w:sz="0" w:space="0" w:color="auto"/>
        <w:right w:val="none" w:sz="0" w:space="0" w:color="auto"/>
      </w:divBdr>
    </w:div>
    <w:div w:id="1046492223">
      <w:bodyDiv w:val="1"/>
      <w:marLeft w:val="0"/>
      <w:marRight w:val="0"/>
      <w:marTop w:val="0"/>
      <w:marBottom w:val="0"/>
      <w:divBdr>
        <w:top w:val="none" w:sz="0" w:space="0" w:color="auto"/>
        <w:left w:val="none" w:sz="0" w:space="0" w:color="auto"/>
        <w:bottom w:val="none" w:sz="0" w:space="0" w:color="auto"/>
        <w:right w:val="none" w:sz="0" w:space="0" w:color="auto"/>
      </w:divBdr>
    </w:div>
    <w:div w:id="1253202048">
      <w:bodyDiv w:val="1"/>
      <w:marLeft w:val="0"/>
      <w:marRight w:val="0"/>
      <w:marTop w:val="0"/>
      <w:marBottom w:val="0"/>
      <w:divBdr>
        <w:top w:val="none" w:sz="0" w:space="0" w:color="auto"/>
        <w:left w:val="none" w:sz="0" w:space="0" w:color="auto"/>
        <w:bottom w:val="none" w:sz="0" w:space="0" w:color="auto"/>
        <w:right w:val="none" w:sz="0" w:space="0" w:color="auto"/>
      </w:divBdr>
    </w:div>
    <w:div w:id="1307707849">
      <w:bodyDiv w:val="1"/>
      <w:marLeft w:val="0"/>
      <w:marRight w:val="0"/>
      <w:marTop w:val="0"/>
      <w:marBottom w:val="0"/>
      <w:divBdr>
        <w:top w:val="none" w:sz="0" w:space="0" w:color="auto"/>
        <w:left w:val="none" w:sz="0" w:space="0" w:color="auto"/>
        <w:bottom w:val="none" w:sz="0" w:space="0" w:color="auto"/>
        <w:right w:val="none" w:sz="0" w:space="0" w:color="auto"/>
      </w:divBdr>
    </w:div>
    <w:div w:id="1314288048">
      <w:bodyDiv w:val="1"/>
      <w:marLeft w:val="0"/>
      <w:marRight w:val="0"/>
      <w:marTop w:val="0"/>
      <w:marBottom w:val="0"/>
      <w:divBdr>
        <w:top w:val="none" w:sz="0" w:space="0" w:color="auto"/>
        <w:left w:val="none" w:sz="0" w:space="0" w:color="auto"/>
        <w:bottom w:val="none" w:sz="0" w:space="0" w:color="auto"/>
        <w:right w:val="none" w:sz="0" w:space="0" w:color="auto"/>
      </w:divBdr>
    </w:div>
    <w:div w:id="1418751472">
      <w:bodyDiv w:val="1"/>
      <w:marLeft w:val="0"/>
      <w:marRight w:val="0"/>
      <w:marTop w:val="0"/>
      <w:marBottom w:val="0"/>
      <w:divBdr>
        <w:top w:val="none" w:sz="0" w:space="0" w:color="auto"/>
        <w:left w:val="none" w:sz="0" w:space="0" w:color="auto"/>
        <w:bottom w:val="none" w:sz="0" w:space="0" w:color="auto"/>
        <w:right w:val="none" w:sz="0" w:space="0" w:color="auto"/>
      </w:divBdr>
    </w:div>
    <w:div w:id="1436096214">
      <w:bodyDiv w:val="1"/>
      <w:marLeft w:val="0"/>
      <w:marRight w:val="0"/>
      <w:marTop w:val="0"/>
      <w:marBottom w:val="0"/>
      <w:divBdr>
        <w:top w:val="none" w:sz="0" w:space="0" w:color="auto"/>
        <w:left w:val="none" w:sz="0" w:space="0" w:color="auto"/>
        <w:bottom w:val="none" w:sz="0" w:space="0" w:color="auto"/>
        <w:right w:val="none" w:sz="0" w:space="0" w:color="auto"/>
      </w:divBdr>
    </w:div>
    <w:div w:id="1478302089">
      <w:bodyDiv w:val="1"/>
      <w:marLeft w:val="0"/>
      <w:marRight w:val="0"/>
      <w:marTop w:val="0"/>
      <w:marBottom w:val="0"/>
      <w:divBdr>
        <w:top w:val="none" w:sz="0" w:space="0" w:color="auto"/>
        <w:left w:val="none" w:sz="0" w:space="0" w:color="auto"/>
        <w:bottom w:val="none" w:sz="0" w:space="0" w:color="auto"/>
        <w:right w:val="none" w:sz="0" w:space="0" w:color="auto"/>
      </w:divBdr>
      <w:divsChild>
        <w:div w:id="1632858873">
          <w:marLeft w:val="0"/>
          <w:marRight w:val="0"/>
          <w:marTop w:val="0"/>
          <w:marBottom w:val="0"/>
          <w:divBdr>
            <w:top w:val="none" w:sz="0" w:space="0" w:color="auto"/>
            <w:left w:val="none" w:sz="0" w:space="0" w:color="auto"/>
            <w:bottom w:val="none" w:sz="0" w:space="0" w:color="auto"/>
            <w:right w:val="none" w:sz="0" w:space="0" w:color="auto"/>
          </w:divBdr>
        </w:div>
      </w:divsChild>
    </w:div>
    <w:div w:id="1514031609">
      <w:bodyDiv w:val="1"/>
      <w:marLeft w:val="0"/>
      <w:marRight w:val="0"/>
      <w:marTop w:val="0"/>
      <w:marBottom w:val="0"/>
      <w:divBdr>
        <w:top w:val="none" w:sz="0" w:space="0" w:color="auto"/>
        <w:left w:val="none" w:sz="0" w:space="0" w:color="auto"/>
        <w:bottom w:val="none" w:sz="0" w:space="0" w:color="auto"/>
        <w:right w:val="none" w:sz="0" w:space="0" w:color="auto"/>
      </w:divBdr>
    </w:div>
    <w:div w:id="1555652928">
      <w:bodyDiv w:val="1"/>
      <w:marLeft w:val="0"/>
      <w:marRight w:val="0"/>
      <w:marTop w:val="0"/>
      <w:marBottom w:val="0"/>
      <w:divBdr>
        <w:top w:val="none" w:sz="0" w:space="0" w:color="auto"/>
        <w:left w:val="none" w:sz="0" w:space="0" w:color="auto"/>
        <w:bottom w:val="none" w:sz="0" w:space="0" w:color="auto"/>
        <w:right w:val="none" w:sz="0" w:space="0" w:color="auto"/>
      </w:divBdr>
    </w:div>
    <w:div w:id="1621911206">
      <w:bodyDiv w:val="1"/>
      <w:marLeft w:val="0"/>
      <w:marRight w:val="0"/>
      <w:marTop w:val="0"/>
      <w:marBottom w:val="0"/>
      <w:divBdr>
        <w:top w:val="none" w:sz="0" w:space="0" w:color="auto"/>
        <w:left w:val="none" w:sz="0" w:space="0" w:color="auto"/>
        <w:bottom w:val="none" w:sz="0" w:space="0" w:color="auto"/>
        <w:right w:val="none" w:sz="0" w:space="0" w:color="auto"/>
      </w:divBdr>
    </w:div>
    <w:div w:id="1678267544">
      <w:bodyDiv w:val="1"/>
      <w:marLeft w:val="0"/>
      <w:marRight w:val="0"/>
      <w:marTop w:val="0"/>
      <w:marBottom w:val="0"/>
      <w:divBdr>
        <w:top w:val="none" w:sz="0" w:space="0" w:color="auto"/>
        <w:left w:val="none" w:sz="0" w:space="0" w:color="auto"/>
        <w:bottom w:val="none" w:sz="0" w:space="0" w:color="auto"/>
        <w:right w:val="none" w:sz="0" w:space="0" w:color="auto"/>
      </w:divBdr>
      <w:divsChild>
        <w:div w:id="1229068943">
          <w:marLeft w:val="0"/>
          <w:marRight w:val="0"/>
          <w:marTop w:val="0"/>
          <w:marBottom w:val="0"/>
          <w:divBdr>
            <w:top w:val="none" w:sz="0" w:space="0" w:color="auto"/>
            <w:left w:val="none" w:sz="0" w:space="0" w:color="auto"/>
            <w:bottom w:val="none" w:sz="0" w:space="0" w:color="auto"/>
            <w:right w:val="none" w:sz="0" w:space="0" w:color="auto"/>
          </w:divBdr>
        </w:div>
      </w:divsChild>
    </w:div>
    <w:div w:id="1830559727">
      <w:bodyDiv w:val="1"/>
      <w:marLeft w:val="0"/>
      <w:marRight w:val="0"/>
      <w:marTop w:val="0"/>
      <w:marBottom w:val="0"/>
      <w:divBdr>
        <w:top w:val="none" w:sz="0" w:space="0" w:color="auto"/>
        <w:left w:val="none" w:sz="0" w:space="0" w:color="auto"/>
        <w:bottom w:val="none" w:sz="0" w:space="0" w:color="auto"/>
        <w:right w:val="none" w:sz="0" w:space="0" w:color="auto"/>
      </w:divBdr>
    </w:div>
    <w:div w:id="1960451245">
      <w:bodyDiv w:val="1"/>
      <w:marLeft w:val="0"/>
      <w:marRight w:val="0"/>
      <w:marTop w:val="0"/>
      <w:marBottom w:val="0"/>
      <w:divBdr>
        <w:top w:val="none" w:sz="0" w:space="0" w:color="auto"/>
        <w:left w:val="none" w:sz="0" w:space="0" w:color="auto"/>
        <w:bottom w:val="none" w:sz="0" w:space="0" w:color="auto"/>
        <w:right w:val="none" w:sz="0" w:space="0" w:color="auto"/>
      </w:divBdr>
    </w:div>
    <w:div w:id="1966348437">
      <w:bodyDiv w:val="1"/>
      <w:marLeft w:val="0"/>
      <w:marRight w:val="0"/>
      <w:marTop w:val="0"/>
      <w:marBottom w:val="0"/>
      <w:divBdr>
        <w:top w:val="none" w:sz="0" w:space="0" w:color="auto"/>
        <w:left w:val="none" w:sz="0" w:space="0" w:color="auto"/>
        <w:bottom w:val="none" w:sz="0" w:space="0" w:color="auto"/>
        <w:right w:val="none" w:sz="0" w:space="0" w:color="auto"/>
      </w:divBdr>
    </w:div>
    <w:div w:id="2009676123">
      <w:bodyDiv w:val="1"/>
      <w:marLeft w:val="0"/>
      <w:marRight w:val="0"/>
      <w:marTop w:val="0"/>
      <w:marBottom w:val="0"/>
      <w:divBdr>
        <w:top w:val="none" w:sz="0" w:space="0" w:color="auto"/>
        <w:left w:val="none" w:sz="0" w:space="0" w:color="auto"/>
        <w:bottom w:val="none" w:sz="0" w:space="0" w:color="auto"/>
        <w:right w:val="none" w:sz="0" w:space="0" w:color="auto"/>
      </w:divBdr>
    </w:div>
    <w:div w:id="204262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acetaoficial.gob.cu/sites/default/files/goc-2022-o93_0_0.pdf" TargetMode="External"/><Relationship Id="rId7" Type="http://schemas.openxmlformats.org/officeDocument/2006/relationships/hyperlink" Target="https://www.gacetaoficial.gob.cu/sites/default/files/goc-2022-o99_0.pdf" TargetMode="External"/><Relationship Id="rId2" Type="http://schemas.openxmlformats.org/officeDocument/2006/relationships/hyperlink" Target="https://www.gacetaoficial.gob.cu/sites/default/files/goc-2022-o93_0_0.pdf" TargetMode="External"/><Relationship Id="rId1" Type="http://schemas.openxmlformats.org/officeDocument/2006/relationships/hyperlink" Target="https://www.gacetaoficial.gob.cu/sites/default/files/goc-2019-ex5_0.pdf" TargetMode="External"/><Relationship Id="rId6" Type="http://schemas.openxmlformats.org/officeDocument/2006/relationships/hyperlink" Target="https://www.gacetaoficial.gob.cu/sites/default/files/goc-2021-o138.pdf" TargetMode="External"/><Relationship Id="rId5" Type="http://schemas.openxmlformats.org/officeDocument/2006/relationships/hyperlink" Target="https://www.gacetaoficial.gob.cu/sites/default/files/goc-2022-o74.pdf" TargetMode="External"/><Relationship Id="rId4" Type="http://schemas.openxmlformats.org/officeDocument/2006/relationships/hyperlink" Target="https://www.ohchr.org/en/hr-bodies/upr/cu-inde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States</Category>
    <Filename xmlns="d42e65b2-cf21-49c1-b27d-d23f90380c0e" xsi:nil="true"/>
    <Doctype xmlns="d42e65b2-cf21-49c1-b27d-d23f90380c0e">note verbale-1</Doctype>
    <Contributor xmlns="d42e65b2-cf21-49c1-b27d-d23f90380c0e">Cuba</Contributor>
  </documentManagement>
</p:properties>
</file>

<file path=customXml/itemProps1.xml><?xml version="1.0" encoding="utf-8"?>
<ds:datastoreItem xmlns:ds="http://schemas.openxmlformats.org/officeDocument/2006/customXml" ds:itemID="{F11A1F5F-587D-4383-8636-A3E10BE08FCE}">
  <ds:schemaRefs>
    <ds:schemaRef ds:uri="http://schemas.openxmlformats.org/officeDocument/2006/bibliography"/>
  </ds:schemaRefs>
</ds:datastoreItem>
</file>

<file path=customXml/itemProps2.xml><?xml version="1.0" encoding="utf-8"?>
<ds:datastoreItem xmlns:ds="http://schemas.openxmlformats.org/officeDocument/2006/customXml" ds:itemID="{239EC0BE-EF8F-4E15-9C5D-C1074A326D75}"/>
</file>

<file path=customXml/itemProps3.xml><?xml version="1.0" encoding="utf-8"?>
<ds:datastoreItem xmlns:ds="http://schemas.openxmlformats.org/officeDocument/2006/customXml" ds:itemID="{9A60D012-8F7D-4CA9-BBC3-5854BF0F3BF0}"/>
</file>

<file path=customXml/itemProps4.xml><?xml version="1.0" encoding="utf-8"?>
<ds:datastoreItem xmlns:ds="http://schemas.openxmlformats.org/officeDocument/2006/customXml" ds:itemID="{DC1D903D-F5D8-4550-A1CA-6268349A786C}"/>
</file>

<file path=docProps/app.xml><?xml version="1.0" encoding="utf-8"?>
<Properties xmlns="http://schemas.openxmlformats.org/officeDocument/2006/extended-properties" xmlns:vt="http://schemas.openxmlformats.org/officeDocument/2006/docPropsVTypes">
  <Template>Normal</Template>
  <TotalTime>1311</TotalTime>
  <Pages>6</Pages>
  <Words>1266</Words>
  <Characters>6963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 Gral de Astos Multilaterales y Derecho Intern.</dc:creator>
  <cp:lastModifiedBy>Secretaria</cp:lastModifiedBy>
  <cp:revision>142</cp:revision>
  <cp:lastPrinted>2024-02-07T11:48:00Z</cp:lastPrinted>
  <dcterms:created xsi:type="dcterms:W3CDTF">2023-07-03T22:06:00Z</dcterms:created>
  <dcterms:modified xsi:type="dcterms:W3CDTF">2024-02-07T11:49:00Z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