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1BEDC" w14:textId="2101DBA4" w:rsidR="00604A37" w:rsidRPr="0092463C" w:rsidRDefault="00604A37" w:rsidP="0092463C">
      <w:pPr>
        <w:spacing w:line="276" w:lineRule="auto"/>
        <w:ind w:left="720"/>
        <w:jc w:val="center"/>
        <w:rPr>
          <w:rFonts w:cs="Tahoma"/>
          <w:b/>
        </w:rPr>
      </w:pPr>
      <w:r w:rsidRPr="0092463C">
        <w:rPr>
          <w:noProof/>
        </w:rPr>
        <w:drawing>
          <wp:inline distT="0" distB="0" distL="0" distR="0" wp14:anchorId="5F53D41B" wp14:editId="2DFCEC1F">
            <wp:extent cx="2752725" cy="851496"/>
            <wp:effectExtent l="0" t="0" r="0" b="6350"/>
            <wp:docPr id="1" name="Picture 1" descr="HRA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APF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6519" cy="861949"/>
                    </a:xfrm>
                    <a:prstGeom prst="rect">
                      <a:avLst/>
                    </a:prstGeom>
                    <a:noFill/>
                    <a:ln>
                      <a:noFill/>
                    </a:ln>
                  </pic:spPr>
                </pic:pic>
              </a:graphicData>
            </a:graphic>
          </wp:inline>
        </w:drawing>
      </w:r>
    </w:p>
    <w:p w14:paraId="3FDB9368" w14:textId="65B2D4AC" w:rsidR="00604A37" w:rsidRPr="0092463C" w:rsidRDefault="00604A37" w:rsidP="0092463C">
      <w:pPr>
        <w:spacing w:line="276" w:lineRule="auto"/>
        <w:ind w:left="720"/>
        <w:jc w:val="both"/>
        <w:rPr>
          <w:rFonts w:cs="Tahoma"/>
          <w:b/>
        </w:rPr>
      </w:pPr>
    </w:p>
    <w:p w14:paraId="78B6E1DB" w14:textId="77777777" w:rsidR="00604A37" w:rsidRPr="0092463C" w:rsidRDefault="00604A37" w:rsidP="0092463C">
      <w:pPr>
        <w:pStyle w:val="NormalWeb"/>
        <w:spacing w:before="0" w:beforeAutospacing="0" w:after="0" w:afterAutospacing="0" w:line="276" w:lineRule="auto"/>
        <w:jc w:val="center"/>
        <w:rPr>
          <w:rFonts w:cs="Tahoma"/>
          <w:b/>
          <w:sz w:val="22"/>
          <w:szCs w:val="22"/>
        </w:rPr>
      </w:pPr>
    </w:p>
    <w:p w14:paraId="42993E8B" w14:textId="77777777" w:rsidR="00604A37" w:rsidRPr="0092463C" w:rsidRDefault="00604A37" w:rsidP="0092463C">
      <w:pPr>
        <w:pStyle w:val="NormalWeb"/>
        <w:spacing w:before="0" w:beforeAutospacing="0" w:after="0" w:afterAutospacing="0" w:line="276" w:lineRule="auto"/>
        <w:jc w:val="center"/>
        <w:rPr>
          <w:rFonts w:cs="Tahoma"/>
          <w:b/>
          <w:sz w:val="22"/>
          <w:szCs w:val="22"/>
        </w:rPr>
      </w:pPr>
    </w:p>
    <w:p w14:paraId="2607EFFE" w14:textId="77777777" w:rsidR="00604A37" w:rsidRPr="0092463C" w:rsidRDefault="00604A37" w:rsidP="0092463C">
      <w:pPr>
        <w:pStyle w:val="NormalWeb"/>
        <w:spacing w:before="0" w:beforeAutospacing="0" w:after="0" w:afterAutospacing="0" w:line="276" w:lineRule="auto"/>
        <w:jc w:val="center"/>
        <w:rPr>
          <w:rFonts w:cs="Tahoma"/>
          <w:b/>
          <w:sz w:val="22"/>
          <w:szCs w:val="22"/>
        </w:rPr>
      </w:pPr>
    </w:p>
    <w:p w14:paraId="118A0F46" w14:textId="77777777" w:rsidR="00604A37" w:rsidRPr="0092463C" w:rsidRDefault="00604A37" w:rsidP="0092463C">
      <w:pPr>
        <w:pStyle w:val="NormalWeb"/>
        <w:spacing w:before="0" w:beforeAutospacing="0" w:after="0" w:afterAutospacing="0" w:line="276" w:lineRule="auto"/>
        <w:jc w:val="center"/>
        <w:rPr>
          <w:rFonts w:cs="Tahoma"/>
          <w:b/>
          <w:sz w:val="22"/>
          <w:szCs w:val="22"/>
        </w:rPr>
      </w:pPr>
    </w:p>
    <w:p w14:paraId="48EC992B" w14:textId="77777777" w:rsidR="00604A37" w:rsidRPr="0092463C" w:rsidRDefault="00604A37" w:rsidP="0092463C">
      <w:pPr>
        <w:pStyle w:val="NormalWeb"/>
        <w:spacing w:before="0" w:beforeAutospacing="0" w:after="0" w:afterAutospacing="0" w:line="276" w:lineRule="auto"/>
        <w:jc w:val="center"/>
        <w:rPr>
          <w:rFonts w:cs="Tahoma"/>
          <w:b/>
          <w:sz w:val="22"/>
          <w:szCs w:val="22"/>
        </w:rPr>
      </w:pPr>
    </w:p>
    <w:p w14:paraId="616C7E06" w14:textId="77777777" w:rsidR="00604A37" w:rsidRPr="0092463C" w:rsidRDefault="00604A37" w:rsidP="0092463C">
      <w:pPr>
        <w:pStyle w:val="NormalWeb"/>
        <w:spacing w:before="0" w:beforeAutospacing="0" w:after="0" w:afterAutospacing="0" w:line="276" w:lineRule="auto"/>
        <w:jc w:val="center"/>
        <w:rPr>
          <w:rFonts w:cs="Tahoma"/>
          <w:b/>
          <w:sz w:val="22"/>
          <w:szCs w:val="22"/>
        </w:rPr>
      </w:pPr>
    </w:p>
    <w:p w14:paraId="15845FAD" w14:textId="77777777" w:rsidR="00604A37" w:rsidRPr="0092463C" w:rsidRDefault="00604A37" w:rsidP="0092463C">
      <w:pPr>
        <w:pStyle w:val="NormalWeb"/>
        <w:spacing w:before="0" w:beforeAutospacing="0" w:after="0" w:afterAutospacing="0" w:line="276" w:lineRule="auto"/>
        <w:jc w:val="center"/>
        <w:rPr>
          <w:rFonts w:cs="Tahoma"/>
          <w:b/>
          <w:sz w:val="22"/>
          <w:szCs w:val="22"/>
        </w:rPr>
      </w:pPr>
    </w:p>
    <w:p w14:paraId="23125CBF" w14:textId="3889F222"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r w:rsidRPr="0092463C">
        <w:rPr>
          <w:rFonts w:cs="Tahoma"/>
          <w:b/>
          <w:sz w:val="22"/>
          <w:szCs w:val="22"/>
        </w:rPr>
        <w:t xml:space="preserve">HRAPF’S INPUT IN THE </w:t>
      </w:r>
      <w:r w:rsidRPr="0092463C">
        <w:rPr>
          <w:rFonts w:asciiTheme="majorBidi" w:hAnsiTheme="majorBidi" w:cstheme="majorBidi"/>
          <w:b/>
          <w:color w:val="000000" w:themeColor="text1"/>
          <w:sz w:val="22"/>
          <w:szCs w:val="22"/>
          <w:lang w:val="en-GB"/>
        </w:rPr>
        <w:t xml:space="preserve">INDEPENDENT EXPERT’S REPORT ON THE RIGHT TO FREEDOM OF EXPRESSION, ASSOCIATION AND ASSEMBLY IN RELATION TO SEXUAL ORIENTATION AND GENDER IDENTITY (SOGI). </w:t>
      </w:r>
    </w:p>
    <w:p w14:paraId="09A2DCB0" w14:textId="47F9093B"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p>
    <w:p w14:paraId="37E3E63D" w14:textId="3D0488C7"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p>
    <w:p w14:paraId="7200133B" w14:textId="07EEAF94"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p>
    <w:p w14:paraId="6AD27F07" w14:textId="28602D93"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p>
    <w:p w14:paraId="0CC127F6" w14:textId="3882F7C8"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p>
    <w:p w14:paraId="136883D5" w14:textId="2B96437E"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p>
    <w:p w14:paraId="3EA80CB2" w14:textId="4FFBCCEC"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p>
    <w:p w14:paraId="09F165C9" w14:textId="77777777"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p>
    <w:p w14:paraId="10B0203C" w14:textId="4FD15D56"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p>
    <w:p w14:paraId="2DF68748" w14:textId="65B0A33B"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p>
    <w:p w14:paraId="004C94C4" w14:textId="7000E5EB" w:rsidR="0060314D"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r w:rsidRPr="0092463C">
        <w:rPr>
          <w:rFonts w:asciiTheme="majorBidi" w:hAnsiTheme="majorBidi" w:cstheme="majorBidi"/>
          <w:b/>
          <w:color w:val="000000" w:themeColor="text1"/>
          <w:sz w:val="22"/>
          <w:szCs w:val="22"/>
          <w:lang w:val="en-GB"/>
        </w:rPr>
        <w:t>SUBMITTED TO:</w:t>
      </w:r>
    </w:p>
    <w:p w14:paraId="6D815C82" w14:textId="77777777" w:rsidR="0060314D" w:rsidRDefault="0060314D"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p>
    <w:p w14:paraId="4472F29D" w14:textId="34B416F1" w:rsidR="00604A37" w:rsidRPr="0060314D" w:rsidRDefault="0060314D"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r w:rsidRPr="0060314D">
        <w:rPr>
          <w:rFonts w:asciiTheme="majorBidi" w:hAnsiTheme="majorBidi" w:cstheme="majorBidi"/>
          <w:b/>
          <w:color w:val="000000" w:themeColor="text1"/>
          <w:lang w:val="en-GB"/>
        </w:rPr>
        <w:t>MR. GRAEME REID</w:t>
      </w:r>
      <w:r w:rsidRPr="0060314D">
        <w:rPr>
          <w:rFonts w:asciiTheme="majorBidi" w:hAnsiTheme="majorBidi" w:cstheme="majorBidi"/>
          <w:b/>
          <w:color w:val="000000" w:themeColor="text1"/>
          <w:sz w:val="22"/>
          <w:szCs w:val="22"/>
          <w:lang w:val="en-GB"/>
        </w:rPr>
        <w:t xml:space="preserve"> </w:t>
      </w:r>
    </w:p>
    <w:p w14:paraId="426661DF" w14:textId="43665B0C" w:rsidR="00604A37" w:rsidRPr="0092463C" w:rsidRDefault="0060314D" w:rsidP="0092463C">
      <w:pPr>
        <w:pStyle w:val="NormalWeb"/>
        <w:spacing w:before="0" w:beforeAutospacing="0" w:after="0" w:afterAutospacing="0" w:line="276" w:lineRule="auto"/>
        <w:jc w:val="center"/>
        <w:rPr>
          <w:b/>
          <w:color w:val="000000" w:themeColor="text1"/>
          <w:sz w:val="22"/>
          <w:szCs w:val="22"/>
          <w:lang w:val="en-GB"/>
        </w:rPr>
      </w:pPr>
      <w:r>
        <w:rPr>
          <w:b/>
          <w:color w:val="000000" w:themeColor="text1"/>
          <w:sz w:val="22"/>
          <w:szCs w:val="22"/>
        </w:rPr>
        <w:t xml:space="preserve">THE </w:t>
      </w:r>
      <w:r w:rsidR="00604A37" w:rsidRPr="0092463C">
        <w:rPr>
          <w:b/>
          <w:color w:val="000000" w:themeColor="text1"/>
          <w:sz w:val="22"/>
          <w:szCs w:val="22"/>
        </w:rPr>
        <w:t>UN INDEPENDENT EXPERT ON PROTECTION AGAINST VIOLENCE AND DISCRIMINATION BASED ON SEXUAL ORIENTATION AND GENDER IDENTITY</w:t>
      </w:r>
      <w:r w:rsidR="00604A37" w:rsidRPr="0092463C">
        <w:rPr>
          <w:b/>
          <w:color w:val="000000" w:themeColor="text1"/>
          <w:sz w:val="22"/>
          <w:szCs w:val="22"/>
          <w:lang w:val="en-GB"/>
        </w:rPr>
        <w:t xml:space="preserve"> (IE SOGI)</w:t>
      </w:r>
    </w:p>
    <w:p w14:paraId="0B603F38" w14:textId="0665EC96"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p>
    <w:p w14:paraId="0F31F489" w14:textId="0A7EEE89"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bookmarkStart w:id="0" w:name="_GoBack"/>
      <w:bookmarkEnd w:id="0"/>
    </w:p>
    <w:p w14:paraId="4291AB2D" w14:textId="6960BA08"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p>
    <w:p w14:paraId="3ECDB932" w14:textId="125738E8"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p>
    <w:p w14:paraId="372ED394" w14:textId="1A77B08E"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p>
    <w:p w14:paraId="7CBCFE9D" w14:textId="7980D4BA"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p>
    <w:p w14:paraId="5E6DE1F9" w14:textId="77777777"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p>
    <w:p w14:paraId="2E12373F" w14:textId="5D26A1E6"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p>
    <w:p w14:paraId="2E1DE59F" w14:textId="4BFEE246"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p>
    <w:p w14:paraId="0C3B6549" w14:textId="77777777"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p>
    <w:p w14:paraId="64407AA0" w14:textId="18AD4596"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p>
    <w:p w14:paraId="4A534FD4" w14:textId="792A44AA" w:rsidR="00604A37" w:rsidRPr="0092463C" w:rsidRDefault="00604A37" w:rsidP="0092463C">
      <w:pPr>
        <w:pStyle w:val="NormalWeb"/>
        <w:spacing w:before="0" w:beforeAutospacing="0" w:after="0" w:afterAutospacing="0" w:line="276" w:lineRule="auto"/>
        <w:jc w:val="center"/>
        <w:rPr>
          <w:b/>
          <w:color w:val="000000" w:themeColor="text1"/>
          <w:sz w:val="22"/>
          <w:szCs w:val="22"/>
          <w:lang w:val="en-GB"/>
        </w:rPr>
      </w:pPr>
    </w:p>
    <w:p w14:paraId="280AE911" w14:textId="15419FB8" w:rsidR="00604A37" w:rsidRPr="0092463C" w:rsidRDefault="00604A37" w:rsidP="0092463C">
      <w:pPr>
        <w:pStyle w:val="NormalWeb"/>
        <w:spacing w:before="0" w:beforeAutospacing="0" w:after="0" w:afterAutospacing="0" w:line="276" w:lineRule="auto"/>
        <w:jc w:val="center"/>
        <w:rPr>
          <w:rFonts w:asciiTheme="majorBidi" w:hAnsiTheme="majorBidi" w:cstheme="majorBidi"/>
          <w:b/>
          <w:color w:val="000000" w:themeColor="text1"/>
          <w:sz w:val="22"/>
          <w:szCs w:val="22"/>
          <w:lang w:val="en-GB"/>
        </w:rPr>
      </w:pPr>
      <w:r w:rsidRPr="0092463C">
        <w:rPr>
          <w:b/>
          <w:color w:val="000000" w:themeColor="text1"/>
          <w:sz w:val="22"/>
          <w:szCs w:val="22"/>
          <w:lang w:val="en-GB"/>
        </w:rPr>
        <w:lastRenderedPageBreak/>
        <w:t>31</w:t>
      </w:r>
      <w:r w:rsidRPr="0092463C">
        <w:rPr>
          <w:b/>
          <w:color w:val="000000" w:themeColor="text1"/>
          <w:sz w:val="22"/>
          <w:szCs w:val="22"/>
          <w:vertAlign w:val="superscript"/>
          <w:lang w:val="en-GB"/>
        </w:rPr>
        <w:t>ST</w:t>
      </w:r>
      <w:r w:rsidRPr="0092463C">
        <w:rPr>
          <w:b/>
          <w:color w:val="000000" w:themeColor="text1"/>
          <w:sz w:val="22"/>
          <w:szCs w:val="22"/>
          <w:lang w:val="en-GB"/>
        </w:rPr>
        <w:t xml:space="preserve"> JANUARY 2024</w:t>
      </w:r>
    </w:p>
    <w:p w14:paraId="0D96332E" w14:textId="77777777" w:rsidR="00604A37" w:rsidRPr="0092463C" w:rsidRDefault="00604A37" w:rsidP="0092463C">
      <w:pPr>
        <w:spacing w:line="276" w:lineRule="auto"/>
        <w:ind w:left="720"/>
        <w:jc w:val="both"/>
        <w:rPr>
          <w:rFonts w:cs="Tahoma"/>
          <w:b/>
        </w:rPr>
      </w:pPr>
    </w:p>
    <w:p w14:paraId="3A267C82" w14:textId="77777777" w:rsidR="00604A37" w:rsidRPr="0092463C" w:rsidRDefault="00604A37" w:rsidP="0092463C">
      <w:pPr>
        <w:spacing w:line="276" w:lineRule="auto"/>
        <w:ind w:left="720"/>
        <w:jc w:val="both"/>
        <w:rPr>
          <w:rFonts w:cs="Tahoma"/>
          <w:b/>
        </w:rPr>
      </w:pPr>
    </w:p>
    <w:p w14:paraId="58E79292" w14:textId="77777777" w:rsidR="00604A37" w:rsidRPr="0092463C" w:rsidRDefault="00604A37" w:rsidP="0092463C">
      <w:pPr>
        <w:spacing w:line="276" w:lineRule="auto"/>
        <w:ind w:left="720"/>
        <w:jc w:val="both"/>
        <w:rPr>
          <w:rFonts w:cs="Tahoma"/>
          <w:b/>
        </w:rPr>
      </w:pPr>
    </w:p>
    <w:p w14:paraId="0EF4EC28" w14:textId="718365DC" w:rsidR="00C515D8" w:rsidRPr="0092463C" w:rsidRDefault="00C515D8" w:rsidP="0092463C">
      <w:pPr>
        <w:spacing w:line="276" w:lineRule="auto"/>
        <w:jc w:val="both"/>
        <w:rPr>
          <w:rFonts w:cs="Tahoma"/>
          <w:b/>
        </w:rPr>
      </w:pPr>
      <w:r w:rsidRPr="0092463C">
        <w:rPr>
          <w:rFonts w:cs="Tahoma"/>
          <w:b/>
        </w:rPr>
        <w:t>About Human Rights Awareness and Promotion Forum (HRAPF)</w:t>
      </w:r>
    </w:p>
    <w:p w14:paraId="216D07DB" w14:textId="72983E96" w:rsidR="00C515D8" w:rsidRPr="0092463C" w:rsidRDefault="00C515D8" w:rsidP="0092463C">
      <w:pPr>
        <w:spacing w:line="276" w:lineRule="auto"/>
        <w:jc w:val="both"/>
        <w:rPr>
          <w:rFonts w:cs="Tahoma"/>
        </w:rPr>
      </w:pPr>
      <w:r w:rsidRPr="0092463C">
        <w:rPr>
          <w:rFonts w:cs="Tahoma"/>
        </w:rPr>
        <w:t>HRAPF is non-governmental human rights advocacy o</w:t>
      </w:r>
      <w:r w:rsidR="0092463C" w:rsidRPr="0092463C">
        <w:rPr>
          <w:rFonts w:cs="Tahoma"/>
        </w:rPr>
        <w:t>rganisation founded in May 2008</w:t>
      </w:r>
      <w:r w:rsidRPr="0092463C">
        <w:rPr>
          <w:rFonts w:cs="Tahoma"/>
        </w:rPr>
        <w:t xml:space="preserve">. </w:t>
      </w:r>
    </w:p>
    <w:p w14:paraId="6ED325E9" w14:textId="77777777" w:rsidR="00C515D8" w:rsidRPr="0092463C" w:rsidRDefault="00C515D8" w:rsidP="0092463C">
      <w:pPr>
        <w:spacing w:line="276" w:lineRule="auto"/>
        <w:jc w:val="both"/>
        <w:rPr>
          <w:rFonts w:cs="Tahoma"/>
        </w:rPr>
      </w:pPr>
    </w:p>
    <w:p w14:paraId="3562552E" w14:textId="23A5D043" w:rsidR="00C515D8" w:rsidRPr="0092463C" w:rsidRDefault="00C515D8" w:rsidP="0092463C">
      <w:pPr>
        <w:spacing w:line="276" w:lineRule="auto"/>
        <w:jc w:val="both"/>
        <w:rPr>
          <w:rFonts w:cs="Tahoma"/>
        </w:rPr>
      </w:pPr>
      <w:r w:rsidRPr="0092463C">
        <w:rPr>
          <w:rFonts w:cs="Tahoma"/>
        </w:rPr>
        <w:t xml:space="preserve">HRAPF uses the law as a major entry </w:t>
      </w:r>
      <w:r w:rsidR="0092463C" w:rsidRPr="0092463C">
        <w:rPr>
          <w:rFonts w:cs="Tahoma"/>
        </w:rPr>
        <w:t xml:space="preserve">point to </w:t>
      </w:r>
      <w:r w:rsidRPr="0092463C">
        <w:rPr>
          <w:rFonts w:cs="Tahoma"/>
        </w:rPr>
        <w:t xml:space="preserve">contribute to a better legal and policy environment for the most marginalised persons and Key Populations (KPs) </w:t>
      </w:r>
      <w:r w:rsidR="0092463C" w:rsidRPr="0092463C">
        <w:rPr>
          <w:rFonts w:cs="Tahoma"/>
        </w:rPr>
        <w:t xml:space="preserve">in Uganda. This is done </w:t>
      </w:r>
      <w:r w:rsidRPr="0092463C">
        <w:rPr>
          <w:rFonts w:cs="Tahoma"/>
        </w:rPr>
        <w:t>through legal and human rights awareness, legal aid, research and legislative advocacy, capacity development, strategic litigation and strat</w:t>
      </w:r>
      <w:r w:rsidR="0092463C" w:rsidRPr="0092463C">
        <w:rPr>
          <w:rFonts w:cs="Tahoma"/>
        </w:rPr>
        <w:t>egic partnerships at national, regional and international level.</w:t>
      </w:r>
      <w:r w:rsidRPr="0092463C">
        <w:rPr>
          <w:rFonts w:cs="Tahoma"/>
        </w:rPr>
        <w:t xml:space="preserve"> </w:t>
      </w:r>
    </w:p>
    <w:p w14:paraId="23853D6B" w14:textId="77777777" w:rsidR="00AE6030" w:rsidRPr="0092463C" w:rsidRDefault="0073724B" w:rsidP="0092463C">
      <w:pPr>
        <w:spacing w:before="100" w:beforeAutospacing="1" w:after="100" w:afterAutospacing="1" w:line="276" w:lineRule="auto"/>
        <w:jc w:val="both"/>
        <w:rPr>
          <w:rFonts w:eastAsia="Times New Roman" w:cs="Times New Roman"/>
          <w:b/>
          <w:lang w:val="en-US"/>
        </w:rPr>
      </w:pPr>
      <w:r w:rsidRPr="0092463C">
        <w:rPr>
          <w:rFonts w:eastAsia="Times New Roman" w:cs="Times New Roman"/>
          <w:b/>
          <w:lang w:val="en-US"/>
        </w:rPr>
        <w:t xml:space="preserve">Uganda’s legal and policy framework and its impact on the right to </w:t>
      </w:r>
      <w:r w:rsidR="00AE6030" w:rsidRPr="0092463C">
        <w:rPr>
          <w:rFonts w:eastAsia="Times New Roman" w:cs="Times New Roman"/>
          <w:b/>
          <w:lang w:val="en-US"/>
        </w:rPr>
        <w:t xml:space="preserve">freedom of expression by civil society organizations </w:t>
      </w:r>
      <w:r w:rsidR="00273E3E" w:rsidRPr="0092463C">
        <w:rPr>
          <w:rFonts w:eastAsia="Times New Roman" w:cs="Times New Roman"/>
          <w:b/>
          <w:lang w:val="en-US"/>
        </w:rPr>
        <w:t xml:space="preserve">and </w:t>
      </w:r>
      <w:r w:rsidR="00AE6030" w:rsidRPr="0092463C">
        <w:rPr>
          <w:rFonts w:eastAsia="Times New Roman" w:cs="Times New Roman"/>
          <w:b/>
          <w:lang w:val="en-US"/>
        </w:rPr>
        <w:t>activists advocating for LGBT persons’ human rights</w:t>
      </w:r>
      <w:r w:rsidR="00273E3E" w:rsidRPr="0092463C">
        <w:rPr>
          <w:rFonts w:eastAsia="Times New Roman" w:cs="Times New Roman"/>
          <w:b/>
          <w:lang w:val="en-US"/>
        </w:rPr>
        <w:t xml:space="preserve">. </w:t>
      </w:r>
    </w:p>
    <w:p w14:paraId="49920903" w14:textId="77777777" w:rsidR="00C237D3" w:rsidRPr="0092463C" w:rsidRDefault="00C237D3" w:rsidP="0092463C">
      <w:pPr>
        <w:autoSpaceDE w:val="0"/>
        <w:autoSpaceDN w:val="0"/>
        <w:adjustRightInd w:val="0"/>
        <w:spacing w:line="276" w:lineRule="auto"/>
        <w:jc w:val="both"/>
        <w:rPr>
          <w:rFonts w:eastAsia="Times New Roman" w:cs="Times New Roman"/>
          <w:b/>
          <w:lang w:val="en-US"/>
        </w:rPr>
      </w:pPr>
      <w:r w:rsidRPr="0092463C">
        <w:rPr>
          <w:rFonts w:eastAsia="Times New Roman" w:cs="Times New Roman"/>
          <w:b/>
          <w:lang w:val="en-US"/>
        </w:rPr>
        <w:t xml:space="preserve">Introduction </w:t>
      </w:r>
    </w:p>
    <w:p w14:paraId="02709B73" w14:textId="2B335A8E" w:rsidR="00C237D3" w:rsidRPr="0092463C" w:rsidRDefault="00A82BCC" w:rsidP="0092463C">
      <w:pPr>
        <w:autoSpaceDE w:val="0"/>
        <w:autoSpaceDN w:val="0"/>
        <w:adjustRightInd w:val="0"/>
        <w:spacing w:line="276" w:lineRule="auto"/>
        <w:jc w:val="both"/>
        <w:rPr>
          <w:rFonts w:cs="BookAntiqua"/>
          <w:lang w:val="en-US"/>
        </w:rPr>
      </w:pPr>
      <w:r w:rsidRPr="0092463C">
        <w:rPr>
          <w:rFonts w:eastAsia="Times New Roman" w:cs="Times New Roman"/>
          <w:lang w:val="en-US"/>
        </w:rPr>
        <w:t xml:space="preserve">Uganda is among the 31 </w:t>
      </w:r>
      <w:r w:rsidR="00BF2051" w:rsidRPr="0092463C">
        <w:rPr>
          <w:rFonts w:eastAsia="Times New Roman" w:cs="Times New Roman"/>
          <w:lang w:val="en-US"/>
        </w:rPr>
        <w:t xml:space="preserve">African </w:t>
      </w:r>
      <w:r w:rsidRPr="0092463C">
        <w:rPr>
          <w:rFonts w:eastAsia="Times New Roman" w:cs="Times New Roman"/>
          <w:lang w:val="en-US"/>
        </w:rPr>
        <w:t xml:space="preserve">countries that </w:t>
      </w:r>
      <w:proofErr w:type="spellStart"/>
      <w:r w:rsidRPr="0092463C">
        <w:rPr>
          <w:rFonts w:eastAsia="Times New Roman" w:cs="Times New Roman"/>
          <w:lang w:val="en-US"/>
        </w:rPr>
        <w:t>criminalise</w:t>
      </w:r>
      <w:proofErr w:type="spellEnd"/>
      <w:r w:rsidRPr="0092463C">
        <w:rPr>
          <w:rFonts w:eastAsia="Times New Roman" w:cs="Times New Roman"/>
          <w:lang w:val="en-US"/>
        </w:rPr>
        <w:t xml:space="preserve"> homosexuality.</w:t>
      </w:r>
      <w:r w:rsidRPr="0092463C">
        <w:rPr>
          <w:rStyle w:val="FootnoteReference"/>
          <w:rFonts w:eastAsia="Times New Roman" w:cs="Times New Roman"/>
          <w:lang w:val="en-US"/>
        </w:rPr>
        <w:footnoteReference w:id="1"/>
      </w:r>
      <w:r w:rsidR="003B6266" w:rsidRPr="0092463C">
        <w:rPr>
          <w:rFonts w:eastAsia="Times New Roman" w:cs="Times New Roman"/>
          <w:lang w:val="en-US"/>
        </w:rPr>
        <w:t xml:space="preserve"> </w:t>
      </w:r>
      <w:r w:rsidR="009322BE" w:rsidRPr="0092463C">
        <w:rPr>
          <w:rFonts w:eastAsia="Times New Roman" w:cs="Times New Roman"/>
          <w:lang w:val="en-US"/>
        </w:rPr>
        <w:t xml:space="preserve">Marriage between people of the same sex is </w:t>
      </w:r>
      <w:r w:rsidR="00C515D8" w:rsidRPr="0092463C">
        <w:rPr>
          <w:rFonts w:eastAsia="Times New Roman" w:cs="Times New Roman"/>
          <w:lang w:val="en-US"/>
        </w:rPr>
        <w:t xml:space="preserve">expressly </w:t>
      </w:r>
      <w:r w:rsidR="009322BE" w:rsidRPr="0092463C">
        <w:rPr>
          <w:rFonts w:eastAsia="Times New Roman" w:cs="Times New Roman"/>
          <w:lang w:val="en-US"/>
        </w:rPr>
        <w:t xml:space="preserve">prohibited under article 31(2) </w:t>
      </w:r>
      <w:r w:rsidR="00C515D8" w:rsidRPr="0092463C">
        <w:rPr>
          <w:rFonts w:eastAsia="Times New Roman" w:cs="Times New Roman"/>
          <w:lang w:val="en-US"/>
        </w:rPr>
        <w:t xml:space="preserve">of the Constitution of Uganda 1995 (as amended) </w:t>
      </w:r>
      <w:r w:rsidR="009322BE" w:rsidRPr="0092463C">
        <w:rPr>
          <w:rFonts w:eastAsia="Times New Roman" w:cs="Times New Roman"/>
          <w:lang w:val="en-US"/>
        </w:rPr>
        <w:t xml:space="preserve">and section 145 </w:t>
      </w:r>
      <w:r w:rsidR="00C515D8" w:rsidRPr="0092463C">
        <w:rPr>
          <w:rStyle w:val="CommentReference"/>
          <w:sz w:val="22"/>
          <w:szCs w:val="22"/>
        </w:rPr>
        <w:t xml:space="preserve">of the Penal Code Act, Cap. 120 </w:t>
      </w:r>
      <w:r w:rsidR="009322BE" w:rsidRPr="0092463C">
        <w:rPr>
          <w:rFonts w:eastAsia="Times New Roman" w:cs="Times New Roman"/>
          <w:lang w:val="en-US"/>
        </w:rPr>
        <w:t xml:space="preserve">criminalizes carnal knowledge against the order of nature. </w:t>
      </w:r>
      <w:r w:rsidR="009322BE" w:rsidRPr="0092463C">
        <w:t>The NGO Act 201</w:t>
      </w:r>
      <w:r w:rsidR="00C515D8" w:rsidRPr="0092463C">
        <w:t>6</w:t>
      </w:r>
      <w:r w:rsidR="009322BE" w:rsidRPr="0092463C">
        <w:t xml:space="preserve"> prohibits the NGO Bureau </w:t>
      </w:r>
      <w:r w:rsidR="00A77837" w:rsidRPr="0092463C">
        <w:t>from registering</w:t>
      </w:r>
      <w:r w:rsidR="009322BE" w:rsidRPr="0092463C">
        <w:t xml:space="preserve"> organisations whose objectives ‘contravene the laws and </w:t>
      </w:r>
      <w:r w:rsidR="00A77837" w:rsidRPr="0092463C">
        <w:t xml:space="preserve">prejudicial to the </w:t>
      </w:r>
      <w:r w:rsidR="009322BE" w:rsidRPr="0092463C">
        <w:t>interest</w:t>
      </w:r>
      <w:r w:rsidR="00A77837" w:rsidRPr="0092463C">
        <w:t>s or dignity</w:t>
      </w:r>
      <w:r w:rsidR="009322BE" w:rsidRPr="0092463C">
        <w:t xml:space="preserve"> of the people of Uganda’ and as such many LGBT organisations find it </w:t>
      </w:r>
      <w:r w:rsidR="00C515D8" w:rsidRPr="0092463C">
        <w:t xml:space="preserve">extremely </w:t>
      </w:r>
      <w:r w:rsidR="009322BE" w:rsidRPr="0092463C">
        <w:t xml:space="preserve">hard to </w:t>
      </w:r>
      <w:r w:rsidR="00C515D8" w:rsidRPr="0092463C">
        <w:t xml:space="preserve">be registered </w:t>
      </w:r>
      <w:r w:rsidR="009322BE" w:rsidRPr="0092463C">
        <w:t xml:space="preserve">as NGOs </w:t>
      </w:r>
      <w:r w:rsidR="00C515D8" w:rsidRPr="0092463C">
        <w:t xml:space="preserve">as required by the law. </w:t>
      </w:r>
      <w:r w:rsidR="00BF2051" w:rsidRPr="0092463C">
        <w:rPr>
          <w:rFonts w:eastAsia="Times New Roman" w:cs="Times New Roman"/>
          <w:lang w:val="en-US"/>
        </w:rPr>
        <w:t xml:space="preserve">The new Anti- Homosexuality Act 2023 (AHA) has catalyzed the negative impact of laws on the right to freedom of expression by </w:t>
      </w:r>
      <w:r w:rsidR="00AC2390" w:rsidRPr="0092463C">
        <w:rPr>
          <w:rFonts w:eastAsia="Times New Roman" w:cs="Times New Roman"/>
          <w:lang w:val="en-US"/>
        </w:rPr>
        <w:t xml:space="preserve">activists and CSOs </w:t>
      </w:r>
      <w:r w:rsidR="00BF2051" w:rsidRPr="0092463C">
        <w:rPr>
          <w:rFonts w:eastAsia="Times New Roman" w:cs="Times New Roman"/>
          <w:lang w:val="en-US"/>
        </w:rPr>
        <w:t>working wi</w:t>
      </w:r>
      <w:r w:rsidR="009322BE" w:rsidRPr="0092463C">
        <w:rPr>
          <w:rFonts w:eastAsia="Times New Roman" w:cs="Times New Roman"/>
          <w:lang w:val="en-US"/>
        </w:rPr>
        <w:t>t</w:t>
      </w:r>
      <w:r w:rsidR="00BF2051" w:rsidRPr="0092463C">
        <w:rPr>
          <w:rFonts w:eastAsia="Times New Roman" w:cs="Times New Roman"/>
          <w:lang w:val="en-US"/>
        </w:rPr>
        <w:t xml:space="preserve">h LGBT persons. </w:t>
      </w:r>
      <w:r w:rsidR="00117A86" w:rsidRPr="0092463C">
        <w:rPr>
          <w:rFonts w:eastAsia="Times New Roman" w:cs="Times New Roman"/>
          <w:lang w:val="en-US"/>
        </w:rPr>
        <w:t>Th</w:t>
      </w:r>
      <w:r w:rsidR="00AC2390" w:rsidRPr="0092463C">
        <w:rPr>
          <w:rFonts w:eastAsia="Times New Roman" w:cs="Times New Roman"/>
          <w:lang w:val="en-US"/>
        </w:rPr>
        <w:t xml:space="preserve">e </w:t>
      </w:r>
      <w:r w:rsidR="00BF2051" w:rsidRPr="0092463C">
        <w:t>AHA</w:t>
      </w:r>
      <w:r w:rsidR="005B6E4E" w:rsidRPr="0092463C">
        <w:rPr>
          <w:rFonts w:eastAsia="Times New Roman" w:cs="Times New Roman"/>
          <w:lang w:val="en-US"/>
        </w:rPr>
        <w:t xml:space="preserve"> has </w:t>
      </w:r>
      <w:r w:rsidR="00117A86" w:rsidRPr="0092463C">
        <w:t>escalated</w:t>
      </w:r>
      <w:r w:rsidR="005D664C" w:rsidRPr="0092463C">
        <w:t xml:space="preserve"> homophobi</w:t>
      </w:r>
      <w:r w:rsidR="00117A86" w:rsidRPr="0092463C">
        <w:t xml:space="preserve">a </w:t>
      </w:r>
      <w:r w:rsidR="00BF2051" w:rsidRPr="0092463C">
        <w:t xml:space="preserve">and violence </w:t>
      </w:r>
      <w:r w:rsidR="00117A86" w:rsidRPr="0092463C">
        <w:t xml:space="preserve">towards LGBT persons, activists and civil society organisations </w:t>
      </w:r>
      <w:r w:rsidR="005B6E4E" w:rsidRPr="0092463C">
        <w:t xml:space="preserve">working on LGBT </w:t>
      </w:r>
      <w:r w:rsidR="00117A86" w:rsidRPr="0092463C">
        <w:t xml:space="preserve">issues. </w:t>
      </w:r>
      <w:r w:rsidR="005B6E4E" w:rsidRPr="0092463C">
        <w:rPr>
          <w:rFonts w:eastAsia="Times New Roman" w:cs="Times New Roman"/>
          <w:lang w:val="en-US"/>
        </w:rPr>
        <w:t>By way of example, as of 31</w:t>
      </w:r>
      <w:r w:rsidR="005B6E4E" w:rsidRPr="0092463C">
        <w:rPr>
          <w:rFonts w:eastAsia="Times New Roman" w:cs="Times New Roman"/>
          <w:vertAlign w:val="superscript"/>
          <w:lang w:val="en-US"/>
        </w:rPr>
        <w:t>st</w:t>
      </w:r>
      <w:r w:rsidR="005B6E4E" w:rsidRPr="0092463C">
        <w:rPr>
          <w:rFonts w:eastAsia="Times New Roman" w:cs="Times New Roman"/>
          <w:lang w:val="en-US"/>
        </w:rPr>
        <w:t xml:space="preserve"> December 2023, </w:t>
      </w:r>
      <w:hyperlink r:id="rId9" w:history="1">
        <w:r w:rsidR="00C237D3" w:rsidRPr="0092463C">
          <w:rPr>
            <w:rStyle w:val="Hyperlink"/>
            <w:rFonts w:cs="BookAntiqua"/>
            <w:lang w:val="en-US"/>
          </w:rPr>
          <w:t>a total of 523 cases of violations of human rights involving LGBTQ persons</w:t>
        </w:r>
      </w:hyperlink>
      <w:r w:rsidR="00C237D3" w:rsidRPr="0092463C">
        <w:rPr>
          <w:rFonts w:cs="BookAntiqua"/>
          <w:lang w:val="en-US"/>
        </w:rPr>
        <w:t xml:space="preserve"> </w:t>
      </w:r>
      <w:r w:rsidR="005B6E4E" w:rsidRPr="0092463C">
        <w:rPr>
          <w:rFonts w:cs="BookAntiqua"/>
          <w:lang w:val="en-US"/>
        </w:rPr>
        <w:t xml:space="preserve">have been </w:t>
      </w:r>
      <w:r w:rsidR="00C237D3" w:rsidRPr="0092463C">
        <w:rPr>
          <w:rFonts w:cs="BookAntiqua"/>
          <w:lang w:val="en-US"/>
        </w:rPr>
        <w:t xml:space="preserve">handled </w:t>
      </w:r>
      <w:r w:rsidR="005B6E4E" w:rsidRPr="0092463C">
        <w:rPr>
          <w:rFonts w:cs="BookAntiqua"/>
          <w:lang w:val="en-US"/>
        </w:rPr>
        <w:t xml:space="preserve">by </w:t>
      </w:r>
      <w:hyperlink r:id="rId10" w:history="1">
        <w:r w:rsidR="005B6E4E" w:rsidRPr="0092463C">
          <w:rPr>
            <w:rStyle w:val="Hyperlink"/>
            <w:rFonts w:cs="BookAntiqua"/>
            <w:lang w:val="en-US"/>
          </w:rPr>
          <w:t>Human Rights Awareness and Promotion Forum (HRAPF)</w:t>
        </w:r>
      </w:hyperlink>
      <w:r w:rsidR="005B6E4E" w:rsidRPr="0092463C">
        <w:rPr>
          <w:rFonts w:cs="BookAntiqua"/>
          <w:lang w:val="en-US"/>
        </w:rPr>
        <w:t xml:space="preserve"> </w:t>
      </w:r>
      <w:r w:rsidR="00C237D3" w:rsidRPr="0092463C">
        <w:rPr>
          <w:rFonts w:cs="BookAntiqua"/>
          <w:lang w:val="en-US"/>
        </w:rPr>
        <w:t xml:space="preserve">across the legal aid network of the organization of which 349 (66.7%) targeted LGBTIQ people </w:t>
      </w:r>
      <w:r w:rsidR="00BF2051" w:rsidRPr="0092463C">
        <w:rPr>
          <w:rFonts w:cs="BookAntiqua"/>
          <w:lang w:val="en-US"/>
        </w:rPr>
        <w:t>based on</w:t>
      </w:r>
      <w:r w:rsidR="00C237D3" w:rsidRPr="0092463C">
        <w:rPr>
          <w:rFonts w:cs="BookAntiqua"/>
          <w:lang w:val="en-US"/>
        </w:rPr>
        <w:t xml:space="preserve"> their sexuality, affecting a total of 440 persons.</w:t>
      </w:r>
      <w:r w:rsidR="005D664C" w:rsidRPr="0092463C">
        <w:t xml:space="preserve"> </w:t>
      </w:r>
      <w:r w:rsidR="00BF2051" w:rsidRPr="0092463C">
        <w:t>T</w:t>
      </w:r>
      <w:r w:rsidR="005D664C" w:rsidRPr="0092463C">
        <w:t>his spate of homophobic violence is directly attributable to the AHA.</w:t>
      </w:r>
      <w:r w:rsidR="00BF2051" w:rsidRPr="0092463C">
        <w:t xml:space="preserve"> </w:t>
      </w:r>
    </w:p>
    <w:p w14:paraId="350838B6" w14:textId="77777777" w:rsidR="00C237D3" w:rsidRPr="0092463C" w:rsidRDefault="00C237D3" w:rsidP="0092463C">
      <w:pPr>
        <w:autoSpaceDE w:val="0"/>
        <w:autoSpaceDN w:val="0"/>
        <w:adjustRightInd w:val="0"/>
        <w:spacing w:line="276" w:lineRule="auto"/>
        <w:ind w:left="720"/>
        <w:jc w:val="both"/>
        <w:rPr>
          <w:rFonts w:cs="BookAntiqua"/>
          <w:lang w:val="en-US"/>
        </w:rPr>
      </w:pPr>
    </w:p>
    <w:p w14:paraId="17745EDC" w14:textId="517C4F7F" w:rsidR="00C237D3" w:rsidRPr="0092463C" w:rsidRDefault="00C237D3" w:rsidP="0092463C">
      <w:pPr>
        <w:autoSpaceDE w:val="0"/>
        <w:autoSpaceDN w:val="0"/>
        <w:adjustRightInd w:val="0"/>
        <w:spacing w:line="276" w:lineRule="auto"/>
        <w:jc w:val="both"/>
        <w:rPr>
          <w:rFonts w:eastAsia="Times New Roman" w:cs="Times New Roman"/>
          <w:b/>
          <w:lang w:val="en-US"/>
        </w:rPr>
      </w:pPr>
      <w:r w:rsidRPr="0092463C">
        <w:rPr>
          <w:rFonts w:cs="BookAntiqua"/>
          <w:b/>
          <w:lang w:val="en-US"/>
        </w:rPr>
        <w:t>Uganda’s Anti Homosexuality Act</w:t>
      </w:r>
      <w:r w:rsidR="005858C4" w:rsidRPr="0092463C">
        <w:rPr>
          <w:rFonts w:cs="BookAntiqua"/>
          <w:b/>
          <w:lang w:val="en-US"/>
        </w:rPr>
        <w:t>, 2023</w:t>
      </w:r>
      <w:r w:rsidRPr="0092463C">
        <w:rPr>
          <w:rFonts w:cs="BookAntiqua"/>
          <w:b/>
          <w:lang w:val="en-US"/>
        </w:rPr>
        <w:t xml:space="preserve"> and how it limits the enjoyment of the right to</w:t>
      </w:r>
      <w:r w:rsidRPr="0092463C">
        <w:rPr>
          <w:rFonts w:eastAsia="Times New Roman" w:cs="Times New Roman"/>
          <w:b/>
          <w:lang w:val="en-US"/>
        </w:rPr>
        <w:t xml:space="preserve"> freedom of expression by civil society organizations and activists advocating for LGBT persons’ human rights.</w:t>
      </w:r>
    </w:p>
    <w:p w14:paraId="6667E600" w14:textId="77777777" w:rsidR="00C237D3" w:rsidRPr="0092463C" w:rsidRDefault="00C237D3" w:rsidP="0092463C">
      <w:pPr>
        <w:autoSpaceDE w:val="0"/>
        <w:autoSpaceDN w:val="0"/>
        <w:adjustRightInd w:val="0"/>
        <w:spacing w:line="276" w:lineRule="auto"/>
        <w:ind w:left="720"/>
        <w:jc w:val="both"/>
        <w:rPr>
          <w:rFonts w:eastAsia="Times New Roman" w:cs="Times New Roman"/>
          <w:lang w:val="en-US"/>
        </w:rPr>
      </w:pPr>
    </w:p>
    <w:p w14:paraId="3AEF842A" w14:textId="60A627DA" w:rsidR="00CB3E0F" w:rsidRPr="0092463C" w:rsidRDefault="00C237D3" w:rsidP="0092463C">
      <w:pPr>
        <w:autoSpaceDE w:val="0"/>
        <w:autoSpaceDN w:val="0"/>
        <w:adjustRightInd w:val="0"/>
        <w:spacing w:line="276" w:lineRule="auto"/>
        <w:jc w:val="both"/>
        <w:rPr>
          <w:rFonts w:eastAsia="Times New Roman" w:cs="Times New Roman"/>
          <w:lang w:val="en-US"/>
        </w:rPr>
      </w:pPr>
      <w:r w:rsidRPr="0092463C">
        <w:rPr>
          <w:rFonts w:eastAsia="Times New Roman" w:cs="Times New Roman"/>
          <w:lang w:val="en-US"/>
        </w:rPr>
        <w:t>There are a number of provisions in the AHA that restrict the enjoyment of the right to freedom of expression by CSOs and activi</w:t>
      </w:r>
      <w:r w:rsidR="00C11858" w:rsidRPr="0092463C">
        <w:rPr>
          <w:rFonts w:eastAsia="Times New Roman" w:cs="Times New Roman"/>
          <w:lang w:val="en-US"/>
        </w:rPr>
        <w:t>sts</w:t>
      </w:r>
      <w:r w:rsidRPr="0092463C">
        <w:rPr>
          <w:rFonts w:eastAsia="Times New Roman" w:cs="Times New Roman"/>
          <w:lang w:val="en-US"/>
        </w:rPr>
        <w:t xml:space="preserve">. </w:t>
      </w:r>
      <w:r w:rsidR="004E58EA" w:rsidRPr="0092463C">
        <w:rPr>
          <w:rFonts w:cs="Times New Roman"/>
        </w:rPr>
        <w:t>These provisions have</w:t>
      </w:r>
      <w:r w:rsidR="00D2273C" w:rsidRPr="0092463C">
        <w:rPr>
          <w:rFonts w:cs="Times New Roman"/>
        </w:rPr>
        <w:t xml:space="preserve"> the resultant </w:t>
      </w:r>
      <w:r w:rsidR="004E58EA" w:rsidRPr="0092463C">
        <w:rPr>
          <w:rFonts w:cs="Times New Roman"/>
        </w:rPr>
        <w:t xml:space="preserve">effect of impairing or impeding legitimate debates and work </w:t>
      </w:r>
      <w:r w:rsidR="007F74C8" w:rsidRPr="0092463C">
        <w:rPr>
          <w:rFonts w:cs="Times New Roman"/>
        </w:rPr>
        <w:t xml:space="preserve">on </w:t>
      </w:r>
      <w:r w:rsidR="004E58EA" w:rsidRPr="0092463C">
        <w:rPr>
          <w:rFonts w:cs="Times New Roman"/>
        </w:rPr>
        <w:t xml:space="preserve">LGBT issues by activists </w:t>
      </w:r>
      <w:r w:rsidR="00D2273C" w:rsidRPr="0092463C">
        <w:rPr>
          <w:rFonts w:cs="Times New Roman"/>
        </w:rPr>
        <w:t xml:space="preserve">and </w:t>
      </w:r>
      <w:r w:rsidR="004E58EA" w:rsidRPr="0092463C">
        <w:rPr>
          <w:rFonts w:cs="Times New Roman"/>
        </w:rPr>
        <w:t>civil society</w:t>
      </w:r>
      <w:r w:rsidR="007F74C8" w:rsidRPr="0092463C">
        <w:rPr>
          <w:rFonts w:cs="Times New Roman"/>
        </w:rPr>
        <w:t xml:space="preserve"> organisations. </w:t>
      </w:r>
      <w:r w:rsidR="004E58EA" w:rsidRPr="0092463C">
        <w:rPr>
          <w:rFonts w:cs="Times New Roman"/>
        </w:rPr>
        <w:lastRenderedPageBreak/>
        <w:t>Th</w:t>
      </w:r>
      <w:r w:rsidR="007F74C8" w:rsidRPr="0092463C">
        <w:rPr>
          <w:rFonts w:cs="Times New Roman"/>
        </w:rPr>
        <w:t xml:space="preserve">ese provisions affect </w:t>
      </w:r>
      <w:r w:rsidR="004E58EA" w:rsidRPr="0092463C">
        <w:rPr>
          <w:rFonts w:cs="Times New Roman"/>
        </w:rPr>
        <w:t>the freedoms of expression, conscience and thought, assembly and association</w:t>
      </w:r>
      <w:r w:rsidR="007F74C8" w:rsidRPr="0092463C">
        <w:rPr>
          <w:rFonts w:cs="Times New Roman"/>
        </w:rPr>
        <w:t xml:space="preserve"> while also limiting </w:t>
      </w:r>
      <w:r w:rsidR="004E58EA" w:rsidRPr="0092463C">
        <w:rPr>
          <w:rFonts w:cs="Times New Roman"/>
        </w:rPr>
        <w:t xml:space="preserve">civic participation and engagement on LGBT issues. </w:t>
      </w:r>
      <w:r w:rsidR="009322BE" w:rsidRPr="0092463C">
        <w:rPr>
          <w:rFonts w:cs="Times New Roman"/>
        </w:rPr>
        <w:t>Of course,</w:t>
      </w:r>
      <w:r w:rsidR="007F74C8" w:rsidRPr="0092463C">
        <w:rPr>
          <w:rFonts w:cs="Times New Roman"/>
        </w:rPr>
        <w:t xml:space="preserve"> this is in violation of the </w:t>
      </w:r>
      <w:r w:rsidR="004E58EA" w:rsidRPr="0092463C">
        <w:rPr>
          <w:rFonts w:cs="Times New Roman"/>
        </w:rPr>
        <w:t xml:space="preserve">rights guaranteed under </w:t>
      </w:r>
      <w:r w:rsidR="00CB3E0F" w:rsidRPr="0092463C">
        <w:rPr>
          <w:rFonts w:cs="Times New Roman"/>
        </w:rPr>
        <w:t>Article</w:t>
      </w:r>
      <w:r w:rsidR="007F74C8" w:rsidRPr="0092463C">
        <w:rPr>
          <w:rFonts w:cs="Times New Roman"/>
        </w:rPr>
        <w:t xml:space="preserve"> 29 of Uganda’s constitution and Article 19 </w:t>
      </w:r>
      <w:r w:rsidR="004E58EA" w:rsidRPr="0092463C">
        <w:rPr>
          <w:rFonts w:cs="Times New Roman"/>
        </w:rPr>
        <w:t>of the International Covenant on Civil and Political Rights</w:t>
      </w:r>
      <w:r w:rsidR="004F16DD" w:rsidRPr="0092463C">
        <w:rPr>
          <w:rFonts w:cs="Times New Roman"/>
        </w:rPr>
        <w:t xml:space="preserve"> (ICCPR)</w:t>
      </w:r>
      <w:r w:rsidR="004E58EA" w:rsidRPr="0092463C">
        <w:rPr>
          <w:rFonts w:cs="Times New Roman"/>
        </w:rPr>
        <w:t>.</w:t>
      </w:r>
    </w:p>
    <w:p w14:paraId="11AE03E5" w14:textId="77777777" w:rsidR="007F74C8" w:rsidRPr="0092463C" w:rsidRDefault="00395353" w:rsidP="0092463C">
      <w:pPr>
        <w:spacing w:before="100" w:beforeAutospacing="1" w:after="100" w:afterAutospacing="1" w:line="276" w:lineRule="auto"/>
        <w:jc w:val="both"/>
        <w:rPr>
          <w:iCs/>
        </w:rPr>
      </w:pPr>
      <w:r w:rsidRPr="0092463C">
        <w:rPr>
          <w:rFonts w:cs="Times New Roman"/>
        </w:rPr>
        <w:t xml:space="preserve">Section </w:t>
      </w:r>
      <w:r w:rsidR="00CB3E0F" w:rsidRPr="0092463C">
        <w:rPr>
          <w:bCs/>
          <w:iCs/>
        </w:rPr>
        <w:t>11(1) and (2)</w:t>
      </w:r>
      <w:r w:rsidR="00CB3E0F" w:rsidRPr="0092463C">
        <w:rPr>
          <w:b/>
          <w:iCs/>
        </w:rPr>
        <w:t xml:space="preserve"> </w:t>
      </w:r>
      <w:r w:rsidR="00CB3E0F" w:rsidRPr="0092463C">
        <w:rPr>
          <w:iCs/>
        </w:rPr>
        <w:t>of the AHA, criminalise</w:t>
      </w:r>
      <w:r w:rsidRPr="0092463C">
        <w:rPr>
          <w:iCs/>
        </w:rPr>
        <w:t>s</w:t>
      </w:r>
      <w:r w:rsidR="00CB3E0F" w:rsidRPr="0092463C">
        <w:rPr>
          <w:iCs/>
        </w:rPr>
        <w:t xml:space="preserve"> the publication, communication, or distribution of any material that promote or encourage homosexuality</w:t>
      </w:r>
      <w:r w:rsidRPr="0092463C">
        <w:rPr>
          <w:iCs/>
        </w:rPr>
        <w:t xml:space="preserve">. This section essentially makes it an offence for anyone to engage in the research, publication and or distribution of any material that is considered to be promoting homosexuality. </w:t>
      </w:r>
      <w:r w:rsidR="003730D6" w:rsidRPr="0092463C">
        <w:rPr>
          <w:iCs/>
        </w:rPr>
        <w:t xml:space="preserve">This is a direct attack on CSOs and activists. It’s a gagging order. </w:t>
      </w:r>
      <w:r w:rsidR="00FF03F2" w:rsidRPr="0092463C">
        <w:rPr>
          <w:iCs/>
        </w:rPr>
        <w:t>The overbroad provision for “</w:t>
      </w:r>
      <w:r w:rsidRPr="0092463C">
        <w:rPr>
          <w:iCs/>
        </w:rPr>
        <w:t xml:space="preserve">promotion” </w:t>
      </w:r>
      <w:r w:rsidR="00FF03F2" w:rsidRPr="0092463C">
        <w:rPr>
          <w:iCs/>
        </w:rPr>
        <w:t xml:space="preserve">makes it clear that any content </w:t>
      </w:r>
      <w:r w:rsidRPr="0092463C">
        <w:rPr>
          <w:iCs/>
        </w:rPr>
        <w:t>with LGBT is capable of being interpreted as promoting or encouraging homosexuality. As such, organisations</w:t>
      </w:r>
      <w:r w:rsidR="007F74C8" w:rsidRPr="0092463C">
        <w:rPr>
          <w:iCs/>
        </w:rPr>
        <w:t xml:space="preserve"> such as HRAPF </w:t>
      </w:r>
      <w:r w:rsidRPr="0092463C">
        <w:rPr>
          <w:iCs/>
        </w:rPr>
        <w:t xml:space="preserve">that have been in the publication of research, </w:t>
      </w:r>
      <w:r w:rsidR="00FF03F2" w:rsidRPr="0092463C">
        <w:rPr>
          <w:iCs/>
        </w:rPr>
        <w:t xml:space="preserve">community update </w:t>
      </w:r>
      <w:r w:rsidRPr="0092463C">
        <w:rPr>
          <w:iCs/>
        </w:rPr>
        <w:t xml:space="preserve">magazines, newsletters, advocacy materials have had to suspend these activities in </w:t>
      </w:r>
      <w:r w:rsidR="007F74C8" w:rsidRPr="0092463C">
        <w:rPr>
          <w:iCs/>
        </w:rPr>
        <w:t xml:space="preserve">order to comply with the law. </w:t>
      </w:r>
    </w:p>
    <w:p w14:paraId="5BD82A5A" w14:textId="72E8BA8B" w:rsidR="008F599D" w:rsidRPr="0092463C" w:rsidRDefault="00395353" w:rsidP="0092463C">
      <w:pPr>
        <w:spacing w:before="100" w:beforeAutospacing="1" w:after="100" w:afterAutospacing="1" w:line="276" w:lineRule="auto"/>
        <w:jc w:val="both"/>
        <w:rPr>
          <w:rFonts w:eastAsia="Lucida Grande" w:cs="Calibri Light"/>
        </w:rPr>
      </w:pPr>
      <w:r w:rsidRPr="0092463C">
        <w:rPr>
          <w:iCs/>
        </w:rPr>
        <w:t>Under Section</w:t>
      </w:r>
      <w:r w:rsidR="00CB3E0F" w:rsidRPr="0092463C">
        <w:rPr>
          <w:rFonts w:eastAsia="Lucida Grande" w:cs="Calibri Light"/>
        </w:rPr>
        <w:t xml:space="preserve"> 11(1) and (2)(b)</w:t>
      </w:r>
      <w:r w:rsidRPr="0092463C">
        <w:rPr>
          <w:rFonts w:eastAsia="Lucida Grande" w:cs="Calibri Light"/>
        </w:rPr>
        <w:t>, a person promotes homosexuality if they</w:t>
      </w:r>
      <w:r w:rsidRPr="0092463C">
        <w:rPr>
          <w:rFonts w:cs="TimesNewRomanPSMT"/>
          <w:lang w:val="en-US"/>
        </w:rPr>
        <w:t xml:space="preserve"> knowingly advertise, publish, print, broadcast, distribute or cause the advertisement, publication, printing, broadcasting or distribution by any means, including the use of a computer, information system or the internet, of any material promoting or encouraging homosexuality or the commission of an offence under the Act. </w:t>
      </w:r>
      <w:r w:rsidR="00744381" w:rsidRPr="0092463C">
        <w:rPr>
          <w:rFonts w:cs="TimesNewRomanPSMT"/>
          <w:lang w:val="en-US"/>
        </w:rPr>
        <w:t xml:space="preserve">This provision clearly bars people including activists and civil society </w:t>
      </w:r>
      <w:r w:rsidR="007F74C8" w:rsidRPr="0092463C">
        <w:rPr>
          <w:rFonts w:cs="TimesNewRomanPSMT"/>
          <w:lang w:val="en-US"/>
        </w:rPr>
        <w:t>organizations</w:t>
      </w:r>
      <w:r w:rsidR="00744381" w:rsidRPr="0092463C">
        <w:rPr>
          <w:rFonts w:cs="TimesNewRomanPSMT"/>
          <w:lang w:val="en-US"/>
        </w:rPr>
        <w:t xml:space="preserve"> from voicing out their views, ideas and opinions in the promotion of the rights of all including LGBT persons.</w:t>
      </w:r>
      <w:r w:rsidR="007F74C8" w:rsidRPr="0092463C">
        <w:rPr>
          <w:iCs/>
        </w:rPr>
        <w:t xml:space="preserve"> </w:t>
      </w:r>
      <w:r w:rsidR="009219C2" w:rsidRPr="0092463C">
        <w:rPr>
          <w:iCs/>
        </w:rPr>
        <w:t xml:space="preserve">It is clear, </w:t>
      </w:r>
      <w:r w:rsidR="00744381" w:rsidRPr="0092463C">
        <w:rPr>
          <w:rFonts w:cs="TimesNewRomanPSMT"/>
          <w:lang w:val="en-US"/>
        </w:rPr>
        <w:t xml:space="preserve">the </w:t>
      </w:r>
      <w:r w:rsidR="00744381" w:rsidRPr="0092463C">
        <w:rPr>
          <w:rFonts w:eastAsia="Lucida Grande" w:cs="Calibri Light"/>
        </w:rPr>
        <w:t xml:space="preserve">self-evident purpose of section 11(2)(b) of the Act is to criminalize actions of </w:t>
      </w:r>
      <w:r w:rsidR="007F74C8" w:rsidRPr="0092463C">
        <w:rPr>
          <w:rFonts w:eastAsia="Lucida Grande" w:cs="Calibri Light"/>
        </w:rPr>
        <w:t xml:space="preserve">persons including activists and </w:t>
      </w:r>
      <w:r w:rsidR="009219C2" w:rsidRPr="0092463C">
        <w:rPr>
          <w:rFonts w:eastAsia="Lucida Grande" w:cs="Calibri Light"/>
        </w:rPr>
        <w:t xml:space="preserve">CSOs </w:t>
      </w:r>
      <w:r w:rsidR="007F74C8" w:rsidRPr="0092463C">
        <w:rPr>
          <w:rFonts w:eastAsia="Lucida Grande" w:cs="Calibri Light"/>
        </w:rPr>
        <w:t xml:space="preserve">that </w:t>
      </w:r>
      <w:r w:rsidR="00744381" w:rsidRPr="0092463C">
        <w:rPr>
          <w:rFonts w:cs="TimesNewRomanPSMT"/>
        </w:rPr>
        <w:t>publish, print, broadcast, distribute or cause the publication, printing, broadcasting or distribution by any means, including the use of a computer, information system or the internet,</w:t>
      </w:r>
      <w:r w:rsidR="00744381" w:rsidRPr="0092463C">
        <w:rPr>
          <w:rFonts w:eastAsia="Lucida Grande" w:cs="Calibri Light"/>
        </w:rPr>
        <w:t xml:space="preserve"> or any form of legitimate debate and discussion on issues of LGBT persons as such information can easily be termed promotion of homosexuality.</w:t>
      </w:r>
      <w:r w:rsidR="005858C4" w:rsidRPr="0092463C">
        <w:rPr>
          <w:rFonts w:eastAsia="Lucida Grande" w:cs="Calibri Light"/>
        </w:rPr>
        <w:t xml:space="preserve"> </w:t>
      </w:r>
      <w:r w:rsidR="00744381" w:rsidRPr="0092463C">
        <w:rPr>
          <w:rFonts w:eastAsia="Lucida Grande" w:cs="Calibri Light"/>
        </w:rPr>
        <w:t xml:space="preserve">Such debate or discussion in public fora </w:t>
      </w:r>
      <w:r w:rsidR="00A62518" w:rsidRPr="0092463C">
        <w:rPr>
          <w:rFonts w:eastAsia="Lucida Grande" w:cs="Calibri Light"/>
        </w:rPr>
        <w:t xml:space="preserve">is undoubtedly </w:t>
      </w:r>
      <w:r w:rsidR="00744381" w:rsidRPr="0092463C">
        <w:rPr>
          <w:rFonts w:eastAsia="Lucida Grande" w:cs="Calibri Light"/>
        </w:rPr>
        <w:t xml:space="preserve">part and parcel of </w:t>
      </w:r>
      <w:r w:rsidR="00A62518" w:rsidRPr="0092463C">
        <w:rPr>
          <w:rFonts w:eastAsia="Lucida Grande" w:cs="Calibri Light"/>
        </w:rPr>
        <w:t xml:space="preserve">the </w:t>
      </w:r>
      <w:r w:rsidR="00744381" w:rsidRPr="0092463C">
        <w:rPr>
          <w:rFonts w:eastAsia="Lucida Grande" w:cs="Calibri Light"/>
        </w:rPr>
        <w:t xml:space="preserve">freedom of expression as well as thought, conscience, and belief. </w:t>
      </w:r>
      <w:r w:rsidR="00A62518" w:rsidRPr="0092463C">
        <w:rPr>
          <w:rFonts w:eastAsia="Lucida Grande" w:cs="Calibri Light"/>
        </w:rPr>
        <w:t xml:space="preserve">The provision </w:t>
      </w:r>
      <w:r w:rsidR="009219C2" w:rsidRPr="0092463C">
        <w:rPr>
          <w:rFonts w:eastAsia="Lucida Grande" w:cs="Calibri Light"/>
        </w:rPr>
        <w:t xml:space="preserve">thus </w:t>
      </w:r>
      <w:r w:rsidR="00A62518" w:rsidRPr="0092463C">
        <w:rPr>
          <w:rFonts w:eastAsia="Lucida Grande" w:cs="Calibri Light"/>
        </w:rPr>
        <w:t>makes it hard for a</w:t>
      </w:r>
      <w:r w:rsidR="00744381" w:rsidRPr="0092463C">
        <w:rPr>
          <w:rFonts w:eastAsia="Lucida Grande" w:cs="Calibri Light"/>
        </w:rPr>
        <w:t xml:space="preserve">ctivists, </w:t>
      </w:r>
      <w:r w:rsidR="00A62518" w:rsidRPr="0092463C">
        <w:rPr>
          <w:rFonts w:eastAsia="Lucida Grande" w:cs="Calibri Light"/>
        </w:rPr>
        <w:t xml:space="preserve">scholars and </w:t>
      </w:r>
      <w:r w:rsidR="00744381" w:rsidRPr="0092463C">
        <w:rPr>
          <w:rFonts w:eastAsia="Lucida Grande" w:cs="Calibri Light"/>
        </w:rPr>
        <w:t xml:space="preserve">civil </w:t>
      </w:r>
      <w:r w:rsidR="00A62518" w:rsidRPr="0092463C">
        <w:rPr>
          <w:rFonts w:eastAsia="Lucida Grande" w:cs="Calibri Light"/>
        </w:rPr>
        <w:t xml:space="preserve">society to freely </w:t>
      </w:r>
      <w:r w:rsidR="00744381" w:rsidRPr="0092463C">
        <w:rPr>
          <w:rFonts w:eastAsia="Lucida Grande" w:cs="Calibri Light"/>
        </w:rPr>
        <w:t>voice out their views, opinions and ideas</w:t>
      </w:r>
      <w:r w:rsidR="009219C2" w:rsidRPr="0092463C">
        <w:rPr>
          <w:rFonts w:eastAsia="Lucida Grande" w:cs="Calibri Light"/>
        </w:rPr>
        <w:t xml:space="preserve"> on issues of LGBT in a </w:t>
      </w:r>
      <w:r w:rsidR="00A62518" w:rsidRPr="0092463C">
        <w:rPr>
          <w:rFonts w:eastAsia="Lucida Grande" w:cs="Calibri Light"/>
        </w:rPr>
        <w:t>country where the social and religious environment</w:t>
      </w:r>
      <w:r w:rsidR="008F599D" w:rsidRPr="0092463C">
        <w:rPr>
          <w:rFonts w:eastAsia="Lucida Grande" w:cs="Calibri Light"/>
        </w:rPr>
        <w:t xml:space="preserve"> is already harsh.</w:t>
      </w:r>
      <w:r w:rsidR="00374ECB" w:rsidRPr="0092463C">
        <w:rPr>
          <w:rFonts w:eastAsia="Lucida Grande" w:cs="Calibri Light"/>
        </w:rPr>
        <w:t xml:space="preserve"> To this end, the Uganda National Council of Science and Technology a body responsible for approving research issued a circular on 27</w:t>
      </w:r>
      <w:r w:rsidR="00374ECB" w:rsidRPr="0092463C">
        <w:rPr>
          <w:rFonts w:eastAsia="Lucida Grande" w:cs="Calibri Light"/>
          <w:vertAlign w:val="superscript"/>
        </w:rPr>
        <w:t>th</w:t>
      </w:r>
      <w:r w:rsidR="00374ECB" w:rsidRPr="0092463C">
        <w:rPr>
          <w:rFonts w:eastAsia="Lucida Grande" w:cs="Calibri Light"/>
        </w:rPr>
        <w:t xml:space="preserve"> October 2023 emphasising </w:t>
      </w:r>
      <w:r w:rsidR="00A77837" w:rsidRPr="0092463C">
        <w:rPr>
          <w:rFonts w:eastAsia="Lucida Grande" w:cs="Calibri Light"/>
        </w:rPr>
        <w:t xml:space="preserve">to researchers </w:t>
      </w:r>
      <w:r w:rsidR="00374ECB" w:rsidRPr="0092463C">
        <w:rPr>
          <w:rFonts w:eastAsia="Lucida Grande" w:cs="Calibri Light"/>
        </w:rPr>
        <w:t xml:space="preserve">the legal requirement </w:t>
      </w:r>
      <w:r w:rsidR="00A77837" w:rsidRPr="0092463C">
        <w:rPr>
          <w:rFonts w:eastAsia="Lucida Grande" w:cs="Calibri Light"/>
        </w:rPr>
        <w:t>under Section 14 of the AHA to report any person suspected of having committed an offence under the AHA.</w:t>
      </w:r>
      <w:r w:rsidR="00374ECB" w:rsidRPr="0092463C">
        <w:rPr>
          <w:rFonts w:eastAsia="Lucida Grande" w:cs="Calibri Light"/>
        </w:rPr>
        <w:t xml:space="preserve"> </w:t>
      </w:r>
    </w:p>
    <w:p w14:paraId="0EDDA773" w14:textId="5C34C605" w:rsidR="00116A4F" w:rsidRPr="0092463C" w:rsidRDefault="004D0642" w:rsidP="0092463C">
      <w:pPr>
        <w:spacing w:before="100" w:beforeAutospacing="1" w:after="100" w:afterAutospacing="1" w:line="276" w:lineRule="auto"/>
        <w:jc w:val="both"/>
        <w:rPr>
          <w:rFonts w:eastAsia="Lucida Grande" w:cs="Calibri Light"/>
        </w:rPr>
      </w:pPr>
      <w:r w:rsidRPr="0092463C">
        <w:rPr>
          <w:rFonts w:eastAsia="Lucida Grande" w:cs="Calibri Light"/>
        </w:rPr>
        <w:t xml:space="preserve">Section 11(1) and (2)(b) </w:t>
      </w:r>
      <w:r w:rsidR="00A62518" w:rsidRPr="0092463C">
        <w:rPr>
          <w:rFonts w:eastAsia="Lucida Grande" w:cs="Calibri Light"/>
        </w:rPr>
        <w:t xml:space="preserve">also </w:t>
      </w:r>
      <w:r w:rsidRPr="0092463C">
        <w:rPr>
          <w:rFonts w:eastAsia="Lucida Grande" w:cs="Calibri Light"/>
        </w:rPr>
        <w:t>ha</w:t>
      </w:r>
      <w:r w:rsidR="00374ECB" w:rsidRPr="0092463C">
        <w:rPr>
          <w:rFonts w:eastAsia="Lucida Grande" w:cs="Calibri Light"/>
        </w:rPr>
        <w:t>ve</w:t>
      </w:r>
      <w:r w:rsidRPr="0092463C">
        <w:rPr>
          <w:rFonts w:eastAsia="Lucida Grande" w:cs="Calibri Light"/>
        </w:rPr>
        <w:t xml:space="preserve"> the effect of impeding the right to access, receive and impart information, which is an integral </w:t>
      </w:r>
      <w:r w:rsidR="00116A4F" w:rsidRPr="0092463C">
        <w:rPr>
          <w:rFonts w:eastAsia="Lucida Grande" w:cs="Calibri Light"/>
        </w:rPr>
        <w:t xml:space="preserve">part </w:t>
      </w:r>
      <w:r w:rsidRPr="0092463C">
        <w:rPr>
          <w:rFonts w:eastAsia="Lucida Grande" w:cs="Calibri Light"/>
        </w:rPr>
        <w:t>of the freedom of expression guaranteed under Article</w:t>
      </w:r>
      <w:r w:rsidR="00A62518" w:rsidRPr="0092463C">
        <w:rPr>
          <w:rFonts w:eastAsia="Lucida Grande" w:cs="Calibri Light"/>
        </w:rPr>
        <w:t xml:space="preserve"> 19 </w:t>
      </w:r>
      <w:r w:rsidRPr="0092463C">
        <w:rPr>
          <w:rFonts w:eastAsia="Lucida Grande" w:cs="Calibri Light"/>
        </w:rPr>
        <w:t>of the ICCPR</w:t>
      </w:r>
      <w:r w:rsidRPr="0092463C">
        <w:rPr>
          <w:rFonts w:eastAsia="Lucida Grande" w:cs="Calibri Light"/>
          <w:b/>
          <w:i/>
        </w:rPr>
        <w:t xml:space="preserve">. </w:t>
      </w:r>
      <w:r w:rsidRPr="0092463C">
        <w:rPr>
          <w:rFonts w:eastAsia="Lucida Grande" w:cs="Calibri Light"/>
        </w:rPr>
        <w:t xml:space="preserve">The </w:t>
      </w:r>
      <w:r w:rsidR="00A62518" w:rsidRPr="0092463C">
        <w:rPr>
          <w:rFonts w:eastAsia="Lucida Grande" w:cs="Calibri Light"/>
        </w:rPr>
        <w:t>effect</w:t>
      </w:r>
      <w:r w:rsidRPr="0092463C">
        <w:rPr>
          <w:rFonts w:eastAsia="Lucida Grande" w:cs="Calibri Light"/>
        </w:rPr>
        <w:t xml:space="preserve"> </w:t>
      </w:r>
      <w:r w:rsidR="00A62518" w:rsidRPr="0092463C">
        <w:rPr>
          <w:rFonts w:eastAsia="Lucida Grande" w:cs="Calibri Light"/>
        </w:rPr>
        <w:t xml:space="preserve">of this right is that </w:t>
      </w:r>
      <w:r w:rsidRPr="0092463C">
        <w:rPr>
          <w:rFonts w:eastAsia="Lucida Grande" w:cs="Calibri Light"/>
        </w:rPr>
        <w:t>the free voicing of views, ideas, and opinions ensures</w:t>
      </w:r>
      <w:r w:rsidR="00A62518" w:rsidRPr="0092463C">
        <w:rPr>
          <w:rFonts w:eastAsia="Lucida Grande" w:cs="Calibri Light"/>
        </w:rPr>
        <w:t xml:space="preserve"> that one has a right to express themselves while the other has a right to </w:t>
      </w:r>
      <w:r w:rsidRPr="0092463C">
        <w:rPr>
          <w:rFonts w:eastAsia="Lucida Grande" w:cs="Calibri Light"/>
        </w:rPr>
        <w:t>access and recei</w:t>
      </w:r>
      <w:r w:rsidR="00A62518" w:rsidRPr="0092463C">
        <w:rPr>
          <w:rFonts w:eastAsia="Lucida Grande" w:cs="Calibri Light"/>
        </w:rPr>
        <w:t xml:space="preserve">ve </w:t>
      </w:r>
      <w:r w:rsidRPr="0092463C">
        <w:rPr>
          <w:rFonts w:eastAsia="Lucida Grande" w:cs="Calibri Light"/>
        </w:rPr>
        <w:t>ideas and opinions. Th</w:t>
      </w:r>
      <w:r w:rsidR="00116A4F" w:rsidRPr="0092463C">
        <w:rPr>
          <w:rFonts w:eastAsia="Lucida Grande" w:cs="Calibri Light"/>
        </w:rPr>
        <w:t xml:space="preserve">e </w:t>
      </w:r>
      <w:r w:rsidR="00A62518" w:rsidRPr="0092463C">
        <w:rPr>
          <w:rFonts w:eastAsia="Lucida Grande" w:cs="Calibri Light"/>
        </w:rPr>
        <w:t xml:space="preserve">curtailment of the publication and distribution of information is a violation of </w:t>
      </w:r>
      <w:r w:rsidRPr="0092463C">
        <w:rPr>
          <w:rFonts w:eastAsia="Lucida Grande" w:cs="Calibri Light"/>
        </w:rPr>
        <w:t>Article 19(2) of the I</w:t>
      </w:r>
      <w:r w:rsidR="005858C4" w:rsidRPr="0092463C">
        <w:rPr>
          <w:rFonts w:eastAsia="Lucida Grande" w:cs="Calibri Light"/>
        </w:rPr>
        <w:t xml:space="preserve">CCPR </w:t>
      </w:r>
      <w:r w:rsidRPr="0092463C">
        <w:rPr>
          <w:rFonts w:eastAsia="Lucida Grande" w:cs="Calibri Light"/>
        </w:rPr>
        <w:t>which Uganda acceded to</w:t>
      </w:r>
      <w:r w:rsidR="00116A4F" w:rsidRPr="0092463C">
        <w:rPr>
          <w:rFonts w:eastAsia="Lucida Grande" w:cs="Calibri Light"/>
        </w:rPr>
        <w:t>.</w:t>
      </w:r>
    </w:p>
    <w:p w14:paraId="686D97B4" w14:textId="6F9D8EEC" w:rsidR="004022B2" w:rsidRPr="0092463C" w:rsidRDefault="005D664C" w:rsidP="0092463C">
      <w:pPr>
        <w:spacing w:before="100" w:beforeAutospacing="1" w:after="100" w:afterAutospacing="1" w:line="276" w:lineRule="auto"/>
        <w:jc w:val="both"/>
        <w:rPr>
          <w:rFonts w:eastAsia="Times New Roman" w:cs="Times New Roman"/>
          <w:lang w:val="en-US"/>
        </w:rPr>
      </w:pPr>
      <w:r w:rsidRPr="0092463C">
        <w:rPr>
          <w:rFonts w:eastAsia="Symbol" w:cs="Calibri Light"/>
        </w:rPr>
        <w:lastRenderedPageBreak/>
        <w:t xml:space="preserve">By limiting the publication on issues involving LGBT persons, </w:t>
      </w:r>
      <w:r w:rsidR="004022B2" w:rsidRPr="0092463C">
        <w:rPr>
          <w:rFonts w:eastAsia="Symbol" w:cs="Calibri Light"/>
        </w:rPr>
        <w:t>S</w:t>
      </w:r>
      <w:r w:rsidR="00C515D8" w:rsidRPr="0092463C">
        <w:rPr>
          <w:rFonts w:eastAsia="Symbol" w:cs="Calibri Light"/>
        </w:rPr>
        <w:t xml:space="preserve">ection </w:t>
      </w:r>
      <w:r w:rsidR="004022B2" w:rsidRPr="0092463C">
        <w:rPr>
          <w:rFonts w:eastAsia="Symbol" w:cs="Calibri Light"/>
        </w:rPr>
        <w:t>11 (1) and (2) (b</w:t>
      </w:r>
      <w:r w:rsidR="00C650B2" w:rsidRPr="0092463C">
        <w:rPr>
          <w:rFonts w:eastAsia="Symbol" w:cs="Calibri Light"/>
        </w:rPr>
        <w:t>)</w:t>
      </w:r>
      <w:r w:rsidR="004022B2" w:rsidRPr="0092463C">
        <w:rPr>
          <w:rFonts w:eastAsia="Symbol" w:cs="Calibri Light"/>
        </w:rPr>
        <w:t xml:space="preserve"> </w:t>
      </w:r>
      <w:r w:rsidRPr="0092463C">
        <w:rPr>
          <w:rFonts w:eastAsia="Symbol" w:cs="Calibri Light"/>
        </w:rPr>
        <w:t>is promoting the selective application and enjoyment of rights</w:t>
      </w:r>
      <w:r w:rsidR="004022B2" w:rsidRPr="0092463C">
        <w:rPr>
          <w:rFonts w:eastAsia="Symbol" w:cs="Calibri Light"/>
        </w:rPr>
        <w:t xml:space="preserve"> as only those preaching against LGBT issues are protected</w:t>
      </w:r>
      <w:r w:rsidR="005B749B" w:rsidRPr="0092463C">
        <w:rPr>
          <w:rFonts w:eastAsia="Symbol" w:cs="Calibri Light"/>
        </w:rPr>
        <w:t xml:space="preserve"> </w:t>
      </w:r>
      <w:r w:rsidRPr="0092463C">
        <w:t>while those who express opposite viewpoints are subjected to criminal sanctions.</w:t>
      </w:r>
    </w:p>
    <w:p w14:paraId="4F61C5AE" w14:textId="77777777" w:rsidR="00AE6030" w:rsidRPr="0092463C" w:rsidRDefault="00374ECB" w:rsidP="0092463C">
      <w:pPr>
        <w:spacing w:before="100" w:beforeAutospacing="1" w:after="100" w:afterAutospacing="1" w:line="276" w:lineRule="auto"/>
        <w:jc w:val="both"/>
        <w:rPr>
          <w:rFonts w:eastAsia="Times New Roman" w:cs="Times New Roman"/>
          <w:lang w:val="en-US"/>
        </w:rPr>
      </w:pPr>
      <w:r w:rsidRPr="0092463C">
        <w:t>S</w:t>
      </w:r>
      <w:r w:rsidR="004E58EA" w:rsidRPr="0092463C">
        <w:t>ection 11 o</w:t>
      </w:r>
      <w:r w:rsidR="00C650B2" w:rsidRPr="0092463C">
        <w:t>f</w:t>
      </w:r>
      <w:r w:rsidR="004E58EA" w:rsidRPr="0092463C">
        <w:t xml:space="preserve"> the AHA</w:t>
      </w:r>
      <w:r w:rsidRPr="0092463C">
        <w:t xml:space="preserve"> read together with section 44(f) of the NGO Act</w:t>
      </w:r>
      <w:r w:rsidR="004E58EA" w:rsidRPr="0092463C">
        <w:t xml:space="preserve">, </w:t>
      </w:r>
      <w:r w:rsidR="00A77837" w:rsidRPr="0092463C">
        <w:t>further</w:t>
      </w:r>
      <w:r w:rsidR="004022B2" w:rsidRPr="0092463C">
        <w:t xml:space="preserve"> threaten </w:t>
      </w:r>
      <w:r w:rsidR="004E58EA" w:rsidRPr="0092463C">
        <w:t>the very existence of CSO</w:t>
      </w:r>
      <w:r w:rsidR="00C650B2" w:rsidRPr="0092463C">
        <w:t>s working on the rights of LGBT</w:t>
      </w:r>
      <w:r w:rsidR="004E58EA" w:rsidRPr="0092463C">
        <w:t xml:space="preserve"> persons thus completely shutting down the space for engagement and</w:t>
      </w:r>
      <w:r w:rsidR="00C650B2" w:rsidRPr="0092463C">
        <w:t xml:space="preserve"> dialogue on the rights of LGBT</w:t>
      </w:r>
      <w:r w:rsidR="004E58EA" w:rsidRPr="0092463C">
        <w:t xml:space="preserve"> persons. </w:t>
      </w:r>
      <w:r w:rsidR="00A77837" w:rsidRPr="0092463C">
        <w:t>For example, t</w:t>
      </w:r>
      <w:r w:rsidR="004022B2" w:rsidRPr="0092463C">
        <w:t xml:space="preserve">he </w:t>
      </w:r>
      <w:r w:rsidR="004E58EA" w:rsidRPr="0092463C">
        <w:t xml:space="preserve">National NGO Bureau </w:t>
      </w:r>
      <w:r w:rsidR="004022B2" w:rsidRPr="0092463C">
        <w:t xml:space="preserve">in January, 2023 </w:t>
      </w:r>
      <w:r w:rsidR="004E58EA" w:rsidRPr="0092463C">
        <w:t>published a report accusing 26 CSOs of promoting homosexuality</w:t>
      </w:r>
      <w:r w:rsidR="004022B2" w:rsidRPr="0092463C">
        <w:t xml:space="preserve">. These organisations have since been visited by the Bureau and </w:t>
      </w:r>
      <w:r w:rsidR="004E58EA" w:rsidRPr="0092463C">
        <w:t>interrogated</w:t>
      </w:r>
      <w:r w:rsidR="004022B2" w:rsidRPr="0092463C">
        <w:t xml:space="preserve"> on their activities</w:t>
      </w:r>
      <w:r w:rsidR="004E58EA" w:rsidRPr="0092463C">
        <w:t xml:space="preserve">. </w:t>
      </w:r>
    </w:p>
    <w:p w14:paraId="74E996A0" w14:textId="77777777" w:rsidR="004022B2" w:rsidRPr="0092463C" w:rsidRDefault="004022B2" w:rsidP="0092463C">
      <w:pPr>
        <w:spacing w:before="100" w:beforeAutospacing="1" w:after="100" w:afterAutospacing="1" w:line="276" w:lineRule="auto"/>
        <w:jc w:val="both"/>
        <w:rPr>
          <w:rFonts w:eastAsia="Times New Roman" w:cs="Times New Roman"/>
          <w:b/>
          <w:lang w:val="en-US"/>
        </w:rPr>
      </w:pPr>
      <w:r w:rsidRPr="0092463C">
        <w:rPr>
          <w:rFonts w:eastAsia="Times New Roman" w:cs="Times New Roman"/>
          <w:b/>
          <w:lang w:val="en-US"/>
        </w:rPr>
        <w:t xml:space="preserve">The AHA and how it limits the enjoyment of the right to freedom of </w:t>
      </w:r>
      <w:r w:rsidR="00AE6030" w:rsidRPr="0092463C">
        <w:rPr>
          <w:rFonts w:eastAsia="Times New Roman" w:cs="Times New Roman"/>
          <w:b/>
          <w:lang w:val="en-US"/>
        </w:rPr>
        <w:t xml:space="preserve">association and freedom of peaceful assembly by civil society organizations </w:t>
      </w:r>
      <w:r w:rsidRPr="0092463C">
        <w:rPr>
          <w:rFonts w:eastAsia="Times New Roman" w:cs="Times New Roman"/>
          <w:b/>
          <w:lang w:val="en-US"/>
        </w:rPr>
        <w:t xml:space="preserve">and </w:t>
      </w:r>
      <w:r w:rsidR="00AE6030" w:rsidRPr="0092463C">
        <w:rPr>
          <w:rFonts w:eastAsia="Times New Roman" w:cs="Times New Roman"/>
          <w:b/>
          <w:lang w:val="en-US"/>
        </w:rPr>
        <w:t xml:space="preserve">activists advocating </w:t>
      </w:r>
      <w:r w:rsidRPr="0092463C">
        <w:rPr>
          <w:rFonts w:eastAsia="Times New Roman" w:cs="Times New Roman"/>
          <w:b/>
          <w:lang w:val="en-US"/>
        </w:rPr>
        <w:t>for LGBT persons’ human rights.</w:t>
      </w:r>
    </w:p>
    <w:p w14:paraId="40445FFA" w14:textId="77777777" w:rsidR="005E073F" w:rsidRPr="0092463C" w:rsidRDefault="005E073F" w:rsidP="0092463C">
      <w:pPr>
        <w:spacing w:before="100" w:beforeAutospacing="1" w:after="100" w:afterAutospacing="1" w:line="276" w:lineRule="auto"/>
        <w:jc w:val="both"/>
        <w:rPr>
          <w:iCs/>
        </w:rPr>
      </w:pPr>
      <w:r w:rsidRPr="0092463C">
        <w:rPr>
          <w:iCs/>
        </w:rPr>
        <w:t xml:space="preserve">The right to freedom of association is guaranteed under </w:t>
      </w:r>
      <w:r w:rsidRPr="0092463C">
        <w:rPr>
          <w:rFonts w:eastAsia="Lucida Grande" w:cs="Calibri Light"/>
        </w:rPr>
        <w:t xml:space="preserve">Article 29(1)(e) of Uganda’s Constitution. The plain reading of Article 29 guarantees protection to all including persons who identify as lesbian, gay, bisexual, transgender and intersex to form organisations. </w:t>
      </w:r>
      <w:r w:rsidR="0067097B" w:rsidRPr="0092463C">
        <w:rPr>
          <w:color w:val="000000"/>
        </w:rPr>
        <w:t xml:space="preserve">The AHA </w:t>
      </w:r>
      <w:r w:rsidR="00DA0B0A" w:rsidRPr="0092463C">
        <w:rPr>
          <w:color w:val="000000"/>
        </w:rPr>
        <w:t>added to the already harsh legal regime on the registration and operation of CSOs working on LGBT issues. S</w:t>
      </w:r>
      <w:r w:rsidR="0067097B" w:rsidRPr="0092463C">
        <w:rPr>
          <w:color w:val="000000"/>
        </w:rPr>
        <w:t xml:space="preserve">ection </w:t>
      </w:r>
      <w:r w:rsidR="0067097B" w:rsidRPr="0092463C">
        <w:rPr>
          <w:rFonts w:eastAsia="Calibri Light" w:cs="Calibri Light"/>
          <w:bCs/>
          <w:iCs/>
        </w:rPr>
        <w:t xml:space="preserve">11(1) and (2)(e) </w:t>
      </w:r>
      <w:r w:rsidR="0067097B" w:rsidRPr="0092463C">
        <w:rPr>
          <w:color w:val="000000"/>
        </w:rPr>
        <w:t>criminalize</w:t>
      </w:r>
      <w:r w:rsidRPr="0092463C">
        <w:rPr>
          <w:color w:val="000000"/>
        </w:rPr>
        <w:t>s</w:t>
      </w:r>
      <w:r w:rsidR="0067097B" w:rsidRPr="0092463C">
        <w:rPr>
          <w:color w:val="000000"/>
        </w:rPr>
        <w:t xml:space="preserve"> </w:t>
      </w:r>
      <w:r w:rsidR="0067097B" w:rsidRPr="0092463C">
        <w:rPr>
          <w:iCs/>
        </w:rPr>
        <w:t xml:space="preserve">the operation of any organisation which “promotes” or “encourages” homosexuality or “observance or normalisation” of conduct prohibited under the </w:t>
      </w:r>
      <w:r w:rsidR="004022B2" w:rsidRPr="0092463C">
        <w:rPr>
          <w:iCs/>
        </w:rPr>
        <w:t xml:space="preserve">Act. </w:t>
      </w:r>
      <w:r w:rsidRPr="0092463C">
        <w:rPr>
          <w:iCs/>
        </w:rPr>
        <w:t xml:space="preserve">Ideally, this </w:t>
      </w:r>
      <w:r w:rsidR="00DA0B0A" w:rsidRPr="0092463C">
        <w:rPr>
          <w:iCs/>
        </w:rPr>
        <w:t xml:space="preserve">is a pronouncement that its illegal for CSOs to work on LGBT issues. </w:t>
      </w:r>
    </w:p>
    <w:p w14:paraId="1A22CA5F" w14:textId="42960623" w:rsidR="00B17FF8" w:rsidRPr="0092463C" w:rsidRDefault="005E073F" w:rsidP="0092463C">
      <w:pPr>
        <w:spacing w:before="100" w:beforeAutospacing="1" w:after="100" w:afterAutospacing="1" w:line="276" w:lineRule="auto"/>
        <w:jc w:val="both"/>
        <w:rPr>
          <w:iCs/>
          <w:color w:val="000000"/>
        </w:rPr>
      </w:pPr>
      <w:r w:rsidRPr="0092463C">
        <w:rPr>
          <w:iCs/>
          <w:color w:val="000000"/>
        </w:rPr>
        <w:t xml:space="preserve">These provisions have been used to form the basis for investigating, stopping activities including workshops, and closing the operation of organisations whose work involves advocating for </w:t>
      </w:r>
      <w:r w:rsidR="00844DFE" w:rsidRPr="0092463C">
        <w:rPr>
          <w:iCs/>
          <w:color w:val="000000"/>
        </w:rPr>
        <w:t xml:space="preserve">legal and policy reforms </w:t>
      </w:r>
      <w:r w:rsidRPr="0092463C">
        <w:rPr>
          <w:iCs/>
          <w:color w:val="000000"/>
        </w:rPr>
        <w:t xml:space="preserve">or ensuring legal protection of LGBT persons. </w:t>
      </w:r>
      <w:r w:rsidRPr="0092463C">
        <w:rPr>
          <w:rFonts w:eastAsia="Book Antiqua" w:cs="Book Antiqua"/>
          <w:color w:val="000000"/>
        </w:rPr>
        <w:t>On the 5</w:t>
      </w:r>
      <w:r w:rsidRPr="0092463C">
        <w:rPr>
          <w:rFonts w:eastAsia="Book Antiqua" w:cs="Book Antiqua"/>
          <w:color w:val="000000"/>
          <w:vertAlign w:val="superscript"/>
        </w:rPr>
        <w:t>th</w:t>
      </w:r>
      <w:r w:rsidRPr="0092463C">
        <w:rPr>
          <w:rFonts w:eastAsia="Book Antiqua" w:cs="Book Antiqua"/>
          <w:color w:val="000000"/>
        </w:rPr>
        <w:t xml:space="preserve"> of August, 2022 the NGO Bureau released a press statement in which it communicated that it had closed down the operations of </w:t>
      </w:r>
      <w:r w:rsidR="00E00F0C" w:rsidRPr="0092463C">
        <w:rPr>
          <w:rFonts w:eastAsia="Book Antiqua" w:cs="Book Antiqua"/>
          <w:color w:val="000000"/>
        </w:rPr>
        <w:t>Sexual</w:t>
      </w:r>
      <w:r w:rsidRPr="0092463C">
        <w:rPr>
          <w:rFonts w:eastAsia="Book Antiqua" w:cs="Book Antiqua"/>
          <w:color w:val="000000"/>
        </w:rPr>
        <w:t xml:space="preserve"> Minorities Uganda (SMUG) on the grounds of non-registration. It stated that</w:t>
      </w:r>
      <w:r w:rsidR="00C515D8" w:rsidRPr="0092463C">
        <w:rPr>
          <w:rFonts w:eastAsia="Book Antiqua" w:cs="Book Antiqua"/>
          <w:color w:val="000000"/>
        </w:rPr>
        <w:t>, it had established</w:t>
      </w:r>
      <w:r w:rsidRPr="0092463C">
        <w:rPr>
          <w:rFonts w:eastAsia="Book Antiqua" w:cs="Book Antiqua"/>
          <w:color w:val="000000"/>
        </w:rPr>
        <w:t xml:space="preserve"> that SMUG had applied to reserve its name but this had been rejected by the Uganda Registration Services Bureau </w:t>
      </w:r>
      <w:r w:rsidR="005817D9" w:rsidRPr="0092463C">
        <w:rPr>
          <w:rFonts w:eastAsia="Book Antiqua" w:cs="Book Antiqua"/>
          <w:color w:val="000000"/>
        </w:rPr>
        <w:t xml:space="preserve">(URSB) </w:t>
      </w:r>
      <w:r w:rsidR="00A77837" w:rsidRPr="0092463C">
        <w:rPr>
          <w:rFonts w:eastAsia="Book Antiqua" w:cs="Book Antiqua"/>
          <w:color w:val="000000"/>
        </w:rPr>
        <w:t>because</w:t>
      </w:r>
      <w:r w:rsidRPr="0092463C">
        <w:rPr>
          <w:rFonts w:eastAsia="Book Antiqua" w:cs="Book Antiqua"/>
          <w:color w:val="000000"/>
        </w:rPr>
        <w:t xml:space="preserve"> the name was </w:t>
      </w:r>
      <w:r w:rsidR="00B17FF8" w:rsidRPr="0092463C">
        <w:rPr>
          <w:rFonts w:eastAsia="Book Antiqua" w:cs="Book Antiqua"/>
          <w:color w:val="000000"/>
        </w:rPr>
        <w:t>“</w:t>
      </w:r>
      <w:r w:rsidRPr="0092463C">
        <w:rPr>
          <w:rFonts w:eastAsia="Book Antiqua" w:cs="Book Antiqua"/>
          <w:b/>
          <w:i/>
          <w:color w:val="000000"/>
        </w:rPr>
        <w:t>undesirable</w:t>
      </w:r>
      <w:r w:rsidR="00B17FF8" w:rsidRPr="0092463C">
        <w:rPr>
          <w:rFonts w:eastAsia="Book Antiqua" w:cs="Book Antiqua"/>
          <w:b/>
          <w:i/>
          <w:color w:val="000000"/>
        </w:rPr>
        <w:t>”</w:t>
      </w:r>
      <w:r w:rsidR="00B17FF8" w:rsidRPr="0092463C">
        <w:rPr>
          <w:rFonts w:eastAsia="Book Antiqua" w:cs="Book Antiqua"/>
          <w:color w:val="000000"/>
        </w:rPr>
        <w:t xml:space="preserve">.  </w:t>
      </w:r>
      <w:r w:rsidR="00E00F0C" w:rsidRPr="0092463C">
        <w:rPr>
          <w:rFonts w:eastAsia="Book Antiqua" w:cs="Book Antiqua"/>
          <w:color w:val="000000"/>
        </w:rPr>
        <w:t xml:space="preserve">It should be noted that HRAPF, acting for the promoters of SMUG </w:t>
      </w:r>
      <w:r w:rsidR="00B17FF8" w:rsidRPr="0092463C">
        <w:rPr>
          <w:rFonts w:eastAsia="Book Antiqua" w:cs="Book Antiqua"/>
          <w:color w:val="000000"/>
        </w:rPr>
        <w:t xml:space="preserve">had applied for </w:t>
      </w:r>
      <w:r w:rsidRPr="0092463C">
        <w:rPr>
          <w:rFonts w:eastAsia="Book Antiqua" w:cs="Book Antiqua"/>
          <w:color w:val="000000"/>
        </w:rPr>
        <w:t>incorporat</w:t>
      </w:r>
      <w:r w:rsidR="00B17FF8" w:rsidRPr="0092463C">
        <w:rPr>
          <w:rFonts w:eastAsia="Book Antiqua" w:cs="Book Antiqua"/>
          <w:color w:val="000000"/>
        </w:rPr>
        <w:t>ion</w:t>
      </w:r>
      <w:r w:rsidR="00E00F0C" w:rsidRPr="0092463C">
        <w:rPr>
          <w:rFonts w:eastAsia="Book Antiqua" w:cs="Book Antiqua"/>
          <w:color w:val="000000"/>
        </w:rPr>
        <w:t xml:space="preserve"> of SMUG </w:t>
      </w:r>
      <w:r w:rsidRPr="0092463C">
        <w:rPr>
          <w:rFonts w:eastAsia="Book Antiqua" w:cs="Book Antiqua"/>
          <w:color w:val="000000"/>
        </w:rPr>
        <w:t xml:space="preserve">as a company limited by guarantee within the laws of Uganda. The refusal was allegedly based on </w:t>
      </w:r>
      <w:r w:rsidRPr="0092463C">
        <w:rPr>
          <w:rFonts w:eastAsia="Book Antiqua" w:cs="Book Antiqua"/>
          <w:b/>
          <w:color w:val="000000"/>
        </w:rPr>
        <w:t>S</w:t>
      </w:r>
      <w:r w:rsidR="00C515D8" w:rsidRPr="0092463C">
        <w:rPr>
          <w:rFonts w:eastAsia="Book Antiqua" w:cs="Book Antiqua"/>
          <w:b/>
          <w:color w:val="000000"/>
        </w:rPr>
        <w:t xml:space="preserve">ection </w:t>
      </w:r>
      <w:r w:rsidRPr="0092463C">
        <w:rPr>
          <w:rFonts w:eastAsia="Book Antiqua" w:cs="Book Antiqua"/>
          <w:b/>
          <w:color w:val="000000"/>
        </w:rPr>
        <w:t>145</w:t>
      </w:r>
      <w:r w:rsidRPr="0092463C">
        <w:rPr>
          <w:rFonts w:eastAsia="Book Antiqua" w:cs="Book Antiqua"/>
          <w:color w:val="000000"/>
        </w:rPr>
        <w:t xml:space="preserve"> of the Penal Code Act Cap 120,</w:t>
      </w:r>
      <w:r w:rsidRPr="0092463C">
        <w:rPr>
          <w:rFonts w:cs="Calibri"/>
          <w:color w:val="000000"/>
        </w:rPr>
        <w:t xml:space="preserve"> which criminalises consensual same-sex relations.</w:t>
      </w:r>
      <w:r w:rsidRPr="0092463C">
        <w:rPr>
          <w:rFonts w:eastAsia="Book Antiqua" w:cs="Book Antiqua"/>
          <w:color w:val="000000"/>
        </w:rPr>
        <w:t xml:space="preserve"> </w:t>
      </w:r>
      <w:r w:rsidR="00B17FF8" w:rsidRPr="0092463C">
        <w:rPr>
          <w:rFonts w:eastAsia="Book Antiqua" w:cs="Book Antiqua"/>
          <w:color w:val="000000"/>
        </w:rPr>
        <w:t xml:space="preserve">HRAPF </w:t>
      </w:r>
      <w:r w:rsidRPr="0092463C">
        <w:rPr>
          <w:color w:val="000000"/>
        </w:rPr>
        <w:t>filed Miscellaneous Cause No. 96 of 2016 against the Uganda Registration Services Bureau (URSB).</w:t>
      </w:r>
      <w:r w:rsidRPr="0092463C">
        <w:rPr>
          <w:b/>
          <w:i/>
          <w:color w:val="000000"/>
        </w:rPr>
        <w:t xml:space="preserve"> </w:t>
      </w:r>
      <w:r w:rsidRPr="0092463C">
        <w:rPr>
          <w:color w:val="000000"/>
        </w:rPr>
        <w:t>In June 2018,</w:t>
      </w:r>
      <w:r w:rsidRPr="0092463C">
        <w:rPr>
          <w:b/>
          <w:i/>
          <w:color w:val="000000"/>
        </w:rPr>
        <w:t xml:space="preserve"> </w:t>
      </w:r>
      <w:r w:rsidRPr="0092463C">
        <w:rPr>
          <w:color w:val="000000"/>
        </w:rPr>
        <w:t>the High Court held, among others, that the refusal of</w:t>
      </w:r>
      <w:r w:rsidRPr="0092463C">
        <w:rPr>
          <w:rFonts w:cs="Calibri"/>
          <w:color w:val="000000"/>
        </w:rPr>
        <w:t xml:space="preserve"> the URSB to reserve SMUG’s name and consequently to register the proposed company did not contravene the Constitution of Uganda, </w:t>
      </w:r>
      <w:r w:rsidRPr="0092463C">
        <w:rPr>
          <w:rFonts w:cs="Calibri"/>
          <w:i/>
          <w:color w:val="000000"/>
        </w:rPr>
        <w:t>as the rights that the applicants claimed were capable of limitation under Article 43 of the Constitution</w:t>
      </w:r>
      <w:r w:rsidRPr="0092463C">
        <w:rPr>
          <w:rFonts w:cs="Calibri"/>
          <w:color w:val="000000"/>
        </w:rPr>
        <w:t xml:space="preserve">. </w:t>
      </w:r>
      <w:r w:rsidRPr="0092463C">
        <w:rPr>
          <w:b/>
          <w:i/>
          <w:color w:val="000000"/>
        </w:rPr>
        <w:t xml:space="preserve">Civil Appeal No. 338 of 2018 arising from Miscellaneous Cause No. 96 of 2016 </w:t>
      </w:r>
      <w:r w:rsidRPr="0092463C">
        <w:rPr>
          <w:color w:val="000000"/>
        </w:rPr>
        <w:t xml:space="preserve">was </w:t>
      </w:r>
      <w:r w:rsidR="00B17FF8" w:rsidRPr="0092463C">
        <w:rPr>
          <w:color w:val="000000"/>
        </w:rPr>
        <w:t xml:space="preserve">filed and is still pending in the Court of Appeal. </w:t>
      </w:r>
    </w:p>
    <w:p w14:paraId="43BA5C1A" w14:textId="5A143380" w:rsidR="0067097B" w:rsidRPr="0092463C" w:rsidRDefault="00B17FF8" w:rsidP="0092463C">
      <w:pPr>
        <w:spacing w:before="100" w:beforeAutospacing="1" w:after="100" w:afterAutospacing="1" w:line="276" w:lineRule="auto"/>
        <w:jc w:val="both"/>
        <w:rPr>
          <w:rFonts w:eastAsia="Book Antiqua" w:cs="Book Antiqua"/>
          <w:color w:val="000000"/>
        </w:rPr>
      </w:pPr>
      <w:r w:rsidRPr="0092463C">
        <w:rPr>
          <w:color w:val="000000"/>
        </w:rPr>
        <w:lastRenderedPageBreak/>
        <w:t xml:space="preserve">Therefore, despite the appeal pending in the Court of Appeal, to </w:t>
      </w:r>
      <w:r w:rsidR="005817D9" w:rsidRPr="0092463C">
        <w:rPr>
          <w:color w:val="000000"/>
        </w:rPr>
        <w:t xml:space="preserve">deny </w:t>
      </w:r>
      <w:r w:rsidRPr="0092463C">
        <w:rPr>
          <w:color w:val="000000"/>
        </w:rPr>
        <w:t xml:space="preserve">the right to freedom of association </w:t>
      </w:r>
      <w:r w:rsidR="005E073F" w:rsidRPr="0092463C">
        <w:rPr>
          <w:color w:val="000000"/>
        </w:rPr>
        <w:t xml:space="preserve">and assembly, the NGO Bureau cited non-registration </w:t>
      </w:r>
      <w:r w:rsidRPr="0092463C">
        <w:rPr>
          <w:color w:val="000000"/>
        </w:rPr>
        <w:t>and closed SMUG. As matter of practice, all applications for incorporation by organisations with the words LGBT in any of the documents supplied for incorporation or registration are rejected</w:t>
      </w:r>
      <w:r w:rsidR="005817D9" w:rsidRPr="0092463C">
        <w:rPr>
          <w:color w:val="000000"/>
        </w:rPr>
        <w:t xml:space="preserve"> by URSB</w:t>
      </w:r>
      <w:r w:rsidRPr="0092463C">
        <w:rPr>
          <w:color w:val="000000"/>
        </w:rPr>
        <w:t xml:space="preserve">. Those that manage to register are threatened with closure by the NGO Bureau and the situation is made worse by the </w:t>
      </w:r>
      <w:r w:rsidR="00F53C2B" w:rsidRPr="0092463C">
        <w:rPr>
          <w:color w:val="000000"/>
        </w:rPr>
        <w:t xml:space="preserve">criminalisation of such activities by </w:t>
      </w:r>
      <w:r w:rsidRPr="0092463C">
        <w:rPr>
          <w:rFonts w:eastAsia="Calibri Light" w:cs="Calibri Light"/>
          <w:bCs/>
          <w:iCs/>
        </w:rPr>
        <w:t>11(1) and (2)(e)</w:t>
      </w:r>
      <w:r w:rsidR="00C515D8" w:rsidRPr="0092463C">
        <w:rPr>
          <w:rFonts w:eastAsia="Calibri Light" w:cs="Calibri Light"/>
          <w:bCs/>
          <w:iCs/>
        </w:rPr>
        <w:t xml:space="preserve"> of the AHA</w:t>
      </w:r>
      <w:r w:rsidRPr="0092463C">
        <w:rPr>
          <w:rFonts w:eastAsia="Calibri Light" w:cs="Calibri Light"/>
          <w:bCs/>
          <w:iCs/>
        </w:rPr>
        <w:t xml:space="preserve">. </w:t>
      </w:r>
    </w:p>
    <w:p w14:paraId="5F6C371F" w14:textId="77777777" w:rsidR="00BC0B75" w:rsidRPr="0092463C" w:rsidRDefault="009C3A8C" w:rsidP="0092463C">
      <w:pPr>
        <w:spacing w:before="100" w:beforeAutospacing="1" w:after="100" w:afterAutospacing="1" w:line="276" w:lineRule="auto"/>
        <w:jc w:val="both"/>
        <w:rPr>
          <w:rFonts w:eastAsia="Times New Roman" w:cs="Times New Roman"/>
          <w:b/>
          <w:lang w:val="en-US"/>
        </w:rPr>
      </w:pPr>
      <w:r w:rsidRPr="0092463C">
        <w:rPr>
          <w:rFonts w:eastAsia="Times New Roman" w:cs="Times New Roman"/>
          <w:b/>
          <w:lang w:val="en-US"/>
        </w:rPr>
        <w:t>T</w:t>
      </w:r>
      <w:r w:rsidR="00BC0B75" w:rsidRPr="0092463C">
        <w:rPr>
          <w:rFonts w:eastAsia="Times New Roman" w:cs="Times New Roman"/>
          <w:b/>
          <w:lang w:val="en-US"/>
        </w:rPr>
        <w:t xml:space="preserve">rends and practices that are likely to affect the enjoyment of </w:t>
      </w:r>
      <w:r w:rsidR="00AE6030" w:rsidRPr="0092463C">
        <w:rPr>
          <w:rFonts w:eastAsia="Times New Roman" w:cs="Times New Roman"/>
          <w:b/>
          <w:lang w:val="en-US"/>
        </w:rPr>
        <w:t xml:space="preserve">the </w:t>
      </w:r>
      <w:r w:rsidR="00BC0B75" w:rsidRPr="0092463C">
        <w:rPr>
          <w:rFonts w:eastAsia="Times New Roman" w:cs="Times New Roman"/>
          <w:b/>
          <w:lang w:val="en-US"/>
        </w:rPr>
        <w:t xml:space="preserve">right to </w:t>
      </w:r>
      <w:r w:rsidR="00AE6030" w:rsidRPr="0092463C">
        <w:rPr>
          <w:rFonts w:eastAsia="Times New Roman" w:cs="Times New Roman"/>
          <w:b/>
          <w:lang w:val="en-US"/>
        </w:rPr>
        <w:t xml:space="preserve">freedom of expression, association and/or peaceful assembly by LGBT people, activists and </w:t>
      </w:r>
      <w:r w:rsidRPr="0092463C">
        <w:rPr>
          <w:rFonts w:eastAsia="Times New Roman" w:cs="Times New Roman"/>
          <w:b/>
          <w:lang w:val="en-US"/>
        </w:rPr>
        <w:t>CSOs</w:t>
      </w:r>
      <w:r w:rsidR="00AE6030" w:rsidRPr="0092463C">
        <w:rPr>
          <w:rFonts w:eastAsia="Times New Roman" w:cs="Times New Roman"/>
          <w:b/>
          <w:lang w:val="en-US"/>
        </w:rPr>
        <w:t xml:space="preserve"> in </w:t>
      </w:r>
      <w:r w:rsidR="00BC0B75" w:rsidRPr="0092463C">
        <w:rPr>
          <w:rFonts w:eastAsia="Times New Roman" w:cs="Times New Roman"/>
          <w:b/>
          <w:lang w:val="en-US"/>
        </w:rPr>
        <w:t>Uganda.</w:t>
      </w:r>
    </w:p>
    <w:p w14:paraId="558B8CC2" w14:textId="77777777" w:rsidR="00D52B25" w:rsidRPr="0092463C" w:rsidRDefault="008E661B" w:rsidP="0092463C">
      <w:pPr>
        <w:spacing w:before="100" w:beforeAutospacing="1" w:after="100" w:afterAutospacing="1" w:line="276" w:lineRule="auto"/>
        <w:jc w:val="both"/>
        <w:rPr>
          <w:bCs/>
          <w:color w:val="000000" w:themeColor="text1"/>
        </w:rPr>
      </w:pPr>
      <w:r w:rsidRPr="0092463C">
        <w:rPr>
          <w:rFonts w:eastAsia="Times New Roman" w:cs="Times New Roman"/>
        </w:rPr>
        <w:t>It is worth noting that there is a g</w:t>
      </w:r>
      <w:r w:rsidR="00A62B86" w:rsidRPr="0092463C">
        <w:rPr>
          <w:rFonts w:eastAsia="Times New Roman" w:cs="Times New Roman"/>
        </w:rPr>
        <w:t xml:space="preserve">rowing </w:t>
      </w:r>
      <w:r w:rsidRPr="0092463C">
        <w:rPr>
          <w:rFonts w:eastAsia="Times New Roman" w:cs="Times New Roman"/>
        </w:rPr>
        <w:t xml:space="preserve">wave of </w:t>
      </w:r>
      <w:r w:rsidR="00A77837" w:rsidRPr="0092463C">
        <w:rPr>
          <w:rFonts w:eastAsia="Times New Roman" w:cs="Times New Roman"/>
        </w:rPr>
        <w:t>anti</w:t>
      </w:r>
      <w:r w:rsidR="00A62B86" w:rsidRPr="0092463C">
        <w:rPr>
          <w:rFonts w:eastAsia="Times New Roman" w:cs="Times New Roman"/>
        </w:rPr>
        <w:t xml:space="preserve">-LGBT </w:t>
      </w:r>
      <w:r w:rsidRPr="0092463C">
        <w:rPr>
          <w:rFonts w:eastAsia="Times New Roman" w:cs="Times New Roman"/>
        </w:rPr>
        <w:t xml:space="preserve">talk in Uganda and the region. And this ultimately will have a huge impact on the exercise and enjoyment of rights by LGBT community members, activists and civil society. </w:t>
      </w:r>
      <w:r w:rsidR="00A62B86" w:rsidRPr="0092463C">
        <w:rPr>
          <w:rFonts w:eastAsia="Times New Roman" w:cs="Times New Roman"/>
        </w:rPr>
        <w:t xml:space="preserve"> </w:t>
      </w:r>
      <w:r w:rsidR="001B2DE7" w:rsidRPr="0092463C">
        <w:rPr>
          <w:rFonts w:eastAsia="Times New Roman" w:cs="Times New Roman"/>
        </w:rPr>
        <w:t>Since the end of 2022, there has been a rapid growth in the Anti-LGBT movement.</w:t>
      </w:r>
      <w:r w:rsidR="00FC11BD" w:rsidRPr="0092463C">
        <w:rPr>
          <w:rFonts w:eastAsia="Times New Roman" w:cs="Times New Roman"/>
        </w:rPr>
        <w:t xml:space="preserve"> This movement has taken over social media to preach hate and homophobia on grounds of religion and what is regarded as ‘The traditional African family’.  The</w:t>
      </w:r>
      <w:r w:rsidR="00D52B25" w:rsidRPr="0092463C">
        <w:rPr>
          <w:rFonts w:eastAsia="Times New Roman" w:cs="Times New Roman"/>
        </w:rPr>
        <w:t xml:space="preserve"> western evangelical churches have taken to the pulpit to preach LGBT as a western agenda targeting to destroy the traditional African family. The unfortunate and unsubstantiated talk on recruitment of young children has been fronted to preach further hate. This has and will continue to promote </w:t>
      </w:r>
      <w:r w:rsidR="00A62B86" w:rsidRPr="0092463C">
        <w:rPr>
          <w:bCs/>
          <w:color w:val="000000" w:themeColor="text1"/>
        </w:rPr>
        <w:t xml:space="preserve">ridicule, humiliation, violence, threats of violence, </w:t>
      </w:r>
      <w:r w:rsidR="001B2DE7" w:rsidRPr="0092463C">
        <w:rPr>
          <w:bCs/>
          <w:color w:val="000000" w:themeColor="text1"/>
        </w:rPr>
        <w:t xml:space="preserve">and </w:t>
      </w:r>
      <w:r w:rsidR="00D52B25" w:rsidRPr="0092463C">
        <w:rPr>
          <w:bCs/>
          <w:color w:val="000000" w:themeColor="text1"/>
        </w:rPr>
        <w:t xml:space="preserve">silencing of conversations on LGBT issues. Clearly this movement was behind the passing of the AHA with such problematic provisions gagging civil society and activists. </w:t>
      </w:r>
    </w:p>
    <w:p w14:paraId="65A3C8EA" w14:textId="107642E3" w:rsidR="00DB2015" w:rsidRPr="0092463C" w:rsidRDefault="001B2DE7" w:rsidP="0092463C">
      <w:pPr>
        <w:spacing w:before="100" w:beforeAutospacing="1" w:after="100" w:afterAutospacing="1" w:line="276" w:lineRule="auto"/>
        <w:jc w:val="both"/>
        <w:rPr>
          <w:rFonts w:eastAsia="Times New Roman" w:cs="Times New Roman"/>
          <w:b/>
          <w:lang w:val="en-US"/>
        </w:rPr>
      </w:pPr>
      <w:r w:rsidRPr="0092463C">
        <w:rPr>
          <w:bCs/>
          <w:color w:val="000000" w:themeColor="text1"/>
        </w:rPr>
        <w:t xml:space="preserve">These have promoted </w:t>
      </w:r>
      <w:r w:rsidR="00A62B86" w:rsidRPr="0092463C">
        <w:rPr>
          <w:bCs/>
          <w:color w:val="000000" w:themeColor="text1"/>
        </w:rPr>
        <w:t xml:space="preserve">homophobic </w:t>
      </w:r>
      <w:r w:rsidRPr="0092463C">
        <w:rPr>
          <w:bCs/>
          <w:color w:val="000000" w:themeColor="text1"/>
        </w:rPr>
        <w:t xml:space="preserve">talk towards LGBT folks portraying </w:t>
      </w:r>
      <w:r w:rsidR="00A62B86" w:rsidRPr="0092463C">
        <w:rPr>
          <w:bCs/>
          <w:color w:val="000000" w:themeColor="text1"/>
        </w:rPr>
        <w:t xml:space="preserve">LGBT people </w:t>
      </w:r>
      <w:r w:rsidR="00D52B25" w:rsidRPr="0092463C">
        <w:rPr>
          <w:bCs/>
          <w:color w:val="000000" w:themeColor="text1"/>
        </w:rPr>
        <w:t xml:space="preserve">and CSOs </w:t>
      </w:r>
      <w:r w:rsidR="00A62B86" w:rsidRPr="0092463C">
        <w:rPr>
          <w:bCs/>
          <w:color w:val="000000" w:themeColor="text1"/>
        </w:rPr>
        <w:t>as ‘</w:t>
      </w:r>
      <w:proofErr w:type="spellStart"/>
      <w:r w:rsidR="00A62B86" w:rsidRPr="0092463C">
        <w:rPr>
          <w:bCs/>
          <w:color w:val="000000" w:themeColor="text1"/>
        </w:rPr>
        <w:t>unaprehended</w:t>
      </w:r>
      <w:proofErr w:type="spellEnd"/>
      <w:r w:rsidR="00A62B86" w:rsidRPr="0092463C">
        <w:rPr>
          <w:bCs/>
          <w:color w:val="000000" w:themeColor="text1"/>
        </w:rPr>
        <w:t xml:space="preserve"> </w:t>
      </w:r>
      <w:r w:rsidR="00D52B25" w:rsidRPr="0092463C">
        <w:rPr>
          <w:bCs/>
          <w:color w:val="000000" w:themeColor="text1"/>
        </w:rPr>
        <w:t>criminals’</w:t>
      </w:r>
      <w:r w:rsidR="00A62B86" w:rsidRPr="0092463C">
        <w:rPr>
          <w:bCs/>
          <w:color w:val="000000" w:themeColor="text1"/>
        </w:rPr>
        <w:t>.</w:t>
      </w:r>
      <w:r w:rsidR="00154602" w:rsidRPr="0092463C">
        <w:rPr>
          <w:bCs/>
          <w:color w:val="000000" w:themeColor="text1"/>
        </w:rPr>
        <w:t xml:space="preserve"> LGBT issues have now been politic</w:t>
      </w:r>
      <w:r w:rsidR="00C515D8" w:rsidRPr="0092463C">
        <w:rPr>
          <w:bCs/>
          <w:color w:val="000000" w:themeColor="text1"/>
        </w:rPr>
        <w:t>ised</w:t>
      </w:r>
      <w:r w:rsidR="00154602" w:rsidRPr="0092463C">
        <w:rPr>
          <w:bCs/>
          <w:color w:val="000000" w:themeColor="text1"/>
        </w:rPr>
        <w:t xml:space="preserve">, so much that politicians have depicted individuals and politicians accommodative of LGBT issues as promoters of homosexuality and thus a threat to the traditional African family. Uganda will go to general elections in 2026, and LGBT issues are likely to continue being used as smear campaigns towards political opponents especially </w:t>
      </w:r>
      <w:r w:rsidR="00873FD4" w:rsidRPr="0092463C">
        <w:rPr>
          <w:bCs/>
          <w:color w:val="000000" w:themeColor="text1"/>
        </w:rPr>
        <w:t>since</w:t>
      </w:r>
      <w:r w:rsidR="00154602" w:rsidRPr="0092463C">
        <w:rPr>
          <w:bCs/>
          <w:color w:val="000000" w:themeColor="text1"/>
        </w:rPr>
        <w:t xml:space="preserve"> LGBT and their sympathisers </w:t>
      </w:r>
      <w:r w:rsidR="00A62B86" w:rsidRPr="0092463C">
        <w:rPr>
          <w:bCs/>
          <w:color w:val="000000" w:themeColor="text1"/>
        </w:rPr>
        <w:t xml:space="preserve">are targeting young children for ‘recruitment’, causing a moral panic that parts of the population have reacted to with anti-gay talks to children in schools as well as a sweeping moral panic across the different sections of society in Uganda. </w:t>
      </w:r>
    </w:p>
    <w:p w14:paraId="575F9C10" w14:textId="3D0A3270" w:rsidR="00AE6030" w:rsidRPr="0092463C" w:rsidRDefault="00DB2015" w:rsidP="0092463C">
      <w:pPr>
        <w:spacing w:before="100" w:beforeAutospacing="1" w:after="100" w:afterAutospacing="1" w:line="276" w:lineRule="auto"/>
        <w:jc w:val="both"/>
        <w:rPr>
          <w:rFonts w:eastAsia="Times New Roman" w:cs="Times New Roman"/>
          <w:b/>
          <w:lang w:val="en-US"/>
        </w:rPr>
      </w:pPr>
      <w:r w:rsidRPr="0092463C">
        <w:rPr>
          <w:rFonts w:eastAsia="Times New Roman" w:cs="Times New Roman"/>
          <w:b/>
          <w:lang w:val="en-US"/>
        </w:rPr>
        <w:t>Uganda’s Computer Misuse</w:t>
      </w:r>
      <w:r w:rsidR="003A2286" w:rsidRPr="0092463C">
        <w:rPr>
          <w:rFonts w:eastAsia="Times New Roman" w:cs="Times New Roman"/>
          <w:b/>
          <w:lang w:val="en-US"/>
        </w:rPr>
        <w:t xml:space="preserve"> (Amendment) </w:t>
      </w:r>
      <w:r w:rsidRPr="0092463C">
        <w:rPr>
          <w:rFonts w:eastAsia="Times New Roman" w:cs="Times New Roman"/>
          <w:b/>
          <w:lang w:val="en-US"/>
        </w:rPr>
        <w:t xml:space="preserve">Act, 2022 and how it </w:t>
      </w:r>
      <w:r w:rsidR="00814FDF" w:rsidRPr="0092463C">
        <w:rPr>
          <w:rFonts w:eastAsia="Times New Roman" w:cs="Times New Roman"/>
          <w:b/>
          <w:lang w:val="en-US"/>
        </w:rPr>
        <w:t xml:space="preserve">relates to </w:t>
      </w:r>
      <w:r w:rsidR="00AE6030" w:rsidRPr="0092463C">
        <w:rPr>
          <w:rFonts w:eastAsia="Times New Roman" w:cs="Times New Roman"/>
          <w:b/>
          <w:lang w:val="en-US"/>
        </w:rPr>
        <w:t xml:space="preserve">the protection of human rights </w:t>
      </w:r>
      <w:r w:rsidR="009C3A8C" w:rsidRPr="0092463C">
        <w:rPr>
          <w:rFonts w:eastAsia="Times New Roman" w:cs="Times New Roman"/>
          <w:b/>
          <w:lang w:val="en-US"/>
        </w:rPr>
        <w:t xml:space="preserve">in relation to </w:t>
      </w:r>
      <w:r w:rsidR="00AE6030" w:rsidRPr="0092463C">
        <w:rPr>
          <w:rFonts w:eastAsia="Times New Roman" w:cs="Times New Roman"/>
          <w:b/>
          <w:lang w:val="en-US"/>
        </w:rPr>
        <w:t>freedom of expression, association and/or peaceful assembly by LGBT people, activists and civil society organizations</w:t>
      </w:r>
      <w:r w:rsidRPr="0092463C">
        <w:rPr>
          <w:rFonts w:eastAsia="Times New Roman" w:cs="Times New Roman"/>
          <w:b/>
          <w:lang w:val="en-US"/>
        </w:rPr>
        <w:t>.</w:t>
      </w:r>
    </w:p>
    <w:p w14:paraId="09F2F09A" w14:textId="2180848C" w:rsidR="00DB2015" w:rsidRPr="0092463C" w:rsidRDefault="00DB2015" w:rsidP="0092463C">
      <w:pPr>
        <w:spacing w:before="100" w:beforeAutospacing="1" w:after="100" w:afterAutospacing="1" w:line="276" w:lineRule="auto"/>
        <w:jc w:val="both"/>
        <w:rPr>
          <w:lang w:val="en-US"/>
        </w:rPr>
      </w:pPr>
      <w:r w:rsidRPr="0092463C">
        <w:rPr>
          <w:lang w:val="en-US"/>
        </w:rPr>
        <w:t>The Computer Misuse</w:t>
      </w:r>
      <w:r w:rsidR="003A2286" w:rsidRPr="0092463C">
        <w:rPr>
          <w:lang w:val="en-US"/>
        </w:rPr>
        <w:t xml:space="preserve"> (</w:t>
      </w:r>
      <w:r w:rsidRPr="0092463C">
        <w:rPr>
          <w:lang w:val="en-US"/>
        </w:rPr>
        <w:t>Amendment</w:t>
      </w:r>
      <w:r w:rsidR="003A2286" w:rsidRPr="0092463C">
        <w:rPr>
          <w:lang w:val="en-US"/>
        </w:rPr>
        <w:t>)</w:t>
      </w:r>
      <w:r w:rsidRPr="0092463C">
        <w:rPr>
          <w:lang w:val="en-US"/>
        </w:rPr>
        <w:t xml:space="preserve"> Act, 2022 became law in October, 2022. </w:t>
      </w:r>
      <w:r w:rsidR="001C4217" w:rsidRPr="0092463C">
        <w:rPr>
          <w:lang w:val="en-US"/>
        </w:rPr>
        <w:t>The Act makes amendments to the Computer Misuse Act of 2011, wherein it introduces tough penalties for cyber-crimes</w:t>
      </w:r>
      <w:r w:rsidRPr="0092463C">
        <w:rPr>
          <w:lang w:val="en-US"/>
        </w:rPr>
        <w:t xml:space="preserve">. A number of provisions therein do have a direct bearing on the rights of LGBT persons, activists and CSOs. </w:t>
      </w:r>
    </w:p>
    <w:p w14:paraId="4804EECE" w14:textId="77777777" w:rsidR="00F85B26" w:rsidRPr="0092463C" w:rsidRDefault="001C4217" w:rsidP="0092463C">
      <w:pPr>
        <w:spacing w:before="100" w:beforeAutospacing="1" w:after="100" w:afterAutospacing="1" w:line="276" w:lineRule="auto"/>
        <w:jc w:val="both"/>
      </w:pPr>
      <w:r w:rsidRPr="0092463C">
        <w:rPr>
          <w:lang w:val="en-US"/>
        </w:rPr>
        <w:lastRenderedPageBreak/>
        <w:t xml:space="preserve">Section 26A on hate speech stipulates that </w:t>
      </w:r>
      <w:r w:rsidRPr="0092463C">
        <w:t>a person shall not write, send or share any information through a computer, which is likely to ridicule, degrade or demean another person, group of persons, a tribe, an ethnicity, a religion or gender; create divisions among persons, a tribe, an ethnicity, a religion or gender; or promote hostility against a person, group of persons, a tribe, an ethnicity, a religion or</w:t>
      </w:r>
      <w:r w:rsidR="00F85B26" w:rsidRPr="0092463C">
        <w:t xml:space="preserve"> gender. </w:t>
      </w:r>
    </w:p>
    <w:p w14:paraId="004A2AC8" w14:textId="5A69AFD2" w:rsidR="005F52B1" w:rsidRPr="0092463C" w:rsidRDefault="001C4217" w:rsidP="0092463C">
      <w:pPr>
        <w:spacing w:before="100" w:beforeAutospacing="1" w:after="100" w:afterAutospacing="1" w:line="276" w:lineRule="auto"/>
        <w:jc w:val="both"/>
        <w:rPr>
          <w:lang w:val="en-US"/>
        </w:rPr>
      </w:pPr>
      <w:r w:rsidRPr="0092463C">
        <w:rPr>
          <w:rFonts w:cs="Times New Roman"/>
        </w:rPr>
        <w:t xml:space="preserve">Section 12 (1) of the Principal Act was amended to clearly define the kind of information whose privacy is protected. This is by making it an offence for any person to access or intercept any program or another person’s data, voice or video record another person, or share any information about another person without authorisation.  This amendment is a welcome development in as far as protection of the right to privacy </w:t>
      </w:r>
      <w:r w:rsidR="005F52B1" w:rsidRPr="0092463C">
        <w:rPr>
          <w:rFonts w:cs="Times New Roman"/>
        </w:rPr>
        <w:t xml:space="preserve">of </w:t>
      </w:r>
      <w:r w:rsidR="00106B4E" w:rsidRPr="0092463C">
        <w:rPr>
          <w:rFonts w:cs="Times New Roman"/>
        </w:rPr>
        <w:t>all</w:t>
      </w:r>
      <w:r w:rsidR="005F52B1" w:rsidRPr="0092463C">
        <w:rPr>
          <w:rFonts w:cs="Times New Roman"/>
        </w:rPr>
        <w:t xml:space="preserve"> including</w:t>
      </w:r>
      <w:r w:rsidRPr="0092463C">
        <w:rPr>
          <w:rFonts w:cs="Times New Roman"/>
        </w:rPr>
        <w:t xml:space="preserve"> LGBT persons in Uganda is concerned. This is on account of the fact that it criminalises the publication of videos and pictures of</w:t>
      </w:r>
      <w:r w:rsidR="005F52B1" w:rsidRPr="0092463C">
        <w:rPr>
          <w:rFonts w:cs="Times New Roman"/>
        </w:rPr>
        <w:t xml:space="preserve"> persons including </w:t>
      </w:r>
      <w:r w:rsidRPr="0092463C">
        <w:rPr>
          <w:rFonts w:cs="Times New Roman"/>
        </w:rPr>
        <w:t>LGBT persons, especially transgender women, on both mainstream and social media platforms, wherein they are outed to the public.</w:t>
      </w:r>
    </w:p>
    <w:p w14:paraId="3857FB3F" w14:textId="3D4EDE72" w:rsidR="005F52B1" w:rsidRPr="0092463C" w:rsidRDefault="001C4217" w:rsidP="0092463C">
      <w:pPr>
        <w:spacing w:before="100" w:beforeAutospacing="1" w:after="100" w:afterAutospacing="1" w:line="276" w:lineRule="auto"/>
        <w:jc w:val="both"/>
        <w:rPr>
          <w:lang w:val="en-US"/>
        </w:rPr>
      </w:pPr>
      <w:r w:rsidRPr="0092463C">
        <w:rPr>
          <w:rFonts w:cs="Times New Roman"/>
        </w:rPr>
        <w:t>On the other hand, it is important to note that the amendment of Section 12 (1) of the Computer Misuse</w:t>
      </w:r>
      <w:r w:rsidR="00230A2B" w:rsidRPr="0092463C">
        <w:rPr>
          <w:rFonts w:cs="Times New Roman"/>
        </w:rPr>
        <w:t xml:space="preserve"> </w:t>
      </w:r>
      <w:r w:rsidRPr="0092463C">
        <w:rPr>
          <w:rFonts w:cs="Times New Roman"/>
        </w:rPr>
        <w:t xml:space="preserve">Act, while beneficial to the expansion of the scope of privacy rights for LGBTQ persons, it does pose a grave threat to the right to freedom of expression for all persons, </w:t>
      </w:r>
      <w:r w:rsidR="003166E5" w:rsidRPr="0092463C">
        <w:rPr>
          <w:rFonts w:cs="Times New Roman"/>
        </w:rPr>
        <w:t xml:space="preserve">especially the already marginalised </w:t>
      </w:r>
      <w:r w:rsidR="0043224E" w:rsidRPr="0092463C">
        <w:rPr>
          <w:rFonts w:cs="Times New Roman"/>
        </w:rPr>
        <w:t>LGBT</w:t>
      </w:r>
      <w:r w:rsidRPr="0092463C">
        <w:rPr>
          <w:rFonts w:cs="Times New Roman"/>
        </w:rPr>
        <w:t xml:space="preserve"> persons and rights advocates; especially when it comes to documentation and publication of incidents of human rights violations by both state and non-state actors. </w:t>
      </w:r>
    </w:p>
    <w:p w14:paraId="224E6965" w14:textId="77777777" w:rsidR="005F52B1" w:rsidRPr="0092463C" w:rsidRDefault="009C3A8C" w:rsidP="0092463C">
      <w:pPr>
        <w:spacing w:before="100" w:beforeAutospacing="1" w:after="100" w:afterAutospacing="1" w:line="276" w:lineRule="auto"/>
        <w:jc w:val="both"/>
        <w:rPr>
          <w:lang w:val="en-US"/>
        </w:rPr>
      </w:pPr>
      <w:r w:rsidRPr="0092463C">
        <w:t>T</w:t>
      </w:r>
      <w:r w:rsidR="001C4217" w:rsidRPr="0092463C">
        <w:t>he amendment of Section 12 (1) of the Computer Misuse Act falls short of the relevant human rights standards that perm</w:t>
      </w:r>
      <w:r w:rsidR="00873FD4" w:rsidRPr="0092463C">
        <w:t>eate</w:t>
      </w:r>
      <w:r w:rsidR="001C4217" w:rsidRPr="0092463C">
        <w:t xml:space="preserve"> an infringement on the right to freedom of expression in a free and democratic society. This is owing to the fact that the privacy protections therein are too broad, as they prohibit voice or video recording and publication of information about an individual, without exception, whatsoever, and without clear justification. </w:t>
      </w:r>
    </w:p>
    <w:p w14:paraId="352E10D3" w14:textId="77777777" w:rsidR="005F52B1" w:rsidRPr="0092463C" w:rsidRDefault="009C3A8C" w:rsidP="0092463C">
      <w:pPr>
        <w:spacing w:before="100" w:beforeAutospacing="1" w:after="100" w:afterAutospacing="1" w:line="276" w:lineRule="auto"/>
        <w:jc w:val="both"/>
        <w:rPr>
          <w:lang w:val="en-US"/>
        </w:rPr>
      </w:pPr>
      <w:r w:rsidRPr="0092463C">
        <w:rPr>
          <w:lang w:val="en-US"/>
        </w:rPr>
        <w:t xml:space="preserve">Section 26A criminalizes the </w:t>
      </w:r>
      <w:r w:rsidR="001C4217" w:rsidRPr="0092463C">
        <w:t>writ</w:t>
      </w:r>
      <w:r w:rsidRPr="0092463C">
        <w:t>ing</w:t>
      </w:r>
      <w:r w:rsidR="001C4217" w:rsidRPr="0092463C">
        <w:t>, send</w:t>
      </w:r>
      <w:r w:rsidRPr="0092463C">
        <w:t>ing</w:t>
      </w:r>
      <w:r w:rsidR="001C4217" w:rsidRPr="0092463C">
        <w:t xml:space="preserve"> or shar</w:t>
      </w:r>
      <w:r w:rsidRPr="0092463C">
        <w:t xml:space="preserve">ing of </w:t>
      </w:r>
      <w:r w:rsidR="001C4217" w:rsidRPr="0092463C">
        <w:t xml:space="preserve">any information through a computer, which is likely to ridicule, degrade or demean another person, </w:t>
      </w:r>
      <w:r w:rsidR="001C4217" w:rsidRPr="0092463C">
        <w:rPr>
          <w:b/>
          <w:i/>
        </w:rPr>
        <w:t>group of persons,</w:t>
      </w:r>
      <w:r w:rsidR="001C4217" w:rsidRPr="0092463C">
        <w:t xml:space="preserve"> a tribe, an ethnicity, a religion or </w:t>
      </w:r>
      <w:r w:rsidR="001C4217" w:rsidRPr="0092463C">
        <w:rPr>
          <w:b/>
          <w:i/>
        </w:rPr>
        <w:t>gender</w:t>
      </w:r>
      <w:r w:rsidR="001C4217" w:rsidRPr="0092463C">
        <w:t xml:space="preserve">; create divisions among persons, a tribe, an ethnicity, a religion or gender; or promote hostility against a person, </w:t>
      </w:r>
      <w:r w:rsidR="001C4217" w:rsidRPr="0092463C">
        <w:rPr>
          <w:b/>
          <w:i/>
        </w:rPr>
        <w:t>group of persons</w:t>
      </w:r>
      <w:r w:rsidR="001C4217" w:rsidRPr="0092463C">
        <w:t xml:space="preserve">, a tribe, an ethnicity, a religion or </w:t>
      </w:r>
      <w:r w:rsidR="001C4217" w:rsidRPr="0092463C">
        <w:rPr>
          <w:b/>
          <w:i/>
        </w:rPr>
        <w:t>gender</w:t>
      </w:r>
      <w:r w:rsidR="001C4217" w:rsidRPr="0092463C">
        <w:t>. This provision is highly welcome as a shield against the homophobic attacks that members of the LGBTQ community are subjected to on various media platforms, including social media.</w:t>
      </w:r>
    </w:p>
    <w:p w14:paraId="43482CEB" w14:textId="22D36E3E" w:rsidR="001C4217" w:rsidRPr="0092463C" w:rsidRDefault="001C4217" w:rsidP="0092463C">
      <w:pPr>
        <w:spacing w:before="100" w:beforeAutospacing="1" w:after="100" w:afterAutospacing="1" w:line="276" w:lineRule="auto"/>
        <w:jc w:val="both"/>
        <w:rPr>
          <w:lang w:val="en-US"/>
        </w:rPr>
      </w:pPr>
      <w:r w:rsidRPr="0092463C">
        <w:t>Article 20 (2) of the ICCPR lays a foundation of national legislation on hate speech. This is in as far it stipulates that any advocacy of national, racial or religious hatred that constitutes incitement to discrimination, hostility or violence shall be prohibited by law. In light of th</w:t>
      </w:r>
      <w:r w:rsidR="005F52B1" w:rsidRPr="0092463C">
        <w:t xml:space="preserve">is, </w:t>
      </w:r>
      <w:r w:rsidRPr="0092463C">
        <w:t xml:space="preserve">it is evident that Section 26A is in conformity with the human rights standards on the prohibition of hate speech, in as far as it criminalises promotion of hostility against a group of persons, including LGBTQ </w:t>
      </w:r>
      <w:r w:rsidRPr="0092463C">
        <w:lastRenderedPageBreak/>
        <w:t>persons, who are often subjected to hate speech in the form of homophobic media reports and social media posts that encourage violent attacks against them by members of the public</w:t>
      </w:r>
      <w:r w:rsidR="002D0687" w:rsidRPr="0092463C">
        <w:t xml:space="preserve">. </w:t>
      </w:r>
    </w:p>
    <w:p w14:paraId="42F00B0A" w14:textId="77777777" w:rsidR="001C4217" w:rsidRPr="0092463C" w:rsidRDefault="001C4217" w:rsidP="0092463C">
      <w:pPr>
        <w:spacing w:line="276" w:lineRule="auto"/>
        <w:jc w:val="both"/>
      </w:pPr>
    </w:p>
    <w:p w14:paraId="61B470E5" w14:textId="77777777" w:rsidR="00C84121" w:rsidRPr="0092463C" w:rsidRDefault="00C84121" w:rsidP="0092463C">
      <w:pPr>
        <w:spacing w:line="276" w:lineRule="auto"/>
        <w:jc w:val="both"/>
      </w:pPr>
    </w:p>
    <w:p w14:paraId="7C838A52" w14:textId="77777777" w:rsidR="00C84121" w:rsidRPr="0092463C" w:rsidRDefault="00C84121" w:rsidP="0092463C">
      <w:pPr>
        <w:spacing w:line="276" w:lineRule="auto"/>
        <w:jc w:val="both"/>
      </w:pPr>
    </w:p>
    <w:p w14:paraId="095FCB72" w14:textId="08C6B371" w:rsidR="00287326" w:rsidRPr="0092463C" w:rsidRDefault="00287326" w:rsidP="0092463C">
      <w:pPr>
        <w:spacing w:line="276" w:lineRule="auto"/>
        <w:jc w:val="both"/>
      </w:pPr>
    </w:p>
    <w:p w14:paraId="49DEB6F0" w14:textId="001CFA92" w:rsidR="00C84121" w:rsidRPr="0092463C" w:rsidRDefault="00C84121" w:rsidP="0092463C">
      <w:pPr>
        <w:spacing w:line="276" w:lineRule="auto"/>
        <w:jc w:val="both"/>
      </w:pPr>
    </w:p>
    <w:p w14:paraId="72C55D4C" w14:textId="18991789" w:rsidR="00C84121" w:rsidRPr="0092463C" w:rsidRDefault="00C84121" w:rsidP="0092463C">
      <w:pPr>
        <w:spacing w:line="276" w:lineRule="auto"/>
        <w:jc w:val="both"/>
      </w:pPr>
    </w:p>
    <w:p w14:paraId="4428AC6D" w14:textId="676B9A47" w:rsidR="00C84121" w:rsidRPr="0092463C" w:rsidRDefault="00C84121" w:rsidP="0092463C">
      <w:pPr>
        <w:spacing w:line="276" w:lineRule="auto"/>
        <w:jc w:val="both"/>
      </w:pPr>
    </w:p>
    <w:p w14:paraId="260A76FA" w14:textId="7A831ED9" w:rsidR="00C84121" w:rsidRPr="0092463C" w:rsidRDefault="00C84121" w:rsidP="0092463C">
      <w:pPr>
        <w:spacing w:line="276" w:lineRule="auto"/>
        <w:jc w:val="both"/>
      </w:pPr>
    </w:p>
    <w:p w14:paraId="1343565B" w14:textId="443C0761" w:rsidR="00C84121" w:rsidRPr="0092463C" w:rsidRDefault="00C84121" w:rsidP="0092463C">
      <w:pPr>
        <w:spacing w:line="276" w:lineRule="auto"/>
        <w:jc w:val="both"/>
      </w:pPr>
    </w:p>
    <w:sectPr w:rsidR="00C84121" w:rsidRPr="0092463C">
      <w:footerReference w:type="default" r:id="rId11"/>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06B097" w16cex:dateUtc="2024-01-31T11:36:00Z"/>
  <w16cex:commentExtensible w16cex:durableId="62585054" w16cex:dateUtc="2024-01-31T11:31:00Z"/>
  <w16cex:commentExtensible w16cex:durableId="4EB523BB" w16cex:dateUtc="2024-01-31T11:33:00Z"/>
  <w16cex:commentExtensible w16cex:durableId="65191AD6" w16cex:dateUtc="2024-01-31T11:38:00Z"/>
  <w16cex:commentExtensible w16cex:durableId="776CE767" w16cex:dateUtc="2024-01-31T11:40:00Z"/>
  <w16cex:commentExtensible w16cex:durableId="30B85046" w16cex:dateUtc="2024-01-31T11:41:00Z"/>
  <w16cex:commentExtensible w16cex:durableId="70D8449D" w16cex:dateUtc="2024-01-31T11:41:00Z"/>
  <w16cex:commentExtensible w16cex:durableId="1924A885" w16cex:dateUtc="2024-01-31T11:42:00Z"/>
  <w16cex:commentExtensible w16cex:durableId="04E21289" w16cex:dateUtc="2024-01-31T11:44:00Z"/>
  <w16cex:commentExtensible w16cex:durableId="7A3729FF" w16cex:dateUtc="2024-01-3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63BC0" w16cid:durableId="1106B097"/>
  <w16cid:commentId w16cid:paraId="38360572" w16cid:durableId="62585054"/>
  <w16cid:commentId w16cid:paraId="2B740AC8" w16cid:durableId="4EB523BB"/>
  <w16cid:commentId w16cid:paraId="4346695B" w16cid:durableId="65191AD6"/>
  <w16cid:commentId w16cid:paraId="04392D5A" w16cid:durableId="776CE767"/>
  <w16cid:commentId w16cid:paraId="05533EEC" w16cid:durableId="30B85046"/>
  <w16cid:commentId w16cid:paraId="00FD9A78" w16cid:durableId="70D8449D"/>
  <w16cid:commentId w16cid:paraId="55BA66BB" w16cid:durableId="1924A885"/>
  <w16cid:commentId w16cid:paraId="64E6C52C" w16cid:durableId="04E21289"/>
  <w16cid:commentId w16cid:paraId="0BC17C1D" w16cid:durableId="7A3729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19B41" w14:textId="77777777" w:rsidR="00F06196" w:rsidRDefault="00F06196" w:rsidP="001C4217">
      <w:pPr>
        <w:spacing w:line="240" w:lineRule="auto"/>
      </w:pPr>
      <w:r>
        <w:separator/>
      </w:r>
    </w:p>
  </w:endnote>
  <w:endnote w:type="continuationSeparator" w:id="0">
    <w:p w14:paraId="55E20D82" w14:textId="77777777" w:rsidR="00F06196" w:rsidRDefault="00F06196" w:rsidP="001C4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443708"/>
      <w:docPartObj>
        <w:docPartGallery w:val="Page Numbers (Bottom of Page)"/>
        <w:docPartUnique/>
      </w:docPartObj>
    </w:sdtPr>
    <w:sdtEndPr>
      <w:rPr>
        <w:noProof/>
      </w:rPr>
    </w:sdtEndPr>
    <w:sdtContent>
      <w:p w14:paraId="611EB6BF" w14:textId="0BDFBB9D" w:rsidR="00D97361" w:rsidRDefault="00D97361">
        <w:pPr>
          <w:pStyle w:val="Footer"/>
          <w:jc w:val="center"/>
        </w:pPr>
        <w:r>
          <w:fldChar w:fldCharType="begin"/>
        </w:r>
        <w:r>
          <w:instrText xml:space="preserve"> PAGE   \* MERGEFORMAT </w:instrText>
        </w:r>
        <w:r>
          <w:fldChar w:fldCharType="separate"/>
        </w:r>
        <w:r w:rsidR="0060314D">
          <w:rPr>
            <w:noProof/>
          </w:rPr>
          <w:t>2</w:t>
        </w:r>
        <w:r>
          <w:rPr>
            <w:noProof/>
          </w:rPr>
          <w:fldChar w:fldCharType="end"/>
        </w:r>
      </w:p>
    </w:sdtContent>
  </w:sdt>
  <w:p w14:paraId="49AF4511" w14:textId="77777777" w:rsidR="00D97361" w:rsidRDefault="00D973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7EA8B" w14:textId="77777777" w:rsidR="00F06196" w:rsidRDefault="00F06196" w:rsidP="001C4217">
      <w:pPr>
        <w:spacing w:line="240" w:lineRule="auto"/>
      </w:pPr>
      <w:r>
        <w:separator/>
      </w:r>
    </w:p>
  </w:footnote>
  <w:footnote w:type="continuationSeparator" w:id="0">
    <w:p w14:paraId="416B9FF3" w14:textId="77777777" w:rsidR="00F06196" w:rsidRDefault="00F06196" w:rsidP="001C4217">
      <w:pPr>
        <w:spacing w:line="240" w:lineRule="auto"/>
      </w:pPr>
      <w:r>
        <w:continuationSeparator/>
      </w:r>
    </w:p>
  </w:footnote>
  <w:footnote w:id="1">
    <w:p w14:paraId="0246403D" w14:textId="77777777" w:rsidR="00A82BCC" w:rsidRPr="005B749B" w:rsidRDefault="00A82BCC">
      <w:pPr>
        <w:pStyle w:val="FootnoteText"/>
        <w:rPr>
          <w:rFonts w:ascii="Book Antiqua" w:hAnsi="Book Antiqua"/>
          <w:lang w:val="en-US"/>
        </w:rPr>
      </w:pPr>
      <w:r w:rsidRPr="005B749B">
        <w:rPr>
          <w:rStyle w:val="FootnoteReference"/>
          <w:rFonts w:ascii="Book Antiqua" w:hAnsi="Book Antiqua"/>
        </w:rPr>
        <w:footnoteRef/>
      </w:r>
      <w:r w:rsidRPr="005B749B">
        <w:rPr>
          <w:rFonts w:ascii="Book Antiqua" w:hAnsi="Book Antiqua"/>
        </w:rPr>
        <w:t xml:space="preserve"> https://antigaylaws.org/regional/africa/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472"/>
    <w:multiLevelType w:val="multilevel"/>
    <w:tmpl w:val="25B04D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17697"/>
    <w:multiLevelType w:val="multilevel"/>
    <w:tmpl w:val="AB902604"/>
    <w:lvl w:ilvl="0">
      <w:start w:val="1"/>
      <w:numFmt w:val="decimal"/>
      <w:lvlText w:val="%1.0"/>
      <w:lvlJc w:val="left"/>
      <w:pPr>
        <w:ind w:left="720" w:hanging="720"/>
      </w:pPr>
      <w:rPr>
        <w:rFonts w:hint="default"/>
        <w:sz w:val="28"/>
        <w:u w:val="none"/>
      </w:rPr>
    </w:lvl>
    <w:lvl w:ilvl="1">
      <w:start w:val="1"/>
      <w:numFmt w:val="decimal"/>
      <w:lvlText w:val="%2."/>
      <w:lvlJc w:val="left"/>
      <w:pPr>
        <w:ind w:left="1440" w:hanging="720"/>
      </w:pPr>
      <w:rPr>
        <w:rFonts w:ascii="Book Antiqua" w:eastAsia="Lucida Grande" w:hAnsi="Book Antiqua" w:cs="Calibri Light" w:hint="default"/>
        <w:b w:val="0"/>
        <w:i w:val="0"/>
        <w:iCs/>
        <w:sz w:val="26"/>
        <w:szCs w:val="26"/>
        <w:u w:val="none"/>
      </w:rPr>
    </w:lvl>
    <w:lvl w:ilvl="2">
      <w:start w:val="1"/>
      <w:numFmt w:val="decimal"/>
      <w:lvlText w:val="%1.%2.%3"/>
      <w:lvlJc w:val="left"/>
      <w:pPr>
        <w:ind w:left="2520" w:hanging="1080"/>
      </w:pPr>
      <w:rPr>
        <w:rFonts w:hint="default"/>
        <w:sz w:val="28"/>
        <w:u w:val="none"/>
      </w:rPr>
    </w:lvl>
    <w:lvl w:ilvl="3">
      <w:start w:val="1"/>
      <w:numFmt w:val="decimal"/>
      <w:lvlText w:val="%1.%2.%3.%4"/>
      <w:lvlJc w:val="left"/>
      <w:pPr>
        <w:ind w:left="3240" w:hanging="1080"/>
      </w:pPr>
      <w:rPr>
        <w:rFonts w:hint="default"/>
        <w:sz w:val="28"/>
        <w:u w:val="none"/>
      </w:rPr>
    </w:lvl>
    <w:lvl w:ilvl="4">
      <w:start w:val="1"/>
      <w:numFmt w:val="decimal"/>
      <w:lvlText w:val="%1.%2.%3.%4.%5"/>
      <w:lvlJc w:val="left"/>
      <w:pPr>
        <w:ind w:left="4320" w:hanging="1440"/>
      </w:pPr>
      <w:rPr>
        <w:rFonts w:hint="default"/>
        <w:sz w:val="28"/>
        <w:u w:val="none"/>
      </w:rPr>
    </w:lvl>
    <w:lvl w:ilvl="5">
      <w:start w:val="1"/>
      <w:numFmt w:val="decimal"/>
      <w:lvlText w:val="%1.%2.%3.%4.%5.%6"/>
      <w:lvlJc w:val="left"/>
      <w:pPr>
        <w:ind w:left="5400" w:hanging="1800"/>
      </w:pPr>
      <w:rPr>
        <w:rFonts w:hint="default"/>
        <w:sz w:val="28"/>
        <w:u w:val="none"/>
      </w:rPr>
    </w:lvl>
    <w:lvl w:ilvl="6">
      <w:start w:val="1"/>
      <w:numFmt w:val="decimal"/>
      <w:lvlText w:val="%1.%2.%3.%4.%5.%6.%7"/>
      <w:lvlJc w:val="left"/>
      <w:pPr>
        <w:ind w:left="6480" w:hanging="2160"/>
      </w:pPr>
      <w:rPr>
        <w:rFonts w:hint="default"/>
        <w:sz w:val="28"/>
        <w:u w:val="none"/>
      </w:rPr>
    </w:lvl>
    <w:lvl w:ilvl="7">
      <w:start w:val="1"/>
      <w:numFmt w:val="decimal"/>
      <w:lvlText w:val="%1.%2.%3.%4.%5.%6.%7.%8"/>
      <w:lvlJc w:val="left"/>
      <w:pPr>
        <w:ind w:left="7200" w:hanging="2160"/>
      </w:pPr>
      <w:rPr>
        <w:rFonts w:hint="default"/>
        <w:sz w:val="28"/>
        <w:u w:val="none"/>
      </w:rPr>
    </w:lvl>
    <w:lvl w:ilvl="8">
      <w:start w:val="1"/>
      <w:numFmt w:val="decimal"/>
      <w:lvlText w:val="%1.%2.%3.%4.%5.%6.%7.%8.%9"/>
      <w:lvlJc w:val="left"/>
      <w:pPr>
        <w:ind w:left="8280" w:hanging="2520"/>
      </w:pPr>
      <w:rPr>
        <w:rFonts w:hint="default"/>
        <w:sz w:val="28"/>
        <w:u w:val="none"/>
      </w:rPr>
    </w:lvl>
  </w:abstractNum>
  <w:abstractNum w:abstractNumId="2" w15:restartNumberingAfterBreak="0">
    <w:nsid w:val="4E54294C"/>
    <w:multiLevelType w:val="multilevel"/>
    <w:tmpl w:val="FFFCFC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81782"/>
    <w:multiLevelType w:val="hybridMultilevel"/>
    <w:tmpl w:val="2BCA3BD4"/>
    <w:lvl w:ilvl="0" w:tplc="2F24D27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043CB7"/>
    <w:multiLevelType w:val="multilevel"/>
    <w:tmpl w:val="03D0B1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1F656A"/>
    <w:multiLevelType w:val="multilevel"/>
    <w:tmpl w:val="9A183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4670C9"/>
    <w:multiLevelType w:val="multilevel"/>
    <w:tmpl w:val="3E6CFF7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B63E7E"/>
    <w:multiLevelType w:val="multilevel"/>
    <w:tmpl w:val="30A69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7"/>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30"/>
    <w:rsid w:val="00046EC8"/>
    <w:rsid w:val="000B0249"/>
    <w:rsid w:val="00106B4E"/>
    <w:rsid w:val="00116A4F"/>
    <w:rsid w:val="00117A86"/>
    <w:rsid w:val="00121E52"/>
    <w:rsid w:val="00154602"/>
    <w:rsid w:val="001601A2"/>
    <w:rsid w:val="00162087"/>
    <w:rsid w:val="001B2DE7"/>
    <w:rsid w:val="001C4217"/>
    <w:rsid w:val="00223EC5"/>
    <w:rsid w:val="00230A2B"/>
    <w:rsid w:val="00273E3E"/>
    <w:rsid w:val="00287326"/>
    <w:rsid w:val="002D0687"/>
    <w:rsid w:val="002F3CF6"/>
    <w:rsid w:val="003166E5"/>
    <w:rsid w:val="003730D6"/>
    <w:rsid w:val="00374ECB"/>
    <w:rsid w:val="00395353"/>
    <w:rsid w:val="003A2286"/>
    <w:rsid w:val="003B6266"/>
    <w:rsid w:val="004022B2"/>
    <w:rsid w:val="00424031"/>
    <w:rsid w:val="0043224E"/>
    <w:rsid w:val="00457EAD"/>
    <w:rsid w:val="00477B4E"/>
    <w:rsid w:val="004D0642"/>
    <w:rsid w:val="004E58EA"/>
    <w:rsid w:val="004F16DD"/>
    <w:rsid w:val="00513FDD"/>
    <w:rsid w:val="005817D9"/>
    <w:rsid w:val="00582A63"/>
    <w:rsid w:val="005858C4"/>
    <w:rsid w:val="005B6E4E"/>
    <w:rsid w:val="005B749B"/>
    <w:rsid w:val="005D664C"/>
    <w:rsid w:val="005E073F"/>
    <w:rsid w:val="005F52B1"/>
    <w:rsid w:val="0060314D"/>
    <w:rsid w:val="00604A37"/>
    <w:rsid w:val="0067097B"/>
    <w:rsid w:val="006C17BF"/>
    <w:rsid w:val="006C36D2"/>
    <w:rsid w:val="006C409A"/>
    <w:rsid w:val="007349D0"/>
    <w:rsid w:val="0073724B"/>
    <w:rsid w:val="00744381"/>
    <w:rsid w:val="007F74C8"/>
    <w:rsid w:val="00814FDF"/>
    <w:rsid w:val="00844DFE"/>
    <w:rsid w:val="00873FD4"/>
    <w:rsid w:val="008E3E87"/>
    <w:rsid w:val="008E661B"/>
    <w:rsid w:val="008F599D"/>
    <w:rsid w:val="009219C2"/>
    <w:rsid w:val="0092463C"/>
    <w:rsid w:val="009322BE"/>
    <w:rsid w:val="00934A32"/>
    <w:rsid w:val="009B4F38"/>
    <w:rsid w:val="009C3A8C"/>
    <w:rsid w:val="009F4515"/>
    <w:rsid w:val="009F6DA7"/>
    <w:rsid w:val="00A6002B"/>
    <w:rsid w:val="00A62518"/>
    <w:rsid w:val="00A62B86"/>
    <w:rsid w:val="00A77837"/>
    <w:rsid w:val="00A82BCC"/>
    <w:rsid w:val="00AC2390"/>
    <w:rsid w:val="00AD514B"/>
    <w:rsid w:val="00AE42BB"/>
    <w:rsid w:val="00AE6030"/>
    <w:rsid w:val="00B17FF8"/>
    <w:rsid w:val="00B40B02"/>
    <w:rsid w:val="00B431ED"/>
    <w:rsid w:val="00B75719"/>
    <w:rsid w:val="00B920BE"/>
    <w:rsid w:val="00BC0B75"/>
    <w:rsid w:val="00BF2051"/>
    <w:rsid w:val="00C11858"/>
    <w:rsid w:val="00C237D3"/>
    <w:rsid w:val="00C42B61"/>
    <w:rsid w:val="00C515D8"/>
    <w:rsid w:val="00C650B2"/>
    <w:rsid w:val="00C84121"/>
    <w:rsid w:val="00CB3E0F"/>
    <w:rsid w:val="00D2273C"/>
    <w:rsid w:val="00D52B25"/>
    <w:rsid w:val="00D97361"/>
    <w:rsid w:val="00DA0B0A"/>
    <w:rsid w:val="00DB2015"/>
    <w:rsid w:val="00DF53D5"/>
    <w:rsid w:val="00E00F0C"/>
    <w:rsid w:val="00E03B53"/>
    <w:rsid w:val="00E213A7"/>
    <w:rsid w:val="00E83D2C"/>
    <w:rsid w:val="00EB449E"/>
    <w:rsid w:val="00EB7296"/>
    <w:rsid w:val="00EE4663"/>
    <w:rsid w:val="00F06196"/>
    <w:rsid w:val="00F260DA"/>
    <w:rsid w:val="00F53C2B"/>
    <w:rsid w:val="00F6703E"/>
    <w:rsid w:val="00F85B26"/>
    <w:rsid w:val="00FC11BD"/>
    <w:rsid w:val="00FF03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F42DA"/>
  <w15:chartTrackingRefBased/>
  <w15:docId w15:val="{E2A33632-BBAB-42C1-80C2-5F173EAE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C5"/>
    <w:pPr>
      <w:spacing w:after="0" w:line="360" w:lineRule="auto"/>
    </w:pPr>
    <w:rPr>
      <w:rFonts w:ascii="Book Antiqua" w:hAnsi="Book Antiqua"/>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4217"/>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1C4217"/>
    <w:rPr>
      <w:sz w:val="20"/>
      <w:szCs w:val="20"/>
      <w:lang w:val="en-GB"/>
    </w:rPr>
  </w:style>
  <w:style w:type="character" w:styleId="FootnoteReference">
    <w:name w:val="footnote reference"/>
    <w:basedOn w:val="DefaultParagraphFont"/>
    <w:uiPriority w:val="99"/>
    <w:semiHidden/>
    <w:unhideWhenUsed/>
    <w:rsid w:val="001C4217"/>
    <w:rPr>
      <w:vertAlign w:val="superscript"/>
    </w:rPr>
  </w:style>
  <w:style w:type="paragraph" w:styleId="ListParagraph">
    <w:name w:val="List Paragraph"/>
    <w:aliases w:val="Dot pt,F5 List Paragraph,List Paragraph1,List Paragraph Char Char Char,Indicator Text,Colorful List - Accent 11,Numbered Para 1,Bullet 1,Bullet Points,List Paragraph2,MAIN CONTENT,List Paragraph12,Normal numbered,Recommendati,OBC Bullet"/>
    <w:basedOn w:val="Normal"/>
    <w:link w:val="ListParagraphChar"/>
    <w:uiPriority w:val="34"/>
    <w:qFormat/>
    <w:rsid w:val="005E073F"/>
    <w:pPr>
      <w:spacing w:line="240" w:lineRule="auto"/>
      <w:ind w:left="720"/>
      <w:contextualSpacing/>
    </w:pPr>
    <w:rPr>
      <w:rFonts w:ascii="Calibri" w:eastAsia="Times New Roman" w:hAnsi="Calibri" w:cs="Times New Roman"/>
      <w:sz w:val="24"/>
      <w:szCs w:val="24"/>
      <w:lang w:val="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OBC Bullet Char"/>
    <w:link w:val="ListParagraph"/>
    <w:uiPriority w:val="34"/>
    <w:qFormat/>
    <w:locked/>
    <w:rsid w:val="005E073F"/>
    <w:rPr>
      <w:rFonts w:ascii="Calibri" w:eastAsia="Times New Roman" w:hAnsi="Calibri" w:cs="Times New Roman"/>
      <w:sz w:val="24"/>
      <w:szCs w:val="24"/>
    </w:rPr>
  </w:style>
  <w:style w:type="character" w:styleId="Hyperlink">
    <w:name w:val="Hyperlink"/>
    <w:basedOn w:val="DefaultParagraphFont"/>
    <w:uiPriority w:val="99"/>
    <w:unhideWhenUsed/>
    <w:rsid w:val="0073724B"/>
    <w:rPr>
      <w:color w:val="0563C1" w:themeColor="hyperlink"/>
      <w:u w:val="single"/>
    </w:rPr>
  </w:style>
  <w:style w:type="character" w:styleId="FollowedHyperlink">
    <w:name w:val="FollowedHyperlink"/>
    <w:basedOn w:val="DefaultParagraphFont"/>
    <w:uiPriority w:val="99"/>
    <w:semiHidden/>
    <w:unhideWhenUsed/>
    <w:rsid w:val="00AC2390"/>
    <w:rPr>
      <w:color w:val="954F72" w:themeColor="followedHyperlink"/>
      <w:u w:val="single"/>
    </w:rPr>
  </w:style>
  <w:style w:type="paragraph" w:styleId="BalloonText">
    <w:name w:val="Balloon Text"/>
    <w:basedOn w:val="Normal"/>
    <w:link w:val="BalloonTextChar"/>
    <w:uiPriority w:val="99"/>
    <w:semiHidden/>
    <w:unhideWhenUsed/>
    <w:rsid w:val="00A82BC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2BCC"/>
    <w:rPr>
      <w:rFonts w:ascii="Times New Roman" w:hAnsi="Times New Roman" w:cs="Times New Roman"/>
      <w:sz w:val="18"/>
      <w:szCs w:val="18"/>
      <w:lang w:val="en-GB"/>
    </w:rPr>
  </w:style>
  <w:style w:type="paragraph" w:styleId="Header">
    <w:name w:val="header"/>
    <w:basedOn w:val="Normal"/>
    <w:link w:val="HeaderChar"/>
    <w:uiPriority w:val="99"/>
    <w:unhideWhenUsed/>
    <w:rsid w:val="00582A63"/>
    <w:pPr>
      <w:tabs>
        <w:tab w:val="center" w:pos="4513"/>
        <w:tab w:val="right" w:pos="9026"/>
      </w:tabs>
      <w:spacing w:line="240" w:lineRule="auto"/>
    </w:pPr>
  </w:style>
  <w:style w:type="character" w:customStyle="1" w:styleId="HeaderChar">
    <w:name w:val="Header Char"/>
    <w:basedOn w:val="DefaultParagraphFont"/>
    <w:link w:val="Header"/>
    <w:uiPriority w:val="99"/>
    <w:rsid w:val="00582A63"/>
    <w:rPr>
      <w:rFonts w:ascii="Book Antiqua" w:hAnsi="Book Antiqua"/>
      <w:lang w:val="en-GB"/>
    </w:rPr>
  </w:style>
  <w:style w:type="paragraph" w:styleId="Footer">
    <w:name w:val="footer"/>
    <w:basedOn w:val="Normal"/>
    <w:link w:val="FooterChar"/>
    <w:uiPriority w:val="99"/>
    <w:unhideWhenUsed/>
    <w:rsid w:val="00582A63"/>
    <w:pPr>
      <w:tabs>
        <w:tab w:val="center" w:pos="4513"/>
        <w:tab w:val="right" w:pos="9026"/>
      </w:tabs>
      <w:spacing w:line="240" w:lineRule="auto"/>
    </w:pPr>
  </w:style>
  <w:style w:type="character" w:customStyle="1" w:styleId="FooterChar">
    <w:name w:val="Footer Char"/>
    <w:basedOn w:val="DefaultParagraphFont"/>
    <w:link w:val="Footer"/>
    <w:uiPriority w:val="99"/>
    <w:rsid w:val="00582A63"/>
    <w:rPr>
      <w:rFonts w:ascii="Book Antiqua" w:hAnsi="Book Antiqua"/>
      <w:lang w:val="en-GB"/>
    </w:rPr>
  </w:style>
  <w:style w:type="paragraph" w:styleId="Revision">
    <w:name w:val="Revision"/>
    <w:hidden/>
    <w:uiPriority w:val="99"/>
    <w:semiHidden/>
    <w:rsid w:val="00582A63"/>
    <w:pPr>
      <w:spacing w:after="0" w:line="240" w:lineRule="auto"/>
    </w:pPr>
    <w:rPr>
      <w:rFonts w:ascii="Book Antiqua" w:hAnsi="Book Antiqua"/>
      <w:lang w:val="en-GB"/>
    </w:rPr>
  </w:style>
  <w:style w:type="character" w:styleId="CommentReference">
    <w:name w:val="annotation reference"/>
    <w:basedOn w:val="DefaultParagraphFont"/>
    <w:uiPriority w:val="99"/>
    <w:semiHidden/>
    <w:unhideWhenUsed/>
    <w:rsid w:val="00582A63"/>
    <w:rPr>
      <w:sz w:val="16"/>
      <w:szCs w:val="16"/>
    </w:rPr>
  </w:style>
  <w:style w:type="paragraph" w:styleId="CommentText">
    <w:name w:val="annotation text"/>
    <w:basedOn w:val="Normal"/>
    <w:link w:val="CommentTextChar"/>
    <w:uiPriority w:val="99"/>
    <w:unhideWhenUsed/>
    <w:rsid w:val="00582A63"/>
    <w:pPr>
      <w:spacing w:line="240" w:lineRule="auto"/>
    </w:pPr>
    <w:rPr>
      <w:sz w:val="20"/>
      <w:szCs w:val="20"/>
    </w:rPr>
  </w:style>
  <w:style w:type="character" w:customStyle="1" w:styleId="CommentTextChar">
    <w:name w:val="Comment Text Char"/>
    <w:basedOn w:val="DefaultParagraphFont"/>
    <w:link w:val="CommentText"/>
    <w:uiPriority w:val="99"/>
    <w:rsid w:val="00582A63"/>
    <w:rPr>
      <w:rFonts w:ascii="Book Antiqua" w:hAnsi="Book Antiqua"/>
      <w:sz w:val="20"/>
      <w:szCs w:val="20"/>
      <w:lang w:val="en-GB"/>
    </w:rPr>
  </w:style>
  <w:style w:type="paragraph" w:styleId="CommentSubject">
    <w:name w:val="annotation subject"/>
    <w:basedOn w:val="CommentText"/>
    <w:next w:val="CommentText"/>
    <w:link w:val="CommentSubjectChar"/>
    <w:uiPriority w:val="99"/>
    <w:semiHidden/>
    <w:unhideWhenUsed/>
    <w:rsid w:val="00582A63"/>
    <w:rPr>
      <w:b/>
      <w:bCs/>
    </w:rPr>
  </w:style>
  <w:style w:type="character" w:customStyle="1" w:styleId="CommentSubjectChar">
    <w:name w:val="Comment Subject Char"/>
    <w:basedOn w:val="CommentTextChar"/>
    <w:link w:val="CommentSubject"/>
    <w:uiPriority w:val="99"/>
    <w:semiHidden/>
    <w:rsid w:val="00582A63"/>
    <w:rPr>
      <w:rFonts w:ascii="Book Antiqua" w:hAnsi="Book Antiqua"/>
      <w:b/>
      <w:bCs/>
      <w:sz w:val="20"/>
      <w:szCs w:val="20"/>
      <w:lang w:val="en-GB"/>
    </w:rPr>
  </w:style>
  <w:style w:type="paragraph" w:styleId="NormalWeb">
    <w:name w:val="Normal (Web)"/>
    <w:basedOn w:val="Normal"/>
    <w:uiPriority w:val="99"/>
    <w:unhideWhenUsed/>
    <w:rsid w:val="00604A37"/>
    <w:pPr>
      <w:spacing w:before="100" w:beforeAutospacing="1" w:after="100" w:afterAutospacing="1"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4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hrapf.org" TargetMode="External"/><Relationship Id="rId4" Type="http://schemas.openxmlformats.org/officeDocument/2006/relationships/settings" Target="settings.xml"/><Relationship Id="rId9" Type="http://schemas.openxmlformats.org/officeDocument/2006/relationships/hyperlink" Target="https://hrapf.org/?mdocs-file=11371&amp;mdocs-url=false"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Human Rights Awareness and Promotion Forum (HRAPF)</Contributor>
  </documentManagement>
</p:properties>
</file>

<file path=customXml/itemProps1.xml><?xml version="1.0" encoding="utf-8"?>
<ds:datastoreItem xmlns:ds="http://schemas.openxmlformats.org/officeDocument/2006/customXml" ds:itemID="{B7B69233-F7FF-4062-A5BB-9BC28979FD63}">
  <ds:schemaRefs>
    <ds:schemaRef ds:uri="http://schemas.openxmlformats.org/officeDocument/2006/bibliography"/>
  </ds:schemaRefs>
</ds:datastoreItem>
</file>

<file path=customXml/itemProps2.xml><?xml version="1.0" encoding="utf-8"?>
<ds:datastoreItem xmlns:ds="http://schemas.openxmlformats.org/officeDocument/2006/customXml" ds:itemID="{69DE59BD-26FB-4AF6-82A3-613AB0EAE926}"/>
</file>

<file path=customXml/itemProps3.xml><?xml version="1.0" encoding="utf-8"?>
<ds:datastoreItem xmlns:ds="http://schemas.openxmlformats.org/officeDocument/2006/customXml" ds:itemID="{CC69320E-44BE-40EF-82B5-C24DE9BEC1F0}"/>
</file>

<file path=customXml/itemProps4.xml><?xml version="1.0" encoding="utf-8"?>
<ds:datastoreItem xmlns:ds="http://schemas.openxmlformats.org/officeDocument/2006/customXml" ds:itemID="{B1EF9078-3DC4-456E-927A-11544BBA24D5}"/>
</file>

<file path=docProps/app.xml><?xml version="1.0" encoding="utf-8"?>
<Properties xmlns="http://schemas.openxmlformats.org/officeDocument/2006/extended-properties" xmlns:vt="http://schemas.openxmlformats.org/officeDocument/2006/docPropsVTypes">
  <Template>Normal</Template>
  <TotalTime>24</TotalTime>
  <Pages>7</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Ssemambo</dc:creator>
  <cp:keywords/>
  <dc:description/>
  <cp:lastModifiedBy>Edward Ssemambo</cp:lastModifiedBy>
  <cp:revision>6</cp:revision>
  <dcterms:created xsi:type="dcterms:W3CDTF">2024-01-31T13:13:00Z</dcterms:created>
  <dcterms:modified xsi:type="dcterms:W3CDTF">2024-01-31T17:12:00Z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