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eastAsia="Trebuchet MS" w:cs="Trebuchet MS" w:ascii="Trebuchet MS" w:hAnsi="Trebuchet MS"/>
          <w:b/>
          <w:bCs/>
          <w:sz w:val="28"/>
          <w:szCs w:val="28"/>
        </w:rPr>
        <w:t>APC submission on protection against violence and discrimination based on sexual orientation and gender identity, in relation to the human rights to freedom of expression, association and assembly</w:t>
      </w:r>
    </w:p>
    <w:p>
      <w:pPr>
        <w:pStyle w:val="Normal"/>
        <w:jc w:val="both"/>
        <w:rPr>
          <w:rFonts w:ascii="Trebuchet MS" w:hAnsi="Trebuchet MS" w:cs="Trebuchet MS"/>
          <w:b w:val="false"/>
          <w:b w:val="false"/>
          <w:bCs/>
          <w:i/>
          <w:i/>
        </w:rPr>
      </w:pPr>
      <w:r>
        <w:rPr>
          <w:rFonts w:cs="Trebuchet MS" w:ascii="Trebuchet MS" w:hAnsi="Trebuchet MS"/>
          <w:b w:val="false"/>
          <w:bCs/>
          <w:i/>
        </w:rPr>
      </w:r>
    </w:p>
    <w:p>
      <w:pPr>
        <w:pStyle w:val="Normal"/>
        <w:jc w:val="both"/>
        <w:rPr>
          <w:rFonts w:ascii="Trebuchet MS" w:hAnsi="Trebuchet MS" w:eastAsia="Trebuchet MS" w:cs="Trebuchet MS"/>
          <w:b w:val="false"/>
          <w:b w:val="false"/>
          <w:bCs/>
          <w:i/>
          <w:i/>
        </w:rPr>
      </w:pPr>
      <w:r>
        <w:rPr>
          <w:rFonts w:eastAsia="Trebuchet MS" w:cs="Trebuchet MS" w:ascii="Trebuchet MS" w:hAnsi="Trebuchet MS"/>
          <w:b w:val="false"/>
          <w:bCs/>
          <w:i/>
        </w:rPr>
      </w:r>
    </w:p>
    <w:p>
      <w:pPr>
        <w:pStyle w:val="Normal"/>
        <w:jc w:val="center"/>
        <w:rPr/>
      </w:pPr>
      <w:r>
        <w:rPr>
          <w:rFonts w:eastAsia="Trebuchet MS" w:cs="Trebuchet MS" w:ascii="Trebuchet MS" w:hAnsi="Trebuchet MS"/>
          <w:b w:val="false"/>
          <w:bCs w:val="false"/>
          <w:i/>
          <w:iCs/>
        </w:rPr>
        <w:t>February 7, 2024</w:t>
      </w:r>
    </w:p>
    <w:p>
      <w:pPr>
        <w:pStyle w:val="Normal"/>
        <w:jc w:val="both"/>
        <w:rPr>
          <w:rFonts w:ascii="Trebuchet MS" w:hAnsi="Trebuchet MS" w:eastAsia="Trebuchet MS" w:cs="Trebuchet MS"/>
        </w:rPr>
      </w:pPr>
      <w:r>
        <w:rPr>
          <w:rFonts w:eastAsia="Trebuchet MS" w:cs="Trebuchet MS" w:ascii="Trebuchet MS" w:hAnsi="Trebuchet MS"/>
        </w:rPr>
      </w:r>
    </w:p>
    <w:p>
      <w:pPr>
        <w:pStyle w:val="Normal"/>
        <w:jc w:val="both"/>
        <w:rPr/>
      </w:pPr>
      <w:r>
        <w:rPr>
          <w:rFonts w:eastAsia="Trebuchet MS" w:cs="Trebuchet MS" w:ascii="Trebuchet MS" w:hAnsi="Trebuchet MS"/>
        </w:rPr>
        <w:t xml:space="preserve">APC welcomes the opportunity to present this submission in response to the call for inputs issued by the The Independent Expert on protection against violence and discrimination based on sexual orientation and gender identity (IE SOGI) on </w:t>
      </w:r>
      <w:hyperlink r:id="rId2" w:tgtFrame="https://www.ohchr.org/en/calls-for-input/2024/call-input-protection-against-violence-and-discrimination-based-sexual">
        <w:r>
          <w:rPr>
            <w:rStyle w:val="EnlacedeInternet"/>
            <w:rFonts w:eastAsia="Trebuchet MS" w:cs="Trebuchet MS" w:ascii="Trebuchet MS" w:hAnsi="Trebuchet MS"/>
          </w:rPr>
          <w:t>protection against violence and discrimination based on sexual orientation and gender identity, in relation to the human rights to freedom of expression, association and assembly</w:t>
        </w:r>
      </w:hyperlink>
      <w:r>
        <w:rPr>
          <w:rFonts w:eastAsia="Trebuchet MS" w:cs="Trebuchet MS" w:ascii="Trebuchet MS" w:hAnsi="Trebuchet MS"/>
        </w:rPr>
        <w:t>.</w:t>
      </w:r>
    </w:p>
    <w:p>
      <w:pPr>
        <w:pStyle w:val="Normal"/>
        <w:jc w:val="both"/>
        <w:rPr>
          <w:rFonts w:ascii="Trebuchet MS" w:hAnsi="Trebuchet MS" w:cs="Trebuchet MS"/>
          <w:b/>
          <w:b/>
          <w:bCs/>
        </w:rPr>
      </w:pPr>
      <w:r>
        <w:rPr>
          <w:rFonts w:cs="Trebuchet MS" w:ascii="Trebuchet MS" w:hAnsi="Trebuchet MS"/>
          <w:b/>
          <w:bCs/>
        </w:rPr>
      </w:r>
    </w:p>
    <w:p>
      <w:pPr>
        <w:pStyle w:val="Normal"/>
        <w:jc w:val="both"/>
        <w:rPr>
          <w:rFonts w:ascii="Trebuchet MS" w:hAnsi="Trebuchet MS" w:cs="Trebuchet MS"/>
          <w:b/>
          <w:b/>
          <w:bCs/>
        </w:rPr>
      </w:pPr>
      <w:r>
        <w:rPr>
          <w:rFonts w:cs="Trebuchet MS" w:ascii="Trebuchet MS" w:hAnsi="Trebuchet MS"/>
          <w:b/>
          <w:bCs/>
        </w:rPr>
      </w:r>
    </w:p>
    <w:p>
      <w:pPr>
        <w:pStyle w:val="Normal"/>
        <w:jc w:val="both"/>
        <w:rPr/>
      </w:pPr>
      <w:r>
        <w:rPr>
          <w:rFonts w:eastAsia="Trebuchet MS" w:cs="Trebuchet MS" w:ascii="Trebuchet MS" w:hAnsi="Trebuchet MS"/>
          <w:b/>
          <w:bCs/>
          <w:sz w:val="28"/>
          <w:szCs w:val="28"/>
        </w:rPr>
        <w:t>Introduction</w:t>
      </w:r>
    </w:p>
    <w:p>
      <w:pPr>
        <w:pStyle w:val="Normal"/>
        <w:jc w:val="both"/>
        <w:rPr/>
      </w:pPr>
      <w:r>
        <w:rPr>
          <w:rFonts w:eastAsia="Trebuchet MS" w:cs="Trebuchet MS" w:ascii="Trebuchet MS" w:hAnsi="Trebuchet MS"/>
          <w:b w:val="false"/>
          <w:bCs w:val="false"/>
        </w:rPr>
        <w:t xml:space="preserve">This submission is made to highlight and raise alarm about the ongoing violence and discrimination that people of diverse genders and sexualities face, which is a manifestation of historical and structural inequalities in power relations between genders. Violence and discrimination based on sexual orientation and gender identity not only affect the human rights to freedom of expression, association and assembly, but also violate a great part of human rights principles and standards enshrined in international instruments and can constitute violations of international law. </w:t>
      </w:r>
    </w:p>
    <w:p>
      <w:pPr>
        <w:pStyle w:val="Normal"/>
        <w:jc w:val="both"/>
        <w:rPr/>
      </w:pPr>
      <w:r>
        <w:rPr>
          <w:rFonts w:eastAsia="Trebuchet MS" w:cs="Trebuchet MS" w:ascii="Trebuchet MS" w:hAnsi="Trebuchet MS"/>
          <w:b w:val="false"/>
          <w:bCs w:val="false"/>
        </w:rPr>
        <w:t>Even though digital platforms have provided tools and channels for sexual and gender diverse people to connect with each other, violence and discrimination can also be committed, abetted or aggravated, in part or fully, by the use of ICTs.</w:t>
      </w:r>
      <w:r>
        <w:rPr>
          <w:rStyle w:val="Ancladenotaalpie"/>
          <w:rFonts w:eastAsia="Trebuchet MS" w:cs="Trebuchet MS" w:ascii="Trebuchet MS" w:hAnsi="Trebuchet MS"/>
          <w:b w:val="false"/>
          <w:bCs w:val="false"/>
        </w:rPr>
        <w:footnoteReference w:id="2"/>
      </w:r>
      <w:r>
        <w:rPr>
          <w:rFonts w:eastAsia="Trebuchet MS" w:cs="Trebuchet MS" w:ascii="Trebuchet MS" w:hAnsi="Trebuchet MS"/>
          <w:b w:val="false"/>
          <w:bCs w:val="false"/>
        </w:rPr>
        <w:t xml:space="preserve"> Digital technologies increase the amount of violence and discrimination that people of diverse genders and sexualities face. They limit and compromise the rights to freedom of expression and access to information as well as put people's privacy and well-being at risk.</w:t>
      </w:r>
    </w:p>
    <w:p>
      <w:pPr>
        <w:pStyle w:val="Normal"/>
        <w:jc w:val="both"/>
        <w:rPr/>
      </w:pPr>
      <w:r>
        <w:rPr>
          <w:rFonts w:eastAsia="Trebuchet MS" w:cs="Trebuchet MS" w:ascii="Trebuchet MS" w:hAnsi="Trebuchet MS"/>
          <w:b w:val="false"/>
          <w:bCs w:val="false"/>
        </w:rPr>
        <w:t xml:space="preserve">This submission aims to bring attention to these biggest challenges and issues that people of diverse genders and sexualities face online. </w:t>
      </w:r>
    </w:p>
    <w:p>
      <w:pPr>
        <w:pStyle w:val="Normal"/>
        <w:jc w:val="both"/>
        <w:rPr/>
      </w:pPr>
      <w:r>
        <w:rPr>
          <w:rFonts w:eastAsia="Trebuchet MS" w:cs="Trebuchet MS" w:ascii="Trebuchet MS" w:hAnsi="Trebuchet MS"/>
          <w:b w:val="false"/>
          <w:bCs w:val="false"/>
        </w:rPr>
        <w:t xml:space="preserve">In the reports presented by the IE SOGI as well as in the call for input of this submission, there have been mentions of an urgent need to collect more information on this matter as, over the last few years, some UN Member States have amplified their restrictions to the right to freedom of expression in ways that specifically prohibit speech that defends the human rights of lesbian, gay, bisexual, trans and other gender-diverse (LGBT) persons. </w:t>
      </w:r>
    </w:p>
    <w:p>
      <w:pPr>
        <w:pStyle w:val="Normal"/>
        <w:jc w:val="both"/>
        <w:rPr/>
      </w:pPr>
      <w:r>
        <w:rPr>
          <w:rFonts w:eastAsia="Trebuchet MS" w:cs="Trebuchet MS" w:ascii="Trebuchet MS" w:hAnsi="Trebuchet MS"/>
          <w:b w:val="false"/>
          <w:bCs w:val="false"/>
        </w:rPr>
        <w:t>This submission proposes input to questions 1 and 6 in the questionnaire provided, focusing on</w:t>
      </w:r>
      <w:r>
        <w:rPr>
          <w:rFonts w:eastAsia="Trebuchet MS" w:cs="Trebuchet MS" w:ascii="Trebuchet MS" w:hAnsi="Trebuchet MS"/>
          <w:b/>
          <w:bCs/>
        </w:rPr>
        <w:t xml:space="preserve"> </w:t>
      </w:r>
      <w:r>
        <w:rPr>
          <w:rFonts w:eastAsia="Trebuchet MS" w:cs="Trebuchet MS" w:ascii="Trebuchet MS" w:hAnsi="Trebuchet MS"/>
          <w:b w:val="false"/>
          <w:bCs w:val="false"/>
        </w:rPr>
        <w:t>the human rights to freedom of expression, association and assembly of people of diverse genders and sexualities in the digital sphere.</w:t>
      </w:r>
    </w:p>
    <w:p>
      <w:pPr>
        <w:pStyle w:val="Normal"/>
        <w:jc w:val="both"/>
        <w:rPr>
          <w:rFonts w:ascii="Trebuchet MS" w:hAnsi="Trebuchet MS" w:cs="Trebuchet MS"/>
          <w:b w:val="false"/>
          <w:b w:val="false"/>
          <w:bCs w:val="false"/>
        </w:rPr>
      </w:pPr>
      <w:r>
        <w:rPr>
          <w:rFonts w:cs="Trebuchet MS" w:ascii="Trebuchet MS" w:hAnsi="Trebuchet MS"/>
          <w:b w:val="false"/>
          <w:bCs w:val="false"/>
        </w:rPr>
      </w:r>
    </w:p>
    <w:p>
      <w:pPr>
        <w:pStyle w:val="Normal"/>
        <w:jc w:val="both"/>
        <w:rPr/>
      </w:pPr>
      <w:r>
        <w:rPr>
          <w:rFonts w:eastAsia="Trebuchet MS" w:cs="Trebuchet MS" w:ascii="Trebuchet MS" w:hAnsi="Trebuchet MS"/>
          <w:b/>
          <w:bCs/>
          <w:color w:val="auto"/>
          <w:position w:val="0"/>
          <w:sz w:val="28"/>
          <w:sz w:val="28"/>
          <w:szCs w:val="28"/>
          <w:vertAlign w:val="baseline"/>
        </w:rPr>
        <w:t xml:space="preserve">Laws, policies or practices that restrict the exercising of freedom of expression and association of civil society organizations or activists advocating for LGBT person’s human rights, including laws and policies that regulate the participation of people of diverse genders and sexualities online </w:t>
      </w:r>
    </w:p>
    <w:p>
      <w:pPr>
        <w:pStyle w:val="Normal"/>
        <w:jc w:val="both"/>
        <w:rPr/>
      </w:pPr>
      <w:r>
        <w:rPr>
          <w:rFonts w:eastAsia="Trebuchet MS" w:cs="Trebuchet MS" w:ascii="Trebuchet MS" w:hAnsi="Trebuchet MS"/>
          <w:b w:val="false"/>
          <w:bCs w:val="false"/>
          <w:position w:val="0"/>
          <w:sz w:val="22"/>
          <w:vertAlign w:val="baseline"/>
        </w:rPr>
        <w:t xml:space="preserve">The </w:t>
      </w:r>
      <w:hyperlink r:id="rId3" w:tgtFrame="https://www.apc.org/">
        <w:r>
          <w:rPr>
            <w:rStyle w:val="EnlacedeInternet"/>
            <w:rFonts w:eastAsia="Trebuchet MS" w:cs="Trebuchet MS" w:ascii="Trebuchet MS" w:hAnsi="Trebuchet MS"/>
            <w:b w:val="false"/>
            <w:bCs w:val="false"/>
            <w:position w:val="0"/>
            <w:sz w:val="22"/>
            <w:vertAlign w:val="baseline"/>
          </w:rPr>
          <w:t>Association for Progressive Communications (APC)</w:t>
        </w:r>
      </w:hyperlink>
      <w:r>
        <w:rPr>
          <w:rFonts w:eastAsia="Trebuchet MS" w:cs="Trebuchet MS" w:ascii="Trebuchet MS" w:hAnsi="Trebuchet MS"/>
          <w:b w:val="false"/>
          <w:bCs w:val="false"/>
          <w:position w:val="0"/>
          <w:sz w:val="22"/>
          <w:vertAlign w:val="baseline"/>
        </w:rPr>
        <w:t xml:space="preserve"> is a membership-based network of organisations and activists with the mission of strengthening collective organising towards building a transformative movement to ensure that the internet and digital technologies enable social, gender and environmental justice for all people.</w:t>
      </w:r>
      <w:r>
        <w:rPr>
          <w:rStyle w:val="FootnoteCharacters"/>
          <w:rFonts w:eastAsia="Trebuchet MS" w:cs="Trebuchet MS" w:ascii="Trebuchet MS" w:hAnsi="Trebuchet MS"/>
          <w:b w:val="false"/>
          <w:bCs w:val="false"/>
          <w:position w:val="0"/>
          <w:sz w:val="22"/>
          <w:vertAlign w:val="baseline"/>
        </w:rPr>
        <w:t xml:space="preserve"> APC is comprised of 62 organisational members and 41 associates, as well as partners, representing 74 countries. </w:t>
      </w:r>
    </w:p>
    <w:p>
      <w:pPr>
        <w:pStyle w:val="Normal"/>
        <w:jc w:val="both"/>
        <w:rPr/>
      </w:pPr>
      <w:r>
        <w:rPr>
          <w:rStyle w:val="FootnoteCharacters"/>
          <w:rFonts w:eastAsia="Trebuchet MS" w:cs="Trebuchet MS" w:ascii="Trebuchet MS" w:hAnsi="Trebuchet MS"/>
          <w:b w:val="false"/>
          <w:bCs w:val="false"/>
          <w:position w:val="0"/>
          <w:sz w:val="22"/>
          <w:vertAlign w:val="baseline"/>
        </w:rPr>
        <w:t xml:space="preserve">For this submission, we reached out to our members and partners in order to collect responses and experiences from civil society organisations and individuals that advocate for the rights of people of diverse genders and sexualities. We received input from eight members that reflect the realities of eight countries: India, Paraguay, Uganda, Botswana, Rwanda, South Africa, Indonesia and </w:t>
      </w:r>
      <w:r>
        <w:rPr>
          <w:rFonts w:eastAsia="Trebuchet MS" w:cs="Trebuchet MS" w:ascii="Trebuchet MS" w:hAnsi="Trebuchet MS"/>
          <w:b w:val="false"/>
          <w:bCs w:val="false"/>
        </w:rPr>
        <w:t>Türkiye</w:t>
      </w:r>
      <w:r>
        <w:rPr>
          <w:rStyle w:val="FootnoteCharacters"/>
          <w:rFonts w:eastAsia="Trebuchet MS" w:cs="Trebuchet MS" w:ascii="Trebuchet MS" w:hAnsi="Trebuchet MS"/>
          <w:b w:val="false"/>
          <w:bCs w:val="false"/>
          <w:position w:val="0"/>
          <w:sz w:val="22"/>
          <w:vertAlign w:val="baseline"/>
        </w:rPr>
        <w:t>.</w:t>
      </w:r>
      <w:r>
        <w:rPr>
          <w:rStyle w:val="Ancladenotaalpie"/>
          <w:rFonts w:eastAsia="Trebuchet MS" w:cs="Trebuchet MS" w:ascii="Trebuchet MS" w:hAnsi="Trebuchet MS"/>
          <w:b w:val="false"/>
          <w:bCs w:val="false"/>
        </w:rPr>
        <w:footnoteReference w:id="3"/>
      </w:r>
    </w:p>
    <w:p>
      <w:pPr>
        <w:pStyle w:val="Normal"/>
        <w:jc w:val="both"/>
        <w:rPr/>
      </w:pPr>
      <w:r>
        <w:rPr>
          <w:rFonts w:eastAsia="Trebuchet MS" w:cs="Trebuchet MS" w:ascii="Trebuchet MS" w:hAnsi="Trebuchet MS"/>
          <w:b w:val="false"/>
          <w:bCs w:val="false"/>
        </w:rPr>
        <w:t>Overall, information shows that in each country there is a culturally sensitive nature of questions surrounding gender and sexuality.</w:t>
      </w:r>
      <w:r>
        <w:rPr>
          <w:rStyle w:val="Ancladenotaalpie"/>
          <w:rFonts w:eastAsia="Trebuchet MS" w:cs="Trebuchet MS" w:ascii="Trebuchet MS" w:hAnsi="Trebuchet MS"/>
          <w:b w:val="false"/>
          <w:bCs w:val="false"/>
        </w:rPr>
        <w:footnoteReference w:id="4"/>
      </w:r>
      <w:r>
        <w:rPr>
          <w:rStyle w:val="FootnoteCharacters"/>
          <w:rFonts w:eastAsia="Trebuchet MS" w:cs="Trebuchet MS" w:ascii="Trebuchet MS" w:hAnsi="Trebuchet MS"/>
          <w:b w:val="false"/>
          <w:bCs w:val="false"/>
          <w:position w:val="0"/>
          <w:sz w:val="22"/>
          <w:vertAlign w:val="baseline"/>
        </w:rPr>
        <w:t xml:space="preserve"> </w:t>
      </w:r>
      <w:r>
        <w:rPr>
          <w:rFonts w:eastAsia="Trebuchet MS" w:cs="Trebuchet MS" w:ascii="Trebuchet MS" w:hAnsi="Trebuchet MS"/>
          <w:b w:val="false"/>
          <w:bCs w:val="false"/>
        </w:rPr>
        <w:t>Spaces for freedom of expression and assembly, specially when there have been efforts to expand conversations around gender and sexuality, have been taken away by people and groups who act arbitrarily in the name of morality and religion.</w:t>
      </w:r>
      <w:r>
        <w:rPr>
          <w:rFonts w:eastAsia="Trebuchet MS" w:cs="Trebuchet MS" w:ascii="Trebuchet MS" w:hAnsi="Trebuchet MS"/>
          <w:b w:val="false"/>
          <w:bCs w:val="false"/>
          <w:u w:val="none"/>
        </w:rPr>
        <w:t xml:space="preserve"> As noted by the UN Special Rapporteur on freedom of expression, in several countries, laws that refer to the protection of public morals as a reason for criminalising content that is considered inappropriate, obscene or indecent have censured and/or censored relevant information related to gender and sexuality.</w:t>
      </w:r>
      <w:r>
        <w:rPr>
          <w:rStyle w:val="Ancladenotaalpie"/>
          <w:rFonts w:eastAsia="Trebuchet MS" w:cs="Trebuchet MS" w:ascii="Trebuchet MS" w:hAnsi="Trebuchet MS"/>
        </w:rPr>
        <w:footnoteReference w:id="5"/>
      </w:r>
      <w:r>
        <w:rPr>
          <w:rStyle w:val="FootnoteCharacters"/>
          <w:rFonts w:eastAsia="Trebuchet MS" w:cs="Trebuchet MS" w:ascii="Trebuchet MS" w:hAnsi="Trebuchet MS"/>
          <w:position w:val="0"/>
          <w:sz w:val="22"/>
          <w:vertAlign w:val="baseline"/>
        </w:rPr>
        <w:t xml:space="preserve"> This has limited the access to information on sexual orientation and/or gender identity. </w:t>
      </w:r>
    </w:p>
    <w:p>
      <w:pPr>
        <w:pStyle w:val="Normal"/>
        <w:pBdr/>
        <w:spacing w:lineRule="auto" w:line="276" w:before="0" w:after="0"/>
        <w:ind w:right="0" w:hanging="0"/>
        <w:jc w:val="both"/>
        <w:rPr/>
      </w:pPr>
      <w:r>
        <w:rPr>
          <w:rStyle w:val="FootnoteCharacters"/>
          <w:rFonts w:eastAsia="Trebuchet MS" w:cs="Trebuchet MS" w:ascii="Trebuchet MS" w:hAnsi="Trebuchet MS"/>
          <w:position w:val="0"/>
          <w:sz w:val="22"/>
          <w:vertAlign w:val="baseline"/>
        </w:rPr>
        <w:t>Moreover, violence affecting trans, non binary and gender diverse people is widespread through systemic, cultural, religious and political influence.</w:t>
      </w:r>
      <w:r>
        <w:rPr>
          <w:rStyle w:val="Ancladenotaalpie"/>
          <w:rFonts w:eastAsia="Trebuchet MS" w:cs="Trebuchet MS" w:ascii="Trebuchet MS" w:hAnsi="Trebuchet MS"/>
        </w:rPr>
        <w:footnoteReference w:id="6"/>
      </w:r>
      <w:r>
        <w:rPr>
          <w:rStyle w:val="FootnoteCharacters"/>
          <w:rFonts w:eastAsia="Trebuchet MS" w:cs="Trebuchet MS" w:ascii="Trebuchet MS" w:hAnsi="Trebuchet MS"/>
          <w:position w:val="0"/>
          <w:sz w:val="22"/>
          <w:vertAlign w:val="baseline"/>
        </w:rPr>
        <w:t xml:space="preserve"> In their contributions, our partners and members have documented how people of diverse genders and sexualities often face discrimination from health care professionals, being arrested and detained, sexual harassment and violence, online harassment, and being targeted by transphobic groups, to name only a few.</w:t>
      </w:r>
      <w:r>
        <w:rPr>
          <w:rStyle w:val="Ancladenotaalpie"/>
          <w:rFonts w:eastAsia="Trebuchet MS" w:cs="Trebuchet MS" w:ascii="Trebuchet MS" w:hAnsi="Trebuchet MS"/>
        </w:rPr>
        <w:footnoteReference w:id="7"/>
      </w:r>
      <w:r>
        <w:rPr>
          <w:rStyle w:val="FootnoteCharacters"/>
          <w:rFonts w:eastAsia="Trebuchet MS" w:cs="Trebuchet MS" w:ascii="Trebuchet MS" w:hAnsi="Trebuchet MS"/>
          <w:position w:val="0"/>
          <w:sz w:val="22"/>
          <w:vertAlign w:val="baseline"/>
        </w:rPr>
        <w:t xml:space="preserve"> </w:t>
      </w:r>
    </w:p>
    <w:p>
      <w:pPr>
        <w:pStyle w:val="Normal"/>
        <w:pBdr/>
        <w:spacing w:lineRule="auto" w:line="276" w:before="0" w:after="0"/>
        <w:ind w:right="0" w:hanging="0"/>
        <w:jc w:val="both"/>
        <w:rPr>
          <w:rFonts w:ascii="Trebuchet MS" w:hAnsi="Trebuchet MS" w:cs="Trebuchet MS"/>
          <w:color w:val="000000"/>
          <w:sz w:val="24"/>
          <w:szCs w:val="24"/>
        </w:rPr>
      </w:pPr>
      <w:r>
        <w:rPr>
          <w:rFonts w:cs="Trebuchet MS" w:ascii="Trebuchet MS" w:hAnsi="Trebuchet MS"/>
          <w:color w:val="000000"/>
          <w:sz w:val="24"/>
          <w:szCs w:val="24"/>
        </w:rPr>
      </w:r>
    </w:p>
    <w:p>
      <w:pPr>
        <w:pStyle w:val="Normal"/>
        <w:jc w:val="both"/>
        <w:rPr/>
      </w:pPr>
      <w:r>
        <w:rPr>
          <w:rFonts w:eastAsia="Trebuchet MS" w:cs="Trebuchet MS" w:ascii="Trebuchet MS" w:hAnsi="Trebuchet MS"/>
          <w:position w:val="0"/>
          <w:sz w:val="22"/>
          <w:vertAlign w:val="baseline"/>
        </w:rPr>
        <w:t>Finally, what is most worrying in terms of freedom of expression in each of these countries is that the majority of LGBTQIA+ persons, specially trans people, cannot safely express themselves entirely, nor express their gender identity due to the alarming and worrying homophobia and transpho</w:t>
      </w:r>
      <w:r>
        <w:rPr>
          <w:rFonts w:eastAsia="Trebuchet MS" w:cs="Trebuchet MS" w:ascii="Trebuchet MS" w:hAnsi="Trebuchet MS"/>
          <w:position w:val="0"/>
          <w:sz w:val="22"/>
          <w:u w:val="none"/>
          <w:vertAlign w:val="baseline"/>
        </w:rPr>
        <w:t>bia. For trans persons, t</w:t>
      </w:r>
      <w:r>
        <w:rPr>
          <w:rFonts w:eastAsia="Trebuchet MS" w:cs="Trebuchet MS" w:ascii="Trebuchet MS" w:hAnsi="Trebuchet MS"/>
          <w:u w:val="none"/>
        </w:rPr>
        <w:t>ransphobic harassment and violence manifest in a number of ways, which  can range from verbal to physical abuse, sexual violence, and even murder.</w:t>
      </w:r>
      <w:r>
        <w:rPr>
          <w:rStyle w:val="Ancladenotaalpie"/>
          <w:rFonts w:eastAsia="Trebuchet MS" w:cs="Trebuchet MS" w:ascii="Trebuchet MS" w:hAnsi="Trebuchet MS"/>
          <w:u w:val="none"/>
        </w:rPr>
        <w:footnoteReference w:id="8"/>
      </w:r>
      <w:r>
        <w:rPr>
          <w:rFonts w:eastAsia="Trebuchet MS" w:cs="Trebuchet MS" w:ascii="Trebuchet MS" w:hAnsi="Trebuchet MS"/>
          <w:u w:val="none"/>
        </w:rPr>
        <w:t xml:space="preserve"> Transgender women, in particular, experience the highest rates of violence.</w:t>
      </w:r>
      <w:r>
        <w:rPr>
          <w:rStyle w:val="Ancladenotaalpie"/>
          <w:rFonts w:cs="Trebuchet MS" w:ascii="Trebuchet MS" w:hAnsi="Trebuchet MS"/>
          <w:u w:val="none"/>
        </w:rPr>
        <w:footnoteReference w:id="9"/>
      </w:r>
    </w:p>
    <w:p>
      <w:pPr>
        <w:pStyle w:val="Normal"/>
        <w:jc w:val="both"/>
        <w:rPr/>
      </w:pPr>
      <w:r>
        <w:rPr>
          <w:rFonts w:eastAsia="Trebuchet MS" w:cs="Trebuchet MS" w:ascii="Trebuchet MS" w:hAnsi="Trebuchet MS"/>
          <w:b/>
          <w:bCs/>
          <w:sz w:val="28"/>
          <w:szCs w:val="28"/>
        </w:rPr>
        <w:t>Country by country overview</w:t>
      </w:r>
    </w:p>
    <w:tbl>
      <w:tblPr>
        <w:tblStyle w:val="1491"/>
        <w:tblW w:w="9355" w:type="dxa"/>
        <w:jc w:val="left"/>
        <w:tblInd w:w="0" w:type="dxa"/>
        <w:tblCellMar>
          <w:top w:w="0" w:type="dxa"/>
          <w:left w:w="108" w:type="dxa"/>
          <w:bottom w:w="0" w:type="dxa"/>
          <w:right w:w="108" w:type="dxa"/>
        </w:tblCellMar>
        <w:tblLook w:val="04a0" w:noHBand="0" w:noVBand="1" w:firstColumn="1" w:lastRow="0" w:lastColumn="0" w:firstRow="1"/>
      </w:tblPr>
      <w:tblGrid>
        <w:gridCol w:w="9355"/>
      </w:tblGrid>
      <w:tr>
        <w:trPr/>
        <w:tc>
          <w:tcPr>
            <w:tcW w:w="9355" w:type="dxa"/>
            <w:tcBorders/>
          </w:tcPr>
          <w:p>
            <w:pPr>
              <w:pStyle w:val="Normal"/>
              <w:spacing w:lineRule="auto" w:line="240" w:before="0" w:after="0"/>
              <w:jc w:val="both"/>
              <w:rPr/>
            </w:pPr>
            <w:r>
              <w:rPr>
                <w:rFonts w:eastAsia="Trebuchet MS" w:cs="Trebuchet MS" w:ascii="Trebuchet MS" w:hAnsi="Trebuchet MS"/>
                <w:b/>
                <w:bCs/>
                <w:sz w:val="24"/>
                <w:szCs w:val="24"/>
              </w:rPr>
              <w:t>India</w:t>
            </w:r>
          </w:p>
          <w:p>
            <w:pPr>
              <w:pStyle w:val="Normal"/>
              <w:spacing w:lineRule="auto" w:line="240" w:before="0" w:after="0"/>
              <w:jc w:val="both"/>
              <w:rPr>
                <w:rFonts w:ascii="Trebuchet MS" w:hAnsi="Trebuchet MS" w:eastAsia="Trebuchet MS" w:cs="Trebuchet MS"/>
                <w:b w:val="false"/>
                <w:b w:val="false"/>
                <w:bCs w:val="false"/>
              </w:rPr>
            </w:pPr>
            <w:r>
              <w:rPr>
                <w:rFonts w:eastAsia="Trebuchet MS" w:cs="Trebuchet MS" w:ascii="Trebuchet MS" w:hAnsi="Trebuchet MS"/>
                <w:b w:val="false"/>
                <w:bCs w:val="false"/>
              </w:rPr>
            </w:r>
          </w:p>
          <w:p>
            <w:pPr>
              <w:pStyle w:val="Normal"/>
              <w:spacing w:lineRule="auto" w:line="240" w:before="0" w:after="0"/>
              <w:jc w:val="both"/>
              <w:rPr/>
            </w:pPr>
            <w:r>
              <w:rPr>
                <w:rFonts w:eastAsia="Trebuchet MS" w:cs="Trebuchet MS" w:ascii="Trebuchet MS" w:hAnsi="Trebuchet MS"/>
                <w:b w:val="false"/>
                <w:bCs w:val="false"/>
                <w:sz w:val="22"/>
                <w:szCs w:val="22"/>
              </w:rPr>
              <w:t>India’s Information Technology Act, 2000 (IT Act) is concerned with questions of obscenity, morality, and sexuality at the intersection of criminal law and digital rights. Section 67 of the Act criminalises the publication or transmission of obscene material in electronic form.</w:t>
            </w:r>
            <w:r>
              <w:rPr>
                <w:rStyle w:val="Ancladenotaalpie"/>
                <w:rFonts w:eastAsia="Trebuchet MS" w:cs="Trebuchet MS" w:ascii="Trebuchet MS" w:hAnsi="Trebuchet MS"/>
                <w:b w:val="false"/>
                <w:bCs w:val="false"/>
                <w:sz w:val="22"/>
                <w:szCs w:val="22"/>
              </w:rPr>
              <w:footnoteReference w:id="10"/>
            </w:r>
            <w:r>
              <w:rPr>
                <w:rFonts w:eastAsia="Trebuchet MS" w:cs="Trebuchet MS" w:ascii="Trebuchet MS" w:hAnsi="Trebuchet MS"/>
                <w:b w:val="false"/>
                <w:bCs w:val="false"/>
                <w:sz w:val="22"/>
                <w:szCs w:val="22"/>
              </w:rPr>
              <w:t xml:space="preserve"> Research has demonstrated that section 67 is being used as a catch-all offence along with other provisions of the Indian Penal Code (IPC), covering cases that often have very little to do with obscenity but instead relate to, for example, political speech, criminal intimidation, and breach of peace.</w:t>
            </w:r>
            <w:r>
              <w:rPr>
                <w:rStyle w:val="Ancladenotaalpie"/>
                <w:rFonts w:eastAsia="Trebuchet MS" w:cs="Trebuchet MS" w:ascii="Trebuchet MS" w:hAnsi="Trebuchet MS"/>
                <w:b w:val="false"/>
                <w:bCs w:val="false"/>
                <w:sz w:val="22"/>
                <w:szCs w:val="22"/>
              </w:rPr>
              <w:footnoteReference w:id="11"/>
            </w:r>
          </w:p>
          <w:p>
            <w:pPr>
              <w:pStyle w:val="Normal"/>
              <w:spacing w:lineRule="auto" w:line="240" w:before="0" w:after="0"/>
              <w:jc w:val="both"/>
              <w:rPr>
                <w:rFonts w:ascii="Trebuchet MS" w:hAnsi="Trebuchet MS" w:eastAsia="Trebuchet MS" w:cs="Trebuchet MS"/>
                <w:b w:val="false"/>
                <w:b w:val="false"/>
                <w:bCs w:val="false"/>
                <w:sz w:val="22"/>
                <w:szCs w:val="22"/>
              </w:rPr>
            </w:pPr>
            <w:r>
              <w:rPr>
                <w:rFonts w:eastAsia="Trebuchet MS" w:cs="Trebuchet MS" w:ascii="Trebuchet MS" w:hAnsi="Trebuchet MS"/>
                <w:b w:val="false"/>
                <w:bCs w:val="false"/>
                <w:sz w:val="22"/>
                <w:szCs w:val="22"/>
              </w:rPr>
            </w:r>
          </w:p>
          <w:p>
            <w:pPr>
              <w:pStyle w:val="Normal"/>
              <w:spacing w:lineRule="auto" w:line="240" w:before="0" w:after="0"/>
              <w:jc w:val="both"/>
              <w:rPr/>
            </w:pPr>
            <w:r>
              <w:rPr>
                <w:rFonts w:eastAsia="Trebuchet MS" w:cs="Trebuchet MS" w:ascii="Trebuchet MS" w:hAnsi="Trebuchet MS"/>
                <w:b w:val="false"/>
                <w:bCs w:val="false"/>
                <w:sz w:val="22"/>
                <w:szCs w:val="22"/>
              </w:rPr>
              <w:t>Additionally,</w:t>
            </w:r>
            <w:r>
              <w:rPr>
                <w:rFonts w:eastAsia="Trebuchet MS" w:cs="Trebuchet MS" w:ascii="Trebuchet MS" w:hAnsi="Trebuchet MS"/>
                <w:color w:val="000000"/>
                <w:sz w:val="22"/>
                <w:szCs w:val="22"/>
              </w:rPr>
              <w:t xml:space="preserve"> existing legislation on sexual violence, harassment, criminal intimidation and other forms of online violence are inadequate and often people from diverse genders and sexualities are hesitant to engage in the lengthy and unreliable process.</w:t>
            </w:r>
            <w:r>
              <w:rPr>
                <w:rStyle w:val="Ancladenotaalpie"/>
                <w:rFonts w:eastAsia="Trebuchet MS" w:cs="Trebuchet MS" w:ascii="Trebuchet MS" w:hAnsi="Trebuchet MS"/>
                <w:color w:val="000000"/>
                <w:sz w:val="22"/>
                <w:szCs w:val="22"/>
              </w:rPr>
              <w:footnoteReference w:id="12"/>
            </w:r>
            <w:r>
              <w:rPr>
                <w:rStyle w:val="FootnoteCharacters"/>
                <w:rFonts w:eastAsia="Trebuchet MS" w:cs="Trebuchet MS" w:ascii="Trebuchet MS" w:hAnsi="Trebuchet MS"/>
                <w:color w:val="000000"/>
                <w:position w:val="0"/>
                <w:sz w:val="22"/>
                <w:sz w:val="22"/>
                <w:szCs w:val="22"/>
                <w:vertAlign w:val="baseline"/>
              </w:rPr>
              <w:t xml:space="preserve"> </w:t>
            </w:r>
            <w:r>
              <w:rPr>
                <w:rFonts w:eastAsia="Trebuchet MS" w:cs="Trebuchet MS" w:ascii="Trebuchet MS" w:hAnsi="Trebuchet MS"/>
                <w:color w:val="000000"/>
                <w:sz w:val="22"/>
                <w:szCs w:val="22"/>
              </w:rPr>
              <w:t>While there are some sections in the Indian Penal Code and the Information Technology Act, 2000 that the police and judiciary use to address the different forms of abuse, they are often ad hoc or disconnected. They are either focused on offline gender-based violence or on online fraud, and are not framed within the context of gender and violation of integrity and personal autonomy.</w:t>
            </w:r>
            <w:r>
              <w:rPr>
                <w:rStyle w:val="Ancladenotaalpie"/>
                <w:rFonts w:eastAsia="Trebuchet MS" w:cs="Trebuchet MS" w:ascii="Trebuchet MS" w:hAnsi="Trebuchet MS"/>
                <w:color w:val="000000"/>
                <w:sz w:val="22"/>
                <w:szCs w:val="22"/>
              </w:rPr>
              <w:footnoteReference w:id="13"/>
            </w:r>
            <w:r>
              <w:rPr>
                <w:rStyle w:val="FootnoteCharacters"/>
                <w:rFonts w:eastAsia="Trebuchet MS" w:cs="Trebuchet MS" w:ascii="Trebuchet MS" w:hAnsi="Trebuchet MS"/>
                <w:color w:val="000000"/>
                <w:position w:val="0"/>
                <w:sz w:val="22"/>
                <w:sz w:val="22"/>
                <w:szCs w:val="22"/>
                <w:vertAlign w:val="baseline"/>
              </w:rPr>
              <w:t xml:space="preserve"> </w:t>
            </w:r>
            <w:r>
              <w:rPr>
                <w:rFonts w:eastAsia="Trebuchet MS" w:cs="Trebuchet MS" w:ascii="Trebuchet MS" w:hAnsi="Trebuchet MS"/>
                <w:color w:val="000000"/>
                <w:sz w:val="22"/>
                <w:szCs w:val="22"/>
              </w:rPr>
              <w:t>Furthermore, protectionist legal approaches to safety reduce minorities, specifically women, into objects of state control and perpetuate false notions of the ideal or “unsexed” Indian woman, and thereby undermine their digital rights.</w:t>
            </w:r>
          </w:p>
          <w:p>
            <w:pPr>
              <w:pStyle w:val="Normal"/>
              <w:spacing w:lineRule="auto" w:line="240" w:before="0" w:after="0"/>
              <w:jc w:val="both"/>
              <w:rPr>
                <w:rFonts w:ascii="Trebuchet MS" w:hAnsi="Trebuchet MS" w:eastAsia="Trebuchet MS" w:cs="Trebuchet MS"/>
                <w:b w:val="false"/>
                <w:b w:val="false"/>
                <w:bCs w:val="false"/>
                <w:sz w:val="22"/>
                <w:szCs w:val="22"/>
              </w:rPr>
            </w:pPr>
            <w:r>
              <w:rPr>
                <w:rFonts w:eastAsia="Trebuchet MS" w:cs="Trebuchet MS" w:ascii="Trebuchet MS" w:hAnsi="Trebuchet MS"/>
                <w:b w:val="false"/>
                <w:bCs w:val="false"/>
                <w:sz w:val="22"/>
                <w:szCs w:val="22"/>
              </w:rPr>
            </w:r>
          </w:p>
          <w:p>
            <w:pPr>
              <w:pStyle w:val="Normal"/>
              <w:spacing w:lineRule="auto" w:line="240" w:before="0" w:after="0"/>
              <w:jc w:val="both"/>
              <w:rPr/>
            </w:pPr>
            <w:r>
              <w:rPr>
                <w:rFonts w:eastAsia="Trebuchet MS" w:cs="Trebuchet MS" w:ascii="Trebuchet MS" w:hAnsi="Trebuchet MS"/>
                <w:b w:val="false"/>
                <w:bCs w:val="false"/>
                <w:sz w:val="22"/>
                <w:szCs w:val="22"/>
                <w:u w:val="none"/>
              </w:rPr>
              <w:t>Moreover, the Transgender Persons (Protection of Rights) Act 2019 was enacted by the Government of India in December 2019 to recognise and protect the rights of transgender persons. This Act has several problematic provisions in the statute, including the demand for surgical intervention for transgender persons to change their gender on identification documents which not only limits the possibility of transgender persons to access public services and to obtain official recognition, but clearly limits their right to freedom of expression and self-determination by failing to recognise their gender identity.</w:t>
            </w:r>
            <w:r>
              <w:rPr>
                <w:rStyle w:val="Ancladenotaalpie"/>
                <w:rFonts w:eastAsia="Trebuchet MS" w:cs="Trebuchet MS" w:ascii="Trebuchet MS" w:hAnsi="Trebuchet MS"/>
                <w:b w:val="false"/>
                <w:bCs w:val="false"/>
                <w:sz w:val="22"/>
                <w:szCs w:val="22"/>
                <w:u w:val="none"/>
              </w:rPr>
              <w:footnoteReference w:id="14"/>
            </w:r>
            <w:r>
              <w:rPr>
                <w:rStyle w:val="FootnoteCharacters"/>
                <w:rFonts w:eastAsia="Trebuchet MS" w:cs="Trebuchet MS" w:ascii="Trebuchet MS" w:hAnsi="Trebuchet MS"/>
                <w:b w:val="false"/>
                <w:bCs w:val="false"/>
                <w:position w:val="0"/>
                <w:sz w:val="22"/>
                <w:sz w:val="22"/>
                <w:szCs w:val="22"/>
                <w:u w:val="none"/>
                <w:vertAlign w:val="baseline"/>
              </w:rPr>
              <w:t xml:space="preserve"> </w:t>
            </w:r>
            <w:r>
              <w:rPr>
                <w:rFonts w:eastAsia="Trebuchet MS" w:cs="Trebuchet MS" w:ascii="Trebuchet MS" w:hAnsi="Trebuchet MS"/>
                <w:color w:val="000000"/>
                <w:sz w:val="22"/>
                <w:szCs w:val="22"/>
              </w:rPr>
              <w:t>Legal resources for gender and sexual minorities are limited for several reasons including shame and stigma, intimidation and fear of punitive actions, challenges in registration of complaint, and lack of sufficient psychosocial support to fight a case in court.</w:t>
            </w:r>
            <w:r>
              <w:rPr>
                <w:rStyle w:val="Ancladenotaalpie"/>
                <w:rFonts w:eastAsia="Trebuchet MS" w:cs="Trebuchet MS" w:ascii="Trebuchet MS" w:hAnsi="Trebuchet MS"/>
                <w:color w:val="000000"/>
                <w:sz w:val="22"/>
                <w:szCs w:val="22"/>
              </w:rPr>
              <w:footnoteReference w:id="15"/>
            </w:r>
          </w:p>
        </w:tc>
      </w:tr>
    </w:tbl>
    <w:p>
      <w:pPr>
        <w:pStyle w:val="Normal"/>
        <w:jc w:val="both"/>
        <w:rPr>
          <w:rFonts w:ascii="Trebuchet MS" w:hAnsi="Trebuchet MS" w:eastAsia="Trebuchet MS" w:cs="Trebuchet MS"/>
          <w:b w:val="false"/>
          <w:b w:val="false"/>
          <w:bCs w:val="false"/>
        </w:rPr>
      </w:pPr>
      <w:r>
        <w:rPr>
          <w:rFonts w:eastAsia="Trebuchet MS" w:cs="Trebuchet MS" w:ascii="Trebuchet MS" w:hAnsi="Trebuchet MS"/>
          <w:b w:val="false"/>
          <w:bCs w:val="false"/>
        </w:rPr>
      </w:r>
    </w:p>
    <w:tbl>
      <w:tblPr>
        <w:tblStyle w:val="1491"/>
        <w:tblW w:w="9355" w:type="dxa"/>
        <w:jc w:val="left"/>
        <w:tblInd w:w="0" w:type="dxa"/>
        <w:tblCellMar>
          <w:top w:w="0" w:type="dxa"/>
          <w:left w:w="108" w:type="dxa"/>
          <w:bottom w:w="0" w:type="dxa"/>
          <w:right w:w="108" w:type="dxa"/>
        </w:tblCellMar>
        <w:tblLook w:val="04a0" w:noHBand="0" w:noVBand="1" w:firstColumn="1" w:lastRow="0" w:lastColumn="0" w:firstRow="1"/>
      </w:tblPr>
      <w:tblGrid>
        <w:gridCol w:w="9355"/>
      </w:tblGrid>
      <w:tr>
        <w:trPr/>
        <w:tc>
          <w:tcPr>
            <w:tcW w:w="9355" w:type="dxa"/>
            <w:tcBorders/>
          </w:tcPr>
          <w:p>
            <w:pPr>
              <w:pStyle w:val="Normal"/>
              <w:spacing w:lineRule="auto" w:line="240" w:before="0" w:after="0"/>
              <w:jc w:val="both"/>
              <w:rPr/>
            </w:pPr>
            <w:r>
              <w:rPr>
                <w:rFonts w:eastAsia="Trebuchet MS" w:cs="Trebuchet MS" w:ascii="Trebuchet MS" w:hAnsi="Trebuchet MS"/>
                <w:b/>
                <w:bCs/>
                <w:sz w:val="24"/>
                <w:szCs w:val="24"/>
              </w:rPr>
              <w:t>Paraguay</w:t>
            </w:r>
          </w:p>
          <w:p>
            <w:pPr>
              <w:pStyle w:val="Normal"/>
              <w:spacing w:lineRule="auto" w:line="240" w:before="0" w:after="0"/>
              <w:jc w:val="both"/>
              <w:rPr>
                <w:rFonts w:ascii="Trebuchet MS" w:hAnsi="Trebuchet MS" w:eastAsia="Trebuchet MS" w:cs="Trebuchet MS"/>
                <w:b w:val="false"/>
                <w:b w:val="false"/>
                <w:bCs w:val="false"/>
                <w:sz w:val="22"/>
                <w:szCs w:val="22"/>
              </w:rPr>
            </w:pPr>
            <w:r>
              <w:rPr>
                <w:rFonts w:eastAsia="Trebuchet MS" w:cs="Trebuchet MS" w:ascii="Trebuchet MS" w:hAnsi="Trebuchet MS"/>
                <w:b w:val="false"/>
                <w:bCs w:val="false"/>
                <w:sz w:val="22"/>
                <w:szCs w:val="22"/>
              </w:rPr>
            </w:r>
          </w:p>
          <w:p>
            <w:pPr>
              <w:pStyle w:val="Normal"/>
              <w:spacing w:lineRule="auto" w:line="240" w:before="0" w:after="0"/>
              <w:jc w:val="both"/>
              <w:rPr/>
            </w:pPr>
            <w:r>
              <w:rPr>
                <w:rFonts w:eastAsia="Trebuchet MS" w:cs="Trebuchet MS" w:ascii="Trebuchet MS" w:hAnsi="Trebuchet MS"/>
                <w:b w:val="false"/>
                <w:bCs w:val="false"/>
                <w:sz w:val="22"/>
                <w:szCs w:val="22"/>
              </w:rPr>
              <w:t xml:space="preserve">In 2023, our partner </w:t>
            </w:r>
            <w:hyperlink r:id="rId4" w:tgtFrame="https://www.tedic.org/">
              <w:r>
                <w:rPr>
                  <w:rStyle w:val="EnlacedeInternet"/>
                  <w:rFonts w:eastAsia="Trebuchet MS" w:cs="Trebuchet MS" w:ascii="Trebuchet MS" w:hAnsi="Trebuchet MS"/>
                  <w:b w:val="false"/>
                  <w:bCs w:val="false"/>
                  <w:sz w:val="22"/>
                  <w:szCs w:val="22"/>
                </w:rPr>
                <w:t>TEDIC</w:t>
              </w:r>
            </w:hyperlink>
            <w:r>
              <w:rPr>
                <w:rFonts w:eastAsia="Trebuchet MS" w:cs="Trebuchet MS" w:ascii="Trebuchet MS" w:hAnsi="Trebuchet MS"/>
                <w:b w:val="false"/>
                <w:bCs w:val="false"/>
                <w:sz w:val="22"/>
                <w:szCs w:val="22"/>
              </w:rPr>
              <w:t xml:space="preserve"> published a report called, </w:t>
            </w:r>
            <w:hyperlink r:id="rId5" w:tgtFrame="https://www.tedic.org/wp-content/uploads/2023/12/LIBERTAD-Digitales___Pdf-1.pdf">
              <w:r>
                <w:rPr>
                  <w:rStyle w:val="EnlacedeInternet"/>
                  <w:rFonts w:eastAsia="Trebuchet MS" w:cs="Trebuchet MS" w:ascii="Trebuchet MS" w:hAnsi="Trebuchet MS"/>
                  <w:b w:val="false"/>
                  <w:bCs w:val="false"/>
                  <w:sz w:val="22"/>
                  <w:szCs w:val="22"/>
                </w:rPr>
                <w:t>“Debts and challenges for the full enjoyment of human rights in the digital environment”</w:t>
              </w:r>
            </w:hyperlink>
            <w:r>
              <w:rPr>
                <w:rFonts w:eastAsia="Trebuchet MS" w:cs="Trebuchet MS" w:ascii="Trebuchet MS" w:hAnsi="Trebuchet MS"/>
                <w:b w:val="false"/>
                <w:bCs w:val="false"/>
                <w:sz w:val="22"/>
                <w:szCs w:val="22"/>
              </w:rPr>
              <w:t>. According to this report, lack of personal data protection laws and effective protection for victims of online gender violence are just some of the major problems that need to be mitigated.</w:t>
            </w:r>
            <w:r>
              <w:rPr>
                <w:rStyle w:val="Ancladenotaalpie"/>
                <w:rFonts w:eastAsia="Trebuchet MS" w:cs="Trebuchet MS" w:ascii="Trebuchet MS" w:hAnsi="Trebuchet MS"/>
                <w:b w:val="false"/>
                <w:bCs w:val="false"/>
                <w:sz w:val="22"/>
                <w:szCs w:val="22"/>
              </w:rPr>
              <w:footnoteReference w:id="16"/>
            </w:r>
          </w:p>
          <w:p>
            <w:pPr>
              <w:pStyle w:val="Normal"/>
              <w:spacing w:lineRule="auto" w:line="240" w:before="0" w:after="0"/>
              <w:jc w:val="both"/>
              <w:rPr>
                <w:rFonts w:ascii="Trebuchet MS" w:hAnsi="Trebuchet MS" w:eastAsia="Trebuchet MS" w:cs="Trebuchet MS"/>
                <w:b w:val="false"/>
                <w:b w:val="false"/>
                <w:bCs w:val="false"/>
                <w:sz w:val="22"/>
                <w:szCs w:val="22"/>
              </w:rPr>
            </w:pPr>
            <w:r>
              <w:rPr>
                <w:rFonts w:eastAsia="Trebuchet MS" w:cs="Trebuchet MS" w:ascii="Trebuchet MS" w:hAnsi="Trebuchet MS"/>
                <w:b w:val="false"/>
                <w:bCs w:val="false"/>
                <w:sz w:val="22"/>
                <w:szCs w:val="22"/>
              </w:rPr>
            </w:r>
          </w:p>
          <w:p>
            <w:pPr>
              <w:pStyle w:val="Normal"/>
              <w:spacing w:lineRule="auto" w:line="240" w:before="0" w:after="0"/>
              <w:jc w:val="both"/>
              <w:rPr/>
            </w:pPr>
            <w:r>
              <w:rPr>
                <w:rFonts w:eastAsia="Trebuchet MS" w:cs="Trebuchet MS" w:ascii="Trebuchet MS" w:hAnsi="Trebuchet MS"/>
                <w:b w:val="false"/>
                <w:bCs w:val="false"/>
                <w:sz w:val="22"/>
                <w:szCs w:val="22"/>
              </w:rPr>
              <w:t>There is still no data protection law at the national level, although negotiations are taking place around it. Without a data protection law, all personal information and its indiscriminate treatment presents severe risks. Data can be used to profile and harm as it has been done in the past, placing people of diverse genders and sexualities in danger.</w:t>
            </w:r>
            <w:r>
              <w:rPr>
                <w:rStyle w:val="Ancladenotaalpie"/>
                <w:rFonts w:eastAsia="Trebuchet MS" w:cs="Trebuchet MS" w:ascii="Trebuchet MS" w:hAnsi="Trebuchet MS"/>
                <w:b w:val="false"/>
                <w:bCs w:val="false"/>
                <w:sz w:val="22"/>
                <w:szCs w:val="22"/>
              </w:rPr>
              <w:footnoteReference w:id="17"/>
            </w:r>
          </w:p>
          <w:p>
            <w:pPr>
              <w:pStyle w:val="Normal"/>
              <w:spacing w:lineRule="auto" w:line="240" w:before="0" w:after="0"/>
              <w:jc w:val="both"/>
              <w:rPr>
                <w:rFonts w:ascii="Trebuchet MS" w:hAnsi="Trebuchet MS" w:eastAsia="Trebuchet MS" w:cs="Trebuchet MS"/>
                <w:b w:val="false"/>
                <w:b w:val="false"/>
                <w:bCs w:val="false"/>
                <w:sz w:val="22"/>
                <w:szCs w:val="22"/>
              </w:rPr>
            </w:pPr>
            <w:r>
              <w:rPr>
                <w:rFonts w:eastAsia="Trebuchet MS" w:cs="Trebuchet MS" w:ascii="Trebuchet MS" w:hAnsi="Trebuchet MS"/>
                <w:b w:val="false"/>
                <w:bCs w:val="false"/>
                <w:sz w:val="22"/>
                <w:szCs w:val="22"/>
              </w:rPr>
            </w:r>
          </w:p>
          <w:p>
            <w:pPr>
              <w:pStyle w:val="Normal"/>
              <w:spacing w:lineRule="auto" w:line="240" w:before="0" w:after="0"/>
              <w:jc w:val="both"/>
              <w:rPr/>
            </w:pPr>
            <w:r>
              <w:rPr>
                <w:rFonts w:eastAsia="Trebuchet MS" w:cs="Trebuchet MS" w:ascii="Trebuchet MS" w:hAnsi="Trebuchet MS"/>
                <w:b w:val="false"/>
                <w:bCs w:val="false"/>
                <w:sz w:val="22"/>
                <w:szCs w:val="22"/>
              </w:rPr>
              <w:t>Moreover, Paraguay’s legislative proposal also known as Pyrawebs, seeks to oblige internet providers to store the browsing meta-data of all people for 6 months to prosecute punishable acts such as child pornography and other computer crimes.TEDIC shares that it is essential to recognize that data retention constitutes a measure that limits and impacts the rights to privacy and freedom of expression. Traffic data retention is a measure that involves the collection and storage of information, such as phone numbers, call durations, locations, and IP addresses. Despite its use in fighting crime, this practice raises significant concerns regarding invasion of privacy and restriction of freedom of expression, especially for vulnerable communities like women and gender and sexually diverse individuals that are often under increased government and cultural scrutiny.</w:t>
            </w:r>
            <w:r>
              <w:rPr>
                <w:rStyle w:val="Ancladenotaalpie"/>
                <w:rFonts w:eastAsia="Trebuchet MS" w:cs="Trebuchet MS" w:ascii="Trebuchet MS" w:hAnsi="Trebuchet MS"/>
                <w:b w:val="false"/>
                <w:bCs w:val="false"/>
                <w:sz w:val="22"/>
                <w:szCs w:val="22"/>
              </w:rPr>
              <w:footnoteReference w:id="18"/>
            </w:r>
          </w:p>
          <w:p>
            <w:pPr>
              <w:pStyle w:val="Normal"/>
              <w:spacing w:lineRule="auto" w:line="240" w:before="0" w:after="0"/>
              <w:jc w:val="both"/>
              <w:rPr>
                <w:rFonts w:ascii="Trebuchet MS" w:hAnsi="Trebuchet MS" w:eastAsia="Trebuchet MS" w:cs="Trebuchet MS"/>
                <w:b w:val="false"/>
                <w:b w:val="false"/>
                <w:bCs w:val="false"/>
                <w:sz w:val="22"/>
                <w:szCs w:val="22"/>
              </w:rPr>
            </w:pPr>
            <w:r>
              <w:rPr>
                <w:rFonts w:eastAsia="Trebuchet MS" w:cs="Trebuchet MS" w:ascii="Trebuchet MS" w:hAnsi="Trebuchet MS"/>
                <w:b w:val="false"/>
                <w:bCs w:val="false"/>
                <w:sz w:val="22"/>
                <w:szCs w:val="22"/>
              </w:rPr>
            </w:r>
          </w:p>
          <w:p>
            <w:pPr>
              <w:pStyle w:val="Normal"/>
              <w:spacing w:lineRule="auto" w:line="240" w:before="0" w:after="0"/>
              <w:jc w:val="both"/>
              <w:rPr/>
            </w:pPr>
            <w:r>
              <w:rPr>
                <w:rFonts w:eastAsia="Trebuchet MS" w:cs="Trebuchet MS" w:ascii="Trebuchet MS" w:hAnsi="Trebuchet MS"/>
                <w:b w:val="false"/>
                <w:bCs w:val="false"/>
                <w:sz w:val="22"/>
                <w:szCs w:val="22"/>
              </w:rPr>
              <w:t>Additionally, the legislative proposal of national registry of spectators, will make mandatory the registration of participants that attend events of more than 2,500 people. The registration will include participants’ full names, IDs, address and digital photography. This initiative can represent a huge threat to participants’ privacy, specially with a lack of a data protection law. In case of data breaches, the risk of misusing information to cause harm is high.</w:t>
            </w:r>
          </w:p>
          <w:p>
            <w:pPr>
              <w:pStyle w:val="Normal"/>
              <w:spacing w:lineRule="auto" w:line="240" w:before="0" w:after="0"/>
              <w:jc w:val="both"/>
              <w:rPr>
                <w:rFonts w:ascii="Trebuchet MS" w:hAnsi="Trebuchet MS" w:eastAsia="Trebuchet MS" w:cs="Trebuchet MS"/>
                <w:b w:val="false"/>
                <w:b w:val="false"/>
                <w:bCs w:val="false"/>
                <w:sz w:val="22"/>
                <w:szCs w:val="22"/>
              </w:rPr>
            </w:pPr>
            <w:r>
              <w:rPr>
                <w:rFonts w:eastAsia="Trebuchet MS" w:cs="Trebuchet MS" w:ascii="Trebuchet MS" w:hAnsi="Trebuchet MS"/>
                <w:b w:val="false"/>
                <w:bCs w:val="false"/>
                <w:sz w:val="22"/>
                <w:szCs w:val="22"/>
              </w:rPr>
            </w:r>
          </w:p>
          <w:p>
            <w:pPr>
              <w:pStyle w:val="Normal"/>
              <w:spacing w:lineRule="auto" w:line="240" w:before="0" w:after="0"/>
              <w:jc w:val="both"/>
              <w:rPr/>
            </w:pPr>
            <w:r>
              <w:rPr>
                <w:rFonts w:eastAsia="Trebuchet MS" w:cs="Trebuchet MS" w:ascii="Trebuchet MS" w:hAnsi="Trebuchet MS"/>
                <w:b w:val="false"/>
                <w:bCs w:val="false"/>
                <w:sz w:val="22"/>
                <w:szCs w:val="22"/>
              </w:rPr>
              <w:t>Furthermore, a bill that seeks to place electronic ankle bracelets on victims of domestic violence, which is mostly gender based violence, may have undesirable effects from a privacy and personal data protection perspective, putting them at risk of being revictimised.</w:t>
            </w:r>
            <w:r>
              <w:rPr>
                <w:rStyle w:val="Ancladenotaalpie"/>
                <w:rFonts w:eastAsia="Trebuchet MS" w:cs="Trebuchet MS" w:ascii="Trebuchet MS" w:hAnsi="Trebuchet MS"/>
                <w:b w:val="false"/>
                <w:bCs w:val="false"/>
                <w:sz w:val="22"/>
                <w:szCs w:val="22"/>
              </w:rPr>
              <w:footnoteReference w:id="19"/>
            </w:r>
          </w:p>
        </w:tc>
      </w:tr>
    </w:tbl>
    <w:p>
      <w:pPr>
        <w:pStyle w:val="Normal"/>
        <w:jc w:val="both"/>
        <w:rPr>
          <w:rFonts w:ascii="Trebuchet MS" w:hAnsi="Trebuchet MS" w:eastAsia="Trebuchet MS" w:cs="Trebuchet MS"/>
          <w:b w:val="false"/>
          <w:b w:val="false"/>
          <w:bCs w:val="false"/>
        </w:rPr>
      </w:pPr>
      <w:r>
        <w:rPr>
          <w:rFonts w:eastAsia="Trebuchet MS" w:cs="Trebuchet MS" w:ascii="Trebuchet MS" w:hAnsi="Trebuchet MS"/>
          <w:b w:val="false"/>
          <w:bCs w:val="false"/>
        </w:rPr>
      </w:r>
    </w:p>
    <w:tbl>
      <w:tblPr>
        <w:tblStyle w:val="1491"/>
        <w:tblW w:w="9355" w:type="dxa"/>
        <w:jc w:val="left"/>
        <w:tblInd w:w="0" w:type="dxa"/>
        <w:tblCellMar>
          <w:top w:w="0" w:type="dxa"/>
          <w:left w:w="108" w:type="dxa"/>
          <w:bottom w:w="0" w:type="dxa"/>
          <w:right w:w="108" w:type="dxa"/>
        </w:tblCellMar>
        <w:tblLook w:val="04a0" w:noHBand="0" w:noVBand="1" w:firstColumn="1" w:lastRow="0" w:lastColumn="0" w:firstRow="1"/>
      </w:tblPr>
      <w:tblGrid>
        <w:gridCol w:w="9355"/>
      </w:tblGrid>
      <w:tr>
        <w:trPr/>
        <w:tc>
          <w:tcPr>
            <w:tcW w:w="9355" w:type="dxa"/>
            <w:tcBorders/>
          </w:tcPr>
          <w:p>
            <w:pPr>
              <w:pStyle w:val="Normal"/>
              <w:spacing w:lineRule="auto" w:line="240" w:before="0" w:after="0"/>
              <w:jc w:val="both"/>
              <w:rPr/>
            </w:pPr>
            <w:r>
              <w:rPr>
                <w:rFonts w:eastAsia="Trebuchet MS" w:cs="Trebuchet MS" w:ascii="Trebuchet MS" w:hAnsi="Trebuchet MS"/>
                <w:b/>
                <w:bCs/>
                <w:sz w:val="24"/>
                <w:szCs w:val="24"/>
              </w:rPr>
              <w:t>Uganda</w:t>
            </w:r>
            <w:r>
              <w:rPr>
                <w:rStyle w:val="Ancladenotaalpie"/>
                <w:rFonts w:eastAsia="Trebuchet MS" w:cs="Trebuchet MS" w:ascii="Trebuchet MS" w:hAnsi="Trebuchet MS"/>
                <w:b/>
                <w:bCs/>
                <w:sz w:val="24"/>
                <w:szCs w:val="24"/>
              </w:rPr>
              <w:footnoteReference w:id="20"/>
            </w:r>
          </w:p>
          <w:p>
            <w:pPr>
              <w:pStyle w:val="Normal"/>
              <w:spacing w:lineRule="auto" w:line="240" w:before="0" w:after="0"/>
              <w:jc w:val="both"/>
              <w:rPr>
                <w:rFonts w:ascii="Trebuchet MS" w:hAnsi="Trebuchet MS" w:cs="Trebuchet MS"/>
                <w:b w:val="false"/>
                <w:b w:val="false"/>
                <w:bCs w:val="false"/>
                <w:u w:val="single"/>
              </w:rPr>
            </w:pPr>
            <w:r>
              <w:rPr>
                <w:rFonts w:cs="Trebuchet MS" w:ascii="Trebuchet MS" w:hAnsi="Trebuchet MS"/>
                <w:b w:val="false"/>
                <w:bCs w:val="false"/>
                <w:u w:val="single"/>
              </w:rPr>
            </w:r>
          </w:p>
          <w:p>
            <w:pPr>
              <w:pStyle w:val="Normal"/>
              <w:spacing w:lineRule="auto" w:line="240" w:before="0" w:after="0"/>
              <w:jc w:val="both"/>
              <w:rPr/>
            </w:pPr>
            <w:r>
              <w:rPr>
                <w:rFonts w:eastAsia="Trebuchet MS" w:cs="Trebuchet MS" w:ascii="Trebuchet MS" w:hAnsi="Trebuchet MS"/>
              </w:rPr>
              <w:t>The new  anti-LGBTQIA+ law, titled the Anti-Homosexuality Law, 2023 and signed into effect on 29 May 2023 by President Yoweri Museveni is aggravating and amplifying violence towards people of diverse genders and sexualities. Uganda’s case is one big example of how politicians use LGBTQIA+ rights as a political weapon in securing votes and their leadership.</w:t>
            </w:r>
          </w:p>
          <w:p>
            <w:pPr>
              <w:pStyle w:val="Normal"/>
              <w:spacing w:lineRule="auto" w:line="240" w:before="0" w:after="0"/>
              <w:jc w:val="both"/>
              <w:rPr>
                <w:rFonts w:ascii="Trebuchet MS" w:hAnsi="Trebuchet MS" w:eastAsia="Trebuchet MS" w:cs="Trebuchet MS"/>
              </w:rPr>
            </w:pPr>
            <w:r>
              <w:rPr>
                <w:rFonts w:eastAsia="Trebuchet MS" w:cs="Trebuchet MS" w:ascii="Trebuchet MS" w:hAnsi="Trebuchet MS"/>
              </w:rPr>
            </w:r>
          </w:p>
          <w:p>
            <w:pPr>
              <w:pStyle w:val="Normal"/>
              <w:spacing w:lineRule="auto" w:line="240" w:before="0" w:after="0"/>
              <w:jc w:val="both"/>
              <w:rPr/>
            </w:pPr>
            <w:r>
              <w:rPr>
                <w:rFonts w:eastAsia="Trebuchet MS" w:cs="Trebuchet MS" w:ascii="Trebuchet MS" w:hAnsi="Trebuchet MS"/>
              </w:rPr>
              <w:t>Additionally, in August 2022, the government banned Sexual Minorities Uganda (SMUG), aLGBTQIA+ rights organisation, from operating. There are no laws that outright criminalise transgender, non-binary and gender-diverse people, but they “have been indirectly criminalised under the offences of ‘personation’ (false representation), public indecency and the criminalisation of consensual same-sex sexual acts.”</w:t>
            </w:r>
          </w:p>
        </w:tc>
      </w:tr>
    </w:tbl>
    <w:p>
      <w:pPr>
        <w:pStyle w:val="Normal"/>
        <w:jc w:val="both"/>
        <w:rPr>
          <w:rFonts w:ascii="Trebuchet MS" w:hAnsi="Trebuchet MS" w:cs="Trebuchet MS"/>
          <w:b w:val="false"/>
          <w:b w:val="false"/>
          <w:bCs w:val="false"/>
          <w:position w:val="0"/>
          <w:sz w:val="22"/>
          <w:vertAlign w:val="baseline"/>
        </w:rPr>
      </w:pPr>
      <w:r>
        <w:rPr>
          <w:rFonts w:cs="Trebuchet MS" w:ascii="Trebuchet MS" w:hAnsi="Trebuchet MS"/>
          <w:b w:val="false"/>
          <w:bCs w:val="false"/>
          <w:position w:val="0"/>
          <w:sz w:val="22"/>
          <w:vertAlign w:val="baseline"/>
        </w:rPr>
      </w:r>
    </w:p>
    <w:tbl>
      <w:tblPr>
        <w:tblStyle w:val="1491"/>
        <w:tblW w:w="9355" w:type="dxa"/>
        <w:jc w:val="left"/>
        <w:tblInd w:w="0" w:type="dxa"/>
        <w:tblCellMar>
          <w:top w:w="0" w:type="dxa"/>
          <w:left w:w="108" w:type="dxa"/>
          <w:bottom w:w="0" w:type="dxa"/>
          <w:right w:w="108" w:type="dxa"/>
        </w:tblCellMar>
        <w:tblLook w:val="04a0" w:noHBand="0" w:noVBand="1" w:firstColumn="1" w:lastRow="0" w:lastColumn="0" w:firstRow="1"/>
      </w:tblPr>
      <w:tblGrid>
        <w:gridCol w:w="9355"/>
      </w:tblGrid>
      <w:tr>
        <w:trPr/>
        <w:tc>
          <w:tcPr>
            <w:tcW w:w="9355" w:type="dxa"/>
            <w:tcBorders/>
          </w:tcPr>
          <w:p>
            <w:pPr>
              <w:pStyle w:val="Normal"/>
              <w:spacing w:lineRule="auto" w:line="240" w:before="0" w:after="0"/>
              <w:jc w:val="both"/>
              <w:rPr/>
            </w:pPr>
            <w:r>
              <w:rPr>
                <w:rFonts w:eastAsia="Trebuchet MS" w:cs="Trebuchet MS" w:ascii="Trebuchet MS" w:hAnsi="Trebuchet MS"/>
                <w:b/>
                <w:bCs/>
                <w:sz w:val="24"/>
                <w:szCs w:val="24"/>
              </w:rPr>
              <w:t>Botswana</w:t>
            </w:r>
            <w:r>
              <w:rPr>
                <w:rStyle w:val="Ancladenotaalpie"/>
                <w:rFonts w:eastAsia="Trebuchet MS" w:cs="Trebuchet MS" w:ascii="Trebuchet MS" w:hAnsi="Trebuchet MS"/>
                <w:b/>
                <w:bCs/>
                <w:sz w:val="24"/>
                <w:szCs w:val="24"/>
              </w:rPr>
              <w:footnoteReference w:id="21"/>
            </w:r>
          </w:p>
          <w:p>
            <w:pPr>
              <w:pStyle w:val="Normal"/>
              <w:spacing w:lineRule="auto" w:line="240" w:before="0" w:after="0"/>
              <w:jc w:val="both"/>
              <w:rPr>
                <w:rFonts w:ascii="Trebuchet MS" w:hAnsi="Trebuchet MS" w:eastAsia="Trebuchet MS" w:cs="Trebuchet MS"/>
                <w:b w:val="false"/>
                <w:b w:val="false"/>
                <w:bCs w:val="false"/>
              </w:rPr>
            </w:pPr>
            <w:r>
              <w:rPr>
                <w:rFonts w:eastAsia="Trebuchet MS" w:cs="Trebuchet MS" w:ascii="Trebuchet MS" w:hAnsi="Trebuchet MS"/>
                <w:b w:val="false"/>
                <w:bCs w:val="false"/>
              </w:rPr>
            </w:r>
          </w:p>
          <w:p>
            <w:pPr>
              <w:pStyle w:val="Normal"/>
              <w:spacing w:lineRule="auto" w:line="240" w:before="0" w:after="0"/>
              <w:jc w:val="both"/>
              <w:rPr/>
            </w:pPr>
            <w:r>
              <w:rPr>
                <w:rFonts w:eastAsia="Trebuchet MS" w:cs="Trebuchet MS" w:ascii="Trebuchet MS" w:hAnsi="Trebuchet MS"/>
                <w:b w:val="false"/>
                <w:bCs w:val="false"/>
              </w:rPr>
              <w:t xml:space="preserve">According to the </w:t>
            </w:r>
            <w:hyperlink r:id="rId6" w:tgtFrame="https://firn.genderit.org/sites/default/files/2023-08/The-Left-Out-Project-Report.pdf">
              <w:r>
                <w:rPr>
                  <w:rStyle w:val="EnlacedeInternet"/>
                  <w:rFonts w:eastAsia="Trebuchet MS" w:cs="Trebuchet MS" w:ascii="Trebuchet MS" w:hAnsi="Trebuchet MS"/>
                  <w:b w:val="false"/>
                  <w:bCs w:val="false"/>
                </w:rPr>
                <w:t>Left Out Project Report</w:t>
              </w:r>
            </w:hyperlink>
            <w:r>
              <w:rPr>
                <w:rFonts w:eastAsia="Trebuchet MS" w:cs="Trebuchet MS" w:ascii="Trebuchet MS" w:hAnsi="Trebuchet MS"/>
                <w:b w:val="false"/>
                <w:bCs w:val="false"/>
              </w:rPr>
              <w:t>, in 2019 the High Court of Botswana repealed laws that criminalise and discriminate against LGBT people. In 2017, the High Court ruled that a transgender man was allowed to have official documents that reflected his gender identity. This judgement meant that transgender people in Botswana can now have their identities recognised and affirmed legally.</w:t>
            </w:r>
          </w:p>
          <w:p>
            <w:pPr>
              <w:pStyle w:val="Normal"/>
              <w:spacing w:lineRule="auto" w:line="240" w:before="0" w:after="0"/>
              <w:jc w:val="both"/>
              <w:rPr>
                <w:rFonts w:ascii="Trebuchet MS" w:hAnsi="Trebuchet MS" w:eastAsia="Trebuchet MS" w:cs="Trebuchet MS"/>
                <w:b w:val="false"/>
                <w:b w:val="false"/>
                <w:bCs w:val="false"/>
              </w:rPr>
            </w:pPr>
            <w:r>
              <w:rPr>
                <w:rFonts w:eastAsia="Trebuchet MS" w:cs="Trebuchet MS" w:ascii="Trebuchet MS" w:hAnsi="Trebuchet MS"/>
                <w:b w:val="false"/>
                <w:bCs w:val="false"/>
              </w:rPr>
            </w:r>
          </w:p>
        </w:tc>
      </w:tr>
    </w:tbl>
    <w:p>
      <w:pPr>
        <w:pStyle w:val="Normal"/>
        <w:jc w:val="both"/>
        <w:rPr>
          <w:rFonts w:ascii="Trebuchet MS" w:hAnsi="Trebuchet MS" w:cs="Trebuchet MS"/>
          <w:b w:val="false"/>
          <w:b w:val="false"/>
          <w:bCs w:val="false"/>
          <w:position w:val="0"/>
          <w:sz w:val="22"/>
          <w:vertAlign w:val="baseline"/>
        </w:rPr>
      </w:pPr>
      <w:r>
        <w:rPr>
          <w:rFonts w:cs="Trebuchet MS" w:ascii="Trebuchet MS" w:hAnsi="Trebuchet MS"/>
          <w:b w:val="false"/>
          <w:bCs w:val="false"/>
          <w:position w:val="0"/>
          <w:sz w:val="22"/>
          <w:vertAlign w:val="baseline"/>
        </w:rPr>
      </w:r>
    </w:p>
    <w:tbl>
      <w:tblPr>
        <w:tblStyle w:val="1491"/>
        <w:tblW w:w="9355" w:type="dxa"/>
        <w:jc w:val="left"/>
        <w:tblInd w:w="0" w:type="dxa"/>
        <w:tblCellMar>
          <w:top w:w="0" w:type="dxa"/>
          <w:left w:w="108" w:type="dxa"/>
          <w:bottom w:w="0" w:type="dxa"/>
          <w:right w:w="108" w:type="dxa"/>
        </w:tblCellMar>
        <w:tblLook w:val="04a0" w:noHBand="0" w:noVBand="1" w:firstColumn="1" w:lastRow="0" w:lastColumn="0" w:firstRow="1"/>
      </w:tblPr>
      <w:tblGrid>
        <w:gridCol w:w="9355"/>
      </w:tblGrid>
      <w:tr>
        <w:trPr/>
        <w:tc>
          <w:tcPr>
            <w:tcW w:w="9355" w:type="dxa"/>
            <w:tcBorders/>
          </w:tcPr>
          <w:p>
            <w:pPr>
              <w:pStyle w:val="Normal"/>
              <w:spacing w:lineRule="auto" w:line="240" w:before="0" w:after="0"/>
              <w:jc w:val="both"/>
              <w:rPr/>
            </w:pPr>
            <w:r>
              <w:rPr>
                <w:rFonts w:eastAsia="Trebuchet MS" w:cs="Trebuchet MS" w:ascii="Trebuchet MS" w:hAnsi="Trebuchet MS"/>
                <w:b/>
                <w:bCs/>
                <w:sz w:val="24"/>
                <w:szCs w:val="24"/>
              </w:rPr>
              <w:t>Rwanda</w:t>
            </w:r>
            <w:r>
              <w:rPr>
                <w:rStyle w:val="Ancladenotaalpie"/>
                <w:rFonts w:eastAsia="Trebuchet MS" w:cs="Trebuchet MS" w:ascii="Trebuchet MS" w:hAnsi="Trebuchet MS"/>
                <w:b/>
                <w:bCs/>
                <w:sz w:val="24"/>
                <w:szCs w:val="24"/>
              </w:rPr>
              <w:footnoteReference w:id="22"/>
            </w:r>
          </w:p>
          <w:p>
            <w:pPr>
              <w:pStyle w:val="Normal"/>
              <w:spacing w:lineRule="auto" w:line="240" w:before="0" w:after="0"/>
              <w:jc w:val="both"/>
              <w:rPr>
                <w:rFonts w:ascii="Trebuchet MS" w:hAnsi="Trebuchet MS" w:eastAsia="Trebuchet MS" w:cs="Trebuchet MS"/>
                <w:b w:val="false"/>
                <w:b w:val="false"/>
                <w:bCs w:val="false"/>
              </w:rPr>
            </w:pPr>
            <w:r>
              <w:rPr>
                <w:rFonts w:eastAsia="Trebuchet MS" w:cs="Trebuchet MS" w:ascii="Trebuchet MS" w:hAnsi="Trebuchet MS"/>
                <w:b w:val="false"/>
                <w:bCs w:val="false"/>
              </w:rPr>
            </w:r>
          </w:p>
          <w:p>
            <w:pPr>
              <w:pStyle w:val="Normal"/>
              <w:spacing w:lineRule="auto" w:line="240" w:before="0" w:after="0"/>
              <w:jc w:val="both"/>
              <w:rPr/>
            </w:pPr>
            <w:r>
              <w:rPr>
                <w:rFonts w:eastAsia="Trebuchet MS" w:cs="Trebuchet MS" w:ascii="Trebuchet MS" w:hAnsi="Trebuchet MS"/>
                <w:b w:val="false"/>
                <w:bCs w:val="false"/>
              </w:rPr>
              <w:t>Rwanda does not outlaw being lesbian, gay, bisexual or transgender, but sexual identity is not frequently discussed or acknowledged. Rwanda is “a signatory to the 2011 United Nations statement condemning violence against LGBT people,” but, like South Africa where LGBT rights are protected, socially homophobia and transphobia persist. While the constitution protects citizens from discrimination, protections for sexual orientation and gender identity are not explicitly stated in the same way that protections based on race or sex are.</w:t>
            </w:r>
          </w:p>
          <w:p>
            <w:pPr>
              <w:pStyle w:val="Normal"/>
              <w:spacing w:lineRule="auto" w:line="240" w:before="0" w:after="0"/>
              <w:jc w:val="both"/>
              <w:rPr>
                <w:rFonts w:ascii="Trebuchet MS" w:hAnsi="Trebuchet MS" w:eastAsia="Trebuchet MS" w:cs="Trebuchet MS"/>
                <w:b w:val="false"/>
                <w:b w:val="false"/>
                <w:bCs w:val="false"/>
              </w:rPr>
            </w:pPr>
            <w:r>
              <w:rPr>
                <w:rFonts w:eastAsia="Trebuchet MS" w:cs="Trebuchet MS" w:ascii="Trebuchet MS" w:hAnsi="Trebuchet MS"/>
                <w:b w:val="false"/>
                <w:bCs w:val="false"/>
              </w:rPr>
            </w:r>
          </w:p>
        </w:tc>
      </w:tr>
    </w:tbl>
    <w:p>
      <w:pPr>
        <w:pStyle w:val="Normal"/>
        <w:jc w:val="both"/>
        <w:rPr>
          <w:rFonts w:ascii="Trebuchet MS" w:hAnsi="Trebuchet MS" w:cs="Trebuchet MS"/>
          <w:b w:val="false"/>
          <w:b w:val="false"/>
          <w:bCs w:val="false"/>
          <w:position w:val="0"/>
          <w:sz w:val="22"/>
          <w:vertAlign w:val="baseline"/>
        </w:rPr>
      </w:pPr>
      <w:r>
        <w:rPr>
          <w:rFonts w:cs="Trebuchet MS" w:ascii="Trebuchet MS" w:hAnsi="Trebuchet MS"/>
          <w:b w:val="false"/>
          <w:bCs w:val="false"/>
          <w:position w:val="0"/>
          <w:sz w:val="22"/>
          <w:vertAlign w:val="baseline"/>
        </w:rPr>
      </w:r>
    </w:p>
    <w:tbl>
      <w:tblPr>
        <w:tblStyle w:val="1491"/>
        <w:tblW w:w="9355" w:type="dxa"/>
        <w:jc w:val="left"/>
        <w:tblInd w:w="0" w:type="dxa"/>
        <w:tblCellMar>
          <w:top w:w="0" w:type="dxa"/>
          <w:left w:w="108" w:type="dxa"/>
          <w:bottom w:w="0" w:type="dxa"/>
          <w:right w:w="108" w:type="dxa"/>
        </w:tblCellMar>
        <w:tblLook w:val="04a0" w:noHBand="0" w:noVBand="1" w:firstColumn="1" w:lastRow="0" w:lastColumn="0" w:firstRow="1"/>
      </w:tblPr>
      <w:tblGrid>
        <w:gridCol w:w="9355"/>
      </w:tblGrid>
      <w:tr>
        <w:trPr/>
        <w:tc>
          <w:tcPr>
            <w:tcW w:w="9355" w:type="dxa"/>
            <w:tcBorders/>
          </w:tcPr>
          <w:p>
            <w:pPr>
              <w:pStyle w:val="Normal"/>
              <w:spacing w:lineRule="auto" w:line="240" w:before="0" w:after="0"/>
              <w:jc w:val="both"/>
              <w:rPr/>
            </w:pPr>
            <w:r>
              <w:rPr>
                <w:rFonts w:eastAsia="Trebuchet MS" w:cs="Trebuchet MS" w:ascii="Trebuchet MS" w:hAnsi="Trebuchet MS"/>
                <w:b/>
                <w:bCs/>
                <w:sz w:val="24"/>
                <w:szCs w:val="24"/>
              </w:rPr>
              <w:t>South Africa</w:t>
            </w:r>
            <w:r>
              <w:rPr>
                <w:rStyle w:val="Ancladenotaalpie"/>
                <w:rFonts w:eastAsia="Trebuchet MS" w:cs="Trebuchet MS" w:ascii="Trebuchet MS" w:hAnsi="Trebuchet MS"/>
                <w:b/>
                <w:bCs/>
                <w:sz w:val="24"/>
                <w:szCs w:val="24"/>
              </w:rPr>
              <w:footnoteReference w:id="23"/>
            </w:r>
          </w:p>
          <w:p>
            <w:pPr>
              <w:pStyle w:val="Normal"/>
              <w:spacing w:lineRule="auto" w:line="240" w:before="0" w:after="0"/>
              <w:jc w:val="both"/>
              <w:rPr>
                <w:rFonts w:ascii="Trebuchet MS" w:hAnsi="Trebuchet MS" w:eastAsia="Trebuchet MS" w:cs="Trebuchet MS"/>
                <w:b w:val="false"/>
                <w:b w:val="false"/>
                <w:bCs w:val="false"/>
              </w:rPr>
            </w:pPr>
            <w:r>
              <w:rPr>
                <w:rFonts w:eastAsia="Trebuchet MS" w:cs="Trebuchet MS" w:ascii="Trebuchet MS" w:hAnsi="Trebuchet MS"/>
                <w:b w:val="false"/>
                <w:bCs w:val="false"/>
              </w:rPr>
            </w:r>
          </w:p>
          <w:p>
            <w:pPr>
              <w:pStyle w:val="Normal"/>
              <w:spacing w:lineRule="auto" w:line="240" w:before="0" w:after="0"/>
              <w:jc w:val="both"/>
              <w:rPr/>
            </w:pPr>
            <w:r>
              <w:rPr>
                <w:rFonts w:eastAsia="Trebuchet MS" w:cs="Trebuchet MS" w:ascii="Trebuchet MS" w:hAnsi="Trebuchet MS"/>
                <w:b w:val="false"/>
                <w:bCs w:val="false"/>
              </w:rPr>
              <w:t>South Africa is often celebrated, both locally and globally, as the champion of LGBTQIA+ rights, with the country’s post-apartheid constitution being the first in the world to protect people regardless of sexual orientation. However, many LGBTQIA+ South Africans continue to face homophobic and transphobic harassment and violence within their communities. In July 2021, the South African Government News Agency, Sanews, reported that “South Africa has recently seen an increase in the number of attacks again lesbians, gays and transgender people,” and that 29 cases of hate crimes against the LGBTQIA+ community had been documented since the start of 2020.” Meanwhile, Gender DynamiX “documented 60 cases of human rights violations perpetrated against trans and gender diverse persons in the space of three months.”</w:t>
            </w:r>
          </w:p>
          <w:p>
            <w:pPr>
              <w:pStyle w:val="Normal"/>
              <w:spacing w:lineRule="auto" w:line="240" w:before="0" w:after="0"/>
              <w:jc w:val="both"/>
              <w:rPr>
                <w:rFonts w:ascii="Trebuchet MS" w:hAnsi="Trebuchet MS" w:eastAsia="Trebuchet MS" w:cs="Trebuchet MS"/>
                <w:b w:val="false"/>
                <w:b w:val="false"/>
                <w:bCs w:val="false"/>
              </w:rPr>
            </w:pPr>
            <w:r>
              <w:rPr>
                <w:rFonts w:eastAsia="Trebuchet MS" w:cs="Trebuchet MS" w:ascii="Trebuchet MS" w:hAnsi="Trebuchet MS"/>
                <w:b w:val="false"/>
                <w:bCs w:val="false"/>
              </w:rPr>
            </w:r>
          </w:p>
        </w:tc>
      </w:tr>
    </w:tbl>
    <w:p>
      <w:pPr>
        <w:pStyle w:val="Normal"/>
        <w:jc w:val="both"/>
        <w:rPr>
          <w:rFonts w:ascii="Trebuchet MS" w:hAnsi="Trebuchet MS" w:cs="Trebuchet MS"/>
          <w:b w:val="false"/>
          <w:b w:val="false"/>
          <w:bCs w:val="false"/>
          <w:position w:val="0"/>
          <w:sz w:val="22"/>
          <w:vertAlign w:val="baseline"/>
        </w:rPr>
      </w:pPr>
      <w:r>
        <w:rPr>
          <w:rFonts w:cs="Trebuchet MS" w:ascii="Trebuchet MS" w:hAnsi="Trebuchet MS"/>
          <w:b w:val="false"/>
          <w:bCs w:val="false"/>
          <w:position w:val="0"/>
          <w:sz w:val="22"/>
          <w:vertAlign w:val="baseline"/>
        </w:rPr>
      </w:r>
    </w:p>
    <w:tbl>
      <w:tblPr>
        <w:tblStyle w:val="1491"/>
        <w:tblW w:w="9355" w:type="dxa"/>
        <w:jc w:val="left"/>
        <w:tblInd w:w="0" w:type="dxa"/>
        <w:tblCellMar>
          <w:top w:w="0" w:type="dxa"/>
          <w:left w:w="108" w:type="dxa"/>
          <w:bottom w:w="0" w:type="dxa"/>
          <w:right w:w="108" w:type="dxa"/>
        </w:tblCellMar>
        <w:tblLook w:val="04a0" w:noHBand="0" w:noVBand="1" w:firstColumn="1" w:lastRow="0" w:lastColumn="0" w:firstRow="1"/>
      </w:tblPr>
      <w:tblGrid>
        <w:gridCol w:w="9355"/>
      </w:tblGrid>
      <w:tr>
        <w:trPr/>
        <w:tc>
          <w:tcPr>
            <w:tcW w:w="9355" w:type="dxa"/>
            <w:tcBorders/>
          </w:tcPr>
          <w:p>
            <w:pPr>
              <w:pStyle w:val="Normal"/>
              <w:spacing w:lineRule="auto" w:line="240" w:before="0" w:after="0"/>
              <w:jc w:val="both"/>
              <w:rPr/>
            </w:pPr>
            <w:r>
              <w:rPr>
                <w:rFonts w:eastAsia="Trebuchet MS" w:cs="Trebuchet MS" w:ascii="Trebuchet MS" w:hAnsi="Trebuchet MS"/>
                <w:b/>
                <w:bCs/>
                <w:sz w:val="24"/>
                <w:szCs w:val="24"/>
              </w:rPr>
              <w:t>Indonesia</w:t>
            </w:r>
            <w:r>
              <w:rPr>
                <w:rStyle w:val="Ancladenotaalpie"/>
                <w:rFonts w:eastAsia="Trebuchet MS" w:cs="Trebuchet MS" w:ascii="Trebuchet MS" w:hAnsi="Trebuchet MS"/>
                <w:b/>
                <w:bCs/>
                <w:sz w:val="24"/>
                <w:szCs w:val="24"/>
              </w:rPr>
              <w:footnoteReference w:id="24"/>
            </w:r>
          </w:p>
          <w:p>
            <w:pPr>
              <w:pStyle w:val="Normal"/>
              <w:spacing w:lineRule="auto" w:line="240" w:before="0" w:after="0"/>
              <w:jc w:val="both"/>
              <w:rPr>
                <w:rFonts w:ascii="Trebuchet MS" w:hAnsi="Trebuchet MS" w:cs="Trebuchet MS"/>
                <w:b w:val="false"/>
                <w:b w:val="false"/>
                <w:bCs w:val="false"/>
              </w:rPr>
            </w:pPr>
            <w:r>
              <w:rPr>
                <w:rFonts w:cs="Trebuchet MS" w:ascii="Trebuchet MS" w:hAnsi="Trebuchet MS"/>
                <w:b w:val="false"/>
                <w:bCs w:val="false"/>
              </w:rPr>
            </w:r>
          </w:p>
          <w:p>
            <w:pPr>
              <w:pStyle w:val="Normal"/>
              <w:spacing w:lineRule="auto" w:line="240" w:before="0" w:after="0"/>
              <w:jc w:val="both"/>
              <w:rPr/>
            </w:pPr>
            <w:r>
              <w:rPr>
                <w:rFonts w:eastAsia="Trebuchet MS" w:cs="Trebuchet MS" w:ascii="Trebuchet MS" w:hAnsi="Trebuchet MS"/>
              </w:rPr>
              <w:t>Although lesbian, gay and bisexual are no longer classified as mental disorders, Lesbian, Gay, Bisexual, Transgender, Intersex and Queer (LGBTIQ) people still have to continue to fight for their rights as citizens. Transgender groups have to risk their lives to show themselves, while queer persons and groups do not get space in a society with a strict gender classification of men and women. The existence of transgender and queer people is considered a  threat to the order of life as "normal" human beings. Moreover, gender diversity that has embedded in Indonesian culture and tradition, received a fact reversal: that this diversity comes from the “Western culture”.</w:t>
            </w:r>
          </w:p>
          <w:p>
            <w:pPr>
              <w:pStyle w:val="Normal"/>
              <w:spacing w:lineRule="auto" w:line="240" w:before="0" w:after="0"/>
              <w:jc w:val="both"/>
              <w:rPr>
                <w:rFonts w:ascii="Trebuchet MS" w:hAnsi="Trebuchet MS" w:cs="Trebuchet MS"/>
                <w:b w:val="false"/>
                <w:b w:val="false"/>
                <w:bCs w:val="false"/>
              </w:rPr>
            </w:pPr>
            <w:r>
              <w:rPr>
                <w:rFonts w:cs="Trebuchet MS" w:ascii="Trebuchet MS" w:hAnsi="Trebuchet MS"/>
                <w:b w:val="false"/>
                <w:bCs w:val="false"/>
              </w:rPr>
            </w:r>
          </w:p>
          <w:p>
            <w:pPr>
              <w:pStyle w:val="Normal"/>
              <w:spacing w:lineRule="auto" w:line="240" w:before="0" w:after="0"/>
              <w:jc w:val="both"/>
              <w:rPr/>
            </w:pPr>
            <w:r>
              <w:rPr>
                <w:rFonts w:eastAsia="Trebuchet MS" w:cs="Trebuchet MS" w:ascii="Trebuchet MS" w:hAnsi="Trebuchet MS"/>
                <w:b w:val="false"/>
                <w:bCs w:val="false"/>
              </w:rPr>
              <w:t>In 2016, electronic media and social media became a strategic medium for various institutions expressing their rejection towards LGBT people and limiting access to information about LGBT community. The Indonesian broadcasting commission and Indonesian Child Protection Commission prohibited what were deemed to be promotion of LGBT issues on TV and radio through content blocking so that children and youth won’t imitate or justify "LGBT behavior." The Vice President also stopped the UN and foreign donor agencies from funding LGBT issues because it encouraged LGBT campaigns and promotions. He also discouraged LGBT people to publish information on the internet that promotes the LGBT movements. This state of moral panic was automatically used by various mass organisations and intolerant groups to increasingly call for the rejection of LGBT people in many places. This situation led to the violent forced closure of the Transgender Islamic Boarding School in Yogyakarta. Throughout 2017, the Ministry of Communication and Information has regularly blocked various applications and sites with LGBT content to prevent the spread of 'LGBT propaganda on the internet.</w:t>
            </w:r>
          </w:p>
          <w:p>
            <w:pPr>
              <w:pStyle w:val="Normal"/>
              <w:spacing w:lineRule="auto" w:line="240" w:before="0" w:after="0"/>
              <w:jc w:val="both"/>
              <w:rPr>
                <w:rFonts w:ascii="Trebuchet MS" w:hAnsi="Trebuchet MS" w:cs="Trebuchet MS"/>
                <w:b w:val="false"/>
                <w:b w:val="false"/>
                <w:bCs w:val="false"/>
              </w:rPr>
            </w:pPr>
            <w:r>
              <w:rPr>
                <w:rFonts w:cs="Trebuchet MS" w:ascii="Trebuchet MS" w:hAnsi="Trebuchet MS"/>
                <w:b w:val="false"/>
                <w:bCs w:val="false"/>
              </w:rPr>
            </w:r>
          </w:p>
          <w:p>
            <w:pPr>
              <w:pStyle w:val="Normal"/>
              <w:spacing w:lineRule="auto" w:line="240" w:before="0" w:after="0"/>
              <w:jc w:val="both"/>
              <w:rPr/>
            </w:pPr>
            <w:r>
              <w:rPr>
                <w:rFonts w:eastAsia="Trebuchet MS" w:cs="Trebuchet MS" w:ascii="Trebuchet MS" w:hAnsi="Trebuchet MS"/>
                <w:b w:val="false"/>
                <w:bCs w:val="false"/>
              </w:rPr>
              <w:t xml:space="preserve">Moreover, </w:t>
            </w:r>
            <w:r>
              <w:rPr>
                <w:rFonts w:eastAsia="Trebuchet MS" w:cs="Trebuchet MS" w:ascii="Trebuchet MS" w:hAnsi="Trebuchet MS"/>
              </w:rPr>
              <w:t>the trans women community, transmen or someone who is considered a woman but looks like a man, are increasingly receiving discriminatory treatment and are becoming victims of violence. Various eradication efforts were carried out, ranging from evictions from their homes and raids in gathering rooms to targeting people who were considered movers  in the community, causing extreme physical and mental exhaustion. At that moment, many transgender people decided to reverse  their expression into what’s perceived as  "normal" by the society to feel safer. Some transgender people who were previously part of the trans or LGBT community even labeled themselves as "ex  transgender." Some of those who claimed to be ex-transgender even went further by publicly attacking LGBT persons and communities on social media or just sending direct messages and giving testimonies about being cured, and citing that all trans people can be cured.</w:t>
            </w:r>
          </w:p>
        </w:tc>
      </w:tr>
    </w:tbl>
    <w:p>
      <w:pPr>
        <w:pStyle w:val="Normal"/>
        <w:jc w:val="both"/>
        <w:rPr/>
      </w:pPr>
      <w:r>
        <w:rPr>
          <w:rFonts w:eastAsia="Trebuchet MS" w:cs="Trebuchet MS" w:ascii="Trebuchet MS" w:hAnsi="Trebuchet MS"/>
          <w:b w:val="false"/>
          <w:bCs w:val="false"/>
          <w:u w:val="single"/>
        </w:rPr>
        <w:t xml:space="preserve"> </w:t>
      </w:r>
    </w:p>
    <w:tbl>
      <w:tblPr>
        <w:tblStyle w:val="1491"/>
        <w:tblW w:w="9355" w:type="dxa"/>
        <w:jc w:val="left"/>
        <w:tblInd w:w="0" w:type="dxa"/>
        <w:tblCellMar>
          <w:top w:w="0" w:type="dxa"/>
          <w:left w:w="108" w:type="dxa"/>
          <w:bottom w:w="0" w:type="dxa"/>
          <w:right w:w="108" w:type="dxa"/>
        </w:tblCellMar>
        <w:tblLook w:val="04a0" w:noHBand="0" w:noVBand="1" w:firstColumn="1" w:lastRow="0" w:lastColumn="0" w:firstRow="1"/>
      </w:tblPr>
      <w:tblGrid>
        <w:gridCol w:w="9355"/>
      </w:tblGrid>
      <w:tr>
        <w:trPr/>
        <w:tc>
          <w:tcPr>
            <w:tcW w:w="9355" w:type="dxa"/>
            <w:tcBorders/>
          </w:tcPr>
          <w:p>
            <w:pPr>
              <w:pStyle w:val="Normal"/>
              <w:spacing w:lineRule="auto" w:line="240" w:before="0" w:after="0"/>
              <w:jc w:val="both"/>
              <w:rPr/>
            </w:pPr>
            <w:r>
              <w:rPr>
                <w:rFonts w:eastAsia="Trebuchet MS" w:cs="Trebuchet MS" w:ascii="Trebuchet MS" w:hAnsi="Trebuchet MS"/>
                <w:b/>
                <w:bCs/>
                <w:sz w:val="24"/>
                <w:szCs w:val="24"/>
              </w:rPr>
              <w:t>Turkiye</w:t>
            </w:r>
            <w:r>
              <w:rPr>
                <w:rStyle w:val="Ancladenotaalpie"/>
                <w:rFonts w:eastAsia="Trebuchet MS" w:cs="Trebuchet MS" w:ascii="Trebuchet MS" w:hAnsi="Trebuchet MS"/>
                <w:b/>
                <w:bCs/>
                <w:sz w:val="24"/>
                <w:szCs w:val="24"/>
              </w:rPr>
              <w:footnoteReference w:id="25"/>
            </w:r>
          </w:p>
          <w:p>
            <w:pPr>
              <w:pStyle w:val="Normal"/>
              <w:spacing w:lineRule="auto" w:line="240" w:before="0" w:after="0"/>
              <w:jc w:val="both"/>
              <w:rPr>
                <w:rFonts w:ascii="Trebuchet MS" w:hAnsi="Trebuchet MS" w:eastAsia="Trebuchet MS" w:cs="Trebuchet MS"/>
                <w:b w:val="false"/>
                <w:b w:val="false"/>
                <w:bCs w:val="false"/>
              </w:rPr>
            </w:pPr>
            <w:r>
              <w:rPr>
                <w:rFonts w:eastAsia="Trebuchet MS" w:cs="Trebuchet MS" w:ascii="Trebuchet MS" w:hAnsi="Trebuchet MS"/>
                <w:b w:val="false"/>
                <w:bCs w:val="false"/>
              </w:rPr>
            </w:r>
          </w:p>
          <w:p>
            <w:pPr>
              <w:pStyle w:val="Normal"/>
              <w:spacing w:lineRule="auto" w:line="240" w:before="0" w:after="0"/>
              <w:jc w:val="both"/>
              <w:rPr/>
            </w:pPr>
            <w:r>
              <w:rPr>
                <w:rFonts w:eastAsia="Trebuchet MS" w:cs="Trebuchet MS" w:ascii="Trebuchet MS" w:hAnsi="Trebuchet MS"/>
                <w:b w:val="false"/>
                <w:bCs w:val="false"/>
              </w:rPr>
              <w:t>The absence of legislation in Türkiye that prohibits discrimination against LGBTQI+ people and to promote equality leaves them legally vulnerable to discrimination in accessing basic human rights such as employment, access to goods and services, education, health, travel and freedom of settlement. State institutions established to ensure equality have no programme or public policy regarding LGBTQI+ communities.</w:t>
            </w:r>
          </w:p>
          <w:p>
            <w:pPr>
              <w:pStyle w:val="Normal"/>
              <w:spacing w:lineRule="auto" w:line="240" w:before="0" w:after="0"/>
              <w:jc w:val="both"/>
              <w:rPr>
                <w:rFonts w:ascii="Trebuchet MS" w:hAnsi="Trebuchet MS" w:eastAsia="Trebuchet MS" w:cs="Trebuchet MS"/>
                <w:b w:val="false"/>
                <w:b w:val="false"/>
                <w:bCs w:val="false"/>
              </w:rPr>
            </w:pPr>
            <w:r>
              <w:rPr>
                <w:rFonts w:eastAsia="Trebuchet MS" w:cs="Trebuchet MS" w:ascii="Trebuchet MS" w:hAnsi="Trebuchet MS"/>
                <w:b w:val="false"/>
                <w:bCs w:val="false"/>
              </w:rPr>
            </w:r>
          </w:p>
          <w:p>
            <w:pPr>
              <w:pStyle w:val="Normal"/>
              <w:spacing w:lineRule="auto" w:line="240" w:before="0" w:after="0"/>
              <w:jc w:val="both"/>
              <w:rPr/>
            </w:pPr>
            <w:r>
              <w:rPr>
                <w:rFonts w:eastAsia="Trebuchet MS" w:cs="Trebuchet MS" w:ascii="Trebuchet MS" w:hAnsi="Trebuchet MS"/>
                <w:b w:val="false"/>
                <w:bCs w:val="false"/>
              </w:rPr>
              <w:t>Apart from not legally recognising the civil unions of LGBTQI+ people, current legal regulations restrict these unions to make them impossible. Non-recognition of such civil unions results in depriving many couples of their social rights. Likewise, lack of regulation of hate crimes that LGBTQI+ individuals are severely, systematically and constantly exposed to prevents them enjoying their basic human rights, including the right to life. Since public authorities themselves have been engendering hate speech in the last three years, hate crimes and discourse against LGBTQI+ communities by society and public officials have also increased systematically.</w:t>
            </w:r>
          </w:p>
          <w:p>
            <w:pPr>
              <w:pStyle w:val="Normal"/>
              <w:spacing w:lineRule="auto" w:line="240" w:before="0" w:after="0"/>
              <w:jc w:val="both"/>
              <w:rPr>
                <w:rFonts w:ascii="Trebuchet MS" w:hAnsi="Trebuchet MS" w:eastAsia="Trebuchet MS" w:cs="Trebuchet MS"/>
                <w:b w:val="false"/>
                <w:b w:val="false"/>
                <w:bCs w:val="false"/>
              </w:rPr>
            </w:pPr>
            <w:r>
              <w:rPr>
                <w:rFonts w:eastAsia="Trebuchet MS" w:cs="Trebuchet MS" w:ascii="Trebuchet MS" w:hAnsi="Trebuchet MS"/>
                <w:b w:val="false"/>
                <w:bCs w:val="false"/>
              </w:rPr>
            </w:r>
          </w:p>
          <w:p>
            <w:pPr>
              <w:pStyle w:val="Normal"/>
              <w:spacing w:lineRule="auto" w:line="240" w:before="0" w:after="0"/>
              <w:jc w:val="both"/>
              <w:rPr/>
            </w:pPr>
            <w:r>
              <w:rPr>
                <w:rFonts w:eastAsia="Trebuchet MS" w:cs="Trebuchet MS" w:ascii="Trebuchet MS" w:hAnsi="Trebuchet MS"/>
                <w:b w:val="false"/>
                <w:bCs w:val="false"/>
              </w:rPr>
              <w:t>Moreover, when it comes to civil society, the right to assembly and demonstration, and many collective activities and events for LGBTQI+ communities have been systematically and unlawfully prevented for many years, and new prohibitions put into effect despite</w:t>
            </w:r>
          </w:p>
          <w:p>
            <w:pPr>
              <w:pStyle w:val="Normal"/>
              <w:spacing w:lineRule="auto" w:line="240" w:before="0" w:after="0"/>
              <w:jc w:val="both"/>
              <w:rPr/>
            </w:pPr>
            <w:r>
              <w:rPr>
                <w:rFonts w:eastAsia="Trebuchet MS" w:cs="Trebuchet MS" w:ascii="Trebuchet MS" w:hAnsi="Trebuchet MS"/>
                <w:b w:val="false"/>
                <w:bCs w:val="false"/>
              </w:rPr>
              <w:t>intervention of courts against these unlawful practices. In this way, even if one ban decision is annulled, new ban decisions are taken and events cannot be organised until the court decides. This way, events are blocked and a policy of intimidation is put in place.</w:t>
            </w:r>
          </w:p>
        </w:tc>
      </w:tr>
    </w:tbl>
    <w:p>
      <w:pPr>
        <w:pStyle w:val="Normal"/>
        <w:pBdr/>
        <w:spacing w:lineRule="atLeast" w:line="276"/>
        <w:ind w:left="0" w:right="0" w:hanging="0"/>
        <w:jc w:val="both"/>
        <w:rPr>
          <w:rFonts w:ascii="Trebuchet MS" w:hAnsi="Trebuchet MS" w:cs="Trebuchet MS"/>
          <w:b w:val="false"/>
          <w:b w:val="false"/>
          <w:bCs w:val="false"/>
          <w:u w:val="single"/>
        </w:rPr>
      </w:pPr>
      <w:r>
        <w:rPr>
          <w:rFonts w:cs="Trebuchet MS" w:ascii="Trebuchet MS" w:hAnsi="Trebuchet MS"/>
          <w:b w:val="false"/>
          <w:bCs w:val="false"/>
          <w:u w:val="single"/>
        </w:rPr>
      </w:r>
    </w:p>
    <w:p>
      <w:pPr>
        <w:pStyle w:val="Normal"/>
        <w:pBdr/>
        <w:spacing w:lineRule="atLeast" w:line="276"/>
        <w:ind w:left="0" w:right="0" w:hanging="0"/>
        <w:jc w:val="center"/>
        <w:rPr/>
      </w:pPr>
      <w:r>
        <w:rPr>
          <w:rFonts w:eastAsia="Trebuchet MS" w:cs="Trebuchet MS" w:ascii="Trebuchet MS" w:hAnsi="Trebuchet MS"/>
          <w:b/>
          <w:bCs/>
          <w:sz w:val="28"/>
          <w:szCs w:val="28"/>
        </w:rPr>
        <w:t>Technology-Facilitated gender based violence and discrimination based on sexual orientation and gender identity</w:t>
      </w:r>
    </w:p>
    <w:p>
      <w:pPr>
        <w:pStyle w:val="Normal"/>
        <w:pBdr/>
        <w:spacing w:lineRule="atLeast" w:line="276"/>
        <w:ind w:left="0" w:right="0" w:hanging="0"/>
        <w:jc w:val="both"/>
        <w:rPr/>
      </w:pPr>
      <w:r>
        <w:rPr>
          <w:rFonts w:eastAsia="Trebuchet MS" w:cs="Trebuchet MS" w:ascii="Trebuchet MS" w:hAnsi="Trebuchet MS"/>
          <w:b w:val="false"/>
          <w:bCs w:val="false"/>
          <w:u w:val="none"/>
        </w:rPr>
        <w:t>Looking at the national examples that are mentioned above, there is clear evidence of a differentiated impact that ICTs have on people of diverse genders and sexualities. Online and offline gender-based violence do not happen in vacuums separate from each other, gender-diverse people's lives online intersect frequently and in various complex ways with other areas of their lives, and violence in any one domain can often produce harm across other domains.</w:t>
      </w:r>
      <w:r>
        <w:rPr>
          <w:rStyle w:val="Ancladenotaalpie"/>
          <w:rFonts w:eastAsia="Trebuchet MS" w:cs="Trebuchet MS" w:ascii="Trebuchet MS" w:hAnsi="Trebuchet MS"/>
          <w:b w:val="false"/>
          <w:bCs w:val="false"/>
          <w:u w:val="none"/>
        </w:rPr>
        <w:footnoteReference w:id="26"/>
      </w:r>
      <w:r>
        <w:rPr>
          <w:rFonts w:eastAsia="Trebuchet MS" w:cs="Trebuchet MS" w:ascii="Trebuchet MS" w:hAnsi="Trebuchet MS"/>
          <w:b w:val="false"/>
          <w:bCs w:val="false"/>
          <w:u w:val="none"/>
        </w:rPr>
        <w:t xml:space="preserve"> Technology-facilitated gender-based violence (TFGBV) happens across sites and platforms and has diverse expressions, with many emerging concerns gender justice actors. These can include the doxxing and harassment, disinformation campaigns meant to discredit or incite violence against gender justice advocates, and the non-consensual sharing of intimate imagery and videos, particularly targeting young people.</w:t>
      </w:r>
      <w:r>
        <w:rPr>
          <w:rStyle w:val="Ancladenotaalpie"/>
          <w:rFonts w:eastAsia="Trebuchet MS" w:cs="Trebuchet MS" w:ascii="Trebuchet MS" w:hAnsi="Trebuchet MS"/>
          <w:b w:val="false"/>
          <w:bCs w:val="false"/>
          <w:u w:val="none"/>
        </w:rPr>
        <w:footnoteReference w:id="27"/>
      </w:r>
    </w:p>
    <w:tbl>
      <w:tblPr>
        <w:tblStyle w:val="1491"/>
        <w:tblW w:w="9355" w:type="dxa"/>
        <w:jc w:val="left"/>
        <w:tblInd w:w="0" w:type="dxa"/>
        <w:tblCellMar>
          <w:top w:w="0" w:type="dxa"/>
          <w:left w:w="108" w:type="dxa"/>
          <w:bottom w:w="0" w:type="dxa"/>
          <w:right w:w="108" w:type="dxa"/>
        </w:tblCellMar>
        <w:tblLook w:val="04a0" w:noHBand="0" w:noVBand="1" w:firstColumn="1" w:lastRow="0" w:lastColumn="0" w:firstRow="1"/>
      </w:tblPr>
      <w:tblGrid>
        <w:gridCol w:w="9355"/>
      </w:tblGrid>
      <w:tr>
        <w:trPr/>
        <w:tc>
          <w:tcPr>
            <w:tcW w:w="9355" w:type="dxa"/>
            <w:tcBorders/>
          </w:tcPr>
          <w:p>
            <w:pPr>
              <w:pStyle w:val="Normal"/>
              <w:pBdr/>
              <w:spacing w:lineRule="auto" w:line="240" w:before="0" w:after="0"/>
              <w:ind w:left="0" w:right="0" w:hanging="0"/>
              <w:jc w:val="both"/>
              <w:rPr/>
            </w:pPr>
            <w:r>
              <w:rPr>
                <w:rFonts w:eastAsia="Trebuchet MS" w:cs="Trebuchet MS" w:ascii="Trebuchet MS" w:hAnsi="Trebuchet MS"/>
                <w:b/>
                <w:color w:val="000000"/>
                <w:sz w:val="24"/>
                <w:szCs w:val="24"/>
                <w:u w:val="single"/>
              </w:rPr>
              <w:t>Supporting Safer Digital Spaces by Suzie Dunn, Tracy Vaillancourt and Heather Brittain</w:t>
            </w:r>
          </w:p>
          <w:p>
            <w:pPr>
              <w:pStyle w:val="Normal"/>
              <w:pBdr/>
              <w:spacing w:lineRule="auto" w:line="240" w:before="0" w:after="0"/>
              <w:ind w:left="0" w:right="0"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pBdr/>
              <w:spacing w:lineRule="auto" w:line="240" w:before="0" w:after="0"/>
              <w:ind w:left="0" w:right="0" w:hanging="0"/>
              <w:jc w:val="both"/>
              <w:rPr/>
            </w:pPr>
            <w:r>
              <w:rPr>
                <w:rFonts w:eastAsia="Trebuchet MS" w:cs="Trebuchet MS" w:ascii="Trebuchet MS" w:hAnsi="Trebuchet MS"/>
                <w:color w:val="000000"/>
                <w:sz w:val="22"/>
                <w:szCs w:val="22"/>
              </w:rPr>
              <w:t xml:space="preserve">As part of a multi-year research project </w:t>
            </w:r>
            <w:hyperlink r:id="rId7" w:tgtFrame="https://www.cigionline.org/activities/supporting-safer-internet/">
              <w:r>
                <w:rPr>
                  <w:rStyle w:val="EnlacedeInternet"/>
                  <w:rFonts w:eastAsia="Trebuchet MS" w:cs="Trebuchet MS" w:ascii="Trebuchet MS" w:hAnsi="Trebuchet MS"/>
                  <w:color w:val="0000EE"/>
                  <w:sz w:val="22"/>
                  <w:szCs w:val="22"/>
                  <w:u w:val="single"/>
                </w:rPr>
                <w:t>Supporting a Safer Internet</w:t>
              </w:r>
            </w:hyperlink>
            <w:r>
              <w:rPr>
                <w:rFonts w:eastAsia="Trebuchet MS" w:cs="Trebuchet MS" w:ascii="Trebuchet MS" w:hAnsi="Trebuchet MS"/>
                <w:color w:val="000000"/>
                <w:sz w:val="22"/>
                <w:szCs w:val="22"/>
              </w:rPr>
              <w:t xml:space="preserve"> explores the prevalence and impacts of TFGBV experienced by women, transgender, gender non-conforming and gender-diverse people, as well as TFV against LGBTQ+ individuals, through an international survey. The survey examined the influence of gender and sexual orientation on people’s experiences with online harms, with a focus on countries in the Global South. Data was collected from 18,149 people of all genders in 18 countries.</w:t>
            </w:r>
          </w:p>
          <w:p>
            <w:pPr>
              <w:pStyle w:val="Normal"/>
              <w:pBdr/>
              <w:spacing w:lineRule="auto" w:line="240" w:before="0" w:after="0"/>
              <w:ind w:left="0" w:right="0" w:hanging="0"/>
              <w:jc w:val="both"/>
              <w:rPr>
                <w:rFonts w:ascii="Trebuchet MS" w:hAnsi="Trebuchet MS" w:cs="Trebuchet MS"/>
                <w:b w:val="false"/>
                <w:b w:val="false"/>
                <w:bCs w:val="false"/>
                <w:sz w:val="22"/>
                <w:szCs w:val="22"/>
                <w:u w:val="none"/>
              </w:rPr>
            </w:pPr>
            <w:r>
              <w:rPr>
                <w:rFonts w:cs="Trebuchet MS" w:ascii="Trebuchet MS" w:hAnsi="Trebuchet MS"/>
                <w:b w:val="false"/>
                <w:bCs w:val="false"/>
                <w:sz w:val="22"/>
                <w:szCs w:val="22"/>
                <w:u w:val="none"/>
              </w:rPr>
            </w:r>
          </w:p>
          <w:p>
            <w:pPr>
              <w:pStyle w:val="Normal"/>
              <w:pBdr/>
              <w:spacing w:lineRule="auto" w:line="240" w:before="0" w:after="0"/>
              <w:ind w:left="0" w:right="0" w:hanging="0"/>
              <w:jc w:val="both"/>
              <w:rPr/>
            </w:pPr>
            <w:r>
              <w:rPr>
                <w:rFonts w:eastAsia="Trebuchet MS" w:cs="Trebuchet MS" w:ascii="Trebuchet MS" w:hAnsi="Trebuchet MS"/>
                <w:b w:val="false"/>
                <w:bCs w:val="false"/>
                <w:color w:val="000000"/>
                <w:sz w:val="22"/>
                <w:szCs w:val="22"/>
                <w:u w:val="none"/>
              </w:rPr>
              <w:t xml:space="preserve">Some of the </w:t>
            </w:r>
            <w:hyperlink r:id="rId8" w:tgtFrame="https://www.cigionline.org/static/documents/OGBV_Highlights_web.pdf">
              <w:r>
                <w:rPr>
                  <w:rStyle w:val="EnlacedeInternet"/>
                  <w:rFonts w:eastAsia="Trebuchet MS" w:cs="Trebuchet MS" w:ascii="Trebuchet MS" w:hAnsi="Trebuchet MS"/>
                  <w:b w:val="false"/>
                  <w:bCs w:val="false"/>
                  <w:sz w:val="22"/>
                  <w:szCs w:val="22"/>
                </w:rPr>
                <w:t>key findings</w:t>
              </w:r>
            </w:hyperlink>
            <w:r>
              <w:rPr>
                <w:rFonts w:eastAsia="Trebuchet MS" w:cs="Trebuchet MS" w:ascii="Trebuchet MS" w:hAnsi="Trebuchet MS"/>
                <w:b w:val="false"/>
                <w:bCs w:val="false"/>
                <w:color w:val="000000"/>
                <w:sz w:val="22"/>
                <w:szCs w:val="22"/>
                <w:u w:val="none"/>
              </w:rPr>
              <w:t xml:space="preserve"> of this research are: </w:t>
            </w:r>
          </w:p>
          <w:p>
            <w:pPr>
              <w:pStyle w:val="Normal"/>
              <w:pBdr/>
              <w:spacing w:lineRule="auto" w:line="240" w:before="0" w:after="0"/>
              <w:ind w:left="0" w:right="0" w:hanging="0"/>
              <w:jc w:val="both"/>
              <w:rPr>
                <w:rFonts w:ascii="Trebuchet MS" w:hAnsi="Trebuchet MS" w:cs="Trebuchet MS"/>
                <w:b w:val="false"/>
                <w:b w:val="false"/>
                <w:bCs w:val="false"/>
                <w:sz w:val="22"/>
                <w:szCs w:val="22"/>
                <w:u w:val="none"/>
              </w:rPr>
            </w:pPr>
            <w:r>
              <w:rPr>
                <w:rFonts w:cs="Trebuchet MS" w:ascii="Trebuchet MS" w:hAnsi="Trebuchet MS"/>
                <w:b w:val="false"/>
                <w:bCs w:val="false"/>
                <w:sz w:val="22"/>
                <w:szCs w:val="22"/>
                <w:u w:val="none"/>
              </w:rPr>
            </w:r>
          </w:p>
          <w:p>
            <w:pPr>
              <w:pStyle w:val="ListParagraph"/>
              <w:numPr>
                <w:ilvl w:val="0"/>
                <w:numId w:val="1"/>
              </w:numPr>
              <w:pBdr/>
              <w:spacing w:lineRule="auto" w:line="240" w:before="0" w:after="0"/>
              <w:ind w:left="709" w:right="0" w:hanging="360"/>
              <w:contextualSpacing/>
              <w:jc w:val="both"/>
              <w:rPr/>
            </w:pPr>
            <w:r>
              <w:rPr>
                <w:rFonts w:eastAsia="Trebuchet MS" w:cs="Trebuchet MS" w:ascii="Trebuchet MS" w:hAnsi="Trebuchet MS"/>
                <w:b w:val="false"/>
                <w:bCs w:val="false"/>
                <w:color w:val="000000"/>
                <w:sz w:val="22"/>
                <w:szCs w:val="22"/>
                <w:u w:val="none"/>
              </w:rPr>
              <w:t>Transgender and gender-diverse people reported the highest proportion of incidents experienced.</w:t>
            </w:r>
          </w:p>
          <w:p>
            <w:pPr>
              <w:pStyle w:val="ListParagraph"/>
              <w:numPr>
                <w:ilvl w:val="0"/>
                <w:numId w:val="1"/>
              </w:numPr>
              <w:pBdr/>
              <w:spacing w:lineRule="auto" w:line="240" w:before="0" w:after="0"/>
              <w:ind w:left="709" w:right="0" w:hanging="360"/>
              <w:contextualSpacing/>
              <w:jc w:val="both"/>
              <w:rPr/>
            </w:pPr>
            <w:r>
              <w:rPr>
                <w:rFonts w:eastAsia="Trebuchet MS" w:cs="Trebuchet MS" w:ascii="Trebuchet MS" w:hAnsi="Trebuchet MS"/>
                <w:b w:val="false"/>
                <w:bCs w:val="false"/>
                <w:color w:val="000000"/>
                <w:sz w:val="22"/>
                <w:szCs w:val="22"/>
                <w:u w:val="none"/>
              </w:rPr>
              <w:t>LGBTQ+ people were much more likely to report a serious impact from online harms compared to heterosexual and cisgendered people.</w:t>
            </w:r>
          </w:p>
          <w:p>
            <w:pPr>
              <w:pStyle w:val="ListParagraph"/>
              <w:numPr>
                <w:ilvl w:val="0"/>
                <w:numId w:val="1"/>
              </w:numPr>
              <w:pBdr/>
              <w:spacing w:lineRule="auto" w:line="240" w:before="0" w:after="0"/>
              <w:ind w:left="709" w:right="0" w:hanging="360"/>
              <w:contextualSpacing/>
              <w:jc w:val="both"/>
              <w:rPr/>
            </w:pPr>
            <w:r>
              <w:rPr>
                <w:rFonts w:eastAsia="Trebuchet MS" w:cs="Trebuchet MS" w:ascii="Trebuchet MS" w:hAnsi="Trebuchet MS"/>
                <w:b w:val="false"/>
                <w:bCs w:val="false"/>
                <w:color w:val="000000"/>
                <w:sz w:val="22"/>
                <w:szCs w:val="22"/>
                <w:u w:val="none"/>
              </w:rPr>
              <w:t>People identifying as lesbian, gay, bisexual and other sexualities (LGB+) reported some of the most negative effects on their mental health (35.8 percent) (compared to heterosexual people); higher proportions of transgender and gender-diverse people (29.8 percent) and women (29.4 percent) reported very negative impacts on their mental health than men (21.8 percent).</w:t>
            </w:r>
          </w:p>
          <w:p>
            <w:pPr>
              <w:pStyle w:val="Normal"/>
              <w:pBdr/>
              <w:spacing w:lineRule="auto" w:line="240" w:before="0" w:after="0"/>
              <w:ind w:right="0" w:hanging="0"/>
              <w:jc w:val="both"/>
              <w:rPr>
                <w:rFonts w:ascii="Trebuchet MS" w:hAnsi="Trebuchet MS" w:eastAsia="Trebuchet MS" w:cs="Trebuchet MS"/>
                <w:b w:val="false"/>
                <w:b w:val="false"/>
                <w:bCs w:val="false"/>
                <w:color w:val="000000"/>
                <w:sz w:val="22"/>
                <w:szCs w:val="22"/>
                <w:u w:val="none"/>
              </w:rPr>
            </w:pPr>
            <w:r>
              <w:rPr>
                <w:rFonts w:eastAsia="Trebuchet MS" w:cs="Trebuchet MS" w:ascii="Trebuchet MS" w:hAnsi="Trebuchet MS"/>
                <w:b w:val="false"/>
                <w:bCs w:val="false"/>
                <w:color w:val="000000"/>
                <w:sz w:val="22"/>
                <w:szCs w:val="22"/>
                <w:u w:val="none"/>
              </w:rPr>
            </w:r>
          </w:p>
          <w:p>
            <w:pPr>
              <w:pStyle w:val="Normal"/>
              <w:pBdr/>
              <w:spacing w:lineRule="auto" w:line="240" w:before="0" w:after="0"/>
              <w:ind w:right="0" w:hanging="0"/>
              <w:jc w:val="both"/>
              <w:rPr/>
            </w:pPr>
            <w:r>
              <w:rPr>
                <w:rFonts w:eastAsia="Trebuchet MS" w:cs="Trebuchet MS" w:ascii="Trebuchet MS" w:hAnsi="Trebuchet MS"/>
                <w:b w:val="false"/>
                <w:bCs w:val="false"/>
                <w:color w:val="000000"/>
                <w:sz w:val="22"/>
                <w:szCs w:val="22"/>
                <w:u w:val="none"/>
              </w:rPr>
              <w:t xml:space="preserve">Survey findings </w:t>
            </w:r>
            <w:hyperlink r:id="rId9" w:tgtFrame="https://www.cigionline.org/activities/supporting-safer-internet/">
              <w:r>
                <w:rPr>
                  <w:rStyle w:val="EnlacedeInternet"/>
                  <w:rFonts w:eastAsia="Trebuchet MS" w:cs="Trebuchet MS" w:ascii="Trebuchet MS" w:hAnsi="Trebuchet MS"/>
                  <w:b w:val="false"/>
                  <w:bCs w:val="false"/>
                  <w:sz w:val="22"/>
                  <w:szCs w:val="22"/>
                </w:rPr>
                <w:t>by country</w:t>
              </w:r>
            </w:hyperlink>
            <w:r>
              <w:rPr>
                <w:rFonts w:eastAsia="Trebuchet MS" w:cs="Trebuchet MS" w:ascii="Trebuchet MS" w:hAnsi="Trebuchet MS"/>
                <w:b w:val="false"/>
                <w:bCs w:val="false"/>
                <w:color w:val="000000"/>
                <w:sz w:val="22"/>
                <w:szCs w:val="22"/>
                <w:u w:val="none"/>
              </w:rPr>
              <w:t xml:space="preserve"> can be downloaded on their website. </w:t>
            </w:r>
          </w:p>
          <w:p>
            <w:pPr>
              <w:pStyle w:val="Normal"/>
              <w:pBdr/>
              <w:spacing w:lineRule="atLeast" w:line="276" w:before="0" w:after="0"/>
              <w:jc w:val="both"/>
              <w:rPr>
                <w:rFonts w:ascii="Trebuchet MS" w:hAnsi="Trebuchet MS" w:eastAsia="Trebuchet MS" w:cs="Trebuchet MS"/>
                <w:b w:val="false"/>
                <w:b w:val="false"/>
                <w:bCs w:val="false"/>
                <w:u w:val="none"/>
              </w:rPr>
            </w:pPr>
            <w:r>
              <w:rPr>
                <w:rFonts w:eastAsia="Trebuchet MS" w:cs="Trebuchet MS" w:ascii="Trebuchet MS" w:hAnsi="Trebuchet MS"/>
                <w:b w:val="false"/>
                <w:bCs w:val="false"/>
                <w:u w:val="none"/>
              </w:rPr>
            </w:r>
          </w:p>
        </w:tc>
      </w:tr>
    </w:tbl>
    <w:p>
      <w:pPr>
        <w:pStyle w:val="Normal"/>
        <w:pBdr/>
        <w:spacing w:lineRule="atLeast" w:line="276"/>
        <w:ind w:left="0" w:right="0" w:hanging="0"/>
        <w:jc w:val="both"/>
        <w:rPr>
          <w:rFonts w:ascii="Trebuchet MS" w:hAnsi="Trebuchet MS" w:eastAsia="Trebuchet MS" w:cs="Trebuchet MS"/>
          <w:b w:val="false"/>
          <w:b w:val="false"/>
          <w:bCs w:val="false"/>
          <w:u w:val="none"/>
        </w:rPr>
      </w:pPr>
      <w:r>
        <w:rPr>
          <w:rFonts w:eastAsia="Trebuchet MS" w:cs="Trebuchet MS" w:ascii="Trebuchet MS" w:hAnsi="Trebuchet MS"/>
          <w:b w:val="false"/>
          <w:bCs w:val="false"/>
          <w:u w:val="none"/>
        </w:rPr>
      </w:r>
    </w:p>
    <w:tbl>
      <w:tblPr>
        <w:tblStyle w:val="1491"/>
        <w:tblW w:w="9355" w:type="dxa"/>
        <w:jc w:val="left"/>
        <w:tblInd w:w="0" w:type="dxa"/>
        <w:tblCellMar>
          <w:top w:w="0" w:type="dxa"/>
          <w:left w:w="108" w:type="dxa"/>
          <w:bottom w:w="0" w:type="dxa"/>
          <w:right w:w="108" w:type="dxa"/>
        </w:tblCellMar>
        <w:tblLook w:val="04a0" w:noHBand="0" w:noVBand="1" w:firstColumn="1" w:lastRow="0" w:lastColumn="0" w:firstRow="1"/>
      </w:tblPr>
      <w:tblGrid>
        <w:gridCol w:w="9355"/>
      </w:tblGrid>
      <w:tr>
        <w:trPr/>
        <w:tc>
          <w:tcPr>
            <w:tcW w:w="9355" w:type="dxa"/>
            <w:tcBorders/>
          </w:tcPr>
          <w:p>
            <w:pPr>
              <w:pStyle w:val="Normal"/>
              <w:pBdr/>
              <w:spacing w:lineRule="auto" w:line="276" w:before="0" w:after="0"/>
              <w:ind w:right="0" w:hanging="0"/>
              <w:jc w:val="both"/>
              <w:rPr/>
            </w:pPr>
            <w:r>
              <w:rPr>
                <w:rFonts w:eastAsia="Trebuchet MS" w:cs="Trebuchet MS" w:ascii="Trebuchet MS" w:hAnsi="Trebuchet MS"/>
                <w:b/>
                <w:bCs/>
                <w:color w:val="000000"/>
                <w:sz w:val="24"/>
                <w:szCs w:val="24"/>
                <w:u w:val="single"/>
              </w:rPr>
              <w:t xml:space="preserve">TF GBV </w:t>
            </w:r>
            <w:r>
              <w:rPr>
                <w:rFonts w:eastAsia="Trebuchet MS" w:cs="Trebuchet MS" w:ascii="Trebuchet MS" w:hAnsi="Trebuchet MS"/>
                <w:b/>
                <w:bCs/>
                <w:sz w:val="24"/>
                <w:szCs w:val="24"/>
                <w:u w:val="single"/>
              </w:rPr>
              <w:t>experienced by transgender, non-binary and gender-diverse (TNBGD) people</w:t>
            </w:r>
            <w:r>
              <w:rPr>
                <w:rFonts w:eastAsia="Trebuchet MS" w:cs="Trebuchet MS" w:ascii="Trebuchet MS" w:hAnsi="Trebuchet MS"/>
                <w:b/>
                <w:bCs/>
                <w:color w:val="000000"/>
                <w:sz w:val="24"/>
                <w:szCs w:val="24"/>
                <w:u w:val="single"/>
              </w:rPr>
              <w:t xml:space="preserve"> in Botswana, Rwanda, South Africa and Uganda by t</w:t>
            </w:r>
            <w:r>
              <w:rPr>
                <w:rFonts w:eastAsia="Trebuchet MS" w:cs="Trebuchet MS" w:ascii="Trebuchet MS" w:hAnsi="Trebuchet MS"/>
                <w:b/>
                <w:bCs/>
                <w:sz w:val="24"/>
                <w:szCs w:val="24"/>
                <w:u w:val="single"/>
              </w:rPr>
              <w:t>he Left Out Project</w:t>
            </w:r>
          </w:p>
          <w:p>
            <w:pPr>
              <w:pStyle w:val="Normal"/>
              <w:pBdr/>
              <w:spacing w:lineRule="atLeast" w:line="276" w:before="0" w:after="0"/>
              <w:ind w:left="0" w:right="0" w:hanging="0"/>
              <w:jc w:val="both"/>
              <w:rPr>
                <w:rFonts w:ascii="Trebuchet MS" w:hAnsi="Trebuchet MS" w:eastAsia="Trebuchet MS" w:cs="Trebuchet MS"/>
                <w:b w:val="false"/>
                <w:b w:val="false"/>
                <w:bCs w:val="false"/>
                <w:u w:val="none"/>
              </w:rPr>
            </w:pPr>
            <w:r>
              <w:rPr>
                <w:rFonts w:eastAsia="Trebuchet MS" w:cs="Trebuchet MS" w:ascii="Trebuchet MS" w:hAnsi="Trebuchet MS"/>
                <w:b w:val="false"/>
                <w:bCs w:val="false"/>
                <w:u w:val="none"/>
              </w:rPr>
            </w:r>
          </w:p>
          <w:p>
            <w:pPr>
              <w:pStyle w:val="Normal"/>
              <w:pBdr/>
              <w:spacing w:lineRule="atLeast" w:line="276" w:before="0" w:after="0"/>
              <w:ind w:left="0" w:right="0" w:hanging="0"/>
              <w:jc w:val="both"/>
              <w:rPr/>
            </w:pPr>
            <w:r>
              <w:rPr>
                <w:rFonts w:eastAsia="Trebuchet MS" w:cs="Trebuchet MS" w:ascii="Trebuchet MS" w:hAnsi="Trebuchet MS"/>
                <w:b w:val="false"/>
                <w:bCs w:val="false"/>
                <w:u w:val="none"/>
              </w:rPr>
              <w:t xml:space="preserve">The outcomes from </w:t>
            </w:r>
            <w:hyperlink r:id="rId10" w:tgtFrame="https://firn.genderit.org/sites/default/files/2023-08/The-Left-Out-Project-Report.pdf">
              <w:r>
                <w:rPr>
                  <w:rStyle w:val="EnlacedeInternet"/>
                  <w:rFonts w:eastAsia="Trebuchet MS" w:cs="Trebuchet MS" w:ascii="Trebuchet MS" w:hAnsi="Trebuchet MS"/>
                  <w:b w:val="false"/>
                  <w:bCs w:val="false"/>
                </w:rPr>
                <w:t>The Left Our Project Report</w:t>
              </w:r>
            </w:hyperlink>
            <w:r>
              <w:rPr>
                <w:rFonts w:eastAsia="Trebuchet MS" w:cs="Trebuchet MS" w:ascii="Trebuchet MS" w:hAnsi="Trebuchet MS"/>
                <w:b w:val="false"/>
                <w:bCs w:val="false"/>
                <w:u w:val="none"/>
              </w:rPr>
              <w:t xml:space="preserve"> show that t</w:t>
            </w:r>
            <w:r>
              <w:rPr>
                <w:rFonts w:eastAsia="Trebuchet MS" w:cs="Trebuchet MS" w:ascii="Trebuchet MS" w:hAnsi="Trebuchet MS"/>
              </w:rPr>
              <w:t>he discourse and realities of online and on the ground for TNBGD people are becoming more hostile. The research was conducted in September and October 2022 with 29 adult individuals 18 years and older who reside in Botswana, Rwanda, South  Africa and Uganda. Researchers selected two countries where LGBTQIA+ rights are legalised, namely Botswana and South Africa, and two countries where LGBTQIA+ rights are not protected, these countries being Rwanda and Uganda.The reasoning behind this would be to explore similarities and differences in TNBGD people’s experiences of OGBV and the common themes that emerge across some or all of the countries. The violence experienced by participants was found to be in four key forms: dismissal of gender identity; sharing of images without permission; hateful comments; and threats of violence and death.</w:t>
            </w:r>
            <w:r>
              <w:rPr>
                <w:rFonts w:eastAsia="Trebuchet MS" w:cs="Trebuchet MS" w:ascii="Trebuchet MS" w:hAnsi="Trebuchet MS"/>
                <w:b w:val="false"/>
                <w:bCs w:val="false"/>
                <w:u w:val="none"/>
              </w:rPr>
              <w:t xml:space="preserve"> </w:t>
            </w:r>
            <w:r>
              <w:rPr>
                <w:rFonts w:eastAsia="Trebuchet MS" w:cs="Trebuchet MS" w:ascii="Trebuchet MS" w:hAnsi="Trebuchet MS"/>
              </w:rPr>
              <w:t>Participants spoke of the internet and social media platforms as being largely unsafe for TNBGD people, and how when they posted any content online – be it their pronouns, images, thoughts or experiences – they  were almost immediately targeted by transphobic individuals. Some participants also expressed concerns over potential government surveillance. Moreover, participants spoke of using the following strategies to stay safe: blocking; avoidance; and use of closed groups. Participants reported that platforms did not take their experiences of violence seriously and some of the participants were not aware of reporting tools on platforms</w:t>
            </w:r>
            <w:r>
              <w:rPr>
                <w:rFonts w:eastAsia="Trebuchet MS" w:cs="Trebuchet MS" w:ascii="Trebuchet MS" w:hAnsi="Trebuchet MS"/>
                <w:b w:val="false"/>
                <w:bCs w:val="false"/>
                <w:u w:val="none"/>
              </w:rPr>
              <w:t xml:space="preserve">. Participants also appeared to be resigned to the idea that violence against them was inevitable. </w:t>
            </w:r>
          </w:p>
          <w:p>
            <w:pPr>
              <w:pStyle w:val="Normal"/>
              <w:pBdr/>
              <w:spacing w:lineRule="atLeast" w:line="276" w:before="0" w:after="0"/>
              <w:jc w:val="both"/>
              <w:rPr>
                <w:rFonts w:ascii="Trebuchet MS" w:hAnsi="Trebuchet MS" w:eastAsia="Trebuchet MS" w:cs="Trebuchet MS"/>
                <w:b w:val="false"/>
                <w:b w:val="false"/>
                <w:bCs w:val="false"/>
                <w:u w:val="none"/>
              </w:rPr>
            </w:pPr>
            <w:r>
              <w:rPr>
                <w:rFonts w:eastAsia="Trebuchet MS" w:cs="Trebuchet MS" w:ascii="Trebuchet MS" w:hAnsi="Trebuchet MS"/>
                <w:b w:val="false"/>
                <w:bCs w:val="false"/>
                <w:u w:val="none"/>
              </w:rPr>
            </w:r>
          </w:p>
        </w:tc>
      </w:tr>
    </w:tbl>
    <w:p>
      <w:pPr>
        <w:pStyle w:val="Normal"/>
        <w:pBdr/>
        <w:spacing w:lineRule="atLeast" w:line="276"/>
        <w:ind w:left="0" w:right="0" w:hanging="0"/>
        <w:jc w:val="both"/>
        <w:rPr>
          <w:rFonts w:ascii="Trebuchet MS" w:hAnsi="Trebuchet MS" w:eastAsia="Trebuchet MS" w:cs="Trebuchet MS"/>
          <w:b w:val="false"/>
          <w:b w:val="false"/>
          <w:bCs w:val="false"/>
          <w:u w:val="none"/>
        </w:rPr>
      </w:pPr>
      <w:r>
        <w:rPr>
          <w:rFonts w:eastAsia="Trebuchet MS" w:cs="Trebuchet MS" w:ascii="Trebuchet MS" w:hAnsi="Trebuchet MS"/>
          <w:b w:val="false"/>
          <w:bCs w:val="false"/>
          <w:u w:val="none"/>
        </w:rPr>
      </w:r>
    </w:p>
    <w:p>
      <w:pPr>
        <w:pStyle w:val="Normal"/>
        <w:pBdr/>
        <w:spacing w:lineRule="atLeast" w:line="276"/>
        <w:ind w:left="0" w:right="0" w:hanging="0"/>
        <w:jc w:val="both"/>
        <w:rPr>
          <w:rFonts w:ascii="Trebuchet MS" w:hAnsi="Trebuchet MS" w:eastAsia="Trebuchet MS" w:cs="Trebuchet MS"/>
          <w:b w:val="false"/>
          <w:b w:val="false"/>
          <w:bCs w:val="false"/>
          <w:u w:val="none"/>
        </w:rPr>
      </w:pPr>
      <w:r>
        <w:rPr>
          <w:rFonts w:eastAsia="Trebuchet MS" w:cs="Trebuchet MS" w:ascii="Trebuchet MS" w:hAnsi="Trebuchet MS"/>
          <w:b w:val="false"/>
          <w:bCs w:val="false"/>
          <w:u w:val="none"/>
        </w:rPr>
      </w:r>
    </w:p>
    <w:tbl>
      <w:tblPr>
        <w:tblStyle w:val="1491"/>
        <w:tblW w:w="9355" w:type="dxa"/>
        <w:jc w:val="left"/>
        <w:tblInd w:w="0" w:type="dxa"/>
        <w:tblCellMar>
          <w:top w:w="0" w:type="dxa"/>
          <w:left w:w="108" w:type="dxa"/>
          <w:bottom w:w="0" w:type="dxa"/>
          <w:right w:w="108" w:type="dxa"/>
        </w:tblCellMar>
        <w:tblLook w:val="04a0" w:noHBand="0" w:noVBand="1" w:firstColumn="1" w:lastRow="0" w:lastColumn="0" w:firstRow="1"/>
      </w:tblPr>
      <w:tblGrid>
        <w:gridCol w:w="9355"/>
      </w:tblGrid>
      <w:tr>
        <w:trPr/>
        <w:tc>
          <w:tcPr>
            <w:tcW w:w="9355" w:type="dxa"/>
            <w:tcBorders/>
          </w:tcPr>
          <w:p>
            <w:pPr>
              <w:pStyle w:val="Normal"/>
              <w:pBdr/>
              <w:spacing w:lineRule="atLeast" w:line="276" w:before="0" w:after="0"/>
              <w:ind w:left="0" w:right="0" w:hanging="0"/>
              <w:jc w:val="both"/>
              <w:rPr/>
            </w:pPr>
            <w:r>
              <w:rPr>
                <w:rFonts w:eastAsia="Trebuchet MS" w:cs="Trebuchet MS" w:ascii="Trebuchet MS" w:hAnsi="Trebuchet MS"/>
                <w:b/>
                <w:bCs/>
                <w:sz w:val="24"/>
                <w:szCs w:val="24"/>
                <w:u w:val="single"/>
              </w:rPr>
              <w:t>“</w:t>
            </w:r>
            <w:r>
              <w:rPr>
                <w:rFonts w:eastAsia="Trebuchet MS" w:cs="Trebuchet MS" w:ascii="Trebuchet MS" w:hAnsi="Trebuchet MS"/>
                <w:b/>
                <w:bCs/>
                <w:sz w:val="24"/>
                <w:szCs w:val="24"/>
                <w:u w:val="single"/>
              </w:rPr>
              <w:t>All of a Sudden... Research on digital violence against LGBTQI+ communities in Turkiye by Kaos GL Association</w:t>
            </w:r>
          </w:p>
          <w:p>
            <w:pPr>
              <w:pStyle w:val="Normal"/>
              <w:pBdr/>
              <w:spacing w:lineRule="atLeast" w:line="276" w:before="0" w:after="0"/>
              <w:ind w:left="0" w:right="0" w:hanging="0"/>
              <w:jc w:val="both"/>
              <w:rPr>
                <w:rFonts w:ascii="Trebuchet MS" w:hAnsi="Trebuchet MS" w:eastAsia="Trebuchet MS" w:cs="Trebuchet MS"/>
                <w:b w:val="false"/>
                <w:b w:val="false"/>
                <w:bCs w:val="false"/>
              </w:rPr>
            </w:pPr>
            <w:r>
              <w:rPr>
                <w:rFonts w:eastAsia="Trebuchet MS" w:cs="Trebuchet MS" w:ascii="Trebuchet MS" w:hAnsi="Trebuchet MS"/>
                <w:b w:val="false"/>
                <w:bCs w:val="false"/>
              </w:rPr>
            </w:r>
          </w:p>
          <w:p>
            <w:pPr>
              <w:pStyle w:val="Normal"/>
              <w:pBdr/>
              <w:spacing w:lineRule="atLeast" w:line="276" w:before="0" w:after="0"/>
              <w:ind w:left="0" w:right="0" w:hanging="0"/>
              <w:jc w:val="both"/>
              <w:rPr/>
            </w:pPr>
            <w:r>
              <w:rPr>
                <w:rFonts w:eastAsia="Trebuchet MS" w:cs="Trebuchet MS" w:ascii="Trebuchet MS" w:hAnsi="Trebuchet MS"/>
                <w:b w:val="false"/>
                <w:bCs w:val="false"/>
              </w:rPr>
              <w:t>In Türkiye, a vast majority of the hate crimes triggered by homophobia and transphobia are committed in schools, homes and neighbourhoods, public transportation or stops, at the cafés and bars, and on the streets and other public places.</w:t>
            </w:r>
            <w:r>
              <w:rPr>
                <w:rStyle w:val="Ancladenotaalpie"/>
                <w:rFonts w:eastAsia="Trebuchet MS" w:cs="Trebuchet MS" w:ascii="Trebuchet MS" w:hAnsi="Trebuchet MS"/>
                <w:b w:val="false"/>
                <w:bCs w:val="false"/>
              </w:rPr>
              <w:footnoteReference w:id="28"/>
            </w:r>
            <w:r>
              <w:rPr>
                <w:rFonts w:eastAsia="Trebuchet MS" w:cs="Trebuchet MS" w:ascii="Trebuchet MS" w:hAnsi="Trebuchet MS"/>
                <w:b w:val="false"/>
                <w:bCs w:val="false"/>
              </w:rPr>
              <w:t xml:space="preserve"> Research conducted by Kaos GL Association called </w:t>
            </w:r>
            <w:hyperlink r:id="rId11" w:tgtFrame="https://firn.genderit.org/research/all-suddenresearch-digital-violence-against-lgbtqi-communities-turkiye">
              <w:r>
                <w:rPr>
                  <w:rStyle w:val="EnlacedeInternet"/>
                  <w:rFonts w:eastAsia="Trebuchet MS" w:cs="Trebuchet MS" w:ascii="Trebuchet MS" w:hAnsi="Trebuchet MS"/>
                  <w:b w:val="false"/>
                  <w:bCs w:val="false"/>
                </w:rPr>
                <w:t>“All of a Sudden... Research on digital violence against LGBTQI+ communities in Turkiye”</w:t>
              </w:r>
            </w:hyperlink>
            <w:r>
              <w:rPr>
                <w:rFonts w:eastAsia="Trebuchet MS" w:cs="Trebuchet MS" w:ascii="Trebuchet MS" w:hAnsi="Trebuchet MS"/>
                <w:b w:val="false"/>
                <w:bCs w:val="false"/>
              </w:rPr>
              <w:t xml:space="preserve"> showed that, on average, each victim that was interviewed experienced violation of rights more than two times: 117 respondents cited 267 types of violation of rights. Generally, hate speech based on sexual orientation and sexual identity, and threats of excessive violence (torture) were accompanied by "more severe" violations.</w:t>
            </w:r>
          </w:p>
          <w:p>
            <w:pPr>
              <w:pStyle w:val="Normal"/>
              <w:pBdr/>
              <w:spacing w:lineRule="atLeast" w:line="276" w:before="0" w:after="0"/>
              <w:ind w:left="0" w:right="0" w:hanging="0"/>
              <w:jc w:val="both"/>
              <w:rPr>
                <w:rFonts w:ascii="Trebuchet MS" w:hAnsi="Trebuchet MS" w:eastAsia="Trebuchet MS" w:cs="Trebuchet MS"/>
                <w:b w:val="false"/>
                <w:b w:val="false"/>
                <w:bCs w:val="false"/>
              </w:rPr>
            </w:pPr>
            <w:r>
              <w:rPr>
                <w:rFonts w:eastAsia="Trebuchet MS" w:cs="Trebuchet MS" w:ascii="Trebuchet MS" w:hAnsi="Trebuchet MS"/>
                <w:b w:val="false"/>
                <w:bCs w:val="false"/>
              </w:rPr>
            </w:r>
          </w:p>
          <w:p>
            <w:pPr>
              <w:pStyle w:val="Normal"/>
              <w:pBdr/>
              <w:spacing w:lineRule="atLeast" w:line="276" w:before="0" w:after="0"/>
              <w:ind w:left="0" w:right="0" w:hanging="0"/>
              <w:jc w:val="both"/>
              <w:rPr/>
            </w:pPr>
            <w:r>
              <w:rPr>
                <w:rFonts w:eastAsia="Trebuchet MS" w:cs="Trebuchet MS" w:ascii="Trebuchet MS" w:hAnsi="Trebuchet MS"/>
                <w:b w:val="false"/>
                <w:bCs w:val="false"/>
              </w:rPr>
              <w:t>The study showed that the violence against LGBTQI+ individuals on the internet begins with insults and swearing. It escalates to threats, blackmail, harassment, persistent stalking, using names assigned at birth, sharing personal information and images without consent, restriction of internet access, and hate campaigns. The person is often subject to digital violence more than once. Targeting and hate campaigns that start all of a sudden become widespread very rapidly through the common involvement of perpetrators with diverse affiliations, acquiring a dimension that threatens even the physical safety of the target.</w:t>
            </w:r>
          </w:p>
          <w:p>
            <w:pPr>
              <w:pStyle w:val="Normal"/>
              <w:pBdr/>
              <w:spacing w:lineRule="atLeast" w:line="276" w:before="0" w:after="0"/>
              <w:ind w:left="0" w:right="0" w:hanging="0"/>
              <w:jc w:val="both"/>
              <w:rPr>
                <w:rFonts w:ascii="Trebuchet MS" w:hAnsi="Trebuchet MS" w:eastAsia="Trebuchet MS" w:cs="Trebuchet MS"/>
                <w:b w:val="false"/>
                <w:b w:val="false"/>
                <w:bCs w:val="false"/>
              </w:rPr>
            </w:pPr>
            <w:r>
              <w:rPr>
                <w:rFonts w:eastAsia="Trebuchet MS" w:cs="Trebuchet MS" w:ascii="Trebuchet MS" w:hAnsi="Trebuchet MS"/>
                <w:b w:val="false"/>
                <w:bCs w:val="false"/>
              </w:rPr>
            </w:r>
          </w:p>
          <w:p>
            <w:pPr>
              <w:pStyle w:val="Normal"/>
              <w:pBdr/>
              <w:spacing w:lineRule="atLeast" w:line="276" w:before="0" w:after="0"/>
              <w:ind w:left="0" w:right="0" w:hanging="0"/>
              <w:jc w:val="both"/>
              <w:rPr/>
            </w:pPr>
            <w:r>
              <w:rPr>
                <w:rFonts w:eastAsia="Trebuchet MS" w:cs="Trebuchet MS" w:ascii="Trebuchet MS" w:hAnsi="Trebuchet MS"/>
                <w:b w:val="false"/>
                <w:bCs w:val="false"/>
              </w:rPr>
              <w:t xml:space="preserve">The most striking result of our research is that nine out of every 10 LGBTQI+ persons are subject to digital violence and they witness hate speech almost on a daily basis on the internet. </w:t>
            </w:r>
          </w:p>
          <w:p>
            <w:pPr>
              <w:pStyle w:val="Normal"/>
              <w:pBdr/>
              <w:spacing w:lineRule="atLeast" w:line="276" w:before="0" w:after="0"/>
              <w:jc w:val="both"/>
              <w:rPr>
                <w:rFonts w:ascii="Trebuchet MS" w:hAnsi="Trebuchet MS" w:eastAsia="Trebuchet MS" w:cs="Trebuchet MS"/>
                <w:b w:val="false"/>
                <w:b w:val="false"/>
                <w:bCs w:val="false"/>
                <w:u w:val="none"/>
              </w:rPr>
            </w:pPr>
            <w:r>
              <w:rPr>
                <w:rFonts w:eastAsia="Trebuchet MS" w:cs="Trebuchet MS" w:ascii="Trebuchet MS" w:hAnsi="Trebuchet MS"/>
                <w:b w:val="false"/>
                <w:bCs w:val="false"/>
                <w:u w:val="none"/>
              </w:rPr>
            </w:r>
          </w:p>
        </w:tc>
      </w:tr>
    </w:tbl>
    <w:p>
      <w:pPr>
        <w:pStyle w:val="Normal"/>
        <w:pBdr/>
        <w:spacing w:lineRule="atLeast" w:line="276"/>
        <w:ind w:left="0" w:right="0" w:hanging="0"/>
        <w:jc w:val="both"/>
        <w:rPr>
          <w:rFonts w:ascii="Trebuchet MS" w:hAnsi="Trebuchet MS" w:eastAsia="Trebuchet MS" w:cs="Trebuchet MS"/>
          <w:b w:val="false"/>
          <w:b w:val="false"/>
          <w:bCs w:val="false"/>
          <w:u w:val="none"/>
        </w:rPr>
      </w:pPr>
      <w:r>
        <w:rPr>
          <w:rFonts w:eastAsia="Trebuchet MS" w:cs="Trebuchet MS" w:ascii="Trebuchet MS" w:hAnsi="Trebuchet MS"/>
          <w:b w:val="false"/>
          <w:bCs w:val="false"/>
          <w:u w:val="none"/>
        </w:rPr>
      </w:r>
    </w:p>
    <w:p>
      <w:pPr>
        <w:pStyle w:val="Normal"/>
        <w:pBdr/>
        <w:spacing w:lineRule="atLeast" w:line="276"/>
        <w:ind w:left="0" w:right="0" w:hanging="0"/>
        <w:jc w:val="both"/>
        <w:rPr/>
      </w:pPr>
      <w:r>
        <w:rPr>
          <w:rFonts w:eastAsia="Trebuchet MS" w:cs="Trebuchet MS" w:ascii="Trebuchet MS" w:hAnsi="Trebuchet MS"/>
          <w:b/>
          <w:bCs/>
          <w:sz w:val="24"/>
          <w:szCs w:val="24"/>
          <w:u w:val="none"/>
        </w:rPr>
        <w:t>Hate speech</w:t>
      </w:r>
    </w:p>
    <w:p>
      <w:pPr>
        <w:pStyle w:val="Normal"/>
        <w:pBdr/>
        <w:spacing w:lineRule="atLeast" w:line="276"/>
        <w:ind w:left="0" w:right="0" w:hanging="0"/>
        <w:jc w:val="both"/>
        <w:rPr/>
      </w:pPr>
      <w:r>
        <w:rPr>
          <w:rFonts w:eastAsia="Trebuchet MS" w:cs="Trebuchet MS" w:ascii="Trebuchet MS" w:hAnsi="Trebuchet MS"/>
          <w:b w:val="false"/>
          <w:bCs w:val="false"/>
        </w:rPr>
        <w:t>Hate speech is not only defined as the “perpetration of hate through communicative action in the online and offline worlds”,it is also speech that is at the receiving end of hate, an interstitial point that lives in a time when a pronouncement is made and is a consequence of “speaking up”.</w:t>
      </w:r>
      <w:r>
        <w:rPr>
          <w:rStyle w:val="Ancladenotaalpie"/>
          <w:rFonts w:eastAsia="Trebuchet MS" w:cs="Trebuchet MS" w:ascii="Trebuchet MS" w:hAnsi="Trebuchet MS"/>
        </w:rPr>
        <w:footnoteReference w:id="29"/>
      </w:r>
    </w:p>
    <w:p>
      <w:pPr>
        <w:pStyle w:val="Normal"/>
        <w:pBdr/>
        <w:spacing w:lineRule="atLeast" w:line="276"/>
        <w:ind w:left="0" w:right="0" w:hanging="0"/>
        <w:jc w:val="both"/>
        <w:rPr/>
      </w:pPr>
      <w:r>
        <w:rPr>
          <w:rFonts w:eastAsia="Trebuchet MS" w:cs="Trebuchet MS" w:ascii="Trebuchet MS" w:hAnsi="Trebuchet MS"/>
        </w:rPr>
        <w:t>In the last years, there has been a sharp increase in hate speech across the world. Social media platforms have been accused of inciting and promoting hate speech as it creates more engagement with its users. Elon Musk, who took over Twitter in 2022, admitted this openly in one of his interviews. Now that there is proof that platforms actively promote hateful content towards queers, because of profit, people of diverse genders and sexualities pay a heavy price with little agency to stop it within the mechanisms imposed by Big Tech.</w:t>
      </w:r>
      <w:r>
        <w:rPr>
          <w:rStyle w:val="Ancladenotaalpie"/>
          <w:rFonts w:eastAsia="Trebuchet MS" w:cs="Trebuchet MS" w:ascii="Trebuchet MS" w:hAnsi="Trebuchet MS"/>
          <w:b w:val="false"/>
          <w:bCs w:val="false"/>
        </w:rPr>
        <w:footnoteReference w:id="30"/>
      </w:r>
      <w:r>
        <w:rPr>
          <w:rFonts w:eastAsia="Trebuchet MS" w:cs="Trebuchet MS" w:ascii="Trebuchet MS" w:hAnsi="Trebuchet MS"/>
          <w:b w:val="false"/>
          <w:bCs w:val="false"/>
        </w:rPr>
        <w:t xml:space="preserve"> </w:t>
      </w:r>
    </w:p>
    <w:p>
      <w:pPr>
        <w:pStyle w:val="Normal"/>
        <w:pBdr/>
        <w:spacing w:lineRule="atLeast" w:line="276"/>
        <w:ind w:left="0" w:right="0" w:hanging="0"/>
        <w:jc w:val="both"/>
        <w:rPr/>
      </w:pPr>
      <w:r>
        <w:rPr>
          <w:rFonts w:eastAsia="Trebuchet MS" w:cs="Trebuchet MS" w:ascii="Trebuchet MS" w:hAnsi="Trebuchet MS"/>
          <w:b w:val="false"/>
          <w:bCs w:val="false"/>
        </w:rPr>
        <w:t>In Indonesia, public officials, from ministers, to parliaments, to mayors, continuously convey hate speech in various media. They emphasise that LGBT people threaten the national security, culture, and religious values.</w:t>
      </w:r>
      <w:r>
        <w:rPr>
          <w:rStyle w:val="Ancladenotaalpie"/>
          <w:rFonts w:eastAsia="Trebuchet MS" w:cs="Trebuchet MS" w:ascii="Trebuchet MS" w:hAnsi="Trebuchet MS"/>
          <w:b w:val="false"/>
          <w:bCs w:val="false"/>
        </w:rPr>
        <w:footnoteReference w:id="31"/>
      </w:r>
      <w:r>
        <w:rPr>
          <w:rFonts w:eastAsia="Trebuchet MS" w:cs="Trebuchet MS" w:ascii="Trebuchet MS" w:hAnsi="Trebuchet MS"/>
          <w:b w:val="false"/>
          <w:bCs w:val="false"/>
        </w:rPr>
        <w:t xml:space="preserve"> This is also happening in Uganda, where politicians </w:t>
      </w:r>
      <w:r>
        <w:rPr>
          <w:rFonts w:eastAsia="Trebuchet MS" w:cs="Trebuchet MS" w:ascii="Trebuchet MS" w:hAnsi="Trebuchet MS"/>
        </w:rPr>
        <w:t>cite how “unAfrican” homosexuality is as an argument for advocating for institutionalised discrimination.</w:t>
      </w:r>
      <w:r>
        <w:rPr>
          <w:rStyle w:val="Ancladenotaalpie"/>
          <w:rFonts w:eastAsia="Trebuchet MS" w:cs="Trebuchet MS" w:ascii="Trebuchet MS" w:hAnsi="Trebuchet MS"/>
        </w:rPr>
        <w:footnoteReference w:id="32"/>
      </w:r>
    </w:p>
    <w:p>
      <w:pPr>
        <w:pStyle w:val="Normal"/>
        <w:pBdr/>
        <w:spacing w:lineRule="atLeast" w:line="276"/>
        <w:ind w:left="0" w:right="0" w:hanging="0"/>
        <w:jc w:val="both"/>
        <w:rPr/>
      </w:pPr>
      <w:r>
        <w:rPr>
          <w:rFonts w:eastAsia="Trebuchet MS" w:cs="Trebuchet MS" w:ascii="Trebuchet MS" w:hAnsi="Trebuchet MS"/>
        </w:rPr>
        <w:t>Hate speech and TF GBV in general have significantly impacted individuals’ and organisations’ ability in organising and building public awareness about LGBTQIA+ rights.</w:t>
      </w:r>
      <w:r>
        <w:rPr>
          <w:rFonts w:cs="Trebuchet MS" w:ascii="Trebuchet MS" w:hAnsi="Trebuchet MS"/>
          <w:b w:val="false"/>
          <w:bCs w:val="false"/>
        </w:rPr>
        <w:t xml:space="preserve"> </w:t>
      </w:r>
      <w:r>
        <w:rPr>
          <w:rFonts w:eastAsia="Trebuchet MS" w:cs="Trebuchet MS" w:ascii="Trebuchet MS" w:hAnsi="Trebuchet MS"/>
        </w:rPr>
        <w:t xml:space="preserve">It is not easy to collect strength and affirmation in a situation where hate narratives and accusations of 'LGBTQIA+ propaganda and promotion' are carried out by both the state and the society, and perpetrated and aggravated by social media platforms. </w:t>
      </w:r>
    </w:p>
    <w:p>
      <w:pPr>
        <w:pStyle w:val="Normal"/>
        <w:pBdr/>
        <w:spacing w:lineRule="atLeast" w:line="276"/>
        <w:ind w:left="0" w:right="0" w:hanging="0"/>
        <w:jc w:val="both"/>
        <w:rPr>
          <w:rFonts w:ascii="Trebuchet MS" w:hAnsi="Trebuchet MS" w:cs="Trebuchet MS"/>
          <w:b w:val="false"/>
          <w:b w:val="false"/>
          <w:bCs w:val="false"/>
        </w:rPr>
      </w:pPr>
      <w:r>
        <w:rPr>
          <w:rFonts w:cs="Trebuchet MS" w:ascii="Trebuchet MS" w:hAnsi="Trebuchet MS"/>
          <w:b w:val="false"/>
          <w:bCs w:val="false"/>
        </w:rPr>
      </w:r>
    </w:p>
    <w:p>
      <w:pPr>
        <w:pStyle w:val="Normal"/>
        <w:pBdr/>
        <w:spacing w:lineRule="atLeast" w:line="276"/>
        <w:ind w:left="0" w:right="0" w:hanging="0"/>
        <w:jc w:val="both"/>
        <w:rPr/>
      </w:pPr>
      <w:r>
        <w:rPr>
          <w:rFonts w:eastAsia="Trebuchet MS" w:cs="Trebuchet MS" w:ascii="Trebuchet MS" w:hAnsi="Trebuchet MS"/>
          <w:b/>
          <w:bCs/>
          <w:sz w:val="24"/>
          <w:szCs w:val="24"/>
          <w:u w:val="none"/>
        </w:rPr>
        <w:t>Surveillance</w:t>
      </w:r>
    </w:p>
    <w:p>
      <w:pPr>
        <w:pStyle w:val="Normal"/>
        <w:jc w:val="both"/>
        <w:rPr/>
      </w:pPr>
      <w:r>
        <w:rPr>
          <w:rFonts w:eastAsia="Trebuchet MS" w:cs="Trebuchet MS" w:ascii="Trebuchet MS" w:hAnsi="Trebuchet MS"/>
          <w:b w:val="false"/>
          <w:bCs w:val="false"/>
          <w:sz w:val="22"/>
          <w:szCs w:val="22"/>
        </w:rPr>
        <w:t xml:space="preserve">Research from our members and partners that has been presented above, show clear evidence that certain countries use technology to monitor and punish people of diverse genders and sexualities for expressing their gender identity and their sexual orientation. </w:t>
      </w:r>
    </w:p>
    <w:p>
      <w:pPr>
        <w:pStyle w:val="Normal"/>
        <w:jc w:val="both"/>
        <w:rPr/>
      </w:pPr>
      <w:r>
        <w:rPr>
          <w:rFonts w:eastAsia="Trebuchet MS" w:cs="Trebuchet MS" w:ascii="Trebuchet MS" w:hAnsi="Trebuchet MS"/>
          <w:b w:val="false"/>
          <w:bCs w:val="false"/>
          <w:sz w:val="22"/>
          <w:szCs w:val="22"/>
        </w:rPr>
        <w:t>T</w:t>
      </w:r>
      <w:r>
        <w:rPr>
          <w:rFonts w:eastAsia="Trebuchet MS" w:cs="Trebuchet MS" w:ascii="Trebuchet MS" w:hAnsi="Trebuchet MS"/>
          <w:sz w:val="22"/>
          <w:szCs w:val="22"/>
        </w:rPr>
        <w:t>he effects of surveillance are never merely personal; they are structural and political. As politicians are using LGBTQIA+ rights as a political weapon in securing votes and their leadership, surveillance reproduces unequal power relations and status quo in the digital dimension.</w:t>
      </w:r>
      <w:r>
        <w:rPr>
          <w:rStyle w:val="Ancladenotaalpie"/>
          <w:rFonts w:eastAsia="Trebuchet MS" w:cs="Trebuchet MS" w:ascii="Trebuchet MS" w:hAnsi="Trebuchet MS"/>
          <w:sz w:val="22"/>
          <w:szCs w:val="22"/>
        </w:rPr>
        <w:footnoteReference w:id="33"/>
      </w:r>
    </w:p>
    <w:p>
      <w:pPr>
        <w:pStyle w:val="Normal"/>
        <w:pBdr/>
        <w:spacing w:lineRule="atLeast" w:line="276"/>
        <w:ind w:left="0" w:right="0" w:hanging="0"/>
        <w:jc w:val="both"/>
        <w:rPr/>
      </w:pPr>
      <w:r>
        <w:rPr>
          <w:rFonts w:eastAsia="Trebuchet MS" w:cs="Trebuchet MS" w:ascii="Trebuchet MS" w:hAnsi="Trebuchet MS"/>
          <w:b w:val="false"/>
          <w:bCs w:val="false"/>
          <w:sz w:val="22"/>
          <w:szCs w:val="22"/>
          <w:u w:val="none"/>
        </w:rPr>
        <w:t>With the evolution of technology, the creation of algorithms and the use of AI, which feeds surveillance systems, people of diverse genders and sexualities face an uncertain future in the face of ever more widely deployed and invasive technologies. These have caused numerous harms to queer people, including privacy violations, censoring and down-ranking queer content, exposing queer people and spaces to harassment by making them hyper-visible, dead-naming and outing queer people, which can be fatal and can put their integrity at risk in countries where LGBTQIA+ rights are not recognised.</w:t>
      </w:r>
      <w:r>
        <w:rPr>
          <w:rStyle w:val="Ancladenotaalpie"/>
          <w:rFonts w:eastAsia="Trebuchet MS" w:cs="Trebuchet MS" w:ascii="Trebuchet MS" w:hAnsi="Trebuchet MS"/>
          <w:b w:val="false"/>
          <w:bCs w:val="false"/>
          <w:sz w:val="22"/>
          <w:szCs w:val="22"/>
          <w:u w:val="none"/>
        </w:rPr>
        <w:footnoteReference w:id="34"/>
      </w:r>
      <w:r>
        <w:rPr>
          <w:rFonts w:eastAsia="Trebuchet MS" w:cs="Trebuchet MS" w:ascii="Trebuchet MS" w:hAnsi="Trebuchet MS"/>
          <w:b w:val="false"/>
          <w:bCs w:val="false"/>
          <w:sz w:val="22"/>
          <w:szCs w:val="22"/>
          <w:u w:val="none"/>
        </w:rPr>
        <w:t xml:space="preserve"> </w:t>
      </w:r>
    </w:p>
    <w:p>
      <w:pPr>
        <w:pStyle w:val="Normal"/>
        <w:pBdr/>
        <w:spacing w:lineRule="atLeast" w:line="276"/>
        <w:ind w:left="0" w:right="0" w:hanging="0"/>
        <w:jc w:val="both"/>
        <w:rPr/>
      </w:pPr>
      <w:r>
        <w:rPr>
          <w:rFonts w:eastAsia="Trebuchet MS" w:cs="Trebuchet MS" w:ascii="Trebuchet MS" w:hAnsi="Trebuchet MS"/>
          <w:color w:val="222222"/>
          <w:sz w:val="22"/>
          <w:szCs w:val="22"/>
        </w:rPr>
        <w:t>For example, th</w:t>
      </w:r>
      <w:r>
        <w:rPr>
          <w:rFonts w:eastAsia="Trebuchet MS" w:cs="Trebuchet MS" w:ascii="Trebuchet MS" w:hAnsi="Trebuchet MS"/>
          <w:sz w:val="22"/>
          <w:szCs w:val="22"/>
        </w:rPr>
        <w:t>e impact of privacy violation in dating apps are significant and far-reaching. It compromises an individual’s safety and makes them vulnerable not only to surveillance but also harassment, abuse, negative professional repercussions, or even physical harm. It’s particularly concerning for structurally oppressed gender and sexual identities with lesser or non existing legal protection.</w:t>
      </w:r>
      <w:r>
        <w:rPr>
          <w:rStyle w:val="Ancladenotaalpie"/>
          <w:rFonts w:eastAsia="Trebuchet MS" w:cs="Trebuchet MS" w:ascii="Trebuchet MS" w:hAnsi="Trebuchet MS"/>
          <w:b w:val="false"/>
          <w:bCs w:val="false"/>
          <w:sz w:val="22"/>
          <w:szCs w:val="22"/>
          <w:u w:val="none"/>
        </w:rPr>
        <w:footnoteReference w:id="35"/>
      </w:r>
      <w:r>
        <w:rPr>
          <w:rStyle w:val="FootnoteCharacters"/>
          <w:rFonts w:eastAsia="Trebuchet MS" w:cs="Trebuchet MS" w:ascii="Trebuchet MS" w:hAnsi="Trebuchet MS"/>
          <w:b w:val="false"/>
          <w:bCs w:val="false"/>
          <w:position w:val="0"/>
          <w:sz w:val="22"/>
          <w:sz w:val="22"/>
          <w:szCs w:val="22"/>
          <w:u w:val="none"/>
          <w:vertAlign w:val="baseline"/>
        </w:rPr>
        <w:t xml:space="preserve"> </w:t>
      </w:r>
      <w:r>
        <w:rPr>
          <w:rFonts w:eastAsia="Trebuchet MS" w:cs="Trebuchet MS" w:ascii="Trebuchet MS" w:hAnsi="Trebuchet MS"/>
          <w:color w:val="222222"/>
          <w:sz w:val="22"/>
          <w:szCs w:val="22"/>
        </w:rPr>
        <w:t>Transgender users often find their social media/dating app accounts taken down after mass reporting of their content by trolls. This leads to a culture of self-censorship or setting their accounts to private which prevents their voices and their stories from being amplified. Trolling of gender and sexual minorities also extends to harassing comments and spamming their DMs with abusive messages.</w:t>
      </w:r>
      <w:r>
        <w:rPr>
          <w:rStyle w:val="Ancladenotaalpie"/>
          <w:rFonts w:eastAsia="Trebuchet MS" w:cs="Trebuchet MS" w:ascii="Trebuchet MS" w:hAnsi="Trebuchet MS"/>
          <w:color w:val="222222"/>
          <w:sz w:val="22"/>
          <w:szCs w:val="22"/>
        </w:rPr>
        <w:footnoteReference w:id="36"/>
      </w:r>
    </w:p>
    <w:p>
      <w:pPr>
        <w:pStyle w:val="Normal"/>
        <w:pBdr/>
        <w:spacing w:lineRule="auto" w:line="276" w:before="0" w:after="0"/>
        <w:ind w:right="0" w:hanging="0"/>
        <w:jc w:val="both"/>
        <w:rPr/>
      </w:pPr>
      <w:r>
        <w:rPr>
          <w:rFonts w:eastAsia="Trebuchet MS" w:cs="Trebuchet MS" w:ascii="Trebuchet MS" w:hAnsi="Trebuchet MS"/>
          <w:sz w:val="22"/>
          <w:szCs w:val="22"/>
        </w:rPr>
        <w:t>Moreover, there are countries where CCTV surveillance systems are a trend, with the use of algorithms to analyze massive amounts of information to predict and help prevent potential  future crimes</w:t>
      </w:r>
      <w:r>
        <w:rPr>
          <w:rFonts w:eastAsia="Trebuchet MS" w:cs="Trebuchet MS" w:ascii="Trebuchet MS" w:hAnsi="Trebuchet MS"/>
          <w:color w:val="000000"/>
          <w:sz w:val="22"/>
          <w:szCs w:val="22"/>
        </w:rPr>
        <w:t>.</w:t>
      </w:r>
      <w:r>
        <w:rPr>
          <w:rStyle w:val="Ancladenotaalpie"/>
          <w:rFonts w:eastAsia="Trebuchet MS" w:cs="Trebuchet MS" w:ascii="Trebuchet MS" w:hAnsi="Trebuchet MS"/>
          <w:color w:val="000000"/>
          <w:sz w:val="22"/>
          <w:szCs w:val="22"/>
        </w:rPr>
        <w:footnoteReference w:id="37"/>
      </w:r>
      <w:r>
        <w:rPr>
          <w:rFonts w:eastAsia="Trebuchet MS" w:cs="Trebuchet MS" w:ascii="Trebuchet MS" w:hAnsi="Trebuchet MS"/>
          <w:color w:val="000000"/>
          <w:sz w:val="22"/>
          <w:szCs w:val="22"/>
        </w:rPr>
        <w:t xml:space="preserve"> </w:t>
      </w:r>
      <w:r>
        <w:rPr>
          <w:rFonts w:eastAsia="Trebuchet MS" w:cs="Trebuchet MS" w:ascii="Trebuchet MS" w:hAnsi="Trebuchet MS"/>
          <w:sz w:val="22"/>
          <w:szCs w:val="22"/>
        </w:rPr>
        <w:t xml:space="preserve">There is convincing evidence that proves predictive policing algorithms are ineffective and that they legitimize discrimination by hiding it behind the façade of mathematical analysis. </w:t>
      </w:r>
      <w:r>
        <w:rPr>
          <w:rFonts w:eastAsia="Trebuchet MS" w:cs="Trebuchet MS" w:ascii="Trebuchet MS" w:hAnsi="Trebuchet MS"/>
          <w:color w:val="000000"/>
          <w:sz w:val="22"/>
          <w:szCs w:val="22"/>
        </w:rPr>
        <w:t xml:space="preserve">They highly violate the right to privacy. </w:t>
      </w:r>
      <w:r>
        <w:rPr>
          <w:rStyle w:val="Ancladenotaalpie"/>
          <w:rFonts w:eastAsia="Trebuchet MS" w:cs="Trebuchet MS" w:ascii="Trebuchet MS" w:hAnsi="Trebuchet MS"/>
          <w:color w:val="000000"/>
          <w:sz w:val="22"/>
          <w:szCs w:val="22"/>
        </w:rPr>
        <w:footnoteReference w:id="38"/>
      </w:r>
    </w:p>
    <w:p>
      <w:pPr>
        <w:pStyle w:val="Normal"/>
        <w:pBdr/>
        <w:shd w:val="clear" w:color="FFFFFF" w:fill="FFFFFF"/>
        <w:spacing w:lineRule="auto" w:line="276" w:before="0" w:after="0"/>
        <w:ind w:left="0" w:right="0" w:hanging="0"/>
        <w:jc w:val="both"/>
        <w:rPr>
          <w:rFonts w:ascii="Trebuchet MS" w:hAnsi="Trebuchet MS" w:cs="Trebuchet MS"/>
          <w:sz w:val="22"/>
          <w:szCs w:val="22"/>
        </w:rPr>
      </w:pPr>
      <w:r>
        <w:rPr>
          <w:rFonts w:cs="Trebuchet MS" w:ascii="Trebuchet MS" w:hAnsi="Trebuchet MS"/>
          <w:sz w:val="22"/>
          <w:szCs w:val="22"/>
        </w:rPr>
      </w:r>
    </w:p>
    <w:p>
      <w:pPr>
        <w:pStyle w:val="Normal"/>
        <w:pBdr/>
        <w:spacing w:lineRule="atLeast" w:line="276"/>
        <w:ind w:left="0" w:right="0" w:hanging="0"/>
        <w:jc w:val="both"/>
        <w:rPr/>
      </w:pPr>
      <w:r>
        <w:rPr>
          <w:rFonts w:eastAsia="Trebuchet MS" w:cs="Trebuchet MS" w:ascii="Trebuchet MS" w:hAnsi="Trebuchet MS"/>
          <w:b/>
          <w:bCs/>
          <w:sz w:val="28"/>
          <w:szCs w:val="28"/>
          <w:u w:val="none"/>
        </w:rPr>
        <w:t>Recommendations</w:t>
      </w:r>
    </w:p>
    <w:p>
      <w:pPr>
        <w:pStyle w:val="Normal"/>
        <w:jc w:val="both"/>
        <w:rPr/>
      </w:pPr>
      <w:r>
        <w:rPr>
          <w:rFonts w:eastAsia="Trebuchet MS" w:cs="Trebuchet MS" w:ascii="Trebuchet MS" w:hAnsi="Trebuchet MS"/>
          <w:sz w:val="22"/>
          <w:szCs w:val="22"/>
        </w:rPr>
        <w:t>Violence and discrimination based on sexual orientation and gender identity must be addressed by holistic and dedicated legal frameworks. These legal frameworks should recognise that, the online and offline continuum leads to a situation where violence and discrimination initiated offline can be aggravated and perpetrated online. Any law in this area must foreground rights to bodily autonomy, self-determination, freedom of expression and the right to participate in public debate.</w:t>
      </w:r>
      <w:r>
        <w:rPr>
          <w:rStyle w:val="Ancladenotaalpie"/>
          <w:rFonts w:eastAsia="Trebuchet MS" w:cs="Trebuchet MS" w:ascii="Trebuchet MS" w:hAnsi="Trebuchet MS"/>
          <w:sz w:val="22"/>
          <w:szCs w:val="22"/>
        </w:rPr>
        <w:footnoteReference w:id="39"/>
      </w:r>
      <w:r>
        <w:rPr>
          <w:rStyle w:val="FootnoteCharacters"/>
          <w:rFonts w:eastAsia="Trebuchet MS" w:cs="Trebuchet MS" w:ascii="Trebuchet MS" w:hAnsi="Trebuchet MS"/>
          <w:position w:val="0"/>
          <w:sz w:val="22"/>
          <w:sz w:val="22"/>
          <w:szCs w:val="22"/>
          <w:vertAlign w:val="baseline"/>
        </w:rPr>
        <w:t xml:space="preserve"> </w:t>
      </w:r>
      <w:r>
        <w:rPr>
          <w:rFonts w:eastAsia="Trebuchet MS" w:cs="Trebuchet MS" w:ascii="Trebuchet MS" w:hAnsi="Trebuchet MS"/>
          <w:sz w:val="22"/>
          <w:szCs w:val="22"/>
        </w:rPr>
        <w:t>States should therefore ensure that legal frameworks adequately protect freedom of expression (including political, religious and sexual expression), privacy, and freedom from violence.</w:t>
      </w:r>
      <w:r>
        <w:rPr>
          <w:rStyle w:val="Ancladenotaalpie"/>
          <w:rFonts w:eastAsia="Trebuchet MS" w:cs="Trebuchet MS" w:ascii="Trebuchet MS" w:hAnsi="Trebuchet MS"/>
          <w:sz w:val="22"/>
          <w:szCs w:val="22"/>
        </w:rPr>
        <w:footnoteReference w:id="40"/>
      </w:r>
    </w:p>
    <w:p>
      <w:pPr>
        <w:pStyle w:val="Normal"/>
        <w:jc w:val="both"/>
        <w:rPr/>
      </w:pPr>
      <w:r>
        <w:rPr>
          <w:rFonts w:cs="Trebuchet MS" w:ascii="Trebuchet MS" w:hAnsi="Trebuchet MS"/>
          <w:b w:val="false"/>
          <w:bCs w:val="false"/>
          <w:sz w:val="22"/>
          <w:szCs w:val="22"/>
          <w:u w:val="none"/>
        </w:rPr>
        <w:t>This can be done through the following recommendations:</w:t>
      </w:r>
    </w:p>
    <w:p>
      <w:pPr>
        <w:pStyle w:val="Normal"/>
        <w:jc w:val="both"/>
        <w:rPr/>
      </w:pPr>
      <w:r>
        <w:rPr>
          <w:rFonts w:cs="Trebuchet MS" w:ascii="Trebuchet MS" w:hAnsi="Trebuchet MS"/>
          <w:b/>
          <w:bCs/>
          <w:sz w:val="22"/>
          <w:szCs w:val="22"/>
          <w:u w:val="none"/>
        </w:rPr>
        <w:t>Governments</w:t>
      </w:r>
      <w:r>
        <w:rPr>
          <w:rStyle w:val="Ancladenotaalpie"/>
          <w:rFonts w:cs="Trebuchet MS" w:ascii="Trebuchet MS" w:hAnsi="Trebuchet MS"/>
          <w:b/>
          <w:bCs/>
          <w:sz w:val="22"/>
          <w:szCs w:val="22"/>
          <w:u w:val="none"/>
        </w:rPr>
        <w:footnoteReference w:id="41"/>
      </w:r>
    </w:p>
    <w:p>
      <w:pPr>
        <w:pStyle w:val="ListParagraph"/>
        <w:numPr>
          <w:ilvl w:val="0"/>
          <w:numId w:val="2"/>
        </w:numPr>
        <w:pBdr/>
        <w:spacing w:before="0" w:after="0"/>
        <w:ind w:left="709" w:right="0" w:hanging="360"/>
        <w:contextualSpacing/>
        <w:jc w:val="both"/>
        <w:rPr/>
      </w:pPr>
      <w:r>
        <w:rPr>
          <w:rFonts w:cs="Trebuchet MS" w:ascii="Trebuchet MS" w:hAnsi="Trebuchet MS"/>
          <w:b w:val="false"/>
          <w:bCs w:val="false"/>
          <w:sz w:val="22"/>
          <w:szCs w:val="22"/>
          <w:u w:val="none"/>
        </w:rPr>
        <w:t>Take a human rights-based, equity-focused, trauma-informed, survivor-centric and intersectional gender just approach when addressing violence and discrimination through laws and policies.</w:t>
      </w:r>
    </w:p>
    <w:p>
      <w:pPr>
        <w:pStyle w:val="ListParagraph"/>
        <w:numPr>
          <w:ilvl w:val="0"/>
          <w:numId w:val="2"/>
        </w:numPr>
        <w:pBdr/>
        <w:spacing w:before="0" w:after="0"/>
        <w:ind w:left="709" w:right="0" w:hanging="360"/>
        <w:contextualSpacing/>
        <w:jc w:val="both"/>
        <w:rPr/>
      </w:pPr>
      <w:r>
        <w:rPr>
          <w:rFonts w:cs="Trebuchet MS" w:ascii="Trebuchet MS" w:hAnsi="Trebuchet MS"/>
          <w:b w:val="false"/>
          <w:bCs w:val="false"/>
          <w:sz w:val="22"/>
          <w:szCs w:val="22"/>
          <w:u w:val="none"/>
        </w:rPr>
        <w:t>Legally recognise and respect LGBTQIA+ rights, including ri</w:t>
      </w:r>
      <w:r>
        <w:rPr>
          <w:rFonts w:eastAsia="Trebuchet MS" w:cs="Trebuchet MS" w:ascii="Trebuchet MS" w:hAnsi="Trebuchet MS"/>
          <w:sz w:val="22"/>
          <w:szCs w:val="22"/>
        </w:rPr>
        <w:t>ghts to bodily autonomy, self-determination, freedom of expression, freedom of violence, freedom of association and the right to participate in public debate.</w:t>
      </w:r>
    </w:p>
    <w:p>
      <w:pPr>
        <w:pStyle w:val="ListParagraph"/>
        <w:numPr>
          <w:ilvl w:val="0"/>
          <w:numId w:val="2"/>
        </w:numPr>
        <w:pBdr/>
        <w:spacing w:before="0" w:after="0"/>
        <w:ind w:left="709" w:right="0" w:hanging="360"/>
        <w:contextualSpacing/>
        <w:jc w:val="both"/>
        <w:rPr/>
      </w:pPr>
      <w:r>
        <w:rPr>
          <w:rFonts w:cs="Trebuchet MS" w:ascii="Trebuchet MS" w:hAnsi="Trebuchet MS"/>
          <w:b w:val="false"/>
          <w:bCs w:val="false"/>
          <w:sz w:val="22"/>
          <w:szCs w:val="22"/>
          <w:u w:val="none"/>
        </w:rPr>
        <w:t>Take a clear public stance against violence and discrimination in particular against forms that are disproportionately harmful to equity-seeking groups, including LGBTQIA+ people.</w:t>
      </w:r>
    </w:p>
    <w:p>
      <w:pPr>
        <w:pStyle w:val="ListParagraph"/>
        <w:numPr>
          <w:ilvl w:val="0"/>
          <w:numId w:val="2"/>
        </w:numPr>
        <w:pBdr/>
        <w:ind w:left="709" w:right="0" w:hanging="360"/>
        <w:jc w:val="both"/>
        <w:rPr/>
      </w:pPr>
      <w:r>
        <w:rPr>
          <w:rFonts w:cs="Trebuchet MS" w:ascii="Trebuchet MS" w:hAnsi="Trebuchet MS"/>
          <w:b w:val="false"/>
          <w:bCs w:val="false"/>
          <w:sz w:val="22"/>
          <w:szCs w:val="22"/>
          <w:u w:val="none"/>
        </w:rPr>
        <w:t>Ensure concepts of freedom of expression, sexual autonomy and privacy rights use a</w:t>
      </w:r>
    </w:p>
    <w:p>
      <w:pPr>
        <w:pStyle w:val="ListParagraph"/>
        <w:pBdr/>
        <w:ind w:left="720" w:right="0" w:hanging="0"/>
        <w:jc w:val="both"/>
        <w:rPr/>
      </w:pPr>
      <w:r>
        <w:rPr>
          <w:rFonts w:cs="Trebuchet MS" w:ascii="Trebuchet MS" w:hAnsi="Trebuchet MS"/>
          <w:b w:val="false"/>
          <w:bCs w:val="false"/>
          <w:sz w:val="22"/>
          <w:szCs w:val="22"/>
          <w:u w:val="none"/>
        </w:rPr>
        <w:t>human rights-based approach. Take into consideration the silencing effect of violence and discrimination and the rights of equity-seeking groups to express themselves safely and authentically offline and online.</w:t>
      </w:r>
    </w:p>
    <w:p>
      <w:pPr>
        <w:pStyle w:val="ListParagraph"/>
        <w:numPr>
          <w:ilvl w:val="0"/>
          <w:numId w:val="3"/>
        </w:numPr>
        <w:pBdr/>
        <w:ind w:left="709" w:right="0" w:hanging="360"/>
        <w:jc w:val="both"/>
        <w:rPr/>
      </w:pPr>
      <w:r>
        <w:rPr>
          <w:rFonts w:cs="Trebuchet MS" w:ascii="Trebuchet MS" w:hAnsi="Trebuchet MS"/>
          <w:b w:val="false"/>
          <w:bCs w:val="false"/>
          <w:sz w:val="22"/>
          <w:szCs w:val="22"/>
          <w:u w:val="none"/>
        </w:rPr>
        <w:t>Meaningfully and regularly consult and collaborate with civil society organizations, researchers, academics and legal practitioners with expertise in violence and discrimination as well as victims/survivors, when developing laws, policies and programmes.</w:t>
      </w:r>
    </w:p>
    <w:p>
      <w:pPr>
        <w:pStyle w:val="ListParagraph"/>
        <w:numPr>
          <w:ilvl w:val="0"/>
          <w:numId w:val="4"/>
        </w:numPr>
        <w:pBdr/>
        <w:spacing w:before="0" w:after="0"/>
        <w:ind w:left="709" w:right="0" w:hanging="360"/>
        <w:contextualSpacing/>
        <w:jc w:val="both"/>
        <w:rPr/>
      </w:pPr>
      <w:r>
        <w:rPr>
          <w:rFonts w:cs="Trebuchet MS" w:ascii="Trebuchet MS" w:hAnsi="Trebuchet MS"/>
          <w:b w:val="false"/>
          <w:bCs w:val="false"/>
          <w:sz w:val="22"/>
          <w:szCs w:val="22"/>
          <w:u w:val="none"/>
        </w:rPr>
        <w:t>For laws on violence and discrimination, avoid an over-reliance on criminal law solutions and ensure that there are non-criminal legal, governmental and non-governmental options available to victims/survivors, such as civil laws, privacy/data protection laws, human rights laws, administrative solutions and/or community-based solutions, that address it.</w:t>
      </w:r>
    </w:p>
    <w:p>
      <w:pPr>
        <w:pStyle w:val="ListParagraph"/>
        <w:numPr>
          <w:ilvl w:val="0"/>
          <w:numId w:val="4"/>
        </w:numPr>
        <w:pBdr/>
        <w:spacing w:before="0" w:after="0"/>
        <w:ind w:left="709" w:right="0" w:hanging="360"/>
        <w:contextualSpacing/>
        <w:jc w:val="both"/>
        <w:rPr/>
      </w:pPr>
      <w:r>
        <w:rPr>
          <w:rFonts w:cs="Trebuchet MS" w:ascii="Trebuchet MS" w:hAnsi="Trebuchet MS"/>
          <w:b w:val="false"/>
          <w:bCs w:val="false"/>
          <w:sz w:val="22"/>
          <w:szCs w:val="22"/>
          <w:u w:val="none"/>
        </w:rPr>
        <w:t>Ensure that laws do not unjustly restrict sexuality and sexual expression, human rights advocacy and criticism of governments and institutions.</w:t>
      </w:r>
    </w:p>
    <w:p>
      <w:pPr>
        <w:pStyle w:val="ListParagraph"/>
        <w:numPr>
          <w:ilvl w:val="0"/>
          <w:numId w:val="4"/>
        </w:numPr>
        <w:pBdr/>
        <w:ind w:left="709" w:right="0" w:hanging="360"/>
        <w:jc w:val="both"/>
        <w:rPr/>
      </w:pPr>
      <w:r>
        <w:rPr>
          <w:rFonts w:cs="Trebuchet MS" w:ascii="Trebuchet MS" w:hAnsi="Trebuchet MS"/>
          <w:b w:val="false"/>
          <w:bCs w:val="false"/>
          <w:sz w:val="22"/>
          <w:szCs w:val="22"/>
          <w:u w:val="none"/>
        </w:rPr>
        <w:t>Review existing laws, such as morality, anti-pornography and anti-obscenity laws to ensure intersectionality and that people are not unjustly at risk of surveillance and/or criminalisation or legal penalties for their expression of sexual orientation and gender identity.</w:t>
      </w:r>
    </w:p>
    <w:p>
      <w:pPr>
        <w:pStyle w:val="Normal"/>
        <w:pBdr/>
        <w:ind w:left="0" w:right="0" w:hanging="0"/>
        <w:jc w:val="both"/>
        <w:rPr/>
      </w:pPr>
      <w:r>
        <w:rPr>
          <w:rFonts w:cs="Trebuchet MS" w:ascii="Trebuchet MS" w:hAnsi="Trebuchet MS"/>
          <w:b/>
          <w:bCs/>
          <w:sz w:val="22"/>
          <w:szCs w:val="22"/>
          <w:u w:val="none"/>
        </w:rPr>
        <w:t>Tech Companies</w:t>
      </w:r>
      <w:r>
        <w:rPr>
          <w:rStyle w:val="Ancladenotaalpie"/>
          <w:rFonts w:cs="Trebuchet MS" w:ascii="Trebuchet MS" w:hAnsi="Trebuchet MS"/>
          <w:b/>
          <w:bCs/>
          <w:sz w:val="22"/>
          <w:szCs w:val="22"/>
          <w:u w:val="none"/>
        </w:rPr>
        <w:footnoteReference w:id="42"/>
      </w:r>
    </w:p>
    <w:p>
      <w:pPr>
        <w:pStyle w:val="ListParagraph"/>
        <w:numPr>
          <w:ilvl w:val="0"/>
          <w:numId w:val="5"/>
        </w:numPr>
        <w:pBdr/>
        <w:spacing w:before="0" w:after="0"/>
        <w:ind w:left="709" w:right="0" w:hanging="360"/>
        <w:contextualSpacing/>
        <w:jc w:val="both"/>
        <w:rPr/>
      </w:pPr>
      <w:r>
        <w:rPr>
          <w:rFonts w:cs="Trebuchet MS" w:ascii="Trebuchet MS" w:hAnsi="Trebuchet MS"/>
          <w:b w:val="false"/>
          <w:bCs w:val="false"/>
          <w:sz w:val="22"/>
          <w:szCs w:val="22"/>
          <w:u w:val="none"/>
        </w:rPr>
        <w:t>Ensure platforms and products are compliant with human rights for users by changing business practices that prioritize safety and privacy over content views and user engagement.</w:t>
      </w:r>
    </w:p>
    <w:p>
      <w:pPr>
        <w:pStyle w:val="ListParagraph"/>
        <w:numPr>
          <w:ilvl w:val="0"/>
          <w:numId w:val="5"/>
        </w:numPr>
        <w:pBdr/>
        <w:spacing w:before="0" w:after="0"/>
        <w:ind w:left="709" w:right="0" w:hanging="360"/>
        <w:contextualSpacing/>
        <w:jc w:val="both"/>
        <w:rPr/>
      </w:pPr>
      <w:r>
        <w:rPr>
          <w:rFonts w:cs="Trebuchet MS" w:ascii="Trebuchet MS" w:hAnsi="Trebuchet MS"/>
          <w:b w:val="false"/>
          <w:bCs w:val="false"/>
          <w:sz w:val="22"/>
          <w:szCs w:val="22"/>
          <w:u w:val="none"/>
        </w:rPr>
        <w:t>Ensure that any algorithmic tools used do not amplify discriminatory content or incite violence or hate against LGBTQIA+ persons.</w:t>
      </w:r>
    </w:p>
    <w:p>
      <w:pPr>
        <w:pStyle w:val="ListParagraph"/>
        <w:numPr>
          <w:ilvl w:val="0"/>
          <w:numId w:val="5"/>
        </w:numPr>
        <w:pBdr/>
        <w:spacing w:before="0" w:after="0"/>
        <w:ind w:left="709" w:right="0" w:hanging="360"/>
        <w:contextualSpacing/>
        <w:jc w:val="both"/>
        <w:rPr/>
      </w:pPr>
      <w:r>
        <w:rPr>
          <w:rFonts w:cs="Trebuchet MS" w:ascii="Trebuchet MS" w:hAnsi="Trebuchet MS"/>
          <w:b w:val="false"/>
          <w:bCs w:val="false"/>
          <w:sz w:val="22"/>
          <w:szCs w:val="22"/>
          <w:u w:val="none"/>
        </w:rPr>
        <w:t>Ensure that their content moderation policies effectively address TF GBV and discrimination using a human rights-based, equity-focused, trauma-informed, survivor-centric and intersectional gender just approach.</w:t>
      </w:r>
    </w:p>
    <w:p>
      <w:pPr>
        <w:pStyle w:val="ListParagraph"/>
        <w:numPr>
          <w:ilvl w:val="0"/>
          <w:numId w:val="5"/>
        </w:numPr>
        <w:pBdr/>
        <w:spacing w:before="0" w:after="0"/>
        <w:ind w:left="709" w:right="0" w:hanging="360"/>
        <w:contextualSpacing/>
        <w:jc w:val="both"/>
        <w:rPr/>
      </w:pPr>
      <w:r>
        <w:rPr>
          <w:rFonts w:cs="Trebuchet MS" w:ascii="Trebuchet MS" w:hAnsi="Trebuchet MS"/>
          <w:b w:val="false"/>
          <w:bCs w:val="false"/>
          <w:sz w:val="22"/>
          <w:szCs w:val="22"/>
          <w:u w:val="none"/>
        </w:rPr>
        <w:t>Meaningfully engage with civil society organizations, researchers and academics with expertise on TFV, as well as victims/survivors, to improve policies and responses to TFV.</w:t>
      </w:r>
    </w:p>
    <w:p>
      <w:pPr>
        <w:pStyle w:val="ListParagraph"/>
        <w:numPr>
          <w:ilvl w:val="0"/>
          <w:numId w:val="5"/>
        </w:numPr>
        <w:pBdr/>
        <w:spacing w:before="0" w:after="0"/>
        <w:ind w:left="709" w:right="0" w:hanging="360"/>
        <w:contextualSpacing/>
        <w:jc w:val="both"/>
        <w:rPr/>
      </w:pPr>
      <w:r>
        <w:rPr>
          <w:rFonts w:cs="Trebuchet MS" w:ascii="Trebuchet MS" w:hAnsi="Trebuchet MS"/>
          <w:b w:val="false"/>
          <w:bCs w:val="false"/>
          <w:sz w:val="22"/>
          <w:szCs w:val="22"/>
          <w:u w:val="none"/>
        </w:rPr>
        <w:t xml:space="preserve">Continue to develop and improve technical tools that users can use to protect themselves from TFV and provide clear information on how to use them. </w:t>
      </w:r>
    </w:p>
    <w:p>
      <w:pPr>
        <w:pStyle w:val="ListParagraph"/>
        <w:numPr>
          <w:ilvl w:val="0"/>
          <w:numId w:val="5"/>
        </w:numPr>
        <w:pBdr/>
        <w:spacing w:before="0" w:after="0"/>
        <w:ind w:left="709" w:right="0" w:hanging="360"/>
        <w:contextualSpacing/>
        <w:jc w:val="both"/>
        <w:rPr/>
      </w:pPr>
      <w:r>
        <w:rPr>
          <w:rFonts w:cs="Trebuchet MS" w:ascii="Trebuchet MS" w:hAnsi="Trebuchet MS"/>
          <w:b w:val="false"/>
          <w:bCs w:val="false"/>
          <w:sz w:val="22"/>
          <w:szCs w:val="22"/>
          <w:u w:val="none"/>
        </w:rPr>
        <w:t>Ensure that content moderation policies are transparent and easy to use. Rules should be clear, and users should be able to determine what content is harmful according to those companies’ policies. This should include clear appeal processes to challenge decisions.</w:t>
      </w:r>
    </w:p>
    <w:p>
      <w:pPr>
        <w:pStyle w:val="ListParagraph"/>
        <w:numPr>
          <w:ilvl w:val="0"/>
          <w:numId w:val="5"/>
        </w:numPr>
        <w:pBdr/>
        <w:spacing w:before="0" w:after="0"/>
        <w:ind w:left="709" w:right="0" w:hanging="360"/>
        <w:contextualSpacing/>
        <w:jc w:val="both"/>
        <w:rPr/>
      </w:pPr>
      <w:r>
        <w:rPr>
          <w:rFonts w:cs="Trebuchet MS" w:ascii="Trebuchet MS" w:hAnsi="Trebuchet MS"/>
          <w:b w:val="false"/>
          <w:bCs w:val="false"/>
          <w:sz w:val="22"/>
          <w:szCs w:val="22"/>
          <w:u w:val="none"/>
        </w:rPr>
        <w:t>Work collaboratively with civil society organizations and academics who conduct research on TFV prevention by providing access to relevant data that assists their research.</w:t>
      </w:r>
    </w:p>
    <w:p>
      <w:pPr>
        <w:pStyle w:val="ListParagraph"/>
        <w:numPr>
          <w:ilvl w:val="0"/>
          <w:numId w:val="5"/>
        </w:numPr>
        <w:pBdr/>
        <w:spacing w:before="0" w:after="200"/>
        <w:ind w:left="709" w:right="0" w:hanging="360"/>
        <w:contextualSpacing/>
        <w:jc w:val="both"/>
        <w:rPr/>
      </w:pPr>
      <w:r>
        <w:rPr>
          <w:rFonts w:eastAsia="Trebuchet MS" w:cs="Trebuchet MS" w:ascii="Trebuchet MS" w:hAnsi="Trebuchet MS"/>
        </w:rPr>
        <w:t>Collect and publish transparency reports with disaggregated data on the types of violations and number of incidents faced by women, men, LGBTQIA+ people and equity-seeking groups, as well as the responses to those violations, and routinely review the data to assess the effectiveness of policies and practices. Work collaboratively with civil society organizations and academics to review the data and determine best practices.</w:t>
      </w:r>
    </w:p>
    <w:sectPr>
      <w:headerReference w:type="default" r:id="rId12"/>
      <w:footnotePr>
        <w:numFmt w:val="decimal"/>
      </w:footnotePr>
      <w:type w:val="nextPage"/>
      <w:pgSz w:orient="landscape" w:w="11906" w:h="16838"/>
      <w:pgMar w:left="1701" w:right="850" w:header="709" w:top="1134" w:footer="0" w:bottom="11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Trebuchet MS">
    <w:charset w:val="01"/>
    <w:family w:val="roman"/>
    <w:pitch w:val="variable"/>
  </w:font>
  <w:font w:name="Times New Roman">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 xml:space="preserve">APC. (2023). </w:t>
      </w:r>
      <w:r>
        <w:rPr>
          <w:rFonts w:eastAsia="Trebuchet MS" w:cs="Trebuchet MS" w:ascii="Trebuchet MS" w:hAnsi="Trebuchet MS"/>
          <w:i/>
          <w:iCs/>
        </w:rPr>
        <w:t>Feminist Principles of the Internet: Advocacy Brief on Violence.</w:t>
      </w:r>
      <w:r>
        <w:rPr>
          <w:rFonts w:eastAsia="Trebuchet MS" w:cs="Trebuchet MS" w:ascii="Trebuchet MS" w:hAnsi="Trebuchet MS"/>
        </w:rPr>
        <w:t xml:space="preserve"> </w:t>
      </w:r>
      <w:hyperlink r:id="rId1" w:tgtFrame="https://genderit.org/index.php/FPI-paper-on-violence">
        <w:r>
          <w:rPr>
            <w:rStyle w:val="EnlacedeInternet"/>
            <w:rFonts w:eastAsia="Trebuchet MS" w:cs="Trebuchet MS" w:ascii="Trebuchet MS" w:hAnsi="Trebuchet MS"/>
          </w:rPr>
          <w:t>https://genderit.org/index.php/FPI-paper-on-violence</w:t>
        </w:r>
      </w:hyperlink>
      <w:r>
        <w:rPr>
          <w:rFonts w:eastAsia="Trebuchet MS" w:cs="Trebuchet MS" w:ascii="Trebuchet MS" w:hAnsi="Trebuchet MS"/>
        </w:rPr>
        <w:t xml:space="preserve"> </w:t>
      </w:r>
    </w:p>
  </w:footnote>
  <w:footnote w:id="3">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 xml:space="preserve">We received input from Point of View, TEDIC, Derechos Digitales, The Left Out Project, among others. </w:t>
      </w:r>
    </w:p>
  </w:footnote>
  <w:footnote w:id="4">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 xml:space="preserve">Bhandari, Vrinda &amp; Kovacs, Anja. (2021). </w:t>
      </w:r>
      <w:r>
        <w:rPr>
          <w:rFonts w:eastAsia="Trebuchet MS" w:cs="Trebuchet MS" w:ascii="Trebuchet MS" w:hAnsi="Trebuchet MS"/>
          <w:i/>
          <w:iCs/>
        </w:rPr>
        <w:t>What’s Sex Got to Do with It? Mapping the Impact of Questions of Gender and Sexuality on the Evolution of the Digital Rights Landscape in India</w:t>
      </w:r>
      <w:r>
        <w:rPr>
          <w:rFonts w:eastAsia="Trebuchet MS" w:cs="Trebuchet MS" w:ascii="Trebuchet MS" w:hAnsi="Trebuchet MS"/>
        </w:rPr>
        <w:t xml:space="preserve">.  </w:t>
      </w:r>
      <w:hyperlink r:id="rId2" w:tgtFrame="https://cdn.internetdemocracy.in/idp/assets/downloads/reports/whats-sex-got-to-do-with-it-mapping-the-impact-of-questions-of-gender-and-sexuality-on-the-evolution-of-the-digital-rights-landscape-in-india/Vrinda-Bhandari-and-Anja-Kovacs-Whats-Sex-Got-To-Do-with-It.pdf">
        <w:r>
          <w:rPr>
            <w:rStyle w:val="EnlacedeInternet"/>
            <w:rFonts w:eastAsia="Trebuchet MS" w:cs="Trebuchet MS" w:ascii="Trebuchet MS" w:hAnsi="Trebuchet MS"/>
          </w:rPr>
          <w:t>https://cdn.internetdemocracy.in/idp/assets/downloads/reports/whats-sex-got-to-do-with-it-mapping-the-impact-of-questions-of-gender-and-sexuality-on-the-evolution-of-the-digital-rights-landscape-in-india/Vrinda-Bhandari-and-Anja-Kovacs-Whats-Sex-Got-To-Do-with-It.pdf</w:t>
        </w:r>
      </w:hyperlink>
      <w:r>
        <w:rPr>
          <w:rFonts w:eastAsia="Trebuchet MS" w:cs="Trebuchet MS" w:ascii="Trebuchet MS" w:hAnsi="Trebuchet MS"/>
        </w:rPr>
        <w:t xml:space="preserve"> </w:t>
      </w:r>
    </w:p>
  </w:footnote>
  <w:footnote w:id="5">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 xml:space="preserve">Derechos Digitales and APC. (2023). </w:t>
      </w:r>
      <w:r>
        <w:rPr>
          <w:rFonts w:eastAsia="Trebuchet MS" w:cs="Trebuchet MS" w:ascii="Trebuchet MS" w:hAnsi="Trebuchet MS"/>
          <w:i/>
          <w:iCs/>
        </w:rPr>
        <w:t>When Proection Becomes and Excuse for Criminalisation: Gender Considerations on Cybercrime Frameworks</w:t>
      </w:r>
      <w:r>
        <w:rPr>
          <w:rFonts w:eastAsia="Trebuchet MS" w:cs="Trebuchet MS" w:ascii="Trebuchet MS" w:hAnsi="Trebuchet MS"/>
        </w:rPr>
        <w:t xml:space="preserve">. </w:t>
      </w:r>
      <w:hyperlink r:id="rId3" w:tgtFrame="https://www.derechosdigitales.org/wp-content/uploads/gender_considerations_on_cybercrime.pdf">
        <w:r>
          <w:rPr>
            <w:rStyle w:val="EnlacedeInternet"/>
            <w:rFonts w:eastAsia="Trebuchet MS" w:cs="Trebuchet MS" w:ascii="Trebuchet MS" w:hAnsi="Trebuchet MS"/>
          </w:rPr>
          <w:t>https://www.derechosdigitales.org/wp-content/uploads/gender_considerations_on_cybercrime.pdf</w:t>
        </w:r>
      </w:hyperlink>
      <w:r>
        <w:rPr>
          <w:rFonts w:eastAsia="Trebuchet MS" w:cs="Trebuchet MS" w:ascii="Trebuchet MS" w:hAnsi="Trebuchet MS"/>
        </w:rPr>
        <w:t xml:space="preserve"> </w:t>
      </w:r>
    </w:p>
  </w:footnote>
  <w:footnote w:id="6">
    <w:p>
      <w:pPr>
        <w:pStyle w:val="Notaalpie"/>
        <w:spacing w:before="0" w:after="40"/>
        <w:rPr>
          <w:rFonts w:ascii="Trebuchet MS" w:hAnsi="Trebuchet MS" w:cs="Trebuchet MS"/>
        </w:rPr>
      </w:pPr>
      <w:r>
        <w:rPr>
          <w:rStyle w:val="Caracteresdenotaalpie"/>
        </w:rPr>
        <w:footnoteRef/>
      </w:r>
      <w:r>
        <w:rPr>
          <w:rStyle w:val="FootnoteCharacters"/>
          <w:rFonts w:eastAsia="Trebuchet MS" w:cs="Trebuchet MS" w:ascii="Trebuchet MS" w:hAnsi="Trebuchet MS"/>
          <w:position w:val="0"/>
          <w:sz w:val="18"/>
          <w:vertAlign w:val="baseline"/>
        </w:rPr>
        <w:t xml:space="preserve"> </w:t>
      </w:r>
      <w:r>
        <w:rPr>
          <w:rStyle w:val="FootnoteCharacters"/>
          <w:rFonts w:eastAsia="Trebuchet MS" w:cs="Trebuchet MS" w:ascii="Trebuchet MS" w:hAnsi="Trebuchet MS"/>
          <w:position w:val="0"/>
          <w:sz w:val="18"/>
          <w:vertAlign w:val="baseline"/>
        </w:rPr>
        <w:t xml:space="preserve">McLean N. and Cicero T.(2023). </w:t>
      </w:r>
      <w:r>
        <w:rPr>
          <w:rStyle w:val="FootnoteCharacters"/>
          <w:rFonts w:eastAsia="Trebuchet MS" w:cs="Trebuchet MS" w:ascii="Trebuchet MS" w:hAnsi="Trebuchet MS"/>
          <w:i/>
          <w:iCs/>
          <w:position w:val="0"/>
          <w:sz w:val="18"/>
          <w:vertAlign w:val="baseline"/>
        </w:rPr>
        <w:t>The Left Out Project Report: The Case for an Online Gender-based Violence Framework Inclusive of Transgender, Non-binary and Gender-diverse Experiences.</w:t>
      </w:r>
      <w:r>
        <w:rPr>
          <w:rFonts w:eastAsia="Trebuchet MS" w:cs="Trebuchet MS" w:ascii="Trebuchet MS" w:hAnsi="Trebuchet MS"/>
          <w:i/>
          <w:iCs/>
        </w:rPr>
        <w:t xml:space="preserve"> </w:t>
      </w:r>
      <w:hyperlink r:id="rId4" w:tgtFrame="https://firn.genderit.org/sites/default/files/2023-08/The-Left-Out-Project-Report.pdf">
        <w:r>
          <w:rPr>
            <w:rStyle w:val="EnlacedeInternet"/>
            <w:rFonts w:eastAsia="Trebuchet MS" w:cs="Trebuchet MS" w:ascii="Trebuchet MS" w:hAnsi="Trebuchet MS"/>
          </w:rPr>
          <w:t>https://firn.genderit.org/sites/default/files/2023-08/The-Left-Out-Project-Report.pdf</w:t>
        </w:r>
      </w:hyperlink>
      <w:r>
        <w:rPr>
          <w:rFonts w:eastAsia="Trebuchet MS" w:cs="Trebuchet MS" w:ascii="Trebuchet MS" w:hAnsi="Trebuchet MS"/>
        </w:rPr>
        <w:t xml:space="preserve"> </w:t>
      </w:r>
    </w:p>
  </w:footnote>
  <w:footnote w:id="7">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Ibidem.</w:t>
      </w:r>
    </w:p>
  </w:footnote>
  <w:footnote w:id="8">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Ibidem.</w:t>
      </w:r>
    </w:p>
  </w:footnote>
  <w:footnote w:id="9">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Ibidem.</w:t>
      </w:r>
    </w:p>
  </w:footnote>
  <w:footnote w:id="10">
    <w:p>
      <w:pPr>
        <w:pStyle w:val="Notaalpie"/>
        <w:spacing w:before="0" w:after="40"/>
        <w:rPr>
          <w:rStyle w:val="EnlacedeInternet"/>
          <w:rFonts w:ascii="Trebuchet MS" w:hAnsi="Trebuchet MS" w:cs="Trebuchet MS"/>
        </w:rPr>
      </w:pPr>
      <w:r>
        <w:rPr>
          <w:rStyle w:val="Caracteresdenotaalpie"/>
        </w:rPr>
        <w:footnoteRef/>
      </w:r>
      <w:r>
        <w:rPr>
          <w:rFonts w:eastAsia="Trebuchet MS" w:cs="Trebuchet MS" w:ascii="Trebuchet MS" w:hAnsi="Trebuchet MS"/>
        </w:rPr>
        <w:t xml:space="preserve"> </w:t>
      </w:r>
      <w:r>
        <w:rPr>
          <w:rStyle w:val="EnlacedeInternet"/>
          <w:rFonts w:cs="Trebuchet MS" w:ascii="Trebuchet MS" w:hAnsi="Trebuchet MS"/>
        </w:rPr>
        <w:t xml:space="preserve"> </w:t>
      </w:r>
      <w:r>
        <w:rPr>
          <w:rFonts w:eastAsia="Trebuchet MS" w:cs="Trebuchet MS" w:ascii="Trebuchet MS" w:hAnsi="Trebuchet MS"/>
        </w:rPr>
        <w:t xml:space="preserve">Bhandari, Vrinda &amp; Kovacs, Anja. (2021). Op. cit. </w:t>
      </w:r>
    </w:p>
  </w:footnote>
  <w:footnote w:id="11">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Ibidem</w:t>
      </w:r>
    </w:p>
  </w:footnote>
  <w:footnote w:id="12">
    <w:p>
      <w:pPr>
        <w:pStyle w:val="Notaalpie"/>
        <w:spacing w:before="0" w:after="40"/>
        <w:rPr>
          <w:rFonts w:ascii="Trebuchet MS" w:hAnsi="Trebuchet MS" w:cs="Trebuchet MS"/>
          <w:sz w:val="18"/>
          <w:szCs w:val="18"/>
        </w:rPr>
      </w:pPr>
      <w:r>
        <w:rPr>
          <w:rStyle w:val="Caracteresdenotaalpie"/>
        </w:rPr>
        <w:footnoteRef/>
      </w:r>
      <w:r>
        <w:rPr>
          <w:rFonts w:eastAsia="Trebuchet MS" w:cs="Trebuchet MS" w:ascii="Trebuchet MS" w:hAnsi="Trebuchet MS"/>
          <w:sz w:val="18"/>
          <w:szCs w:val="18"/>
        </w:rPr>
        <w:t xml:space="preserve"> </w:t>
      </w:r>
      <w:r>
        <w:rPr>
          <w:rFonts w:eastAsia="Trebuchet MS" w:cs="Trebuchet MS" w:ascii="Trebuchet MS" w:hAnsi="Trebuchet MS"/>
          <w:color w:val="000000"/>
          <w:sz w:val="18"/>
          <w:szCs w:val="18"/>
        </w:rPr>
        <w:t xml:space="preserve">Dhapoa, T. (2022). “Fighting online sexual harassment is a long-drawn battle for women”. The Indian Express. </w:t>
      </w:r>
      <w:hyperlink r:id="rId5" w:tgtFrame="https://indianexpress.com/article/technology/tech-news-technology/fighting-online-sexual-harassment-is-a-long-drawn-battle-for-women-7741112/">
        <w:r>
          <w:rPr>
            <w:rStyle w:val="EnlacedeInternet"/>
            <w:rFonts w:eastAsia="Trebuchet MS" w:cs="Trebuchet MS" w:ascii="Trebuchet MS" w:hAnsi="Trebuchet MS"/>
            <w:color w:val="1155CC"/>
            <w:sz w:val="18"/>
            <w:szCs w:val="18"/>
            <w:u w:val="single"/>
          </w:rPr>
          <w:t>https://indianexpress.com/article/technology/tech-news-technology/fighting-online-sexual-harassment-is-a-long-drawn-battle-for-women-7741112/</w:t>
        </w:r>
      </w:hyperlink>
    </w:p>
  </w:footnote>
  <w:footnote w:id="13">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Ibidem</w:t>
      </w:r>
    </w:p>
  </w:footnote>
  <w:footnote w:id="14">
    <w:p>
      <w:pPr>
        <w:pStyle w:val="Notaalpie"/>
        <w:spacing w:before="0" w:after="40"/>
        <w:rPr>
          <w:rFonts w:ascii="Trebuchet MS" w:hAnsi="Trebuchet MS" w:cs="Trebuchet MS"/>
          <w:sz w:val="18"/>
          <w:szCs w:val="18"/>
        </w:rPr>
      </w:pPr>
      <w:r>
        <w:rPr>
          <w:rStyle w:val="Caracteresdenotaalpie"/>
        </w:rPr>
        <w:footnoteRef/>
      </w:r>
      <w:r>
        <w:rPr>
          <w:rStyle w:val="FootnoteCharacters"/>
          <w:rFonts w:eastAsia="Trebuchet MS" w:cs="Trebuchet MS" w:ascii="Trebuchet MS" w:hAnsi="Trebuchet MS"/>
          <w:position w:val="0"/>
          <w:sz w:val="18"/>
          <w:sz w:val="18"/>
          <w:szCs w:val="18"/>
          <w:vertAlign w:val="baseline"/>
        </w:rPr>
        <w:t xml:space="preserve"> </w:t>
      </w:r>
      <w:r>
        <w:rPr>
          <w:rFonts w:eastAsia="Trebuchet MS" w:cs="Trebuchet MS" w:ascii="Trebuchet MS" w:hAnsi="Trebuchet MS"/>
        </w:rPr>
        <w:t>Brindaalakshmi. K</w:t>
      </w:r>
      <w:r>
        <w:rPr>
          <w:rStyle w:val="FootnoteCharacters"/>
          <w:rFonts w:eastAsia="Trebuchet MS" w:cs="Trebuchet MS" w:ascii="Trebuchet MS" w:hAnsi="Trebuchet MS"/>
          <w:position w:val="0"/>
          <w:sz w:val="18"/>
          <w:sz w:val="18"/>
          <w:szCs w:val="18"/>
          <w:vertAlign w:val="baseline"/>
        </w:rPr>
        <w:t xml:space="preserve">. (2023). “Gendering of Development Data in India: Post-Trans Act 2019”. GenderIT.org. </w:t>
      </w:r>
      <w:r>
        <w:rPr>
          <w:rFonts w:eastAsia="Trebuchet MS" w:cs="Trebuchet MS" w:ascii="Trebuchet MS" w:hAnsi="Trebuchet MS"/>
          <w:sz w:val="18"/>
          <w:szCs w:val="18"/>
        </w:rPr>
        <w:t xml:space="preserve"> </w:t>
      </w:r>
      <w:hyperlink r:id="rId6" w:tgtFrame="https://genderit.org/articles/gendering-development-data-india-post-trans-act-2019">
        <w:r>
          <w:rPr>
            <w:rStyle w:val="EnlacedeInternet"/>
            <w:rFonts w:eastAsia="Trebuchet MS" w:cs="Trebuchet MS" w:ascii="Trebuchet MS" w:hAnsi="Trebuchet MS"/>
            <w:sz w:val="18"/>
            <w:szCs w:val="18"/>
          </w:rPr>
          <w:t>https://genderit.org/articles/gendering-development-data-india-post-trans-act-2019</w:t>
        </w:r>
      </w:hyperlink>
      <w:r>
        <w:rPr>
          <w:rFonts w:eastAsia="Trebuchet MS" w:cs="Trebuchet MS" w:ascii="Trebuchet MS" w:hAnsi="Trebuchet MS"/>
          <w:sz w:val="18"/>
          <w:szCs w:val="18"/>
        </w:rPr>
        <w:t xml:space="preserve"> </w:t>
      </w:r>
    </w:p>
  </w:footnote>
  <w:footnote w:id="15">
    <w:p>
      <w:pPr>
        <w:pStyle w:val="Notaalpie"/>
        <w:spacing w:before="0" w:after="40"/>
        <w:rPr>
          <w:rFonts w:ascii="Trebuchet MS" w:hAnsi="Trebuchet MS" w:cs="Trebuchet MS"/>
        </w:rPr>
      </w:pPr>
      <w:r>
        <w:rPr>
          <w:rStyle w:val="Caracteresdenotaalpie"/>
        </w:rPr>
        <w:footnoteRef/>
      </w:r>
      <w:r>
        <w:rPr>
          <w:rStyle w:val="FootnoteCharacters"/>
          <w:rFonts w:eastAsia="Trebuchet MS" w:cs="Trebuchet MS" w:ascii="Trebuchet MS" w:hAnsi="Trebuchet MS"/>
          <w:position w:val="0"/>
          <w:sz w:val="18"/>
          <w:vertAlign w:val="baseline"/>
        </w:rPr>
        <w:t xml:space="preserve"> </w:t>
      </w:r>
      <w:r>
        <w:rPr>
          <w:rStyle w:val="FootnoteCharacters"/>
          <w:rFonts w:eastAsia="Trebuchet MS" w:cs="Trebuchet MS" w:ascii="Trebuchet MS" w:hAnsi="Trebuchet MS"/>
          <w:position w:val="0"/>
          <w:sz w:val="18"/>
          <w:vertAlign w:val="baseline"/>
        </w:rPr>
        <w:t>IT for Change.</w:t>
      </w:r>
      <w:r>
        <w:rPr>
          <w:rStyle w:val="FootnoteCharacters"/>
          <w:rFonts w:eastAsia="Trebuchet MS" w:cs="Trebuchet MS" w:ascii="Trebuchet MS" w:hAnsi="Trebuchet MS"/>
          <w:i/>
          <w:iCs/>
          <w:position w:val="0"/>
          <w:sz w:val="18"/>
          <w:vertAlign w:val="baseline"/>
        </w:rPr>
        <w:t xml:space="preserve"> Access to Justice Issues in Cases of Online Gender-Based Violence</w:t>
      </w:r>
      <w:r>
        <w:rPr>
          <w:rStyle w:val="FootnoteCharacters"/>
          <w:rFonts w:eastAsia="Trebuchet MS" w:cs="Trebuchet MS" w:ascii="Trebuchet MS" w:hAnsi="Trebuchet MS"/>
          <w:position w:val="0"/>
          <w:sz w:val="18"/>
          <w:vertAlign w:val="baseline"/>
        </w:rPr>
        <w:t>.</w:t>
      </w:r>
      <w:r>
        <w:rPr>
          <w:rFonts w:eastAsia="Trebuchet MS" w:cs="Trebuchet MS" w:ascii="Trebuchet MS" w:hAnsi="Trebuchet MS"/>
          <w:sz w:val="18"/>
          <w:szCs w:val="18"/>
        </w:rPr>
        <w:t xml:space="preserve"> </w:t>
      </w:r>
      <w:hyperlink r:id="rId7" w:tgtFrame="https://projects.itforchange.net/online-violence-gender-and-law-guide/module-3-access-to-justice/">
        <w:r>
          <w:rPr>
            <w:rStyle w:val="EnlacedeInternet"/>
            <w:rFonts w:eastAsia="Trebuchet MS" w:cs="Trebuchet MS" w:ascii="Trebuchet MS" w:hAnsi="Trebuchet MS"/>
            <w:color w:val="1155CC"/>
            <w:sz w:val="18"/>
            <w:szCs w:val="18"/>
            <w:u w:val="single"/>
          </w:rPr>
          <w:t>https://projects.itforchange.net/online-violence-gender-and-law-guide/module-3-access-to-justice/</w:t>
        </w:r>
      </w:hyperlink>
    </w:p>
  </w:footnote>
  <w:footnote w:id="16">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 xml:space="preserve">TEDIC and CRI Paraguay. (2023). </w:t>
      </w:r>
      <w:r>
        <w:rPr>
          <w:rFonts w:eastAsia="Trebuchet MS" w:cs="Trebuchet MS" w:ascii="Trebuchet MS" w:hAnsi="Trebuchet MS"/>
          <w:i/>
          <w:iCs/>
        </w:rPr>
        <w:t>Deudas y desafíos para un pleno disfrute de los derechos humanos en el entorno digital</w:t>
      </w:r>
      <w:r>
        <w:rPr>
          <w:rFonts w:eastAsia="Trebuchet MS" w:cs="Trebuchet MS" w:ascii="Trebuchet MS" w:hAnsi="Trebuchet MS"/>
        </w:rPr>
        <w:t xml:space="preserve">. </w:t>
      </w:r>
      <w:hyperlink r:id="rId8" w:tgtFrame="https://www.tedic.org/wp-content/uploads/2023/12/LIBERTAD-Digitales___Pdf-1.pdf">
        <w:r>
          <w:rPr>
            <w:rStyle w:val="EnlacedeInternet"/>
            <w:rFonts w:eastAsia="Trebuchet MS" w:cs="Trebuchet MS" w:ascii="Trebuchet MS" w:hAnsi="Trebuchet MS"/>
          </w:rPr>
          <w:t>https://www.tedic.org/wp-content/uploads/2023/12/LIBERTAD-Digitales___Pdf-1.pdf</w:t>
        </w:r>
      </w:hyperlink>
      <w:r>
        <w:rPr>
          <w:rFonts w:eastAsia="Trebuchet MS" w:cs="Trebuchet MS" w:ascii="Trebuchet MS" w:hAnsi="Trebuchet MS"/>
        </w:rPr>
        <w:t xml:space="preserve"> </w:t>
      </w:r>
    </w:p>
  </w:footnote>
  <w:footnote w:id="17">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Ibidem</w:t>
      </w:r>
    </w:p>
  </w:footnote>
  <w:footnote w:id="18">
    <w:p>
      <w:pPr>
        <w:pStyle w:val="Notaalpie"/>
        <w:spacing w:lineRule="auto" w:line="240"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Ibidem</w:t>
      </w:r>
    </w:p>
  </w:footnote>
  <w:footnote w:id="19">
    <w:p>
      <w:pPr>
        <w:pStyle w:val="Normal"/>
        <w:pBdr/>
        <w:spacing w:lineRule="auto" w:line="240" w:before="0" w:after="200"/>
        <w:ind w:left="0" w:right="0" w:hanging="0"/>
        <w:rPr>
          <w:rFonts w:ascii="Trebuchet MS" w:hAnsi="Trebuchet MS" w:cs="Trebuchet MS"/>
          <w:sz w:val="18"/>
          <w:szCs w:val="18"/>
        </w:rPr>
      </w:pPr>
      <w:r>
        <w:rPr>
          <w:rStyle w:val="Caracteresdenotaalpie"/>
        </w:rPr>
        <w:footnoteRef/>
      </w:r>
      <w:r>
        <w:rPr>
          <w:rFonts w:eastAsia="Trebuchet MS" w:cs="Trebuchet MS" w:ascii="Trebuchet MS" w:hAnsi="Trebuchet MS"/>
          <w:sz w:val="18"/>
          <w:szCs w:val="18"/>
        </w:rPr>
        <w:t xml:space="preserve"> </w:t>
      </w:r>
      <w:r>
        <w:rPr>
          <w:rFonts w:eastAsia="Trebuchet MS" w:cs="Trebuchet MS" w:ascii="Trebuchet MS" w:hAnsi="Trebuchet MS"/>
          <w:sz w:val="18"/>
          <w:szCs w:val="18"/>
        </w:rPr>
        <w:t>TEDIC. (2023).</w:t>
      </w:r>
      <w:r>
        <w:rPr>
          <w:rFonts w:eastAsia="Trebuchet MS" w:cs="Trebuchet MS" w:ascii="Trebuchet MS" w:hAnsi="Trebuchet MS"/>
          <w:i/>
          <w:iCs/>
          <w:sz w:val="18"/>
          <w:szCs w:val="18"/>
          <w:u w:val="none"/>
        </w:rPr>
        <w:t xml:space="preserve"> Tobilleras electrónicas: ¿más seguridad o una herramienta para la vigilancia? </w:t>
      </w:r>
      <w:hyperlink r:id="rId9" w:tgtFrame="https://www.tedic.org/tobilleras-electronicas-mas-seguridad-o-una-herramienta-para-la-vigilancia/">
        <w:r>
          <w:rPr>
            <w:rStyle w:val="EnlacedeInternet"/>
            <w:rFonts w:eastAsia="Trebuchet MS" w:cs="Trebuchet MS" w:ascii="Trebuchet MS" w:hAnsi="Trebuchet MS"/>
            <w:color w:val="000080"/>
            <w:sz w:val="18"/>
            <w:szCs w:val="18"/>
            <w:u w:val="single"/>
          </w:rPr>
          <w:t>https://www.tedic.org/tobilleras-electronicas-mas-seguridad-o-una-herramienta-para-la-vigilancia/</w:t>
        </w:r>
      </w:hyperlink>
      <w:r>
        <w:rPr>
          <w:rFonts w:eastAsia="Trebuchet MS" w:cs="Trebuchet MS" w:ascii="Trebuchet MS" w:hAnsi="Trebuchet MS"/>
          <w:color w:val="000000"/>
          <w:sz w:val="18"/>
          <w:szCs w:val="18"/>
        </w:rPr>
        <w:t xml:space="preserve">  </w:t>
      </w:r>
    </w:p>
  </w:footnote>
  <w:footnote w:id="20">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Style w:val="FootnoteCharacters"/>
          <w:rFonts w:eastAsia="Trebuchet MS" w:cs="Trebuchet MS" w:ascii="Trebuchet MS" w:hAnsi="Trebuchet MS"/>
          <w:position w:val="0"/>
          <w:sz w:val="18"/>
          <w:vertAlign w:val="baseline"/>
        </w:rPr>
        <w:t xml:space="preserve"> </w:t>
      </w:r>
      <w:r>
        <w:rPr>
          <w:rStyle w:val="FootnoteCharacters"/>
          <w:rFonts w:eastAsia="Trebuchet MS" w:cs="Trebuchet MS" w:ascii="Trebuchet MS" w:hAnsi="Trebuchet MS"/>
          <w:position w:val="0"/>
          <w:sz w:val="18"/>
          <w:vertAlign w:val="baseline"/>
        </w:rPr>
        <w:t>McLean N. and Cicero T.(2023).</w:t>
      </w:r>
      <w:r>
        <w:rPr>
          <w:rFonts w:eastAsia="Trebuchet MS" w:cs="Trebuchet MS" w:ascii="Trebuchet MS" w:hAnsi="Trebuchet MS"/>
        </w:rPr>
        <w:t xml:space="preserve"> Op. cit. </w:t>
      </w:r>
    </w:p>
  </w:footnote>
  <w:footnote w:id="21">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Style w:val="FootnoteCharacters"/>
          <w:rFonts w:eastAsia="Trebuchet MS" w:cs="Trebuchet MS" w:ascii="Trebuchet MS" w:hAnsi="Trebuchet MS"/>
          <w:position w:val="0"/>
          <w:sz w:val="18"/>
          <w:vertAlign w:val="baseline"/>
        </w:rPr>
        <w:t>McLean N. and Cicero T.(2023).</w:t>
      </w:r>
      <w:r>
        <w:rPr>
          <w:rFonts w:eastAsia="Trebuchet MS" w:cs="Trebuchet MS" w:ascii="Trebuchet MS" w:hAnsi="Trebuchet MS"/>
        </w:rPr>
        <w:t xml:space="preserve"> Op. cit. </w:t>
      </w:r>
    </w:p>
  </w:footnote>
  <w:footnote w:id="22">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Style w:val="FootnoteCharacters"/>
          <w:rFonts w:eastAsia="Trebuchet MS" w:cs="Trebuchet MS" w:ascii="Trebuchet MS" w:hAnsi="Trebuchet MS"/>
          <w:position w:val="0"/>
          <w:sz w:val="18"/>
          <w:vertAlign w:val="baseline"/>
        </w:rPr>
        <w:t>Ibidem.</w:t>
      </w:r>
    </w:p>
  </w:footnote>
  <w:footnote w:id="23">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Ibidem.</w:t>
      </w:r>
    </w:p>
  </w:footnote>
  <w:footnote w:id="24">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 xml:space="preserve">Rizqy. R. and Andriyanti Y.D. (2022). “We Rise, We Heal, We Resist”. GenderIT.org. </w:t>
      </w:r>
      <w:hyperlink r:id="rId10" w:tgtFrame="https://genderit.org/feminist-talk/we-rise-we-heal-we-resist">
        <w:r>
          <w:rPr>
            <w:rStyle w:val="EnlacedeInternet"/>
            <w:rFonts w:eastAsia="Trebuchet MS" w:cs="Trebuchet MS" w:ascii="Trebuchet MS" w:hAnsi="Trebuchet MS"/>
          </w:rPr>
          <w:t>https://genderit.org/feminist-talk/we-rise-we-heal-we-resist</w:t>
        </w:r>
      </w:hyperlink>
      <w:r>
        <w:rPr>
          <w:rFonts w:eastAsia="Trebuchet MS" w:cs="Trebuchet MS" w:ascii="Trebuchet MS" w:hAnsi="Trebuchet MS"/>
        </w:rPr>
        <w:t xml:space="preserve"> </w:t>
      </w:r>
    </w:p>
  </w:footnote>
  <w:footnote w:id="25">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 xml:space="preserve">Tar, Y. (2023). </w:t>
      </w:r>
      <w:r>
        <w:rPr>
          <w:rFonts w:eastAsia="Trebuchet MS" w:cs="Trebuchet MS" w:ascii="Trebuchet MS" w:hAnsi="Trebuchet MS"/>
          <w:i/>
          <w:iCs/>
        </w:rPr>
        <w:t>All of a Sudden... Research on Digital Violence Against LGBTQI+ Communities in Turkiye.</w:t>
      </w:r>
      <w:r>
        <w:rPr>
          <w:rFonts w:eastAsia="Trebuchet MS" w:cs="Trebuchet MS" w:ascii="Trebuchet MS" w:hAnsi="Trebuchet MS"/>
        </w:rPr>
        <w:t xml:space="preserve"> </w:t>
      </w:r>
      <w:hyperlink r:id="rId11" w:tgtFrame="https://firn.genderit.org/sites/default/files/2023-08/All-of-a-sudden_0.pdf">
        <w:r>
          <w:rPr>
            <w:rStyle w:val="EnlacedeInternet"/>
            <w:rFonts w:eastAsia="Trebuchet MS" w:cs="Trebuchet MS" w:ascii="Trebuchet MS" w:hAnsi="Trebuchet MS"/>
          </w:rPr>
          <w:t>https://firn.genderit.org/sites/default/files/2023-08/All-of-a-sudden_0.pdf</w:t>
        </w:r>
      </w:hyperlink>
      <w:r>
        <w:rPr>
          <w:rFonts w:eastAsia="Trebuchet MS" w:cs="Trebuchet MS" w:ascii="Trebuchet MS" w:hAnsi="Trebuchet MS"/>
        </w:rPr>
        <w:t xml:space="preserve"> </w:t>
      </w:r>
    </w:p>
  </w:footnote>
  <w:footnote w:id="26">
    <w:p>
      <w:pPr>
        <w:pStyle w:val="Notaalpie"/>
        <w:spacing w:lineRule="auto" w:line="240" w:before="0" w:after="40"/>
        <w:rPr/>
      </w:pPr>
      <w:r>
        <w:rPr>
          <w:rStyle w:val="Caracteresdenotaalpie"/>
        </w:rPr>
        <w:footnoteRef/>
      </w:r>
      <w:r>
        <w:rPr/>
        <w:t xml:space="preserve"> </w:t>
      </w:r>
      <w:r>
        <w:rPr>
          <w:rFonts w:eastAsia="Trebuchet MS" w:cs="Trebuchet MS" w:ascii="Trebuchet MS" w:hAnsi="Trebuchet MS"/>
        </w:rPr>
        <w:t xml:space="preserve"> </w:t>
      </w:r>
      <w:r>
        <w:rPr>
          <w:rFonts w:eastAsia="Trebuchet MS" w:cs="Trebuchet MS" w:ascii="Trebuchet MS" w:hAnsi="Trebuchet MS"/>
        </w:rPr>
        <w:t xml:space="preserve">APC. (2023). </w:t>
      </w:r>
      <w:r>
        <w:rPr>
          <w:rFonts w:eastAsia="Trebuchet MS" w:cs="Trebuchet MS" w:ascii="Trebuchet MS" w:hAnsi="Trebuchet MS"/>
          <w:i/>
          <w:iCs/>
        </w:rPr>
        <w:t>Feminist Principles of the Internet: Advocacy Brief on Violence.</w:t>
      </w:r>
      <w:r>
        <w:rPr>
          <w:rFonts w:eastAsia="Trebuchet MS" w:cs="Trebuchet MS" w:ascii="Trebuchet MS" w:hAnsi="Trebuchet MS"/>
        </w:rPr>
        <w:t xml:space="preserve"> </w:t>
      </w:r>
      <w:hyperlink r:id="rId12" w:tgtFrame="https://genderit.org/index.php/FPI-paper-on-violence">
        <w:r>
          <w:rPr>
            <w:rStyle w:val="EnlacedeInternet"/>
            <w:rFonts w:eastAsia="Trebuchet MS" w:cs="Trebuchet MS" w:ascii="Trebuchet MS" w:hAnsi="Trebuchet MS"/>
          </w:rPr>
          <w:t>https://genderit.org/index.php/FPI-paper-on-violence</w:t>
        </w:r>
      </w:hyperlink>
      <w:r>
        <w:rPr>
          <w:rFonts w:eastAsia="Trebuchet MS" w:cs="Trebuchet MS" w:ascii="Trebuchet MS" w:hAnsi="Trebuchet MS"/>
        </w:rPr>
        <w:t xml:space="preserve"> </w:t>
      </w:r>
    </w:p>
  </w:footnote>
  <w:footnote w:id="27">
    <w:p>
      <w:pPr>
        <w:pStyle w:val="Notaalpie"/>
        <w:spacing w:lineRule="auto" w:line="240" w:before="0" w:after="40"/>
        <w:rPr/>
      </w:pPr>
      <w:r>
        <w:rPr>
          <w:rStyle w:val="Caracteresdenotaalpie"/>
        </w:rPr>
        <w:footnoteRef/>
      </w:r>
      <w:r>
        <w:rPr/>
        <w:t xml:space="preserve"> </w:t>
      </w:r>
      <w:r>
        <w:rPr/>
        <w:t>Ibidem.</w:t>
      </w:r>
    </w:p>
  </w:footnote>
  <w:footnote w:id="28">
    <w:p>
      <w:pPr>
        <w:pStyle w:val="Notaalpie"/>
        <w:spacing w:lineRule="auto" w:line="240" w:before="0" w:after="40"/>
        <w:rPr/>
      </w:pPr>
      <w:r>
        <w:rPr>
          <w:rStyle w:val="Caracteresdenotaalpie"/>
        </w:rPr>
        <w:footnoteRef/>
      </w:r>
      <w:r>
        <w:rPr/>
        <w:t xml:space="preserve"> </w:t>
      </w:r>
      <w:r>
        <w:rPr>
          <w:rFonts w:eastAsia="Trebuchet MS" w:cs="Trebuchet MS" w:ascii="Trebuchet MS" w:hAnsi="Trebuchet MS"/>
        </w:rPr>
        <w:t xml:space="preserve">Tar, Y. (2023). </w:t>
      </w:r>
      <w:r>
        <w:rPr/>
        <w:t xml:space="preserve">Op. cit. </w:t>
      </w:r>
    </w:p>
  </w:footnote>
  <w:footnote w:id="29">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 xml:space="preserve">Raghunath, P. (2022). </w:t>
      </w:r>
      <w:r>
        <w:rPr>
          <w:rFonts w:eastAsia="Trebuchet MS" w:cs="Trebuchet MS" w:ascii="Trebuchet MS" w:hAnsi="Trebuchet MS"/>
          <w:i/>
          <w:iCs/>
        </w:rPr>
        <w:t>Hated Speech and the Cost of Freedom in India.</w:t>
      </w:r>
      <w:r>
        <w:rPr>
          <w:rFonts w:eastAsia="Trebuchet MS" w:cs="Trebuchet MS" w:ascii="Trebuchet MS" w:hAnsi="Trebuchet MS"/>
        </w:rPr>
        <w:t xml:space="preserve"> </w:t>
      </w:r>
      <w:hyperlink r:id="rId13" w:tgtFrame="https://www.apc.org/sites/default/files/final_report_-_hated_speech_and_the_costs_of_freedom_in_india.pdf">
        <w:r>
          <w:rPr>
            <w:rStyle w:val="EnlacedeInternet"/>
            <w:rFonts w:eastAsia="Trebuchet MS" w:cs="Trebuchet MS" w:ascii="Trebuchet MS" w:hAnsi="Trebuchet MS"/>
          </w:rPr>
          <w:t>https://www.apc.org/sites/default/files/final_report_-hated_speech_and_the_costs_of_freedom_in_india.pdf</w:t>
        </w:r>
      </w:hyperlink>
      <w:r>
        <w:rPr>
          <w:rFonts w:eastAsia="Trebuchet MS" w:cs="Trebuchet MS" w:ascii="Trebuchet MS" w:hAnsi="Trebuchet MS"/>
        </w:rPr>
        <w:t xml:space="preserve"> </w:t>
      </w:r>
    </w:p>
  </w:footnote>
  <w:footnote w:id="30">
    <w:p>
      <w:pPr>
        <w:pStyle w:val="Notaalpie"/>
        <w:spacing w:before="0" w:after="40"/>
        <w:rPr>
          <w:rFonts w:ascii="Trebuchet MS" w:hAnsi="Trebuchet MS" w:cs="Trebuchet MS"/>
        </w:rPr>
      </w:pPr>
      <w:r>
        <w:rPr>
          <w:rStyle w:val="Caracteresdenotaalpie"/>
        </w:rPr>
        <w:footnoteRef/>
      </w:r>
      <w:r>
        <w:rPr>
          <w:rStyle w:val="FootnoteCharacters"/>
          <w:rFonts w:eastAsia="Trebuchet MS" w:cs="Trebuchet MS" w:ascii="Trebuchet MS" w:hAnsi="Trebuchet MS"/>
          <w:position w:val="0"/>
          <w:sz w:val="18"/>
          <w:vertAlign w:val="baseline"/>
        </w:rPr>
        <w:t xml:space="preserve"> </w:t>
      </w:r>
      <w:r>
        <w:rPr>
          <w:rStyle w:val="FootnoteCharacters"/>
          <w:rFonts w:eastAsia="Trebuchet MS" w:cs="Trebuchet MS" w:ascii="Trebuchet MS" w:hAnsi="Trebuchet MS"/>
          <w:position w:val="0"/>
          <w:sz w:val="18"/>
          <w:vertAlign w:val="baseline"/>
        </w:rPr>
        <w:t>Moawad, N. (2023). “Feminists in the Panopticon: How Surveillance Capitalism Captures Feminist Movements” in GenderIT.org.</w:t>
      </w:r>
      <w:r>
        <w:rPr>
          <w:rFonts w:eastAsia="Trebuchet MS" w:cs="Trebuchet MS" w:ascii="Trebuchet MS" w:hAnsi="Trebuchet MS"/>
        </w:rPr>
        <w:t xml:space="preserve"> </w:t>
      </w:r>
      <w:hyperlink r:id="rId14" w:tgtFrame="https://genderit.org/articles/feminists-panopticon-how-surveillance-capitalism-captures-feminist-movements">
        <w:r>
          <w:rPr>
            <w:rStyle w:val="EnlacedeInternet"/>
            <w:rFonts w:eastAsia="Trebuchet MS" w:cs="Trebuchet MS" w:ascii="Trebuchet MS" w:hAnsi="Trebuchet MS"/>
          </w:rPr>
          <w:t>https://genderit.org/articles/feminists-panopticon-how-surveillance-capitalism-captures-feminist-movements</w:t>
        </w:r>
      </w:hyperlink>
      <w:r>
        <w:rPr>
          <w:rFonts w:eastAsia="Trebuchet MS" w:cs="Trebuchet MS" w:ascii="Trebuchet MS" w:hAnsi="Trebuchet MS"/>
        </w:rPr>
        <w:t xml:space="preserve"> </w:t>
      </w:r>
    </w:p>
  </w:footnote>
  <w:footnote w:id="31">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 xml:space="preserve">Rizqy. R. and Andriyanti Y.D. (2022). Op. cit. </w:t>
      </w:r>
    </w:p>
  </w:footnote>
  <w:footnote w:id="32">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 xml:space="preserve">McLean, N. and Cicero. T. (2023). “LGBTQIA+ Rights are not a Political Plaything” in GenderIT.org. </w:t>
      </w:r>
      <w:hyperlink r:id="rId15" w:tgtFrame="https://genderit.org/feminist-talk/lgbtqia-rights-are-not-political-plaything">
        <w:r>
          <w:rPr>
            <w:rStyle w:val="EnlacedeInternet"/>
            <w:rFonts w:eastAsia="Trebuchet MS" w:cs="Trebuchet MS" w:ascii="Trebuchet MS" w:hAnsi="Trebuchet MS"/>
          </w:rPr>
          <w:t>https://genderit.org/feminist-talk/lgbtqia-rights-are-not-political-plaything</w:t>
        </w:r>
      </w:hyperlink>
      <w:r>
        <w:rPr>
          <w:rFonts w:eastAsia="Trebuchet MS" w:cs="Trebuchet MS" w:ascii="Trebuchet MS" w:hAnsi="Trebuchet MS"/>
        </w:rPr>
        <w:t xml:space="preserve"> </w:t>
      </w:r>
    </w:p>
  </w:footnote>
  <w:footnote w:id="33">
    <w:p>
      <w:pPr>
        <w:pStyle w:val="Normal"/>
        <w:pBdr/>
        <w:shd w:val="clear" w:color="FFFFFF" w:fill="FFFFFF"/>
        <w:spacing w:lineRule="auto" w:line="276" w:before="0" w:after="0"/>
        <w:ind w:left="0" w:right="0" w:hanging="0"/>
        <w:jc w:val="left"/>
        <w:rPr>
          <w:rFonts w:ascii="Trebuchet MS" w:hAnsi="Trebuchet MS" w:cs="Trebuchet MS"/>
          <w:sz w:val="18"/>
          <w:szCs w:val="18"/>
        </w:rPr>
      </w:pPr>
      <w:r>
        <w:rPr>
          <w:rStyle w:val="Caracteresdenotaalpie"/>
        </w:rPr>
        <w:footnoteRef/>
      </w:r>
      <w:r>
        <w:rPr>
          <w:rStyle w:val="FootnoteCharacters"/>
          <w:rFonts w:eastAsia="Trebuchet MS" w:cs="Trebuchet MS" w:ascii="Trebuchet MS" w:hAnsi="Trebuchet MS"/>
          <w:position w:val="0"/>
          <w:sz w:val="18"/>
          <w:sz w:val="18"/>
          <w:szCs w:val="18"/>
          <w:vertAlign w:val="baseline"/>
        </w:rPr>
        <w:t xml:space="preserve"> </w:t>
      </w:r>
      <w:r>
        <w:rPr>
          <w:rStyle w:val="FootnoteCharacters"/>
          <w:rFonts w:eastAsia="Trebuchet MS" w:cs="Trebuchet MS" w:ascii="Trebuchet MS" w:hAnsi="Trebuchet MS"/>
          <w:position w:val="0"/>
          <w:sz w:val="18"/>
          <w:sz w:val="18"/>
          <w:szCs w:val="18"/>
          <w:vertAlign w:val="baseline"/>
        </w:rPr>
        <w:t>Kovacs, A. and Ranganathan, N. (2017).</w:t>
      </w:r>
      <w:r>
        <w:rPr>
          <w:rStyle w:val="FootnoteCharacters"/>
          <w:rFonts w:eastAsia="Trebuchet MS" w:cs="Trebuchet MS" w:ascii="Trebuchet MS" w:hAnsi="Trebuchet MS"/>
          <w:i/>
          <w:iCs/>
          <w:position w:val="0"/>
          <w:sz w:val="18"/>
          <w:sz w:val="18"/>
          <w:szCs w:val="18"/>
          <w:vertAlign w:val="baseline"/>
        </w:rPr>
        <w:t xml:space="preserve"> Gendering Surveillance</w:t>
      </w:r>
      <w:r>
        <w:rPr>
          <w:rStyle w:val="FootnoteCharacters"/>
          <w:rFonts w:eastAsia="Trebuchet MS" w:cs="Trebuchet MS" w:ascii="Trebuchet MS" w:hAnsi="Trebuchet MS"/>
          <w:position w:val="0"/>
          <w:sz w:val="18"/>
          <w:sz w:val="18"/>
          <w:szCs w:val="18"/>
          <w:vertAlign w:val="baseline"/>
        </w:rPr>
        <w:t xml:space="preserve">. </w:t>
      </w:r>
      <w:r>
        <w:rPr>
          <w:rFonts w:eastAsia="Trebuchet MS" w:cs="Trebuchet MS" w:ascii="Trebuchet MS" w:hAnsi="Trebuchet MS"/>
          <w:sz w:val="18"/>
          <w:szCs w:val="18"/>
        </w:rPr>
        <w:t xml:space="preserve"> </w:t>
      </w:r>
      <w:hyperlink r:id="rId16" w:tgtFrame="https://genderingsurveillance.internetdemocracy.in/">
        <w:r>
          <w:rPr>
            <w:rStyle w:val="EnlacedeInternet"/>
            <w:rFonts w:eastAsia="Trebuchet MS" w:cs="Trebuchet MS" w:ascii="Trebuchet MS" w:hAnsi="Trebuchet MS"/>
            <w:color w:val="000080"/>
            <w:sz w:val="18"/>
            <w:szCs w:val="18"/>
            <w:u w:val="single"/>
          </w:rPr>
          <w:t>h</w:t>
        </w:r>
      </w:hyperlink>
      <w:hyperlink r:id="rId17" w:tgtFrame="https://genderingsurveillance.internetdemocracy.in/">
        <w:r>
          <w:rPr>
            <w:rStyle w:val="EnlacedeInternet"/>
            <w:rFonts w:eastAsia="Trebuchet MS" w:cs="Trebuchet MS" w:ascii="Trebuchet MS" w:hAnsi="Trebuchet MS"/>
            <w:color w:val="000080"/>
            <w:sz w:val="18"/>
            <w:szCs w:val="18"/>
            <w:u w:val="single"/>
          </w:rPr>
          <w:t>ttps://genderingsurveillance.internetdemocracy.</w:t>
        </w:r>
      </w:hyperlink>
      <w:hyperlink r:id="rId18" w:tgtFrame="https://genderingsurveillance.internetdemocracy.in/">
        <w:r>
          <w:rPr>
            <w:rStyle w:val="EnlacedeInternet"/>
            <w:rFonts w:eastAsia="Trebuchet MS" w:cs="Trebuchet MS" w:ascii="Trebuchet MS" w:hAnsi="Trebuchet MS"/>
            <w:color w:val="000080"/>
            <w:sz w:val="18"/>
            <w:szCs w:val="18"/>
            <w:u w:val="single"/>
          </w:rPr>
          <w:t>in/</w:t>
        </w:r>
      </w:hyperlink>
    </w:p>
  </w:footnote>
  <w:footnote w:id="34">
    <w:p>
      <w:pPr>
        <w:pStyle w:val="Notaalpie"/>
        <w:spacing w:before="0" w:after="40"/>
        <w:rPr>
          <w:rFonts w:ascii="Trebuchet MS" w:hAnsi="Trebuchet MS" w:cs="Trebuchet MS"/>
        </w:rPr>
      </w:pPr>
      <w:r>
        <w:rPr>
          <w:rStyle w:val="Caracteresdenotaalpie"/>
        </w:rPr>
        <w:footnoteRef/>
      </w:r>
      <w:r>
        <w:rPr>
          <w:rStyle w:val="FootnoteCharacters"/>
          <w:rFonts w:eastAsia="Trebuchet MS" w:cs="Trebuchet MS" w:ascii="Trebuchet MS" w:hAnsi="Trebuchet MS"/>
          <w:position w:val="0"/>
          <w:sz w:val="18"/>
          <w:vertAlign w:val="baseline"/>
        </w:rPr>
        <w:t xml:space="preserve"> </w:t>
      </w:r>
      <w:r>
        <w:rPr>
          <w:rStyle w:val="FootnoteCharacters"/>
          <w:rFonts w:eastAsia="Trebuchet MS" w:cs="Trebuchet MS" w:ascii="Trebuchet MS" w:hAnsi="Trebuchet MS"/>
          <w:position w:val="0"/>
          <w:sz w:val="18"/>
          <w:vertAlign w:val="baseline"/>
        </w:rPr>
        <w:t xml:space="preserve">Queer In A. (2023). </w:t>
      </w:r>
      <w:r>
        <w:rPr>
          <w:rStyle w:val="FootnoteCharacters"/>
          <w:rFonts w:eastAsia="Trebuchet MS" w:cs="Trebuchet MS" w:ascii="Trebuchet MS" w:hAnsi="Trebuchet MS"/>
          <w:i/>
          <w:iCs/>
          <w:position w:val="0"/>
          <w:sz w:val="18"/>
          <w:vertAlign w:val="baseline"/>
        </w:rPr>
        <w:t>Queer In AI: A Case Study in Community-Led Participatory AI</w:t>
      </w:r>
      <w:r>
        <w:rPr>
          <w:rStyle w:val="FootnoteCharacters"/>
          <w:rFonts w:eastAsia="Trebuchet MS" w:cs="Trebuchet MS" w:ascii="Trebuchet MS" w:hAnsi="Trebuchet MS"/>
          <w:position w:val="0"/>
          <w:sz w:val="18"/>
          <w:vertAlign w:val="baseline"/>
        </w:rPr>
        <w:t>.</w:t>
      </w:r>
      <w:r>
        <w:rPr>
          <w:rFonts w:eastAsia="Trebuchet MS" w:cs="Trebuchet MS" w:ascii="Trebuchet MS" w:hAnsi="Trebuchet MS"/>
        </w:rPr>
        <w:t xml:space="preserve"> </w:t>
      </w:r>
      <w:hyperlink r:id="rId19" w:tgtFrame="https://dl.acm.org/doi/abs/10.1145/3593013.3594134">
        <w:r>
          <w:rPr>
            <w:rStyle w:val="EnlacedeInternet"/>
            <w:rFonts w:eastAsia="Trebuchet MS" w:cs="Trebuchet MS" w:ascii="Trebuchet MS" w:hAnsi="Trebuchet MS"/>
            <w:color w:val="000000" w:themeColor="text1"/>
            <w:spacing w:val="-2"/>
            <w:sz w:val="18"/>
            <w:szCs w:val="18"/>
            <w:u w:val="single"/>
          </w:rPr>
          <w:t>https://dl.acm.org/doi/abs/10.1145/3593013.3594134</w:t>
        </w:r>
      </w:hyperlink>
      <w:r>
        <w:rPr>
          <w:rFonts w:eastAsia="Trebuchet MS" w:cs="Trebuchet MS" w:ascii="Trebuchet MS" w:hAnsi="Trebuchet MS"/>
        </w:rPr>
        <w:t xml:space="preserve"> </w:t>
      </w:r>
    </w:p>
  </w:footnote>
  <w:footnote w:id="35">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 xml:space="preserve">Meghagark.Work (2023).”Are Courts Ready for Dating Apps?”. In Youth Ki Awaaz.   </w:t>
      </w:r>
      <w:hyperlink r:id="rId20" w:tgtFrame="https://www.youthkiawaaz.com/2023/12/are-courts-ready-for-dating-apps/">
        <w:r>
          <w:rPr>
            <w:rStyle w:val="EnlacedeInternet"/>
            <w:rFonts w:eastAsia="Trebuchet MS" w:cs="Trebuchet MS" w:ascii="Trebuchet MS" w:hAnsi="Trebuchet MS"/>
          </w:rPr>
          <w:t>https://www.youthkiawaaz.com/2023/12/are-courts-ready-for-dating-apps/</w:t>
        </w:r>
      </w:hyperlink>
      <w:r>
        <w:rPr>
          <w:rFonts w:eastAsia="Trebuchet MS" w:cs="Trebuchet MS" w:ascii="Trebuchet MS" w:hAnsi="Trebuchet MS"/>
        </w:rPr>
        <w:t xml:space="preserve"> </w:t>
      </w:r>
    </w:p>
  </w:footnote>
  <w:footnote w:id="36">
    <w:p>
      <w:pPr>
        <w:pStyle w:val="Notaalpie"/>
        <w:spacing w:before="0" w:after="40"/>
        <w:rPr>
          <w:rFonts w:ascii="Trebuchet MS" w:hAnsi="Trebuchet MS" w:cs="Trebuchet MS"/>
          <w:color w:val="000000" w:themeColor="text1"/>
          <w:sz w:val="18"/>
          <w:szCs w:val="18"/>
        </w:rPr>
      </w:pPr>
      <w:r>
        <w:rPr>
          <w:rStyle w:val="Caracteresdenotaalpie"/>
        </w:rPr>
        <w:footnoteRef/>
      </w:r>
      <w:r>
        <w:rPr>
          <w:rFonts w:eastAsia="Trebuchet MS" w:cs="Trebuchet MS" w:ascii="Trebuchet MS" w:hAnsi="Trebuchet MS"/>
          <w:color w:val="000000" w:themeColor="text1"/>
          <w:sz w:val="18"/>
          <w:szCs w:val="18"/>
        </w:rPr>
        <w:t xml:space="preserve"> </w:t>
      </w:r>
      <w:r>
        <w:rPr>
          <w:rFonts w:eastAsia="Trebuchet MS" w:cs="Trebuchet MS" w:ascii="Trebuchet MS" w:hAnsi="Trebuchet MS"/>
        </w:rPr>
        <w:t>Bhandari, Vrinda &amp; Kovacs, Anja. (2021). Op. cit.</w:t>
      </w:r>
    </w:p>
  </w:footnote>
  <w:footnote w:id="37">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hyperlink r:id="rId21" w:tgtFrame="https://blogs.lse.ac.uk/humanrights/2021/04/16/predictive-policing-in-india-deterring-crime-or-discriminating-minorities/">
        <w:r>
          <w:rPr>
            <w:rStyle w:val="EnlacedeInternet"/>
            <w:rFonts w:eastAsia="Trebuchet MS" w:cs="Trebuchet MS" w:ascii="Trebuchet MS" w:hAnsi="Trebuchet MS"/>
          </w:rPr>
          <w:t>https://blogs.lse.ac.uk/humanrights/2021/04/16/predictive-policing-in-india-deterring-crime-or-discriminating-minorities/</w:t>
        </w:r>
      </w:hyperlink>
      <w:r>
        <w:rPr>
          <w:rFonts w:eastAsia="Trebuchet MS" w:cs="Trebuchet MS" w:ascii="Trebuchet MS" w:hAnsi="Trebuchet MS"/>
        </w:rPr>
        <w:t xml:space="preserve">  </w:t>
      </w:r>
    </w:p>
  </w:footnote>
  <w:footnote w:id="38">
    <w:p>
      <w:pPr>
        <w:pStyle w:val="Notaalpie"/>
        <w:spacing w:before="0" w:after="40"/>
        <w:rPr>
          <w:rFonts w:ascii="Trebuchet MS" w:hAnsi="Trebuchet MS" w:cs="Trebuchet MS"/>
        </w:rPr>
      </w:pPr>
      <w:r>
        <w:rPr>
          <w:rStyle w:val="Caracteresdenotaalpie"/>
        </w:rPr>
        <w:footnoteRef/>
      </w:r>
      <w:r>
        <w:rPr>
          <w:rStyle w:val="FootnoteCharacters"/>
          <w:rFonts w:eastAsia="Trebuchet MS" w:cs="Trebuchet MS" w:ascii="Trebuchet MS" w:hAnsi="Trebuchet MS"/>
          <w:position w:val="0"/>
          <w:sz w:val="18"/>
          <w:vertAlign w:val="baseline"/>
        </w:rPr>
        <w:t xml:space="preserve"> </w:t>
      </w:r>
      <w:r>
        <w:rPr>
          <w:rStyle w:val="FootnoteCharacters"/>
          <w:rFonts w:eastAsia="Trebuchet MS" w:cs="Trebuchet MS" w:ascii="Trebuchet MS" w:hAnsi="Trebuchet MS"/>
          <w:position w:val="0"/>
          <w:sz w:val="18"/>
          <w:vertAlign w:val="baseline"/>
        </w:rPr>
        <w:t>Murugesan, R. (2021). “Predictive Policing in India: Deterring Crime or Discriminating Minorities?”. In LSE Blog.</w:t>
      </w:r>
      <w:r>
        <w:rPr>
          <w:rFonts w:eastAsia="Trebuchet MS" w:cs="Trebuchet MS" w:ascii="Trebuchet MS" w:hAnsi="Trebuchet MS"/>
        </w:rPr>
        <w:t xml:space="preserve"> </w:t>
      </w:r>
      <w:hyperlink r:id="rId22" w:tgtFrame="https://blogs.lse.ac.uk/humanrights/2021/04/16/predictive-policing-in-india-deterring-crime-or-discriminating-minorities/">
        <w:r>
          <w:rPr>
            <w:rStyle w:val="EnlacedeInternet"/>
            <w:rFonts w:eastAsia="Trebuchet MS" w:cs="Trebuchet MS" w:ascii="Trebuchet MS" w:hAnsi="Trebuchet MS"/>
          </w:rPr>
          <w:t>https://blogs.lse.ac.uk/humanrights/2021/04/16/predictive-policing-in-india-deterring-crime-or-discriminating-minorities/</w:t>
        </w:r>
      </w:hyperlink>
      <w:r>
        <w:rPr>
          <w:rFonts w:eastAsia="Trebuchet MS" w:cs="Trebuchet MS" w:ascii="Trebuchet MS" w:hAnsi="Trebuchet MS"/>
        </w:rPr>
        <w:t xml:space="preserve"> </w:t>
      </w:r>
    </w:p>
  </w:footnote>
  <w:footnote w:id="39">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 xml:space="preserve">Derechos Digitales and APC. (2023). Op. cit. </w:t>
      </w:r>
    </w:p>
  </w:footnote>
  <w:footnote w:id="40">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 xml:space="preserve">Ibidem. </w:t>
      </w:r>
    </w:p>
  </w:footnote>
  <w:footnote w:id="41">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 xml:space="preserve">All of these recommendations are an adaptation from the recommendations given in the Report “Safer Internet” available here: </w:t>
      </w:r>
      <w:hyperlink r:id="rId23" w:tgtFrame="https://www.cigionline.org/static/documents/SaferInternet_Special_Report.pdf">
        <w:r>
          <w:rPr>
            <w:rStyle w:val="EnlacedeInternet"/>
            <w:rFonts w:eastAsia="Trebuchet MS" w:cs="Trebuchet MS" w:ascii="Trebuchet MS" w:hAnsi="Trebuchet MS"/>
          </w:rPr>
          <w:t>https://www.cigionline.org/static/documents/SaferInternet_Special_Report.pdf</w:t>
        </w:r>
      </w:hyperlink>
      <w:r>
        <w:rPr>
          <w:rFonts w:eastAsia="Trebuchet MS" w:cs="Trebuchet MS" w:ascii="Trebuchet MS" w:hAnsi="Trebuchet MS"/>
        </w:rPr>
        <w:t xml:space="preserve"> we strongly recommend following all the recommendations given to address TF GBV.</w:t>
      </w:r>
    </w:p>
  </w:footnote>
  <w:footnote w:id="42">
    <w:p>
      <w:pPr>
        <w:pStyle w:val="Notaalpie"/>
        <w:spacing w:before="0" w:after="40"/>
        <w:rPr>
          <w:rFonts w:ascii="Trebuchet MS" w:hAnsi="Trebuchet MS" w:cs="Trebuchet MS"/>
        </w:rPr>
      </w:pPr>
      <w:r>
        <w:rPr>
          <w:rStyle w:val="Caracteresdenotaalpie"/>
        </w:rPr>
        <w:footnoteRef/>
      </w:r>
      <w:r>
        <w:rPr>
          <w:rFonts w:eastAsia="Trebuchet MS" w:cs="Trebuchet MS" w:ascii="Trebuchet MS" w:hAnsi="Trebuchet MS"/>
        </w:rPr>
        <w:t xml:space="preserve"> </w:t>
      </w:r>
      <w:r>
        <w:rPr>
          <w:rFonts w:eastAsia="Trebuchet MS" w:cs="Trebuchet MS" w:ascii="Trebuchet MS" w:hAnsi="Trebuchet MS"/>
        </w:rPr>
        <w:t>Ibidem.</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76" w:beforeAutospacing="0" w:before="0" w:afterAutospacing="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space"/>
      <w:lvlText w:val="·"/>
      <w:lvlJc w:val="left"/>
      <w:pPr>
        <w:tabs>
          <w:tab w:val="num" w:pos="0"/>
        </w:tabs>
        <w:ind w:left="709" w:hanging="360"/>
      </w:pPr>
      <w:rPr>
        <w:rFonts w:ascii="Symbol" w:hAnsi="Symbol" w:cs="Symbol" w:hint="default"/>
      </w:rPr>
    </w:lvl>
    <w:lvl w:ilvl="1">
      <w:start w:val="1"/>
      <w:numFmt w:val="bullet"/>
      <w:suff w:val="space"/>
      <w:lvlText w:val="o"/>
      <w:lvlJc w:val="left"/>
      <w:pPr>
        <w:tabs>
          <w:tab w:val="num" w:pos="0"/>
        </w:tabs>
        <w:ind w:left="1429" w:hanging="360"/>
      </w:pPr>
      <w:rPr>
        <w:rFonts w:ascii="Courier New" w:hAnsi="Courier New" w:cs="Courier New" w:hint="default"/>
      </w:rPr>
    </w:lvl>
    <w:lvl w:ilvl="2">
      <w:start w:val="1"/>
      <w:numFmt w:val="bullet"/>
      <w:suff w:val="space"/>
      <w:lvlText w:val="§"/>
      <w:lvlJc w:val="left"/>
      <w:pPr>
        <w:tabs>
          <w:tab w:val="num" w:pos="0"/>
        </w:tabs>
        <w:ind w:left="2149" w:hanging="360"/>
      </w:pPr>
      <w:rPr>
        <w:rFonts w:ascii="Wingdings" w:hAnsi="Wingdings" w:cs="Wingdings" w:hint="default"/>
      </w:rPr>
    </w:lvl>
    <w:lvl w:ilvl="3">
      <w:start w:val="1"/>
      <w:numFmt w:val="bullet"/>
      <w:suff w:val="space"/>
      <w:lvlText w:val="·"/>
      <w:lvlJc w:val="left"/>
      <w:pPr>
        <w:tabs>
          <w:tab w:val="num" w:pos="0"/>
        </w:tabs>
        <w:ind w:left="2869" w:hanging="360"/>
      </w:pPr>
      <w:rPr>
        <w:rFonts w:ascii="Symbol" w:hAnsi="Symbol" w:cs="Symbol" w:hint="default"/>
      </w:rPr>
    </w:lvl>
    <w:lvl w:ilvl="4">
      <w:start w:val="1"/>
      <w:numFmt w:val="bullet"/>
      <w:suff w:val="space"/>
      <w:lvlText w:val="o"/>
      <w:lvlJc w:val="left"/>
      <w:pPr>
        <w:tabs>
          <w:tab w:val="num" w:pos="0"/>
        </w:tabs>
        <w:ind w:left="3589" w:hanging="360"/>
      </w:pPr>
      <w:rPr>
        <w:rFonts w:ascii="Courier New" w:hAnsi="Courier New" w:cs="Courier New" w:hint="default"/>
      </w:rPr>
    </w:lvl>
    <w:lvl w:ilvl="5">
      <w:start w:val="1"/>
      <w:numFmt w:val="bullet"/>
      <w:suff w:val="space"/>
      <w:lvlText w:val="§"/>
      <w:lvlJc w:val="left"/>
      <w:pPr>
        <w:tabs>
          <w:tab w:val="num" w:pos="0"/>
        </w:tabs>
        <w:ind w:left="4309" w:hanging="360"/>
      </w:pPr>
      <w:rPr>
        <w:rFonts w:ascii="Wingdings" w:hAnsi="Wingdings" w:cs="Wingdings" w:hint="default"/>
      </w:rPr>
    </w:lvl>
    <w:lvl w:ilvl="6">
      <w:start w:val="1"/>
      <w:numFmt w:val="bullet"/>
      <w:suff w:val="space"/>
      <w:lvlText w:val="·"/>
      <w:lvlJc w:val="left"/>
      <w:pPr>
        <w:tabs>
          <w:tab w:val="num" w:pos="0"/>
        </w:tabs>
        <w:ind w:left="5029" w:hanging="360"/>
      </w:pPr>
      <w:rPr>
        <w:rFonts w:ascii="Symbol" w:hAnsi="Symbol" w:cs="Symbol" w:hint="default"/>
      </w:rPr>
    </w:lvl>
    <w:lvl w:ilvl="7">
      <w:start w:val="1"/>
      <w:numFmt w:val="bullet"/>
      <w:suff w:val="space"/>
      <w:lvlText w:val="o"/>
      <w:lvlJc w:val="left"/>
      <w:pPr>
        <w:tabs>
          <w:tab w:val="num" w:pos="0"/>
        </w:tabs>
        <w:ind w:left="5749" w:hanging="360"/>
      </w:pPr>
      <w:rPr>
        <w:rFonts w:ascii="Courier New" w:hAnsi="Courier New" w:cs="Courier New" w:hint="default"/>
      </w:rPr>
    </w:lvl>
    <w:lvl w:ilvl="8">
      <w:start w:val="1"/>
      <w:numFmt w:val="bullet"/>
      <w:suff w:val="space"/>
      <w:lvlText w:val="§"/>
      <w:lvlJc w:val="left"/>
      <w:pPr>
        <w:tabs>
          <w:tab w:val="num" w:pos="0"/>
        </w:tabs>
        <w:ind w:left="6469" w:hanging="360"/>
      </w:pPr>
      <w:rPr>
        <w:rFonts w:ascii="Wingdings" w:hAnsi="Wingdings" w:cs="Wingdings" w:hint="default"/>
      </w:rPr>
    </w:lvl>
  </w:abstractNum>
  <w:abstractNum w:abstractNumId="2">
    <w:lvl w:ilvl="0">
      <w:start w:val="1"/>
      <w:numFmt w:val="bullet"/>
      <w:suff w:val="space"/>
      <w:lvlText w:val="·"/>
      <w:lvlJc w:val="left"/>
      <w:pPr>
        <w:tabs>
          <w:tab w:val="num" w:pos="0"/>
        </w:tabs>
        <w:ind w:left="709" w:hanging="360"/>
      </w:pPr>
      <w:rPr>
        <w:rFonts w:ascii="Symbol" w:hAnsi="Symbol" w:cs="Symbol" w:hint="default"/>
      </w:rPr>
    </w:lvl>
    <w:lvl w:ilvl="1">
      <w:start w:val="1"/>
      <w:numFmt w:val="bullet"/>
      <w:suff w:val="space"/>
      <w:lvlText w:val="·"/>
      <w:lvlJc w:val="left"/>
      <w:pPr>
        <w:tabs>
          <w:tab w:val="num" w:pos="0"/>
        </w:tabs>
        <w:ind w:left="1429" w:hanging="360"/>
      </w:pPr>
      <w:rPr>
        <w:rFonts w:ascii="Symbol" w:hAnsi="Symbol" w:cs="Symbol" w:hint="default"/>
      </w:rPr>
    </w:lvl>
    <w:lvl w:ilvl="2">
      <w:start w:val="1"/>
      <w:numFmt w:val="bullet"/>
      <w:suff w:val="space"/>
      <w:lvlText w:val="·"/>
      <w:lvlJc w:val="left"/>
      <w:pPr>
        <w:tabs>
          <w:tab w:val="num" w:pos="0"/>
        </w:tabs>
        <w:ind w:left="2149" w:hanging="360"/>
      </w:pPr>
      <w:rPr>
        <w:rFonts w:ascii="Symbol" w:hAnsi="Symbol" w:cs="Symbol" w:hint="default"/>
      </w:rPr>
    </w:lvl>
    <w:lvl w:ilvl="3">
      <w:start w:val="1"/>
      <w:numFmt w:val="bullet"/>
      <w:suff w:val="space"/>
      <w:lvlText w:val="·"/>
      <w:lvlJc w:val="left"/>
      <w:pPr>
        <w:tabs>
          <w:tab w:val="num" w:pos="0"/>
        </w:tabs>
        <w:ind w:left="2869" w:hanging="360"/>
      </w:pPr>
      <w:rPr>
        <w:rFonts w:ascii="Symbol" w:hAnsi="Symbol" w:cs="Symbol" w:hint="default"/>
      </w:rPr>
    </w:lvl>
    <w:lvl w:ilvl="4">
      <w:start w:val="1"/>
      <w:numFmt w:val="bullet"/>
      <w:suff w:val="space"/>
      <w:lvlText w:val="·"/>
      <w:lvlJc w:val="left"/>
      <w:pPr>
        <w:tabs>
          <w:tab w:val="num" w:pos="0"/>
        </w:tabs>
        <w:ind w:left="3589" w:hanging="360"/>
      </w:pPr>
      <w:rPr>
        <w:rFonts w:ascii="Symbol" w:hAnsi="Symbol" w:cs="Symbol" w:hint="default"/>
      </w:rPr>
    </w:lvl>
    <w:lvl w:ilvl="5">
      <w:start w:val="1"/>
      <w:numFmt w:val="bullet"/>
      <w:suff w:val="space"/>
      <w:lvlText w:val="·"/>
      <w:lvlJc w:val="left"/>
      <w:pPr>
        <w:tabs>
          <w:tab w:val="num" w:pos="0"/>
        </w:tabs>
        <w:ind w:left="4309" w:hanging="360"/>
      </w:pPr>
      <w:rPr>
        <w:rFonts w:ascii="Symbol" w:hAnsi="Symbol" w:cs="Symbol" w:hint="default"/>
      </w:rPr>
    </w:lvl>
    <w:lvl w:ilvl="6">
      <w:start w:val="1"/>
      <w:numFmt w:val="bullet"/>
      <w:suff w:val="space"/>
      <w:lvlText w:val="·"/>
      <w:lvlJc w:val="left"/>
      <w:pPr>
        <w:tabs>
          <w:tab w:val="num" w:pos="0"/>
        </w:tabs>
        <w:ind w:left="5029" w:hanging="360"/>
      </w:pPr>
      <w:rPr>
        <w:rFonts w:ascii="Symbol" w:hAnsi="Symbol" w:cs="Symbol" w:hint="default"/>
      </w:rPr>
    </w:lvl>
    <w:lvl w:ilvl="7">
      <w:start w:val="1"/>
      <w:numFmt w:val="bullet"/>
      <w:suff w:val="space"/>
      <w:lvlText w:val="·"/>
      <w:lvlJc w:val="left"/>
      <w:pPr>
        <w:tabs>
          <w:tab w:val="num" w:pos="0"/>
        </w:tabs>
        <w:ind w:left="5749" w:hanging="360"/>
      </w:pPr>
      <w:rPr>
        <w:rFonts w:ascii="Symbol" w:hAnsi="Symbol" w:cs="Symbol" w:hint="default"/>
      </w:rPr>
    </w:lvl>
    <w:lvl w:ilvl="8">
      <w:start w:val="1"/>
      <w:numFmt w:val="bullet"/>
      <w:suff w:val="space"/>
      <w:lvlText w:val="·"/>
      <w:lvlJc w:val="left"/>
      <w:pPr>
        <w:tabs>
          <w:tab w:val="num" w:pos="0"/>
        </w:tabs>
        <w:ind w:left="6469" w:hanging="360"/>
      </w:pPr>
      <w:rPr>
        <w:rFonts w:ascii="Symbol" w:hAnsi="Symbol" w:cs="Symbol" w:hint="default"/>
      </w:rPr>
    </w:lvl>
  </w:abstractNum>
  <w:abstractNum w:abstractNumId="3">
    <w:lvl w:ilvl="0">
      <w:start w:val="1"/>
      <w:numFmt w:val="bullet"/>
      <w:suff w:val="space"/>
      <w:lvlText w:val="·"/>
      <w:lvlJc w:val="left"/>
      <w:pPr>
        <w:tabs>
          <w:tab w:val="num" w:pos="0"/>
        </w:tabs>
        <w:ind w:left="709" w:hanging="360"/>
      </w:pPr>
      <w:rPr>
        <w:rFonts w:ascii="Symbol" w:hAnsi="Symbol" w:cs="Symbol" w:hint="default"/>
      </w:rPr>
    </w:lvl>
    <w:lvl w:ilvl="1">
      <w:start w:val="1"/>
      <w:numFmt w:val="bullet"/>
      <w:suff w:val="space"/>
      <w:lvlText w:val="o"/>
      <w:lvlJc w:val="left"/>
      <w:pPr>
        <w:tabs>
          <w:tab w:val="num" w:pos="0"/>
        </w:tabs>
        <w:ind w:left="720" w:hanging="360"/>
      </w:pPr>
      <w:rPr>
        <w:rFonts w:ascii="Courier New" w:hAnsi="Courier New" w:cs="Courier New" w:hint="default"/>
      </w:rPr>
    </w:lvl>
    <w:lvl w:ilvl="2">
      <w:start w:val="1"/>
      <w:numFmt w:val="bullet"/>
      <w:suff w:val="space"/>
      <w:lvlText w:val="§"/>
      <w:lvlJc w:val="left"/>
      <w:pPr>
        <w:tabs>
          <w:tab w:val="num" w:pos="0"/>
        </w:tabs>
        <w:ind w:left="1440" w:hanging="360"/>
      </w:pPr>
      <w:rPr>
        <w:rFonts w:ascii="Wingdings" w:hAnsi="Wingdings" w:cs="Wingdings" w:hint="default"/>
      </w:rPr>
    </w:lvl>
    <w:lvl w:ilvl="3">
      <w:start w:val="1"/>
      <w:numFmt w:val="bullet"/>
      <w:suff w:val="space"/>
      <w:lvlText w:val="·"/>
      <w:lvlJc w:val="left"/>
      <w:pPr>
        <w:tabs>
          <w:tab w:val="num" w:pos="0"/>
        </w:tabs>
        <w:ind w:left="2160" w:hanging="360"/>
      </w:pPr>
      <w:rPr>
        <w:rFonts w:ascii="Symbol" w:hAnsi="Symbol" w:cs="Symbol" w:hint="default"/>
      </w:rPr>
    </w:lvl>
    <w:lvl w:ilvl="4">
      <w:start w:val="1"/>
      <w:numFmt w:val="bullet"/>
      <w:suff w:val="space"/>
      <w:lvlText w:val="o"/>
      <w:lvlJc w:val="left"/>
      <w:pPr>
        <w:tabs>
          <w:tab w:val="num" w:pos="0"/>
        </w:tabs>
        <w:ind w:left="2880" w:hanging="360"/>
      </w:pPr>
      <w:rPr>
        <w:rFonts w:ascii="Courier New" w:hAnsi="Courier New" w:cs="Courier New" w:hint="default"/>
      </w:rPr>
    </w:lvl>
    <w:lvl w:ilvl="5">
      <w:start w:val="1"/>
      <w:numFmt w:val="bullet"/>
      <w:suff w:val="space"/>
      <w:lvlText w:val="§"/>
      <w:lvlJc w:val="left"/>
      <w:pPr>
        <w:tabs>
          <w:tab w:val="num" w:pos="0"/>
        </w:tabs>
        <w:ind w:left="3600" w:hanging="360"/>
      </w:pPr>
      <w:rPr>
        <w:rFonts w:ascii="Wingdings" w:hAnsi="Wingdings" w:cs="Wingdings" w:hint="default"/>
      </w:rPr>
    </w:lvl>
    <w:lvl w:ilvl="6">
      <w:start w:val="1"/>
      <w:numFmt w:val="bullet"/>
      <w:suff w:val="space"/>
      <w:lvlText w:val="·"/>
      <w:lvlJc w:val="left"/>
      <w:pPr>
        <w:tabs>
          <w:tab w:val="num" w:pos="0"/>
        </w:tabs>
        <w:ind w:left="4320" w:hanging="360"/>
      </w:pPr>
      <w:rPr>
        <w:rFonts w:ascii="Symbol" w:hAnsi="Symbol" w:cs="Symbol" w:hint="default"/>
      </w:rPr>
    </w:lvl>
    <w:lvl w:ilvl="7">
      <w:start w:val="1"/>
      <w:numFmt w:val="bullet"/>
      <w:suff w:val="space"/>
      <w:lvlText w:val="o"/>
      <w:lvlJc w:val="left"/>
      <w:pPr>
        <w:tabs>
          <w:tab w:val="num" w:pos="0"/>
        </w:tabs>
        <w:ind w:left="5040" w:hanging="360"/>
      </w:pPr>
      <w:rPr>
        <w:rFonts w:ascii="Courier New" w:hAnsi="Courier New" w:cs="Courier New" w:hint="default"/>
      </w:rPr>
    </w:lvl>
    <w:lvl w:ilvl="8">
      <w:start w:val="1"/>
      <w:numFmt w:val="bullet"/>
      <w:suff w:val="space"/>
      <w:lvlText w:val="§"/>
      <w:lvlJc w:val="left"/>
      <w:pPr>
        <w:tabs>
          <w:tab w:val="num" w:pos="0"/>
        </w:tabs>
        <w:ind w:left="5760" w:hanging="360"/>
      </w:pPr>
      <w:rPr>
        <w:rFonts w:ascii="Wingdings" w:hAnsi="Wingdings" w:cs="Wingdings" w:hint="default"/>
      </w:rPr>
    </w:lvl>
  </w:abstractNum>
  <w:abstractNum w:abstractNumId="4">
    <w:lvl w:ilvl="0">
      <w:start w:val="1"/>
      <w:numFmt w:val="bullet"/>
      <w:suff w:val="space"/>
      <w:lvlText w:val="·"/>
      <w:lvlJc w:val="left"/>
      <w:pPr>
        <w:tabs>
          <w:tab w:val="num" w:pos="0"/>
        </w:tabs>
        <w:ind w:left="709" w:hanging="360"/>
      </w:pPr>
      <w:rPr>
        <w:rFonts w:ascii="Symbol" w:hAnsi="Symbol" w:cs="Symbol" w:hint="default"/>
      </w:rPr>
    </w:lvl>
    <w:lvl w:ilvl="1">
      <w:start w:val="1"/>
      <w:numFmt w:val="bullet"/>
      <w:suff w:val="space"/>
      <w:lvlText w:val="o"/>
      <w:lvlJc w:val="left"/>
      <w:pPr>
        <w:tabs>
          <w:tab w:val="num" w:pos="0"/>
        </w:tabs>
        <w:ind w:left="1440" w:hanging="360"/>
      </w:pPr>
      <w:rPr>
        <w:rFonts w:ascii="Courier New" w:hAnsi="Courier New" w:cs="Courier New" w:hint="default"/>
      </w:rPr>
    </w:lvl>
    <w:lvl w:ilvl="2">
      <w:start w:val="1"/>
      <w:numFmt w:val="bullet"/>
      <w:suff w:val="space"/>
      <w:lvlText w:val="§"/>
      <w:lvlJc w:val="left"/>
      <w:pPr>
        <w:tabs>
          <w:tab w:val="num" w:pos="0"/>
        </w:tabs>
        <w:ind w:left="2160" w:hanging="360"/>
      </w:pPr>
      <w:rPr>
        <w:rFonts w:ascii="Wingdings" w:hAnsi="Wingdings" w:cs="Wingdings" w:hint="default"/>
      </w:rPr>
    </w:lvl>
    <w:lvl w:ilvl="3">
      <w:start w:val="1"/>
      <w:numFmt w:val="bullet"/>
      <w:suff w:val="space"/>
      <w:lvlText w:val="·"/>
      <w:lvlJc w:val="left"/>
      <w:pPr>
        <w:tabs>
          <w:tab w:val="num" w:pos="0"/>
        </w:tabs>
        <w:ind w:left="2880" w:hanging="360"/>
      </w:pPr>
      <w:rPr>
        <w:rFonts w:ascii="Symbol" w:hAnsi="Symbol" w:cs="Symbol" w:hint="default"/>
      </w:rPr>
    </w:lvl>
    <w:lvl w:ilvl="4">
      <w:start w:val="1"/>
      <w:numFmt w:val="bullet"/>
      <w:suff w:val="space"/>
      <w:lvlText w:val="o"/>
      <w:lvlJc w:val="left"/>
      <w:pPr>
        <w:tabs>
          <w:tab w:val="num" w:pos="0"/>
        </w:tabs>
        <w:ind w:left="3600" w:hanging="360"/>
      </w:pPr>
      <w:rPr>
        <w:rFonts w:ascii="Courier New" w:hAnsi="Courier New" w:cs="Courier New" w:hint="default"/>
      </w:rPr>
    </w:lvl>
    <w:lvl w:ilvl="5">
      <w:start w:val="1"/>
      <w:numFmt w:val="bullet"/>
      <w:suff w:val="space"/>
      <w:lvlText w:val="§"/>
      <w:lvlJc w:val="left"/>
      <w:pPr>
        <w:tabs>
          <w:tab w:val="num" w:pos="0"/>
        </w:tabs>
        <w:ind w:left="4320" w:hanging="360"/>
      </w:pPr>
      <w:rPr>
        <w:rFonts w:ascii="Wingdings" w:hAnsi="Wingdings" w:cs="Wingdings" w:hint="default"/>
      </w:rPr>
    </w:lvl>
    <w:lvl w:ilvl="6">
      <w:start w:val="1"/>
      <w:numFmt w:val="bullet"/>
      <w:suff w:val="space"/>
      <w:lvlText w:val="·"/>
      <w:lvlJc w:val="left"/>
      <w:pPr>
        <w:tabs>
          <w:tab w:val="num" w:pos="0"/>
        </w:tabs>
        <w:ind w:left="5040" w:hanging="360"/>
      </w:pPr>
      <w:rPr>
        <w:rFonts w:ascii="Symbol" w:hAnsi="Symbol" w:cs="Symbol" w:hint="default"/>
      </w:rPr>
    </w:lvl>
    <w:lvl w:ilvl="7">
      <w:start w:val="1"/>
      <w:numFmt w:val="bullet"/>
      <w:suff w:val="space"/>
      <w:lvlText w:val="o"/>
      <w:lvlJc w:val="left"/>
      <w:pPr>
        <w:tabs>
          <w:tab w:val="num" w:pos="0"/>
        </w:tabs>
        <w:ind w:left="5760" w:hanging="360"/>
      </w:pPr>
      <w:rPr>
        <w:rFonts w:ascii="Courier New" w:hAnsi="Courier New" w:cs="Courier New" w:hint="default"/>
      </w:rPr>
    </w:lvl>
    <w:lvl w:ilvl="8">
      <w:start w:val="1"/>
      <w:numFmt w:val="bullet"/>
      <w:suff w:val="space"/>
      <w:lvlText w:val="§"/>
      <w:lvlJc w:val="left"/>
      <w:pPr>
        <w:tabs>
          <w:tab w:val="num" w:pos="0"/>
        </w:tabs>
        <w:ind w:left="6480" w:hanging="360"/>
      </w:pPr>
      <w:rPr>
        <w:rFonts w:ascii="Wingdings" w:hAnsi="Wingdings" w:cs="Wingdings" w:hint="default"/>
      </w:rPr>
    </w:lvl>
  </w:abstractNum>
  <w:abstractNum w:abstractNumId="5">
    <w:lvl w:ilvl="0">
      <w:start w:val="1"/>
      <w:numFmt w:val="bullet"/>
      <w:suff w:val="space"/>
      <w:lvlText w:val="·"/>
      <w:lvlJc w:val="left"/>
      <w:pPr>
        <w:tabs>
          <w:tab w:val="num" w:pos="0"/>
        </w:tabs>
        <w:ind w:left="709" w:hanging="360"/>
      </w:pPr>
      <w:rPr>
        <w:rFonts w:ascii="Symbol" w:hAnsi="Symbol" w:cs="Symbol" w:hint="default"/>
      </w:rPr>
    </w:lvl>
    <w:lvl w:ilvl="1">
      <w:start w:val="1"/>
      <w:numFmt w:val="bullet"/>
      <w:suff w:val="space"/>
      <w:lvlText w:val="o"/>
      <w:lvlJc w:val="left"/>
      <w:pPr>
        <w:tabs>
          <w:tab w:val="num" w:pos="0"/>
        </w:tabs>
        <w:ind w:left="720" w:hanging="360"/>
      </w:pPr>
      <w:rPr>
        <w:rFonts w:ascii="Courier New" w:hAnsi="Courier New" w:cs="Courier New" w:hint="default"/>
      </w:rPr>
    </w:lvl>
    <w:lvl w:ilvl="2">
      <w:start w:val="1"/>
      <w:numFmt w:val="bullet"/>
      <w:suff w:val="space"/>
      <w:lvlText w:val="§"/>
      <w:lvlJc w:val="left"/>
      <w:pPr>
        <w:tabs>
          <w:tab w:val="num" w:pos="0"/>
        </w:tabs>
        <w:ind w:left="1440" w:hanging="360"/>
      </w:pPr>
      <w:rPr>
        <w:rFonts w:ascii="Wingdings" w:hAnsi="Wingdings" w:cs="Wingdings" w:hint="default"/>
      </w:rPr>
    </w:lvl>
    <w:lvl w:ilvl="3">
      <w:start w:val="1"/>
      <w:numFmt w:val="bullet"/>
      <w:suff w:val="space"/>
      <w:lvlText w:val="·"/>
      <w:lvlJc w:val="left"/>
      <w:pPr>
        <w:tabs>
          <w:tab w:val="num" w:pos="0"/>
        </w:tabs>
        <w:ind w:left="2160" w:hanging="360"/>
      </w:pPr>
      <w:rPr>
        <w:rFonts w:ascii="Symbol" w:hAnsi="Symbol" w:cs="Symbol" w:hint="default"/>
      </w:rPr>
    </w:lvl>
    <w:lvl w:ilvl="4">
      <w:start w:val="1"/>
      <w:numFmt w:val="bullet"/>
      <w:suff w:val="space"/>
      <w:lvlText w:val="o"/>
      <w:lvlJc w:val="left"/>
      <w:pPr>
        <w:tabs>
          <w:tab w:val="num" w:pos="0"/>
        </w:tabs>
        <w:ind w:left="2880" w:hanging="360"/>
      </w:pPr>
      <w:rPr>
        <w:rFonts w:ascii="Courier New" w:hAnsi="Courier New" w:cs="Courier New" w:hint="default"/>
      </w:rPr>
    </w:lvl>
    <w:lvl w:ilvl="5">
      <w:start w:val="1"/>
      <w:numFmt w:val="bullet"/>
      <w:suff w:val="space"/>
      <w:lvlText w:val="§"/>
      <w:lvlJc w:val="left"/>
      <w:pPr>
        <w:tabs>
          <w:tab w:val="num" w:pos="0"/>
        </w:tabs>
        <w:ind w:left="3600" w:hanging="360"/>
      </w:pPr>
      <w:rPr>
        <w:rFonts w:ascii="Wingdings" w:hAnsi="Wingdings" w:cs="Wingdings" w:hint="default"/>
      </w:rPr>
    </w:lvl>
    <w:lvl w:ilvl="6">
      <w:start w:val="1"/>
      <w:numFmt w:val="bullet"/>
      <w:suff w:val="space"/>
      <w:lvlText w:val="·"/>
      <w:lvlJc w:val="left"/>
      <w:pPr>
        <w:tabs>
          <w:tab w:val="num" w:pos="0"/>
        </w:tabs>
        <w:ind w:left="4320" w:hanging="360"/>
      </w:pPr>
      <w:rPr>
        <w:rFonts w:ascii="Symbol" w:hAnsi="Symbol" w:cs="Symbol" w:hint="default"/>
      </w:rPr>
    </w:lvl>
    <w:lvl w:ilvl="7">
      <w:start w:val="1"/>
      <w:numFmt w:val="bullet"/>
      <w:suff w:val="space"/>
      <w:lvlText w:val="o"/>
      <w:lvlJc w:val="left"/>
      <w:pPr>
        <w:tabs>
          <w:tab w:val="num" w:pos="0"/>
        </w:tabs>
        <w:ind w:left="5040" w:hanging="360"/>
      </w:pPr>
      <w:rPr>
        <w:rFonts w:ascii="Courier New" w:hAnsi="Courier New" w:cs="Courier New" w:hint="default"/>
      </w:rPr>
    </w:lvl>
    <w:lvl w:ilvl="8">
      <w:start w:val="1"/>
      <w:numFmt w:val="bullet"/>
      <w:suff w:val="space"/>
      <w:lvlText w:val="§"/>
      <w:lvlJc w:val="left"/>
      <w:pPr>
        <w:tabs>
          <w:tab w:val="num" w:pos="0"/>
        </w:tabs>
        <w:ind w:left="576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revisionView w:insDel="0" w:formatting="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en-US" w:eastAsia="en-US" w:bidi="ar-SA"/>
    </w:rPr>
  </w:style>
  <w:style w:type="paragraph" w:styleId="Ttulo1">
    <w:name w:val="Heading 1"/>
    <w:basedOn w:val="Normal"/>
    <w:link w:val="1460"/>
    <w:uiPriority w:val="9"/>
    <w:qFormat/>
    <w:pPr>
      <w:keepNext w:val="true"/>
      <w:keepLines/>
      <w:spacing w:before="480" w:after="200"/>
      <w:outlineLvl w:val="0"/>
    </w:pPr>
    <w:rPr>
      <w:rFonts w:ascii="Arial" w:hAnsi="Arial" w:eastAsia="Arial" w:cs="Arial"/>
      <w:sz w:val="40"/>
      <w:szCs w:val="40"/>
    </w:rPr>
  </w:style>
  <w:style w:type="paragraph" w:styleId="Ttulo2">
    <w:name w:val="Heading 2"/>
    <w:basedOn w:val="Normal"/>
    <w:link w:val="1462"/>
    <w:uiPriority w:val="9"/>
    <w:unhideWhenUsed/>
    <w:qFormat/>
    <w:pPr>
      <w:keepNext w:val="true"/>
      <w:keepLines/>
      <w:spacing w:before="360" w:after="200"/>
      <w:outlineLvl w:val="1"/>
    </w:pPr>
    <w:rPr>
      <w:rFonts w:ascii="Arial" w:hAnsi="Arial" w:eastAsia="Arial" w:cs="Arial"/>
      <w:sz w:val="34"/>
    </w:rPr>
  </w:style>
  <w:style w:type="paragraph" w:styleId="Ttulo3">
    <w:name w:val="Heading 3"/>
    <w:basedOn w:val="Normal"/>
    <w:link w:val="1464"/>
    <w:uiPriority w:val="9"/>
    <w:unhideWhenUsed/>
    <w:qFormat/>
    <w:pPr>
      <w:keepNext w:val="true"/>
      <w:keepLines/>
      <w:spacing w:before="320" w:after="200"/>
      <w:outlineLvl w:val="2"/>
    </w:pPr>
    <w:rPr>
      <w:rFonts w:ascii="Arial" w:hAnsi="Arial" w:eastAsia="Arial" w:cs="Arial"/>
      <w:sz w:val="30"/>
      <w:szCs w:val="30"/>
    </w:rPr>
  </w:style>
  <w:style w:type="paragraph" w:styleId="Ttulo4">
    <w:name w:val="Heading 4"/>
    <w:basedOn w:val="Normal"/>
    <w:link w:val="1466"/>
    <w:uiPriority w:val="9"/>
    <w:unhideWhenUsed/>
    <w:qFormat/>
    <w:pPr>
      <w:keepNext w:val="true"/>
      <w:keepLines/>
      <w:spacing w:before="320" w:after="200"/>
      <w:outlineLvl w:val="3"/>
    </w:pPr>
    <w:rPr>
      <w:rFonts w:ascii="Arial" w:hAnsi="Arial" w:eastAsia="Arial" w:cs="Arial"/>
      <w:b/>
      <w:bCs/>
      <w:sz w:val="26"/>
      <w:szCs w:val="26"/>
    </w:rPr>
  </w:style>
  <w:style w:type="paragraph" w:styleId="Ttulo5">
    <w:name w:val="Heading 5"/>
    <w:basedOn w:val="Normal"/>
    <w:link w:val="1468"/>
    <w:uiPriority w:val="9"/>
    <w:unhideWhenUsed/>
    <w:qFormat/>
    <w:pPr>
      <w:keepNext w:val="true"/>
      <w:keepLines/>
      <w:spacing w:before="320" w:after="200"/>
      <w:outlineLvl w:val="4"/>
    </w:pPr>
    <w:rPr>
      <w:rFonts w:ascii="Arial" w:hAnsi="Arial" w:eastAsia="Arial" w:cs="Arial"/>
      <w:b/>
      <w:bCs/>
      <w:sz w:val="24"/>
      <w:szCs w:val="24"/>
    </w:rPr>
  </w:style>
  <w:style w:type="paragraph" w:styleId="Ttulo6">
    <w:name w:val="Heading 6"/>
    <w:basedOn w:val="Normal"/>
    <w:link w:val="1470"/>
    <w:uiPriority w:val="9"/>
    <w:unhideWhenUsed/>
    <w:qFormat/>
    <w:pPr>
      <w:keepNext w:val="true"/>
      <w:keepLines/>
      <w:spacing w:before="320" w:after="200"/>
      <w:outlineLvl w:val="5"/>
    </w:pPr>
    <w:rPr>
      <w:rFonts w:ascii="Arial" w:hAnsi="Arial" w:eastAsia="Arial" w:cs="Arial"/>
      <w:b/>
      <w:bCs/>
      <w:sz w:val="22"/>
      <w:szCs w:val="22"/>
    </w:rPr>
  </w:style>
  <w:style w:type="paragraph" w:styleId="Ttulo7">
    <w:name w:val="Heading 7"/>
    <w:basedOn w:val="Normal"/>
    <w:link w:val="1472"/>
    <w:uiPriority w:val="9"/>
    <w:unhideWhenUsed/>
    <w:qFormat/>
    <w:pPr>
      <w:keepNext w:val="true"/>
      <w:keepLines/>
      <w:spacing w:before="320" w:after="200"/>
      <w:outlineLvl w:val="6"/>
    </w:pPr>
    <w:rPr>
      <w:rFonts w:ascii="Arial" w:hAnsi="Arial" w:eastAsia="Arial" w:cs="Arial"/>
      <w:b/>
      <w:bCs/>
      <w:i/>
      <w:iCs/>
      <w:sz w:val="22"/>
      <w:szCs w:val="22"/>
    </w:rPr>
  </w:style>
  <w:style w:type="paragraph" w:styleId="Ttulo8">
    <w:name w:val="Heading 8"/>
    <w:basedOn w:val="Normal"/>
    <w:link w:val="1474"/>
    <w:uiPriority w:val="9"/>
    <w:unhideWhenUsed/>
    <w:qFormat/>
    <w:pPr>
      <w:keepNext w:val="true"/>
      <w:keepLines/>
      <w:spacing w:before="320" w:after="200"/>
      <w:outlineLvl w:val="7"/>
    </w:pPr>
    <w:rPr>
      <w:rFonts w:ascii="Arial" w:hAnsi="Arial" w:eastAsia="Arial" w:cs="Arial"/>
      <w:i/>
      <w:iCs/>
      <w:sz w:val="22"/>
      <w:szCs w:val="22"/>
    </w:rPr>
  </w:style>
  <w:style w:type="paragraph" w:styleId="Ttulo9">
    <w:name w:val="Heading 9"/>
    <w:basedOn w:val="Normal"/>
    <w:link w:val="1476"/>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link w:val="1459"/>
    <w:uiPriority w:val="9"/>
    <w:qFormat/>
    <w:rPr>
      <w:rFonts w:ascii="Arial" w:hAnsi="Arial" w:eastAsia="Arial" w:cs="Arial"/>
      <w:sz w:val="40"/>
      <w:szCs w:val="40"/>
    </w:rPr>
  </w:style>
  <w:style w:type="character" w:styleId="Heading2Char">
    <w:name w:val="Heading 2 Char"/>
    <w:link w:val="1461"/>
    <w:uiPriority w:val="9"/>
    <w:qFormat/>
    <w:rPr>
      <w:rFonts w:ascii="Arial" w:hAnsi="Arial" w:eastAsia="Arial" w:cs="Arial"/>
      <w:sz w:val="34"/>
    </w:rPr>
  </w:style>
  <w:style w:type="character" w:styleId="Heading3Char">
    <w:name w:val="Heading 3 Char"/>
    <w:link w:val="1463"/>
    <w:uiPriority w:val="9"/>
    <w:qFormat/>
    <w:rPr>
      <w:rFonts w:ascii="Arial" w:hAnsi="Arial" w:eastAsia="Arial" w:cs="Arial"/>
      <w:sz w:val="30"/>
      <w:szCs w:val="30"/>
    </w:rPr>
  </w:style>
  <w:style w:type="character" w:styleId="Heading4Char">
    <w:name w:val="Heading 4 Char"/>
    <w:link w:val="1465"/>
    <w:uiPriority w:val="9"/>
    <w:qFormat/>
    <w:rPr>
      <w:rFonts w:ascii="Arial" w:hAnsi="Arial" w:eastAsia="Arial" w:cs="Arial"/>
      <w:b/>
      <w:bCs/>
      <w:sz w:val="26"/>
      <w:szCs w:val="26"/>
    </w:rPr>
  </w:style>
  <w:style w:type="character" w:styleId="Heading5Char">
    <w:name w:val="Heading 5 Char"/>
    <w:link w:val="1467"/>
    <w:uiPriority w:val="9"/>
    <w:qFormat/>
    <w:rPr>
      <w:rFonts w:ascii="Arial" w:hAnsi="Arial" w:eastAsia="Arial" w:cs="Arial"/>
      <w:b/>
      <w:bCs/>
      <w:sz w:val="24"/>
      <w:szCs w:val="24"/>
    </w:rPr>
  </w:style>
  <w:style w:type="character" w:styleId="Heading6Char">
    <w:name w:val="Heading 6 Char"/>
    <w:link w:val="1469"/>
    <w:uiPriority w:val="9"/>
    <w:qFormat/>
    <w:rPr>
      <w:rFonts w:ascii="Arial" w:hAnsi="Arial" w:eastAsia="Arial" w:cs="Arial"/>
      <w:b/>
      <w:bCs/>
      <w:sz w:val="22"/>
      <w:szCs w:val="22"/>
    </w:rPr>
  </w:style>
  <w:style w:type="character" w:styleId="Heading7Char">
    <w:name w:val="Heading 7 Char"/>
    <w:link w:val="1471"/>
    <w:uiPriority w:val="9"/>
    <w:qFormat/>
    <w:rPr>
      <w:rFonts w:ascii="Arial" w:hAnsi="Arial" w:eastAsia="Arial" w:cs="Arial"/>
      <w:b/>
      <w:bCs/>
      <w:i/>
      <w:iCs/>
      <w:sz w:val="22"/>
      <w:szCs w:val="22"/>
    </w:rPr>
  </w:style>
  <w:style w:type="character" w:styleId="Heading8Char">
    <w:name w:val="Heading 8 Char"/>
    <w:link w:val="1473"/>
    <w:uiPriority w:val="9"/>
    <w:qFormat/>
    <w:rPr>
      <w:rFonts w:ascii="Arial" w:hAnsi="Arial" w:eastAsia="Arial" w:cs="Arial"/>
      <w:i/>
      <w:iCs/>
      <w:sz w:val="22"/>
      <w:szCs w:val="22"/>
    </w:rPr>
  </w:style>
  <w:style w:type="character" w:styleId="Heading9Char">
    <w:name w:val="Heading 9 Char"/>
    <w:link w:val="1475"/>
    <w:uiPriority w:val="9"/>
    <w:qFormat/>
    <w:rPr>
      <w:rFonts w:ascii="Arial" w:hAnsi="Arial" w:eastAsia="Arial" w:cs="Arial"/>
      <w:i/>
      <w:iCs/>
      <w:sz w:val="21"/>
      <w:szCs w:val="21"/>
    </w:rPr>
  </w:style>
  <w:style w:type="character" w:styleId="TitleChar">
    <w:name w:val="Title Char"/>
    <w:link w:val="1477"/>
    <w:uiPriority w:val="10"/>
    <w:qFormat/>
    <w:rPr>
      <w:sz w:val="48"/>
      <w:szCs w:val="48"/>
    </w:rPr>
  </w:style>
  <w:style w:type="character" w:styleId="SubtitleChar">
    <w:name w:val="Subtitle Char"/>
    <w:link w:val="1479"/>
    <w:uiPriority w:val="11"/>
    <w:qFormat/>
    <w:rPr>
      <w:sz w:val="24"/>
      <w:szCs w:val="24"/>
    </w:rPr>
  </w:style>
  <w:style w:type="character" w:styleId="QuoteChar">
    <w:name w:val="Quote Char"/>
    <w:link w:val="1481"/>
    <w:uiPriority w:val="29"/>
    <w:qFormat/>
    <w:rPr>
      <w:i/>
    </w:rPr>
  </w:style>
  <w:style w:type="character" w:styleId="IntenseQuoteChar">
    <w:name w:val="Intense Quote Char"/>
    <w:link w:val="1483"/>
    <w:uiPriority w:val="30"/>
    <w:qFormat/>
    <w:rPr>
      <w:i/>
    </w:rPr>
  </w:style>
  <w:style w:type="character" w:styleId="HeaderChar">
    <w:name w:val="Header Char"/>
    <w:link w:val="1485"/>
    <w:uiPriority w:val="99"/>
    <w:qFormat/>
    <w:rPr/>
  </w:style>
  <w:style w:type="character" w:styleId="FooterChar">
    <w:name w:val="Footer Char"/>
    <w:link w:val="1487"/>
    <w:uiPriority w:val="99"/>
    <w:qFormat/>
    <w:rPr/>
  </w:style>
  <w:style w:type="character" w:styleId="CaptionChar">
    <w:name w:val="Caption Char"/>
    <w:link w:val="1487"/>
    <w:uiPriority w:val="99"/>
    <w:qFormat/>
    <w:rPr/>
  </w:style>
  <w:style w:type="character" w:styleId="EnlacedeInternet">
    <w:name w:val="Enlace de Internet"/>
    <w:uiPriority w:val="99"/>
    <w:unhideWhenUsed/>
    <w:rPr>
      <w:color w:val="0000FF" w:themeColor="hyperlink"/>
      <w:u w:val="single"/>
    </w:rPr>
  </w:style>
  <w:style w:type="character" w:styleId="FootnoteTextChar">
    <w:name w:val="Footnote Text Char"/>
    <w:link w:val="1618"/>
    <w:uiPriority w:val="99"/>
    <w:qFormat/>
    <w:rPr>
      <w:sz w:val="18"/>
    </w:rPr>
  </w:style>
  <w:style w:type="character" w:styleId="Ancladenotaalpie">
    <w:name w:val="Ancla de nota al pie"/>
    <w:rPr>
      <w:vertAlign w:val="superscript"/>
    </w:rPr>
  </w:style>
  <w:style w:type="character" w:styleId="FootnoteCharacters">
    <w:name w:val="Footnote Characters"/>
    <w:uiPriority w:val="99"/>
    <w:unhideWhenUsed/>
    <w:qFormat/>
    <w:rPr>
      <w:vertAlign w:val="superscript"/>
    </w:rPr>
  </w:style>
  <w:style w:type="character" w:styleId="EndnoteTextChar">
    <w:name w:val="Endnote Text Char"/>
    <w:link w:val="1621"/>
    <w:uiPriority w:val="99"/>
    <w:qFormat/>
    <w:rPr>
      <w:sz w:val="20"/>
    </w:rPr>
  </w:style>
  <w:style w:type="character" w:styleId="Ancladenotafinal">
    <w:name w:val="Ancla de nota final"/>
    <w:rPr>
      <w:vertAlign w:val="superscript"/>
    </w:rPr>
  </w:style>
  <w:style w:type="character" w:styleId="EndnoteCharacters">
    <w:name w:val="Endnote Characters"/>
    <w:uiPriority w:val="99"/>
    <w:semiHidden/>
    <w:unhideWhenUsed/>
    <w:qFormat/>
    <w:rPr>
      <w:vertAlign w:val="superscript"/>
    </w:rPr>
  </w:style>
  <w:style w:type="character" w:styleId="DefaultParagraphFont" w:default="1">
    <w:name w:val="Default Paragraph Font"/>
    <w:uiPriority w:val="1"/>
    <w:semiHidden/>
    <w:unhideWhenUsed/>
    <w:qFormat/>
    <w:rPr/>
  </w:style>
  <w:style w:type="character" w:styleId="Caracteresdenotaalpie">
    <w:name w:val="Caracteres de nota al pie"/>
    <w:qForma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uiPriority w:val="35"/>
    <w:semiHidden/>
    <w:unhideWhenUsed/>
    <w:qFormat/>
    <w:pPr>
      <w:spacing w:lineRule="auto" w:line="276"/>
    </w:pPr>
    <w:rPr>
      <w:b/>
      <w:bCs/>
      <w:color w:val="4F81BD" w:themeColor="accent1"/>
      <w:sz w:val="18"/>
      <w:szCs w:val="18"/>
    </w:rPr>
  </w:style>
  <w:style w:type="paragraph" w:styleId="Ndice">
    <w:name w:val="Índice"/>
    <w:basedOn w:val="Normal"/>
    <w:qFormat/>
    <w:pPr>
      <w:suppressLineNumbers/>
    </w:pPr>
    <w:rPr>
      <w:rFonts w:cs="Lohit Devanagari"/>
    </w:rPr>
  </w:style>
  <w:style w:type="paragraph" w:styleId="Ttulogeneral">
    <w:name w:val="Title"/>
    <w:basedOn w:val="Normal"/>
    <w:link w:val="1478"/>
    <w:uiPriority w:val="10"/>
    <w:qFormat/>
    <w:pPr>
      <w:spacing w:before="300" w:after="200"/>
      <w:contextualSpacing/>
    </w:pPr>
    <w:rPr>
      <w:sz w:val="48"/>
      <w:szCs w:val="48"/>
    </w:rPr>
  </w:style>
  <w:style w:type="paragraph" w:styleId="Subttulo">
    <w:name w:val="Subtitle"/>
    <w:basedOn w:val="Normal"/>
    <w:link w:val="1480"/>
    <w:uiPriority w:val="11"/>
    <w:qFormat/>
    <w:pPr>
      <w:spacing w:before="200" w:after="200"/>
    </w:pPr>
    <w:rPr>
      <w:sz w:val="24"/>
      <w:szCs w:val="24"/>
    </w:rPr>
  </w:style>
  <w:style w:type="paragraph" w:styleId="Quote">
    <w:name w:val="Quote"/>
    <w:basedOn w:val="Normal"/>
    <w:link w:val="1482"/>
    <w:uiPriority w:val="29"/>
    <w:qFormat/>
    <w:pPr>
      <w:ind w:left="720" w:right="720" w:hanging="0"/>
    </w:pPr>
    <w:rPr>
      <w:i/>
    </w:rPr>
  </w:style>
  <w:style w:type="paragraph" w:styleId="IntenseQuote">
    <w:name w:val="Intense Quote"/>
    <w:basedOn w:val="Normal"/>
    <w:link w:val="1484"/>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Cabeceraypie">
    <w:name w:val="Cabecera y pie"/>
    <w:basedOn w:val="Normal"/>
    <w:qFormat/>
    <w:pPr/>
    <w:rPr/>
  </w:style>
  <w:style w:type="paragraph" w:styleId="Cabecera">
    <w:name w:val="Header"/>
    <w:basedOn w:val="Normal"/>
    <w:link w:val="1486"/>
    <w:uiPriority w:val="99"/>
    <w:unhideWhenUsed/>
    <w:pPr>
      <w:tabs>
        <w:tab w:val="clear" w:pos="708"/>
        <w:tab w:val="center" w:pos="7143" w:leader="none"/>
        <w:tab w:val="right" w:pos="14287" w:leader="none"/>
      </w:tabs>
      <w:spacing w:lineRule="auto" w:line="240" w:before="0" w:after="0"/>
    </w:pPr>
    <w:rPr/>
  </w:style>
  <w:style w:type="paragraph" w:styleId="Piedepgina">
    <w:name w:val="Footer"/>
    <w:basedOn w:val="Normal"/>
    <w:link w:val="1490"/>
    <w:uiPriority w:val="99"/>
    <w:unhideWhenUsed/>
    <w:pPr>
      <w:tabs>
        <w:tab w:val="clear" w:pos="708"/>
        <w:tab w:val="center" w:pos="7143" w:leader="none"/>
        <w:tab w:val="right" w:pos="14287" w:leader="none"/>
      </w:tabs>
      <w:spacing w:lineRule="auto" w:line="240" w:before="0" w:after="0"/>
    </w:pPr>
    <w:rPr/>
  </w:style>
  <w:style w:type="paragraph" w:styleId="Notaalpie">
    <w:name w:val="Footnote Text"/>
    <w:basedOn w:val="Normal"/>
    <w:link w:val="1619"/>
    <w:uiPriority w:val="99"/>
    <w:semiHidden/>
    <w:unhideWhenUsed/>
    <w:pPr>
      <w:spacing w:lineRule="auto" w:line="240" w:before="0" w:after="40"/>
    </w:pPr>
    <w:rPr>
      <w:sz w:val="18"/>
    </w:rPr>
  </w:style>
  <w:style w:type="paragraph" w:styleId="Notafinal">
    <w:name w:val="Endnote Text"/>
    <w:basedOn w:val="Normal"/>
    <w:link w:val="1622"/>
    <w:uiPriority w:val="99"/>
    <w:semiHidden/>
    <w:unhideWhenUsed/>
    <w:pPr>
      <w:spacing w:lineRule="auto" w:line="240" w:before="0" w:after="0"/>
    </w:pPr>
    <w:rPr>
      <w:sz w:val="20"/>
    </w:rPr>
  </w:style>
  <w:style w:type="paragraph" w:styleId="Sumario1">
    <w:name w:val="TOC 1"/>
    <w:basedOn w:val="Normal"/>
    <w:uiPriority w:val="39"/>
    <w:unhideWhenUsed/>
    <w:pPr>
      <w:spacing w:before="0" w:after="57"/>
      <w:ind w:left="0" w:right="0" w:hanging="0"/>
    </w:pPr>
    <w:rPr/>
  </w:style>
  <w:style w:type="paragraph" w:styleId="Sumario2">
    <w:name w:val="TOC 2"/>
    <w:basedOn w:val="Normal"/>
    <w:uiPriority w:val="39"/>
    <w:unhideWhenUsed/>
    <w:pPr>
      <w:spacing w:before="0" w:after="57"/>
      <w:ind w:left="283" w:right="0" w:hanging="0"/>
    </w:pPr>
    <w:rPr/>
  </w:style>
  <w:style w:type="paragraph" w:styleId="Sumario3">
    <w:name w:val="TOC 3"/>
    <w:basedOn w:val="Normal"/>
    <w:uiPriority w:val="39"/>
    <w:unhideWhenUsed/>
    <w:pPr>
      <w:spacing w:before="0" w:after="57"/>
      <w:ind w:left="567" w:right="0" w:hanging="0"/>
    </w:pPr>
    <w:rPr/>
  </w:style>
  <w:style w:type="paragraph" w:styleId="Sumario4">
    <w:name w:val="TOC 4"/>
    <w:basedOn w:val="Normal"/>
    <w:uiPriority w:val="39"/>
    <w:unhideWhenUsed/>
    <w:pPr>
      <w:spacing w:before="0" w:after="57"/>
      <w:ind w:left="850" w:right="0" w:hanging="0"/>
    </w:pPr>
    <w:rPr/>
  </w:style>
  <w:style w:type="paragraph" w:styleId="Sumario5">
    <w:name w:val="TOC 5"/>
    <w:basedOn w:val="Normal"/>
    <w:uiPriority w:val="39"/>
    <w:unhideWhenUsed/>
    <w:pPr>
      <w:spacing w:before="0" w:after="57"/>
      <w:ind w:left="1134" w:right="0" w:hanging="0"/>
    </w:pPr>
    <w:rPr/>
  </w:style>
  <w:style w:type="paragraph" w:styleId="Sumario6">
    <w:name w:val="TOC 6"/>
    <w:basedOn w:val="Normal"/>
    <w:uiPriority w:val="39"/>
    <w:unhideWhenUsed/>
    <w:pPr>
      <w:spacing w:before="0" w:after="57"/>
      <w:ind w:left="1417" w:right="0" w:hanging="0"/>
    </w:pPr>
    <w:rPr/>
  </w:style>
  <w:style w:type="paragraph" w:styleId="Sumario7">
    <w:name w:val="TOC 7"/>
    <w:basedOn w:val="Normal"/>
    <w:uiPriority w:val="39"/>
    <w:unhideWhenUsed/>
    <w:pPr>
      <w:spacing w:before="0" w:after="57"/>
      <w:ind w:left="1701" w:right="0" w:hanging="0"/>
    </w:pPr>
    <w:rPr/>
  </w:style>
  <w:style w:type="paragraph" w:styleId="Sumario8">
    <w:name w:val="TOC 8"/>
    <w:basedOn w:val="Normal"/>
    <w:uiPriority w:val="39"/>
    <w:unhideWhenUsed/>
    <w:pPr>
      <w:spacing w:before="0" w:after="57"/>
      <w:ind w:left="1984" w:right="0" w:hanging="0"/>
    </w:pPr>
    <w:rPr/>
  </w:style>
  <w:style w:type="paragraph" w:styleId="Sumario9">
    <w:name w:val="TOC 9"/>
    <w:basedOn w:val="Normal"/>
    <w:uiPriority w:val="39"/>
    <w:unhideWhenUsed/>
    <w:pPr>
      <w:spacing w:before="0" w:after="57"/>
      <w:ind w:left="2268" w:right="0" w:hanging="0"/>
    </w:pPr>
    <w:rPr/>
  </w:style>
  <w:style w:type="paragraph" w:styleId="TOCHeading">
    <w:name w:val="TOC Heading"/>
    <w:uiPriority w:val="39"/>
    <w:unhideWhenUsed/>
    <w:qFormat/>
    <w:pPr>
      <w:widowControl/>
      <w:bidi w:val="0"/>
      <w:spacing w:lineRule="auto" w:line="276" w:beforeAutospacing="0" w:before="0" w:afterAutospacing="0" w:after="200"/>
      <w:jc w:val="left"/>
    </w:pPr>
    <w:rPr>
      <w:rFonts w:ascii="Arial" w:hAnsi="Arial" w:eastAsia="Arial" w:cs="Arial" w:asciiTheme="minorHAnsi" w:cstheme="minorBidi" w:eastAsiaTheme="minorHAnsi" w:hAnsiTheme="minorHAnsi"/>
      <w:color w:val="auto"/>
      <w:kern w:val="0"/>
      <w:sz w:val="22"/>
      <w:szCs w:val="22"/>
      <w:lang w:val="en-US" w:eastAsia="en-US" w:bidi="ar-SA"/>
    </w:rPr>
  </w:style>
  <w:style w:type="paragraph" w:styleId="Tableoffigures">
    <w:name w:val="table of figures"/>
    <w:basedOn w:val="Normal"/>
    <w:uiPriority w:val="99"/>
    <w:unhideWhenUsed/>
    <w:qFormat/>
    <w:pPr>
      <w:spacing w:before="0" w:afterAutospacing="0" w:after="0"/>
    </w:pPr>
    <w:rPr/>
  </w:style>
  <w:style w:type="paragraph" w:styleId="NoSpacing">
    <w:name w:val="No Spacing"/>
    <w:basedOn w:val="Normal"/>
    <w:uiPriority w:val="1"/>
    <w:qFormat/>
    <w:pPr>
      <w:spacing w:lineRule="auto" w:line="240" w:before="0" w:after="0"/>
    </w:pPr>
    <w:rPr/>
  </w:style>
  <w:style w:type="paragraph" w:styleId="ListParagraph">
    <w:name w:val="List Paragraph"/>
    <w:basedOn w:val="Normal"/>
    <w:uiPriority w:val="34"/>
    <w:qFormat/>
    <w:pPr>
      <w:spacing w:before="0" w:after="200"/>
      <w:ind w:left="720" w:hanging="0"/>
      <w:contextualSpacing/>
    </w:pPr>
    <w:rPr/>
  </w:style>
  <w:style w:type="numbering" w:styleId="NoList" w:default="1">
    <w:name w:val="No List"/>
    <w:uiPriority w:val="99"/>
    <w:semiHidden/>
    <w:unhideWhenUsed/>
    <w:qFormat/>
  </w:style>
</w:styles>
</file>

<file path=word/_rels/document.xml.rels><?xml version="1.0" encoding="UTF-8" standalone="yes"?>
<Relationships xmlns="http://schemas.openxmlformats.org/package/2006/relationships"><Relationship Id="rId8" Type="http://schemas.openxmlformats.org/officeDocument/2006/relationships/hyperlink" Target="https://www.cigionline.org/static/documents/OGBV_Highlights_web.pdf" TargetMode="External"/><Relationship Id="rId13" Type="http://schemas.openxmlformats.org/officeDocument/2006/relationships/footnotes" Target="footnotes.xml"/><Relationship Id="rId18" Type="http://schemas.openxmlformats.org/officeDocument/2006/relationships/customXml" Target="../customXml/item1.xml"/><Relationship Id="rId3" Type="http://schemas.openxmlformats.org/officeDocument/2006/relationships/hyperlink" Target="https://www.apc.org/" TargetMode="External"/><Relationship Id="rId7" Type="http://schemas.openxmlformats.org/officeDocument/2006/relationships/hyperlink" Target="https://www.cigionline.org/activities/supporting-safer-internet/"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hyperlink" Target="https://www.ohchr.org/en/calls-for-input/2024/call-input-protection-against-violence-and-discrimination-based-sexual" TargetMode="External"/><Relationship Id="rId16" Type="http://schemas.openxmlformats.org/officeDocument/2006/relationships/settings" Target="settings.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firn.genderit.org/sites/default/files/2023-08/The-Left-Out-Project-Report.pdf" TargetMode="External"/><Relationship Id="rId11" Type="http://schemas.openxmlformats.org/officeDocument/2006/relationships/hyperlink" Target="https://firn.genderit.org/research/all-suddenresearch-digital-violence-against-lgbtqi-communities-turkiye" TargetMode="External"/><Relationship Id="rId5" Type="http://schemas.openxmlformats.org/officeDocument/2006/relationships/hyperlink" Target="https://www.tedic.org/wp-content/uploads/2023/12/LIBERTAD-Digitales___Pdf-1.pdf" TargetMode="External"/><Relationship Id="rId15" Type="http://schemas.openxmlformats.org/officeDocument/2006/relationships/fontTable" Target="fontTable.xml"/><Relationship Id="rId10" Type="http://schemas.openxmlformats.org/officeDocument/2006/relationships/hyperlink" Target="https://firn.genderit.org/sites/default/files/2023-08/The-Left-Out-Project-Report.pdf" TargetMode="External"/><Relationship Id="rId19" Type="http://schemas.openxmlformats.org/officeDocument/2006/relationships/customXml" Target="../customXml/item2.xml"/><Relationship Id="rId4" Type="http://schemas.openxmlformats.org/officeDocument/2006/relationships/hyperlink" Target="https://www.tedic.org/" TargetMode="External"/><Relationship Id="rId9" Type="http://schemas.openxmlformats.org/officeDocument/2006/relationships/hyperlink" Target="https://www.cigionline.org/activities/supporting-safer-internet/" TargetMode="External"/><Relationship Id="rId14" Type="http://schemas.openxmlformats.org/officeDocument/2006/relationships/numbering" Target="numbering.xml"/></Relationships>
</file>

<file path=word/_rels/footnotes.xml.rels><?xml version="1.0" encoding="UTF-8"?>
<Relationships xmlns="http://schemas.openxmlformats.org/package/2006/relationships"><Relationship Id="rId1" Type="http://schemas.openxmlformats.org/officeDocument/2006/relationships/hyperlink" Target="https://genderit.org/index.php/FPI-paper-on-violence" TargetMode="External"/><Relationship Id="rId2" Type="http://schemas.openxmlformats.org/officeDocument/2006/relationships/hyperlink" Target="https://cdn.internetdemocracy.in/idp/assets/downloads/reports/whats-sex-got-to-do-with-it-mapping-the-impact-of-questions-of-gender-and-sexuality-on-the-evolution-of-the-digital-rights-landscape-in-india/Vrinda-Bhandari-and-Anja-Kovacs-Whats-Sex-Got-To-Do-with-It.pdf" TargetMode="External"/><Relationship Id="rId3" Type="http://schemas.openxmlformats.org/officeDocument/2006/relationships/hyperlink" Target="https://www.derechosdigitales.org/wp-content/uploads/gender_considerations_on_cybercrime.pdf" TargetMode="External"/><Relationship Id="rId4" Type="http://schemas.openxmlformats.org/officeDocument/2006/relationships/hyperlink" Target="https://firn.genderit.org/sites/default/files/2023-08/The-Left-Out-Project-Report.pdf" TargetMode="External"/><Relationship Id="rId5" Type="http://schemas.openxmlformats.org/officeDocument/2006/relationships/hyperlink" Target="https://indianexpress.com/article/technology/tech-news-technology/fighting-online-sexual-harassment-is-a-long-drawn-battle-for-women-7741112/" TargetMode="External"/><Relationship Id="rId6" Type="http://schemas.openxmlformats.org/officeDocument/2006/relationships/hyperlink" Target="https://genderit.org/articles/gendering-development-data-india-post-trans-act-2019" TargetMode="External"/><Relationship Id="rId7" Type="http://schemas.openxmlformats.org/officeDocument/2006/relationships/hyperlink" Target="https://projects.itforchange.net/online-violence-gender-and-law-guide/module-3-access-to-justice/" TargetMode="External"/><Relationship Id="rId8" Type="http://schemas.openxmlformats.org/officeDocument/2006/relationships/hyperlink" Target="https://www.tedic.org/wp-content/uploads/2023/12/LIBERTAD-Digitales___Pdf-1.pdf" TargetMode="External"/><Relationship Id="rId9" Type="http://schemas.openxmlformats.org/officeDocument/2006/relationships/hyperlink" Target="https://www.tedic.org/tobilleras-electronicas-mas-seguridad-o-una-herramienta-para-la-vigilancia/" TargetMode="External"/><Relationship Id="rId10" Type="http://schemas.openxmlformats.org/officeDocument/2006/relationships/hyperlink" Target="https://genderit.org/feminist-talk/we-rise-we-heal-we-resist" TargetMode="External"/><Relationship Id="rId11" Type="http://schemas.openxmlformats.org/officeDocument/2006/relationships/hyperlink" Target="https://firn.genderit.org/sites/default/files/2023-08/All-of-a-sudden_0.pdf" TargetMode="External"/><Relationship Id="rId12" Type="http://schemas.openxmlformats.org/officeDocument/2006/relationships/hyperlink" Target="https://genderit.org/index.php/FPI-paper-on-violence" TargetMode="External"/><Relationship Id="rId13" Type="http://schemas.openxmlformats.org/officeDocument/2006/relationships/hyperlink" Target="https://www.apc.org/sites/default/files/final_report_-_hated_speech_and_the_costs_of_freedom_in_india.pdf" TargetMode="External"/><Relationship Id="rId14" Type="http://schemas.openxmlformats.org/officeDocument/2006/relationships/hyperlink" Target="https://genderit.org/articles/feminists-panopticon-how-surveillance-capitalism-captures-feminist-movements" TargetMode="External"/><Relationship Id="rId15" Type="http://schemas.openxmlformats.org/officeDocument/2006/relationships/hyperlink" Target="https://genderit.org/feminist-talk/lgbtqia-rights-are-not-political-plaything" TargetMode="External"/><Relationship Id="rId16" Type="http://schemas.openxmlformats.org/officeDocument/2006/relationships/hyperlink" Target="https://genderingsurveillance.internetdemocracy.in/" TargetMode="External"/><Relationship Id="rId17" Type="http://schemas.openxmlformats.org/officeDocument/2006/relationships/hyperlink" Target="https://genderingsurveillance.internetdemocracy.in/" TargetMode="External"/><Relationship Id="rId18" Type="http://schemas.openxmlformats.org/officeDocument/2006/relationships/hyperlink" Target="https://genderingsurveillance.internetdemocracy.in/" TargetMode="External"/><Relationship Id="rId19" Type="http://schemas.openxmlformats.org/officeDocument/2006/relationships/hyperlink" Target="https://dl.acm.org/doi/abs/10.1145/3593013.3594134" TargetMode="External"/><Relationship Id="rId20" Type="http://schemas.openxmlformats.org/officeDocument/2006/relationships/hyperlink" Target="https://www.youthkiawaaz.com/2023/12/are-courts-ready-for-dating-apps/" TargetMode="External"/><Relationship Id="rId21" Type="http://schemas.openxmlformats.org/officeDocument/2006/relationships/hyperlink" Target="https://blogs.lse.ac.uk/humanrights/2021/04/16/predictive-policing-in-india-deterring-crime-or-discriminating-minorities/" TargetMode="External"/><Relationship Id="rId22" Type="http://schemas.openxmlformats.org/officeDocument/2006/relationships/hyperlink" Target="https://blogs.lse.ac.uk/humanrights/2021/04/16/predictive-policing-in-india-deterring-crime-or-discriminating-minorities/" TargetMode="External"/><Relationship Id="rId23" Type="http://schemas.openxmlformats.org/officeDocument/2006/relationships/hyperlink" Target="https://www.cigionline.org/static/documents/SaferInternet_Special_Report.pdf" TargetMode="Externa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Association for Progressive Communications</Contributor>
  </documentManagement>
</p:properties>
</file>

<file path=customXml/itemProps1.xml><?xml version="1.0" encoding="utf-8"?>
<ds:datastoreItem xmlns:ds="http://schemas.openxmlformats.org/officeDocument/2006/customXml" ds:itemID="{9821EA0C-B7F4-443C-9D43-7A2071062EF0}"/>
</file>

<file path=customXml/itemProps2.xml><?xml version="1.0" encoding="utf-8"?>
<ds:datastoreItem xmlns:ds="http://schemas.openxmlformats.org/officeDocument/2006/customXml" ds:itemID="{7843E724-200F-4E6E-8A47-468C19880DA2}"/>
</file>

<file path=customXml/itemProps3.xml><?xml version="1.0" encoding="utf-8"?>
<ds:datastoreItem xmlns:ds="http://schemas.openxmlformats.org/officeDocument/2006/customXml" ds:itemID="{8C6219AF-7A0C-4459-9675-E84DD4BC21F8}"/>
</file>

<file path=docProps/app.xml><?xml version="1.0" encoding="utf-8"?>
<Properties xmlns="http://schemas.openxmlformats.org/officeDocument/2006/extended-properties" xmlns:vt="http://schemas.openxmlformats.org/officeDocument/2006/docPropsVTypes">
  <Template>Normal.dotm</Template>
  <TotalTime>5</TotalTime>
  <Application>LibreOffice/6.4.7.2$Linux_X86_64 LibreOffice_project/40$Build-2</Application>
  <Pages>12</Pages>
  <Words>5028</Words>
  <Characters>30920</Characters>
  <CharactersWithSpaces>35902</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9</cp:revision>
  <dcterms:modified xsi:type="dcterms:W3CDTF">2024-02-08T02:22:05Z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ContentTypeId">
    <vt:lpwstr>0x0101009D953D6983EF5F4EB0B6A5354F975E96</vt:lpwstr>
  </property>
  <property fmtid="{D5CDD505-2E9C-101B-9397-08002B2CF9AE}" pid="8" name="Order">
    <vt:r8>100</vt:r8>
  </property>
  <property fmtid="{D5CDD505-2E9C-101B-9397-08002B2CF9AE}" pid="9" name="Language">
    <vt:lpwstr>English</vt:lpwstr>
  </property>
  <property fmtid="{D5CDD505-2E9C-101B-9397-08002B2CF9AE}" pid="10" name="xd_Signature">
    <vt:bool>false</vt:bool>
  </property>
  <property fmtid="{D5CDD505-2E9C-101B-9397-08002B2CF9AE}" pid="11" name="xd_ProgID">
    <vt:lpwstr/>
  </property>
  <property fmtid="{D5CDD505-2E9C-101B-9397-08002B2CF9AE}" pid="12" name="Security Level">
    <vt:lpwstr>Unclassified</vt:lpwstr>
  </property>
  <property fmtid="{D5CDD505-2E9C-101B-9397-08002B2CF9AE}" pid="13" name="_SourceUrl">
    <vt:lpwstr/>
  </property>
  <property fmtid="{D5CDD505-2E9C-101B-9397-08002B2CF9AE}" pid="14" name="_SharedFileIndex">
    <vt:lpwstr/>
  </property>
  <property fmtid="{D5CDD505-2E9C-101B-9397-08002B2CF9AE}" pid="15" name="UN Official Language">
    <vt:lpwstr>English</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Document Type">
    <vt:lpwstr>UN others</vt:lpwstr>
  </property>
  <property fmtid="{D5CDD505-2E9C-101B-9397-08002B2CF9AE}" pid="21" name="MediaServiceImageTags">
    <vt:lpwstr/>
  </property>
</Properties>
</file>