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4B86" w14:textId="74806814" w:rsidR="00EF572A" w:rsidRPr="006C6540" w:rsidRDefault="00FF1C96" w:rsidP="00EF572A">
      <w:pPr>
        <w:pStyle w:val="Tytu"/>
        <w:jc w:val="both"/>
        <w:rPr>
          <w:rFonts w:ascii="Times New Roman" w:hAnsi="Times New Roman" w:cs="Times New Roman"/>
          <w:sz w:val="48"/>
          <w:szCs w:val="48"/>
          <w:lang w:val="en-US"/>
        </w:rPr>
      </w:pPr>
      <w:r w:rsidRPr="006C6540">
        <w:rPr>
          <w:rFonts w:ascii="Times New Roman" w:hAnsi="Times New Roman" w:cs="Times New Roman"/>
          <w:sz w:val="48"/>
          <w:szCs w:val="48"/>
          <w:lang w:val="en-US"/>
        </w:rPr>
        <w:t>Opinion on the Report Regarding Protection from Violence and Discrimination due to Sexual Orientation and Gender Identity in Relation to the Human Rights of Freedom of Expression, Association, and Assembly</w:t>
      </w:r>
    </w:p>
    <w:p w14:paraId="6140732F" w14:textId="77777777" w:rsidR="00EF572A" w:rsidRPr="006C6540" w:rsidRDefault="00EF572A" w:rsidP="00D331D6">
      <w:pPr>
        <w:jc w:val="both"/>
        <w:rPr>
          <w:color w:val="000000" w:themeColor="text1"/>
          <w:lang w:val="en-US"/>
        </w:rPr>
      </w:pPr>
    </w:p>
    <w:p w14:paraId="6CA4B503" w14:textId="77777777" w:rsidR="008337AC" w:rsidRPr="006C6540" w:rsidRDefault="008337AC" w:rsidP="00D331D6">
      <w:pPr>
        <w:jc w:val="both"/>
        <w:rPr>
          <w:color w:val="000000" w:themeColor="text1"/>
          <w:lang w:val="en-US"/>
        </w:rPr>
      </w:pPr>
    </w:p>
    <w:p w14:paraId="22FC7F18" w14:textId="47DA6789" w:rsidR="00EF572A" w:rsidRPr="006C6540" w:rsidRDefault="00D331D6" w:rsidP="00D331D6">
      <w:pPr>
        <w:pStyle w:val="Nagwek1"/>
        <w:numPr>
          <w:ilvl w:val="0"/>
          <w:numId w:val="1"/>
        </w:numPr>
        <w:ind w:left="0" w:firstLine="0"/>
        <w:jc w:val="both"/>
        <w:rPr>
          <w:rFonts w:ascii="Times New Roman" w:hAnsi="Times New Roman" w:cs="Times New Roman"/>
          <w:color w:val="000000" w:themeColor="text1"/>
          <w:lang w:val="en-US"/>
        </w:rPr>
      </w:pPr>
      <w:r w:rsidRPr="006C6540">
        <w:rPr>
          <w:rFonts w:ascii="Times New Roman" w:hAnsi="Times New Roman" w:cs="Times New Roman"/>
          <w:color w:val="000000" w:themeColor="text1"/>
          <w:lang w:val="en-US"/>
        </w:rPr>
        <w:t xml:space="preserve">Protection of Sexual Orientation and </w:t>
      </w:r>
      <w:r w:rsidR="00703F9C">
        <w:rPr>
          <w:rFonts w:ascii="Times New Roman" w:hAnsi="Times New Roman" w:cs="Times New Roman"/>
          <w:color w:val="000000" w:themeColor="text1"/>
          <w:lang w:val="en-US"/>
        </w:rPr>
        <w:t>“</w:t>
      </w:r>
      <w:r w:rsidRPr="006C6540">
        <w:rPr>
          <w:rFonts w:ascii="Times New Roman" w:hAnsi="Times New Roman" w:cs="Times New Roman"/>
          <w:color w:val="000000" w:themeColor="text1"/>
          <w:lang w:val="en-US"/>
        </w:rPr>
        <w:t>Gender Identity</w:t>
      </w:r>
      <w:r w:rsidR="00703F9C">
        <w:rPr>
          <w:rFonts w:ascii="Times New Roman" w:hAnsi="Times New Roman" w:cs="Times New Roman"/>
          <w:color w:val="000000" w:themeColor="text1"/>
          <w:lang w:val="en-US"/>
        </w:rPr>
        <w:t>”</w:t>
      </w:r>
      <w:r w:rsidRPr="006C6540">
        <w:rPr>
          <w:rFonts w:ascii="Times New Roman" w:hAnsi="Times New Roman" w:cs="Times New Roman"/>
          <w:color w:val="000000" w:themeColor="text1"/>
          <w:lang w:val="en-US"/>
        </w:rPr>
        <w:t>: Balancing Rights</w:t>
      </w:r>
    </w:p>
    <w:p w14:paraId="6DCEDBFA" w14:textId="77777777" w:rsidR="00D331D6" w:rsidRPr="006C6540" w:rsidRDefault="00D331D6" w:rsidP="00D331D6">
      <w:pPr>
        <w:rPr>
          <w:lang w:val="en-US"/>
        </w:rPr>
      </w:pPr>
    </w:p>
    <w:p w14:paraId="551FB7E4" w14:textId="728FF57F" w:rsidR="008337AC" w:rsidRPr="006C6540" w:rsidRDefault="00D331D6" w:rsidP="00257136">
      <w:pPr>
        <w:spacing w:line="360" w:lineRule="auto"/>
        <w:ind w:firstLine="567"/>
        <w:jc w:val="both"/>
        <w:rPr>
          <w:rFonts w:ascii="Times New Roman" w:hAnsi="Times New Roman" w:cs="Times New Roman"/>
          <w:sz w:val="24"/>
          <w:szCs w:val="24"/>
          <w:lang w:val="en-US"/>
        </w:rPr>
      </w:pPr>
      <w:r w:rsidRPr="006C6540">
        <w:rPr>
          <w:rFonts w:ascii="Times New Roman" w:hAnsi="Times New Roman" w:cs="Times New Roman"/>
          <w:sz w:val="24"/>
          <w:szCs w:val="24"/>
          <w:lang w:val="en-US"/>
        </w:rPr>
        <w:t xml:space="preserve">Amidst the ongoing global discourse on human rights, the protection of individuals based on their sexual orientation and </w:t>
      </w:r>
      <w:r w:rsidR="00780C0C">
        <w:rPr>
          <w:rFonts w:ascii="Times New Roman" w:hAnsi="Times New Roman" w:cs="Times New Roman"/>
          <w:sz w:val="24"/>
          <w:szCs w:val="24"/>
          <w:lang w:val="en-US"/>
        </w:rPr>
        <w:t>“</w:t>
      </w:r>
      <w:r w:rsidRPr="006C6540">
        <w:rPr>
          <w:rFonts w:ascii="Times New Roman" w:hAnsi="Times New Roman" w:cs="Times New Roman"/>
          <w:sz w:val="24"/>
          <w:szCs w:val="24"/>
          <w:lang w:val="en-US"/>
        </w:rPr>
        <w:t>gender identity</w:t>
      </w:r>
      <w:r w:rsidR="00780C0C">
        <w:rPr>
          <w:rFonts w:ascii="Times New Roman" w:hAnsi="Times New Roman" w:cs="Times New Roman"/>
          <w:sz w:val="24"/>
          <w:szCs w:val="24"/>
          <w:lang w:val="en-US"/>
        </w:rPr>
        <w:t>”</w:t>
      </w:r>
      <w:r w:rsidRPr="006C6540">
        <w:rPr>
          <w:rFonts w:ascii="Times New Roman" w:hAnsi="Times New Roman" w:cs="Times New Roman"/>
          <w:sz w:val="24"/>
          <w:szCs w:val="24"/>
          <w:lang w:val="en-US"/>
        </w:rPr>
        <w:t xml:space="preserve"> (SOGI) remains a significant but also contentious issue, engaging various individuals and human rights organizations. While advocates rightly defend individuals' rights to free</w:t>
      </w:r>
      <w:r w:rsidR="0024470F">
        <w:rPr>
          <w:rFonts w:ascii="Times New Roman" w:hAnsi="Times New Roman" w:cs="Times New Roman"/>
          <w:sz w:val="24"/>
          <w:szCs w:val="24"/>
          <w:lang w:val="en-US"/>
        </w:rPr>
        <w:t xml:space="preserve"> self-expression, </w:t>
      </w:r>
      <w:r w:rsidRPr="006C6540">
        <w:rPr>
          <w:rFonts w:ascii="Times New Roman" w:hAnsi="Times New Roman" w:cs="Times New Roman"/>
          <w:sz w:val="24"/>
          <w:szCs w:val="24"/>
          <w:lang w:val="en-US"/>
        </w:rPr>
        <w:t>concerns arise regarding the potential impact of these rights on societal values of freedom of expression, association, and assembly.</w:t>
      </w:r>
    </w:p>
    <w:p w14:paraId="709EC4D1" w14:textId="17CA05E5" w:rsidR="008337AC" w:rsidRPr="00597025" w:rsidRDefault="005443A3">
      <w:pPr>
        <w:pStyle w:val="Nagwek2"/>
        <w:numPr>
          <w:ilvl w:val="1"/>
          <w:numId w:val="1"/>
        </w:numPr>
        <w:rPr>
          <w:rFonts w:ascii="Times New Roman" w:hAnsi="Times New Roman" w:cs="Times New Roman"/>
          <w:color w:val="000000" w:themeColor="text1"/>
          <w:sz w:val="24"/>
          <w:szCs w:val="24"/>
          <w:lang w:val="en-US"/>
        </w:rPr>
      </w:pPr>
      <w:r w:rsidRPr="00597025">
        <w:rPr>
          <w:rFonts w:ascii="Times New Roman" w:hAnsi="Times New Roman" w:cs="Times New Roman"/>
          <w:color w:val="000000" w:themeColor="text1"/>
          <w:sz w:val="24"/>
          <w:szCs w:val="24"/>
          <w:lang w:val="en-US"/>
        </w:rPr>
        <w:t>A broad system of</w:t>
      </w:r>
      <w:r w:rsidR="008337AC" w:rsidRPr="00597025">
        <w:rPr>
          <w:rFonts w:ascii="Times New Roman" w:hAnsi="Times New Roman" w:cs="Times New Roman"/>
          <w:color w:val="000000" w:themeColor="text1"/>
          <w:sz w:val="24"/>
          <w:szCs w:val="24"/>
          <w:lang w:val="en-US"/>
        </w:rPr>
        <w:t xml:space="preserve"> rights to protect everyone</w:t>
      </w:r>
    </w:p>
    <w:p w14:paraId="26F67185" w14:textId="77777777" w:rsidR="008337AC" w:rsidRPr="00597025" w:rsidRDefault="008337AC" w:rsidP="008337AC">
      <w:pPr>
        <w:rPr>
          <w:lang w:val="en-US"/>
        </w:rPr>
      </w:pPr>
    </w:p>
    <w:p w14:paraId="6CB4E9A5" w14:textId="069FF616" w:rsidR="0093146E" w:rsidRPr="0093146E" w:rsidRDefault="008337AC" w:rsidP="0093146E">
      <w:pPr>
        <w:spacing w:after="0" w:line="360" w:lineRule="auto"/>
        <w:ind w:firstLine="567"/>
        <w:jc w:val="both"/>
        <w:rPr>
          <w:rFonts w:ascii="Times New Roman" w:hAnsi="Times New Roman" w:cs="Times New Roman"/>
          <w:sz w:val="24"/>
          <w:szCs w:val="24"/>
          <w:lang w:val="en-US"/>
        </w:rPr>
      </w:pPr>
      <w:r w:rsidRPr="006C6540">
        <w:rPr>
          <w:rFonts w:ascii="Times New Roman" w:hAnsi="Times New Roman" w:cs="Times New Roman"/>
          <w:sz w:val="24"/>
          <w:szCs w:val="24"/>
          <w:lang w:val="en-US"/>
        </w:rPr>
        <w:t xml:space="preserve">At the heart of the debate lies a delicate balance between individual rights and the rights of society as a whole. </w:t>
      </w:r>
    </w:p>
    <w:p w14:paraId="17652FE1" w14:textId="78BFB3C6" w:rsidR="009C0DD9" w:rsidRDefault="0093146E" w:rsidP="009C0DD9">
      <w:pPr>
        <w:spacing w:after="0" w:line="360" w:lineRule="auto"/>
        <w:ind w:firstLine="567"/>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The rights enshrined under international treaties are vast and encompass a wide range of aspects, including civil, political, economic, social, and cultural rights. These treaties are binding on the states that have ratified them, and they have played a significant role in shaping the international human rights framework.</w:t>
      </w:r>
      <w:r>
        <w:rPr>
          <w:rFonts w:ascii="Times New Roman" w:hAnsi="Times New Roman" w:cs="Times New Roman"/>
          <w:sz w:val="24"/>
          <w:szCs w:val="24"/>
          <w:lang w:val="en-US"/>
        </w:rPr>
        <w:t xml:space="preserve"> </w:t>
      </w:r>
      <w:r w:rsidRPr="0093146E">
        <w:rPr>
          <w:rFonts w:ascii="Times New Roman" w:hAnsi="Times New Roman" w:cs="Times New Roman"/>
          <w:sz w:val="24"/>
          <w:szCs w:val="24"/>
          <w:lang w:val="en-US"/>
        </w:rPr>
        <w:t>Here's a brief overview of some of the key treaties and the rights they protect:</w:t>
      </w:r>
    </w:p>
    <w:p w14:paraId="04141262" w14:textId="41B062DD" w:rsidR="0093146E" w:rsidRPr="0093146E" w:rsidRDefault="0093146E" w:rsidP="0093146E">
      <w:pPr>
        <w:pStyle w:val="Akapitzlist"/>
        <w:numPr>
          <w:ilvl w:val="0"/>
          <w:numId w:val="3"/>
        </w:numPr>
        <w:spacing w:after="0" w:line="360" w:lineRule="auto"/>
        <w:ind w:left="0" w:firstLine="567"/>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Universal Declaration of Human Rights (UDHR): The UDHR is a binding declaration adopted by the United Nations General Assembly in 1948. It sets out the fundamental rights and freedoms that all human beings are entitled to, regardless of their race, color, origin, sex, religion, political opinion, national or social origin, property, birth or other status.</w:t>
      </w:r>
    </w:p>
    <w:p w14:paraId="119E09B0" w14:textId="77777777" w:rsidR="0093146E" w:rsidRDefault="0093146E" w:rsidP="0093146E">
      <w:pPr>
        <w:pStyle w:val="Akapitzlist"/>
        <w:numPr>
          <w:ilvl w:val="0"/>
          <w:numId w:val="3"/>
        </w:numPr>
        <w:spacing w:line="360" w:lineRule="auto"/>
        <w:ind w:left="0" w:firstLine="567"/>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lastRenderedPageBreak/>
        <w:t>International Covenant on Civil and Political Rights (ICCPR): The ICCPR is a binding treaty adopted by the UN General Assembly in 1966. It elaborates on the rights set out in the UDHR and provides for mechanisms to monitor and enforce compliance. The ICCPR protects a wide range of rights, including the right to life, freedom from torture, freedom of expression, freedom of assembly, and the right to a fair trial.</w:t>
      </w:r>
    </w:p>
    <w:p w14:paraId="40CC6684" w14:textId="77777777" w:rsidR="0093146E" w:rsidRDefault="0093146E" w:rsidP="0093146E">
      <w:pPr>
        <w:pStyle w:val="Akapitzlist"/>
        <w:numPr>
          <w:ilvl w:val="0"/>
          <w:numId w:val="3"/>
        </w:numPr>
        <w:spacing w:line="360" w:lineRule="auto"/>
        <w:ind w:left="0" w:firstLine="567"/>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International Covenant on Economic, Social and Cultural Rights (ICESCR): The ICESCR is a binding treaty adopted by the UN General Assembly in 1966. It recognizes the right of everyone to an adequate standard of living, education, health care, and social security. The ICESCR also recognizes the right to work, to join trade unions, and to take part in cultural life.</w:t>
      </w:r>
    </w:p>
    <w:p w14:paraId="1BB5CFE8" w14:textId="77777777" w:rsidR="0093146E" w:rsidRDefault="0093146E" w:rsidP="0093146E">
      <w:pPr>
        <w:pStyle w:val="Akapitzlist"/>
        <w:numPr>
          <w:ilvl w:val="0"/>
          <w:numId w:val="3"/>
        </w:numPr>
        <w:spacing w:line="360" w:lineRule="auto"/>
        <w:ind w:left="0" w:firstLine="567"/>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European Convention on Human Rights (ECHR): The ECHR is a binding treaty adopted by the Council of Europe in 1950. It protects a wide range of rights, including the right to life, freedom from torture, freedom of expression, freedom of assembly, and the right to a fair trial. The ECHR has a unique feature in that it allows individuals to bring complaints against their own governments to the European Court of Human Rights.</w:t>
      </w:r>
    </w:p>
    <w:p w14:paraId="2AD8FFBF" w14:textId="19FD3734" w:rsidR="0093146E" w:rsidRDefault="0093146E" w:rsidP="00095A43">
      <w:pPr>
        <w:pStyle w:val="Akapitzlist"/>
        <w:numPr>
          <w:ilvl w:val="0"/>
          <w:numId w:val="3"/>
        </w:numPr>
        <w:spacing w:after="0" w:line="360" w:lineRule="auto"/>
        <w:ind w:left="0" w:firstLine="567"/>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 xml:space="preserve">American Convention on Human Rights (ACHR): The ACHR is a binding treaty adopted by the Organization of American States in 1969. It protects </w:t>
      </w:r>
      <w:r w:rsidR="00845BA3">
        <w:rPr>
          <w:rFonts w:ascii="Times New Roman" w:hAnsi="Times New Roman" w:cs="Times New Roman"/>
          <w:sz w:val="24"/>
          <w:szCs w:val="24"/>
          <w:lang w:val="en-US"/>
        </w:rPr>
        <w:t>various</w:t>
      </w:r>
      <w:r w:rsidRPr="0093146E">
        <w:rPr>
          <w:rFonts w:ascii="Times New Roman" w:hAnsi="Times New Roman" w:cs="Times New Roman"/>
          <w:sz w:val="24"/>
          <w:szCs w:val="24"/>
          <w:lang w:val="en-US"/>
        </w:rPr>
        <w:t xml:space="preserve"> rights, including the right to life, freedom from torture, freedom of expression, freedom of assembly, and the right to a fair trial. The ACHR also recognizes the right to participate in government and the right to property.</w:t>
      </w:r>
    </w:p>
    <w:p w14:paraId="3855AA8C" w14:textId="2483583B" w:rsidR="0093146E" w:rsidRDefault="0093146E" w:rsidP="00095A43">
      <w:pPr>
        <w:pStyle w:val="Akapitzlist"/>
        <w:numPr>
          <w:ilvl w:val="0"/>
          <w:numId w:val="3"/>
        </w:numPr>
        <w:spacing w:after="0" w:line="360" w:lineRule="auto"/>
        <w:ind w:left="0" w:firstLine="567"/>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African Charter on Human and Peoples' Rights (ACHPR): The ACHPR is a binding treaty adopted by the African Union in 1981. It protects a wide range of rights, including the right to life, freedom from torture, freedom of expression, freedom of assembly, and the right to a fair trial. The ACHPR also recognizes the right to development and the right to a clean environment.</w:t>
      </w:r>
      <w:r w:rsidR="008337AC" w:rsidRPr="0093146E">
        <w:rPr>
          <w:rFonts w:ascii="Times New Roman" w:hAnsi="Times New Roman" w:cs="Times New Roman"/>
          <w:sz w:val="24"/>
          <w:szCs w:val="24"/>
          <w:lang w:val="en-US"/>
        </w:rPr>
        <w:t xml:space="preserve"> On the other hand, society has the right to protect its particular values and traditions</w:t>
      </w:r>
      <w:r w:rsidR="00845BA3">
        <w:rPr>
          <w:rFonts w:ascii="Times New Roman" w:hAnsi="Times New Roman" w:cs="Times New Roman"/>
          <w:sz w:val="24"/>
          <w:szCs w:val="24"/>
          <w:lang w:val="en-US"/>
        </w:rPr>
        <w:t>.</w:t>
      </w:r>
      <w:r w:rsidR="008337AC" w:rsidRPr="0093146E">
        <w:rPr>
          <w:rFonts w:ascii="Times New Roman" w:hAnsi="Times New Roman" w:cs="Times New Roman"/>
          <w:sz w:val="24"/>
          <w:szCs w:val="24"/>
          <w:lang w:val="en-US"/>
        </w:rPr>
        <w:t xml:space="preserve"> </w:t>
      </w:r>
    </w:p>
    <w:p w14:paraId="465F88BF" w14:textId="539A3B9E" w:rsidR="0093146E" w:rsidRPr="0093146E" w:rsidRDefault="0093146E" w:rsidP="00095A43">
      <w:pPr>
        <w:spacing w:after="0" w:line="360" w:lineRule="auto"/>
        <w:ind w:firstLine="567"/>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These are just a few of the many international treaties that protect human rights. The specific rights protected by each treaty will vary, but they all share the common goal of promoting and protecting the human rights of all people.</w:t>
      </w:r>
      <w:r>
        <w:rPr>
          <w:rFonts w:ascii="Times New Roman" w:hAnsi="Times New Roman" w:cs="Times New Roman"/>
          <w:sz w:val="24"/>
          <w:szCs w:val="24"/>
          <w:lang w:val="en-US"/>
        </w:rPr>
        <w:t xml:space="preserve"> </w:t>
      </w:r>
      <w:r w:rsidRPr="0093146E">
        <w:rPr>
          <w:rFonts w:ascii="Times New Roman" w:hAnsi="Times New Roman" w:cs="Times New Roman"/>
          <w:sz w:val="24"/>
          <w:szCs w:val="24"/>
          <w:lang w:val="en-US"/>
        </w:rPr>
        <w:t>Here are the key rights that are protected by</w:t>
      </w:r>
      <w:r>
        <w:rPr>
          <w:rFonts w:ascii="Times New Roman" w:hAnsi="Times New Roman" w:cs="Times New Roman"/>
          <w:sz w:val="24"/>
          <w:szCs w:val="24"/>
          <w:lang w:val="en-US"/>
        </w:rPr>
        <w:t xml:space="preserve"> these</w:t>
      </w:r>
      <w:r w:rsidRPr="0093146E">
        <w:rPr>
          <w:rFonts w:ascii="Times New Roman" w:hAnsi="Times New Roman" w:cs="Times New Roman"/>
          <w:sz w:val="24"/>
          <w:szCs w:val="24"/>
          <w:lang w:val="en-US"/>
        </w:rPr>
        <w:t xml:space="preserve"> international treaties:</w:t>
      </w:r>
    </w:p>
    <w:p w14:paraId="2E87932E" w14:textId="77777777" w:rsidR="0093146E" w:rsidRDefault="0093146E" w:rsidP="0093146E">
      <w:pPr>
        <w:pStyle w:val="Akapitzlist"/>
        <w:numPr>
          <w:ilvl w:val="0"/>
          <w:numId w:val="4"/>
        </w:numPr>
        <w:spacing w:after="0" w:line="360" w:lineRule="auto"/>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The right to life</w:t>
      </w:r>
    </w:p>
    <w:p w14:paraId="33320480" w14:textId="77777777" w:rsidR="0093146E" w:rsidRDefault="0093146E" w:rsidP="0093146E">
      <w:pPr>
        <w:pStyle w:val="Akapitzlist"/>
        <w:numPr>
          <w:ilvl w:val="0"/>
          <w:numId w:val="4"/>
        </w:numPr>
        <w:spacing w:after="0" w:line="360" w:lineRule="auto"/>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The right to freedom from torture and cruel, inhuman or degrading treatment</w:t>
      </w:r>
    </w:p>
    <w:p w14:paraId="2ECF58CB" w14:textId="77777777" w:rsidR="0093146E" w:rsidRDefault="0093146E" w:rsidP="0093146E">
      <w:pPr>
        <w:pStyle w:val="Akapitzlist"/>
        <w:numPr>
          <w:ilvl w:val="0"/>
          <w:numId w:val="4"/>
        </w:numPr>
        <w:spacing w:after="0" w:line="360" w:lineRule="auto"/>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The right to freedom from slavery and forced labor</w:t>
      </w:r>
    </w:p>
    <w:p w14:paraId="1B0B66A8" w14:textId="77777777" w:rsidR="0093146E" w:rsidRDefault="0093146E" w:rsidP="0093146E">
      <w:pPr>
        <w:pStyle w:val="Akapitzlist"/>
        <w:numPr>
          <w:ilvl w:val="0"/>
          <w:numId w:val="4"/>
        </w:numPr>
        <w:spacing w:after="0" w:line="360" w:lineRule="auto"/>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The right to freedom from discrimination</w:t>
      </w:r>
    </w:p>
    <w:p w14:paraId="01375C6C" w14:textId="77777777" w:rsidR="0093146E" w:rsidRDefault="0093146E" w:rsidP="0093146E">
      <w:pPr>
        <w:pStyle w:val="Akapitzlist"/>
        <w:numPr>
          <w:ilvl w:val="0"/>
          <w:numId w:val="4"/>
        </w:numPr>
        <w:spacing w:after="0" w:line="360" w:lineRule="auto"/>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lastRenderedPageBreak/>
        <w:t>The right to freedom of opinion and expression</w:t>
      </w:r>
    </w:p>
    <w:p w14:paraId="75F3D260" w14:textId="77777777" w:rsidR="0093146E" w:rsidRDefault="0093146E" w:rsidP="0093146E">
      <w:pPr>
        <w:pStyle w:val="Akapitzlist"/>
        <w:numPr>
          <w:ilvl w:val="0"/>
          <w:numId w:val="4"/>
        </w:numPr>
        <w:spacing w:after="0" w:line="360" w:lineRule="auto"/>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The right to freedom of assembly and association</w:t>
      </w:r>
    </w:p>
    <w:p w14:paraId="446A74BD" w14:textId="77777777" w:rsidR="0093146E" w:rsidRDefault="0093146E" w:rsidP="0093146E">
      <w:pPr>
        <w:pStyle w:val="Akapitzlist"/>
        <w:numPr>
          <w:ilvl w:val="0"/>
          <w:numId w:val="4"/>
        </w:numPr>
        <w:spacing w:after="0" w:line="360" w:lineRule="auto"/>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The right to freedom of movement</w:t>
      </w:r>
    </w:p>
    <w:p w14:paraId="10248749" w14:textId="77777777" w:rsidR="0093146E" w:rsidRDefault="0093146E" w:rsidP="0093146E">
      <w:pPr>
        <w:pStyle w:val="Akapitzlist"/>
        <w:numPr>
          <w:ilvl w:val="0"/>
          <w:numId w:val="4"/>
        </w:numPr>
        <w:spacing w:after="0" w:line="360" w:lineRule="auto"/>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The right to privacy</w:t>
      </w:r>
    </w:p>
    <w:p w14:paraId="3117476B" w14:textId="77777777" w:rsidR="0093146E" w:rsidRDefault="0093146E" w:rsidP="0093146E">
      <w:pPr>
        <w:pStyle w:val="Akapitzlist"/>
        <w:numPr>
          <w:ilvl w:val="0"/>
          <w:numId w:val="4"/>
        </w:numPr>
        <w:spacing w:after="0" w:line="360" w:lineRule="auto"/>
        <w:jc w:val="both"/>
        <w:rPr>
          <w:rFonts w:ascii="Times New Roman" w:hAnsi="Times New Roman" w:cs="Times New Roman"/>
          <w:sz w:val="24"/>
          <w:szCs w:val="24"/>
          <w:lang w:val="en-US"/>
        </w:rPr>
      </w:pPr>
      <w:r w:rsidRPr="0093146E">
        <w:rPr>
          <w:rFonts w:ascii="Times New Roman" w:hAnsi="Times New Roman" w:cs="Times New Roman"/>
          <w:sz w:val="24"/>
          <w:szCs w:val="24"/>
          <w:lang w:val="en-US"/>
        </w:rPr>
        <w:t>The right to equal treatment before the law</w:t>
      </w:r>
    </w:p>
    <w:p w14:paraId="575D3319" w14:textId="150B807B" w:rsidR="0093146E" w:rsidRDefault="00095A43" w:rsidP="0093146E">
      <w:pPr>
        <w:pStyle w:val="Akapitzlist"/>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3146E" w:rsidRPr="0093146E">
        <w:rPr>
          <w:rFonts w:ascii="Times New Roman" w:hAnsi="Times New Roman" w:cs="Times New Roman"/>
          <w:sz w:val="24"/>
          <w:szCs w:val="24"/>
          <w:lang w:val="en-US"/>
        </w:rPr>
        <w:t>The right to a fair trial</w:t>
      </w:r>
    </w:p>
    <w:p w14:paraId="0149828E" w14:textId="754CB124" w:rsidR="0093146E" w:rsidRDefault="00095A43" w:rsidP="0093146E">
      <w:pPr>
        <w:pStyle w:val="Akapitzlist"/>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3146E" w:rsidRPr="0093146E">
        <w:rPr>
          <w:rFonts w:ascii="Times New Roman" w:hAnsi="Times New Roman" w:cs="Times New Roman"/>
          <w:sz w:val="24"/>
          <w:szCs w:val="24"/>
          <w:lang w:val="en-US"/>
        </w:rPr>
        <w:t>The right to freedom from arbitrary arrest and detention</w:t>
      </w:r>
    </w:p>
    <w:p w14:paraId="11C09C0F" w14:textId="77777777" w:rsidR="004F570C" w:rsidRDefault="004F570C" w:rsidP="004F570C">
      <w:pPr>
        <w:spacing w:after="0" w:line="360" w:lineRule="auto"/>
        <w:jc w:val="both"/>
        <w:rPr>
          <w:rFonts w:ascii="Times New Roman" w:hAnsi="Times New Roman" w:cs="Times New Roman"/>
          <w:sz w:val="24"/>
          <w:szCs w:val="24"/>
          <w:lang w:val="en-US"/>
        </w:rPr>
      </w:pPr>
    </w:p>
    <w:p w14:paraId="1DF4B2D4" w14:textId="02757E6A" w:rsidR="00493BA2" w:rsidRDefault="00493BA2" w:rsidP="00493BA2">
      <w:pPr>
        <w:spacing w:after="0" w:line="360" w:lineRule="auto"/>
        <w:jc w:val="both"/>
        <w:rPr>
          <w:rFonts w:ascii="Times New Roman" w:hAnsi="Times New Roman" w:cs="Times New Roman"/>
          <w:sz w:val="24"/>
          <w:szCs w:val="24"/>
          <w:lang w:val="en-US"/>
        </w:rPr>
      </w:pPr>
      <w:r w:rsidRPr="00493BA2">
        <w:rPr>
          <w:rFonts w:ascii="Times New Roman" w:hAnsi="Times New Roman" w:cs="Times New Roman"/>
          <w:sz w:val="24"/>
          <w:szCs w:val="24"/>
          <w:lang w:val="en-US"/>
        </w:rPr>
        <w:t xml:space="preserve">The human rights system protects a whole range of rights and freedoms and prohibits discrimination, including discrimination based on </w:t>
      </w:r>
      <w:r>
        <w:rPr>
          <w:rFonts w:ascii="Times New Roman" w:hAnsi="Times New Roman" w:cs="Times New Roman"/>
          <w:sz w:val="24"/>
          <w:szCs w:val="24"/>
          <w:lang w:val="en-US"/>
        </w:rPr>
        <w:t xml:space="preserve">sex. </w:t>
      </w:r>
      <w:r w:rsidR="00597025">
        <w:rPr>
          <w:rFonts w:ascii="Times New Roman" w:hAnsi="Times New Roman" w:cs="Times New Roman"/>
          <w:sz w:val="24"/>
          <w:szCs w:val="24"/>
          <w:lang w:val="en-US"/>
        </w:rPr>
        <w:t>Although, t</w:t>
      </w:r>
      <w:r w:rsidR="00845BA3" w:rsidRPr="00845BA3">
        <w:rPr>
          <w:rFonts w:ascii="Times New Roman" w:hAnsi="Times New Roman" w:cs="Times New Roman"/>
          <w:sz w:val="24"/>
          <w:szCs w:val="24"/>
          <w:lang w:val="en-US"/>
        </w:rPr>
        <w:t xml:space="preserve">he term </w:t>
      </w:r>
      <w:r w:rsidR="00845BA3">
        <w:rPr>
          <w:rFonts w:ascii="Times New Roman" w:hAnsi="Times New Roman" w:cs="Times New Roman"/>
          <w:sz w:val="24"/>
          <w:szCs w:val="24"/>
          <w:lang w:val="en-US"/>
        </w:rPr>
        <w:t>“</w:t>
      </w:r>
      <w:r w:rsidR="00845BA3" w:rsidRPr="00845BA3">
        <w:rPr>
          <w:rFonts w:ascii="Times New Roman" w:hAnsi="Times New Roman" w:cs="Times New Roman"/>
          <w:sz w:val="24"/>
          <w:szCs w:val="24"/>
          <w:lang w:val="en-US"/>
        </w:rPr>
        <w:t>gender</w:t>
      </w:r>
      <w:r w:rsidR="000B4DBC">
        <w:rPr>
          <w:rFonts w:ascii="Times New Roman" w:hAnsi="Times New Roman" w:cs="Times New Roman"/>
          <w:sz w:val="24"/>
          <w:szCs w:val="24"/>
          <w:lang w:val="en-US"/>
        </w:rPr>
        <w:t xml:space="preserve"> identity</w:t>
      </w:r>
      <w:r w:rsidR="00845BA3">
        <w:rPr>
          <w:rFonts w:ascii="Times New Roman" w:hAnsi="Times New Roman" w:cs="Times New Roman"/>
          <w:sz w:val="24"/>
          <w:szCs w:val="24"/>
          <w:lang w:val="en-US"/>
        </w:rPr>
        <w:t>”</w:t>
      </w:r>
      <w:r w:rsidR="00845BA3" w:rsidRPr="00845BA3">
        <w:rPr>
          <w:rFonts w:ascii="Times New Roman" w:hAnsi="Times New Roman" w:cs="Times New Roman"/>
          <w:sz w:val="24"/>
          <w:szCs w:val="24"/>
          <w:lang w:val="en-US"/>
        </w:rPr>
        <w:t xml:space="preserve"> does not appear in any basic act of international </w:t>
      </w:r>
      <w:r w:rsidR="00597025">
        <w:rPr>
          <w:rFonts w:ascii="Times New Roman" w:hAnsi="Times New Roman" w:cs="Times New Roman"/>
          <w:sz w:val="24"/>
          <w:szCs w:val="24"/>
          <w:lang w:val="en-US"/>
        </w:rPr>
        <w:t xml:space="preserve">human rights </w:t>
      </w:r>
      <w:r w:rsidR="00845BA3" w:rsidRPr="00845BA3">
        <w:rPr>
          <w:rFonts w:ascii="Times New Roman" w:hAnsi="Times New Roman" w:cs="Times New Roman"/>
          <w:sz w:val="24"/>
          <w:szCs w:val="24"/>
          <w:lang w:val="en-US"/>
        </w:rPr>
        <w:t>law.</w:t>
      </w:r>
      <w:r w:rsidR="00845BA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93BA2">
        <w:rPr>
          <w:rFonts w:ascii="Times New Roman" w:hAnsi="Times New Roman" w:cs="Times New Roman"/>
          <w:sz w:val="24"/>
          <w:szCs w:val="24"/>
          <w:lang w:val="en-US"/>
        </w:rPr>
        <w:t>Gender identity</w:t>
      </w:r>
      <w:r>
        <w:rPr>
          <w:rFonts w:ascii="Times New Roman" w:hAnsi="Times New Roman" w:cs="Times New Roman"/>
          <w:sz w:val="24"/>
          <w:szCs w:val="24"/>
          <w:lang w:val="en-US"/>
        </w:rPr>
        <w:t>”</w:t>
      </w:r>
      <w:r w:rsidRPr="00493BA2">
        <w:rPr>
          <w:rFonts w:ascii="Times New Roman" w:hAnsi="Times New Roman" w:cs="Times New Roman"/>
          <w:sz w:val="24"/>
          <w:szCs w:val="24"/>
          <w:lang w:val="en-US"/>
        </w:rPr>
        <w:t>, insofar as it is understood in isolation from the biological criterion, is an ideological concept to which the human rights system should not succumb.</w:t>
      </w:r>
    </w:p>
    <w:p w14:paraId="69A8AF45" w14:textId="77777777" w:rsidR="00493BA2" w:rsidRDefault="00493BA2" w:rsidP="00493BA2">
      <w:pPr>
        <w:spacing w:after="0" w:line="360" w:lineRule="auto"/>
        <w:jc w:val="both"/>
        <w:rPr>
          <w:rFonts w:ascii="Times New Roman" w:hAnsi="Times New Roman" w:cs="Times New Roman"/>
          <w:sz w:val="24"/>
          <w:szCs w:val="24"/>
          <w:lang w:val="en-US"/>
        </w:rPr>
      </w:pPr>
    </w:p>
    <w:p w14:paraId="4711D2F5" w14:textId="75E93CA3" w:rsidR="00401072" w:rsidRDefault="00493BA2" w:rsidP="00493BA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is no doubt, that e</w:t>
      </w:r>
      <w:r w:rsidR="00D90B32" w:rsidRPr="0093146E">
        <w:rPr>
          <w:rFonts w:ascii="Times New Roman" w:hAnsi="Times New Roman" w:cs="Times New Roman"/>
          <w:sz w:val="24"/>
          <w:szCs w:val="24"/>
          <w:lang w:val="en-US"/>
        </w:rPr>
        <w:t>veryone deserves protection from violence and discrimination, regardless of their source</w:t>
      </w:r>
      <w:r w:rsidR="008337AC" w:rsidRPr="0093146E">
        <w:rPr>
          <w:rFonts w:ascii="Times New Roman" w:hAnsi="Times New Roman" w:cs="Times New Roman"/>
          <w:sz w:val="24"/>
          <w:szCs w:val="24"/>
          <w:lang w:val="en-US"/>
        </w:rPr>
        <w:t xml:space="preserve">. In democratic countries, there can be no question about it. However, </w:t>
      </w:r>
      <w:r w:rsidR="00401072" w:rsidRPr="00401072">
        <w:rPr>
          <w:rFonts w:ascii="Times New Roman" w:hAnsi="Times New Roman" w:cs="Times New Roman"/>
          <w:sz w:val="24"/>
          <w:szCs w:val="24"/>
          <w:lang w:val="en-US"/>
        </w:rPr>
        <w:t>two points should be noted</w:t>
      </w:r>
      <w:r w:rsidR="00401072">
        <w:rPr>
          <w:rFonts w:ascii="Times New Roman" w:hAnsi="Times New Roman" w:cs="Times New Roman"/>
          <w:sz w:val="24"/>
          <w:szCs w:val="24"/>
          <w:lang w:val="en-US"/>
        </w:rPr>
        <w:t>.</w:t>
      </w:r>
    </w:p>
    <w:p w14:paraId="33E0042E" w14:textId="77777777" w:rsidR="00401072" w:rsidRDefault="00401072" w:rsidP="00493BA2">
      <w:pPr>
        <w:spacing w:after="0" w:line="360" w:lineRule="auto"/>
        <w:jc w:val="both"/>
        <w:rPr>
          <w:rFonts w:ascii="Times New Roman" w:hAnsi="Times New Roman" w:cs="Times New Roman"/>
          <w:sz w:val="24"/>
          <w:szCs w:val="24"/>
          <w:lang w:val="en-US"/>
        </w:rPr>
      </w:pPr>
    </w:p>
    <w:p w14:paraId="2F2E8CA6" w14:textId="6112182B" w:rsidR="005443A3" w:rsidRDefault="00401072" w:rsidP="005443A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Firstly, w</w:t>
      </w:r>
      <w:r w:rsidRPr="00401072">
        <w:rPr>
          <w:rFonts w:ascii="Times New Roman" w:hAnsi="Times New Roman" w:cs="Times New Roman"/>
          <w:sz w:val="24"/>
          <w:szCs w:val="24"/>
          <w:lang w:val="en-US"/>
        </w:rPr>
        <w:t>hat is a human right derive</w:t>
      </w:r>
      <w:r w:rsidR="00597025">
        <w:rPr>
          <w:rFonts w:ascii="Times New Roman" w:hAnsi="Times New Roman" w:cs="Times New Roman"/>
          <w:sz w:val="24"/>
          <w:szCs w:val="24"/>
          <w:lang w:val="en-US"/>
        </w:rPr>
        <w:t>s</w:t>
      </w:r>
      <w:r w:rsidRPr="00401072">
        <w:rPr>
          <w:rFonts w:ascii="Times New Roman" w:hAnsi="Times New Roman" w:cs="Times New Roman"/>
          <w:sz w:val="24"/>
          <w:szCs w:val="24"/>
          <w:lang w:val="en-US"/>
        </w:rPr>
        <w:t xml:space="preserve"> from the treaties, and the list cannot be </w:t>
      </w:r>
      <w:r w:rsidR="00FE03F1">
        <w:rPr>
          <w:rFonts w:ascii="Times New Roman" w:hAnsi="Times New Roman" w:cs="Times New Roman"/>
          <w:sz w:val="24"/>
          <w:szCs w:val="24"/>
          <w:lang w:val="en-US"/>
        </w:rPr>
        <w:t>arbitrarily</w:t>
      </w:r>
      <w:r w:rsidRPr="00401072">
        <w:rPr>
          <w:rFonts w:ascii="Times New Roman" w:hAnsi="Times New Roman" w:cs="Times New Roman"/>
          <w:sz w:val="24"/>
          <w:szCs w:val="24"/>
          <w:lang w:val="en-US"/>
        </w:rPr>
        <w:t xml:space="preserve"> ex</w:t>
      </w:r>
      <w:r>
        <w:rPr>
          <w:rFonts w:ascii="Times New Roman" w:hAnsi="Times New Roman" w:cs="Times New Roman"/>
          <w:sz w:val="24"/>
          <w:szCs w:val="24"/>
          <w:lang w:val="en-US"/>
        </w:rPr>
        <w:t>ten</w:t>
      </w:r>
      <w:r w:rsidRPr="00401072">
        <w:rPr>
          <w:rFonts w:ascii="Times New Roman" w:hAnsi="Times New Roman" w:cs="Times New Roman"/>
          <w:sz w:val="24"/>
          <w:szCs w:val="24"/>
          <w:lang w:val="en-US"/>
        </w:rPr>
        <w:t>ded</w:t>
      </w:r>
      <w:r>
        <w:rPr>
          <w:rFonts w:ascii="Times New Roman" w:hAnsi="Times New Roman" w:cs="Times New Roman"/>
          <w:sz w:val="24"/>
          <w:szCs w:val="24"/>
          <w:lang w:val="en-US"/>
        </w:rPr>
        <w:t xml:space="preserve"> or interpretated</w:t>
      </w:r>
      <w:r w:rsidRPr="00401072">
        <w:rPr>
          <w:rFonts w:ascii="Times New Roman" w:hAnsi="Times New Roman" w:cs="Times New Roman"/>
          <w:sz w:val="24"/>
          <w:szCs w:val="24"/>
          <w:lang w:val="en-US"/>
        </w:rPr>
        <w:t>. Second</w:t>
      </w:r>
      <w:r>
        <w:rPr>
          <w:rFonts w:ascii="Times New Roman" w:hAnsi="Times New Roman" w:cs="Times New Roman"/>
          <w:sz w:val="24"/>
          <w:szCs w:val="24"/>
          <w:lang w:val="en-US"/>
        </w:rPr>
        <w:t>ly</w:t>
      </w:r>
      <w:r w:rsidRPr="00401072">
        <w:rPr>
          <w:rFonts w:ascii="Times New Roman" w:hAnsi="Times New Roman" w:cs="Times New Roman"/>
          <w:sz w:val="24"/>
          <w:szCs w:val="24"/>
          <w:lang w:val="en-US"/>
        </w:rPr>
        <w:t>, human rights are not equal.</w:t>
      </w:r>
      <w:r>
        <w:rPr>
          <w:rFonts w:ascii="Times New Roman" w:hAnsi="Times New Roman" w:cs="Times New Roman"/>
          <w:sz w:val="24"/>
          <w:szCs w:val="24"/>
          <w:lang w:val="en-US"/>
        </w:rPr>
        <w:t xml:space="preserve"> </w:t>
      </w:r>
      <w:r w:rsidR="00845BA3" w:rsidRPr="00845BA3">
        <w:rPr>
          <w:rFonts w:ascii="Times New Roman" w:hAnsi="Times New Roman" w:cs="Times New Roman"/>
          <w:sz w:val="24"/>
          <w:szCs w:val="24"/>
          <w:lang w:val="en-US"/>
        </w:rPr>
        <w:t>Some human rights are more important than others</w:t>
      </w:r>
      <w:r w:rsidR="00343EC1">
        <w:rPr>
          <w:rStyle w:val="Odwoanieprzypisudolnego"/>
          <w:rFonts w:ascii="Times New Roman" w:hAnsi="Times New Roman" w:cs="Times New Roman"/>
          <w:sz w:val="24"/>
          <w:szCs w:val="24"/>
          <w:lang w:val="en-US"/>
        </w:rPr>
        <w:footnoteReference w:id="1"/>
      </w:r>
      <w:r w:rsidR="00845BA3" w:rsidRPr="00845BA3">
        <w:rPr>
          <w:rFonts w:ascii="Times New Roman" w:hAnsi="Times New Roman" w:cs="Times New Roman"/>
          <w:sz w:val="24"/>
          <w:szCs w:val="24"/>
          <w:lang w:val="en-US"/>
        </w:rPr>
        <w:t>. For example, the right to life is considered to be more important than the right to property. This is because the right to life is essential for the enjoyment of all other rights.</w:t>
      </w:r>
      <w:r w:rsidR="00845BA3">
        <w:rPr>
          <w:rFonts w:ascii="Times New Roman" w:hAnsi="Times New Roman" w:cs="Times New Roman"/>
          <w:sz w:val="24"/>
          <w:szCs w:val="24"/>
          <w:lang w:val="en-US"/>
        </w:rPr>
        <w:t xml:space="preserve"> </w:t>
      </w:r>
      <w:r w:rsidR="00616769" w:rsidRPr="00616769">
        <w:rPr>
          <w:rFonts w:ascii="Times New Roman" w:hAnsi="Times New Roman" w:cs="Times New Roman"/>
          <w:sz w:val="24"/>
          <w:szCs w:val="24"/>
          <w:lang w:val="en-US"/>
        </w:rPr>
        <w:t>Human rights are gradable</w:t>
      </w:r>
      <w:r w:rsidR="00616769">
        <w:rPr>
          <w:rStyle w:val="Odwoanieprzypisudolnego"/>
          <w:rFonts w:ascii="Times New Roman" w:hAnsi="Times New Roman" w:cs="Times New Roman"/>
          <w:sz w:val="24"/>
          <w:szCs w:val="24"/>
          <w:lang w:val="en-US"/>
        </w:rPr>
        <w:footnoteReference w:id="2"/>
      </w:r>
      <w:r w:rsidR="00616769" w:rsidRPr="00616769">
        <w:rPr>
          <w:rFonts w:ascii="Times New Roman" w:hAnsi="Times New Roman" w:cs="Times New Roman"/>
          <w:sz w:val="24"/>
          <w:szCs w:val="24"/>
          <w:lang w:val="en-US"/>
        </w:rPr>
        <w:t xml:space="preserve">. </w:t>
      </w:r>
    </w:p>
    <w:p w14:paraId="4C778D3E" w14:textId="77777777" w:rsidR="005443A3" w:rsidRDefault="005443A3" w:rsidP="005443A3">
      <w:pPr>
        <w:spacing w:after="0" w:line="360" w:lineRule="auto"/>
        <w:jc w:val="both"/>
        <w:rPr>
          <w:rFonts w:ascii="Times New Roman" w:hAnsi="Times New Roman" w:cs="Times New Roman"/>
          <w:sz w:val="24"/>
          <w:szCs w:val="24"/>
          <w:lang w:val="en-US"/>
        </w:rPr>
      </w:pPr>
    </w:p>
    <w:p w14:paraId="29486AC7" w14:textId="3863B497" w:rsidR="005443A3" w:rsidRPr="00597025" w:rsidRDefault="005443A3" w:rsidP="00597025">
      <w:pPr>
        <w:pStyle w:val="Akapitzlist"/>
        <w:numPr>
          <w:ilvl w:val="1"/>
          <w:numId w:val="1"/>
        </w:numPr>
        <w:spacing w:after="0" w:line="360" w:lineRule="auto"/>
        <w:jc w:val="both"/>
        <w:rPr>
          <w:rFonts w:ascii="Times New Roman" w:hAnsi="Times New Roman" w:cs="Times New Roman"/>
          <w:sz w:val="24"/>
          <w:szCs w:val="24"/>
          <w:lang w:val="en-US"/>
        </w:rPr>
      </w:pPr>
      <w:r w:rsidRPr="00597025">
        <w:rPr>
          <w:rFonts w:ascii="Times New Roman" w:hAnsi="Times New Roman" w:cs="Times New Roman"/>
          <w:sz w:val="24"/>
          <w:szCs w:val="24"/>
          <w:lang w:val="en-US"/>
        </w:rPr>
        <w:t xml:space="preserve">Freedom of assembly </w:t>
      </w:r>
    </w:p>
    <w:p w14:paraId="2AD12A6E" w14:textId="77777777" w:rsidR="005443A3" w:rsidRDefault="005443A3" w:rsidP="005443A3">
      <w:pPr>
        <w:spacing w:after="0" w:line="360" w:lineRule="auto"/>
        <w:jc w:val="both"/>
        <w:rPr>
          <w:rFonts w:ascii="Times New Roman" w:hAnsi="Times New Roman" w:cs="Times New Roman"/>
          <w:sz w:val="24"/>
          <w:szCs w:val="24"/>
          <w:lang w:val="en-US"/>
        </w:rPr>
      </w:pPr>
    </w:p>
    <w:p w14:paraId="6CF128D9" w14:textId="22D7A6AB" w:rsidR="005443A3" w:rsidRDefault="00616769" w:rsidP="005970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A06FE8" w:rsidRPr="006C6540">
        <w:rPr>
          <w:rFonts w:ascii="Times New Roman" w:hAnsi="Times New Roman" w:cs="Times New Roman"/>
          <w:sz w:val="24"/>
          <w:szCs w:val="24"/>
          <w:lang w:val="en-US"/>
        </w:rPr>
        <w:t>ccording to the author of the report, the right to freedom of assembly can be used to organize gatherings that promote views unfavorable towards certain individuals based on their SOGI, and going further, this can create an atmosphere of fear and intimidation, making it difficult for LGBTQ+ individuals to function in society.</w:t>
      </w:r>
    </w:p>
    <w:p w14:paraId="2BE4AAEB" w14:textId="1FA78AAF" w:rsidR="00FE03F1" w:rsidRPr="00597025" w:rsidRDefault="005443A3" w:rsidP="005970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 this regard, it</w:t>
      </w:r>
      <w:r w:rsidR="00FE03F1" w:rsidRPr="00FE03F1">
        <w:rPr>
          <w:rFonts w:ascii="Times New Roman" w:hAnsi="Times New Roman" w:cs="Times New Roman"/>
          <w:sz w:val="24"/>
          <w:szCs w:val="24"/>
          <w:lang w:val="en-US"/>
        </w:rPr>
        <w:t xml:space="preserve"> should be noted that it is difficult to comment on such a generally stated thesis. </w:t>
      </w:r>
      <w:r w:rsidR="00131D54" w:rsidRPr="00131D54">
        <w:rPr>
          <w:rFonts w:ascii="Times New Roman" w:hAnsi="Times New Roman" w:cs="Times New Roman"/>
          <w:sz w:val="24"/>
          <w:szCs w:val="24"/>
          <w:lang w:val="en-US"/>
        </w:rPr>
        <w:t>In the event that a given gathering in its conception or motives is inconsistent with Polish law, the competent authority shall issue a decision to ban the gathering</w:t>
      </w:r>
      <w:r w:rsidR="00131D54">
        <w:rPr>
          <w:rStyle w:val="Odwoanieprzypisudolnego"/>
          <w:rFonts w:ascii="Times New Roman" w:hAnsi="Times New Roman" w:cs="Times New Roman"/>
          <w:sz w:val="24"/>
          <w:szCs w:val="24"/>
          <w:lang w:val="en-US"/>
        </w:rPr>
        <w:footnoteReference w:id="3"/>
      </w:r>
      <w:r w:rsidR="00131D54" w:rsidRPr="00131D54">
        <w:rPr>
          <w:rFonts w:ascii="Times New Roman" w:hAnsi="Times New Roman" w:cs="Times New Roman"/>
          <w:sz w:val="24"/>
          <w:szCs w:val="24"/>
          <w:lang w:val="en-US"/>
        </w:rPr>
        <w:t>. Moreover, the assembly may be dissolved at any time if it is found to violate the law</w:t>
      </w:r>
      <w:r w:rsidR="00131D54">
        <w:rPr>
          <w:rStyle w:val="Odwoanieprzypisudolnego"/>
          <w:rFonts w:ascii="Times New Roman" w:hAnsi="Times New Roman" w:cs="Times New Roman"/>
          <w:sz w:val="24"/>
          <w:szCs w:val="24"/>
          <w:lang w:val="en-US"/>
        </w:rPr>
        <w:footnoteReference w:id="4"/>
      </w:r>
      <w:r w:rsidR="00FE03F1" w:rsidRPr="00FE03F1">
        <w:rPr>
          <w:rFonts w:ascii="Times New Roman" w:hAnsi="Times New Roman" w:cs="Times New Roman"/>
          <w:sz w:val="24"/>
          <w:szCs w:val="24"/>
          <w:lang w:val="en-US"/>
        </w:rPr>
        <w:t xml:space="preserve">. </w:t>
      </w:r>
      <w:r w:rsidR="00131D54">
        <w:rPr>
          <w:rFonts w:ascii="Times New Roman" w:hAnsi="Times New Roman" w:cs="Times New Roman"/>
          <w:sz w:val="24"/>
          <w:szCs w:val="24"/>
          <w:lang w:val="en-US"/>
        </w:rPr>
        <w:t>Apart from that,</w:t>
      </w:r>
      <w:r w:rsidR="00FE03F1" w:rsidRPr="00597025">
        <w:rPr>
          <w:rFonts w:ascii="Times New Roman" w:hAnsi="Times New Roman" w:cs="Times New Roman"/>
          <w:sz w:val="24"/>
          <w:szCs w:val="24"/>
          <w:lang w:val="en-US"/>
        </w:rPr>
        <w:t xml:space="preserve"> if the law is broken at a given gathering, such as through incitement to commit a crime or defamation/insult, the perpetrator is subject to criminal liability under the relevant provisions of the Criminal Code, including, among others, </w:t>
      </w:r>
      <w:r w:rsidR="00FE03F1">
        <w:rPr>
          <w:rFonts w:ascii="Times New Roman" w:hAnsi="Times New Roman" w:cs="Times New Roman"/>
          <w:sz w:val="24"/>
          <w:szCs w:val="24"/>
          <w:lang w:val="en-US"/>
        </w:rPr>
        <w:t>a</w:t>
      </w:r>
      <w:r w:rsidR="00FE03F1" w:rsidRPr="00597025">
        <w:rPr>
          <w:rFonts w:ascii="Times New Roman" w:hAnsi="Times New Roman" w:cs="Times New Roman"/>
          <w:sz w:val="24"/>
          <w:szCs w:val="24"/>
          <w:lang w:val="en-US"/>
        </w:rPr>
        <w:t>rticles 212 or 216.</w:t>
      </w:r>
    </w:p>
    <w:p w14:paraId="76EB7551" w14:textId="77777777" w:rsidR="00F45122" w:rsidRPr="00597025" w:rsidRDefault="00F45122" w:rsidP="00597025">
      <w:pPr>
        <w:rPr>
          <w:sz w:val="24"/>
          <w:szCs w:val="24"/>
          <w:lang w:val="en-US"/>
        </w:rPr>
      </w:pPr>
    </w:p>
    <w:p w14:paraId="2CFE9836" w14:textId="4E4B4527" w:rsidR="004D26C0" w:rsidRPr="00597025" w:rsidRDefault="00C32A71" w:rsidP="00597025">
      <w:pPr>
        <w:pStyle w:val="Akapitzlist"/>
        <w:numPr>
          <w:ilvl w:val="1"/>
          <w:numId w:val="1"/>
        </w:numPr>
        <w:spacing w:line="360" w:lineRule="auto"/>
        <w:jc w:val="both"/>
        <w:rPr>
          <w:rFonts w:ascii="Times New Roman" w:eastAsiaTheme="majorEastAsia" w:hAnsi="Times New Roman" w:cs="Times New Roman"/>
          <w:color w:val="000000" w:themeColor="text1"/>
          <w:sz w:val="24"/>
          <w:szCs w:val="24"/>
          <w:lang w:val="en-US"/>
        </w:rPr>
      </w:pPr>
      <w:r w:rsidRPr="00597025">
        <w:rPr>
          <w:rFonts w:ascii="Times New Roman" w:eastAsiaTheme="majorEastAsia" w:hAnsi="Times New Roman" w:cs="Times New Roman"/>
          <w:color w:val="000000" w:themeColor="text1"/>
          <w:sz w:val="24"/>
          <w:szCs w:val="24"/>
          <w:lang w:val="en-US"/>
        </w:rPr>
        <w:t>The</w:t>
      </w:r>
      <w:r w:rsidR="005443A3">
        <w:rPr>
          <w:rFonts w:ascii="Times New Roman" w:eastAsiaTheme="majorEastAsia" w:hAnsi="Times New Roman" w:cs="Times New Roman"/>
          <w:color w:val="000000" w:themeColor="text1"/>
          <w:sz w:val="24"/>
          <w:szCs w:val="24"/>
          <w:lang w:val="en-US"/>
        </w:rPr>
        <w:t xml:space="preserve"> </w:t>
      </w:r>
      <w:r w:rsidRPr="00597025">
        <w:rPr>
          <w:rFonts w:ascii="Times New Roman" w:eastAsiaTheme="majorEastAsia" w:hAnsi="Times New Roman" w:cs="Times New Roman"/>
          <w:color w:val="000000" w:themeColor="text1"/>
          <w:sz w:val="24"/>
          <w:szCs w:val="24"/>
          <w:lang w:val="en-US"/>
        </w:rPr>
        <w:t xml:space="preserve">freedom </w:t>
      </w:r>
      <w:r w:rsidR="005443A3">
        <w:rPr>
          <w:rFonts w:ascii="Times New Roman" w:eastAsiaTheme="majorEastAsia" w:hAnsi="Times New Roman" w:cs="Times New Roman"/>
          <w:color w:val="000000" w:themeColor="text1"/>
          <w:sz w:val="24"/>
          <w:szCs w:val="24"/>
          <w:lang w:val="en-US"/>
        </w:rPr>
        <w:t xml:space="preserve">of association </w:t>
      </w:r>
    </w:p>
    <w:p w14:paraId="2F2E4125" w14:textId="683AA0AB" w:rsidR="0001223A" w:rsidRDefault="004D26C0" w:rsidP="004D26C0">
      <w:pPr>
        <w:spacing w:line="360" w:lineRule="auto"/>
        <w:jc w:val="both"/>
        <w:rPr>
          <w:rFonts w:ascii="Times New Roman" w:hAnsi="Times New Roman" w:cs="Times New Roman"/>
          <w:sz w:val="24"/>
          <w:szCs w:val="24"/>
          <w:lang w:val="en-US"/>
        </w:rPr>
      </w:pPr>
      <w:r w:rsidRPr="004D26C0">
        <w:rPr>
          <w:rFonts w:ascii="Times New Roman" w:hAnsi="Times New Roman" w:cs="Times New Roman"/>
          <w:sz w:val="24"/>
          <w:szCs w:val="24"/>
          <w:lang w:val="en-US"/>
        </w:rPr>
        <w:t xml:space="preserve">Freedom of association is grounded in the </w:t>
      </w:r>
      <w:r w:rsidR="0001223A">
        <w:rPr>
          <w:rFonts w:ascii="Times New Roman" w:hAnsi="Times New Roman" w:cs="Times New Roman"/>
          <w:sz w:val="24"/>
          <w:szCs w:val="24"/>
          <w:lang w:val="en-US"/>
        </w:rPr>
        <w:t>polish Constitution</w:t>
      </w:r>
      <w:r w:rsidR="0001223A">
        <w:rPr>
          <w:rStyle w:val="Odwoanieprzypisudolnego"/>
          <w:rFonts w:ascii="Times New Roman" w:hAnsi="Times New Roman" w:cs="Times New Roman"/>
          <w:sz w:val="24"/>
          <w:szCs w:val="24"/>
          <w:lang w:val="en-US"/>
        </w:rPr>
        <w:footnoteReference w:id="5"/>
      </w:r>
      <w:r w:rsidRPr="004D26C0">
        <w:rPr>
          <w:rFonts w:ascii="Times New Roman" w:hAnsi="Times New Roman" w:cs="Times New Roman"/>
          <w:sz w:val="24"/>
          <w:szCs w:val="24"/>
          <w:lang w:val="en-US"/>
        </w:rPr>
        <w:t xml:space="preserve"> according to the Universal Declaration of Human Rights and the International Covenant on Civil and Political Rights</w:t>
      </w:r>
      <w:r>
        <w:rPr>
          <w:rFonts w:ascii="Times New Roman" w:hAnsi="Times New Roman" w:cs="Times New Roman"/>
          <w:sz w:val="24"/>
          <w:szCs w:val="24"/>
          <w:lang w:val="en-US"/>
        </w:rPr>
        <w:t xml:space="preserve">. </w:t>
      </w:r>
      <w:r w:rsidRPr="004D26C0">
        <w:rPr>
          <w:rFonts w:ascii="Times New Roman" w:hAnsi="Times New Roman" w:cs="Times New Roman"/>
          <w:sz w:val="24"/>
          <w:szCs w:val="24"/>
          <w:lang w:val="en-US"/>
        </w:rPr>
        <w:t xml:space="preserve">According to the Law on Associations </w:t>
      </w:r>
      <w:r>
        <w:rPr>
          <w:rFonts w:ascii="Times New Roman" w:hAnsi="Times New Roman" w:cs="Times New Roman"/>
          <w:sz w:val="24"/>
          <w:szCs w:val="24"/>
          <w:lang w:val="en-US"/>
        </w:rPr>
        <w:t>citizens</w:t>
      </w:r>
      <w:r w:rsidRPr="004D26C0">
        <w:rPr>
          <w:rFonts w:ascii="Times New Roman" w:hAnsi="Times New Roman" w:cs="Times New Roman"/>
          <w:sz w:val="24"/>
          <w:szCs w:val="24"/>
          <w:lang w:val="en-US"/>
        </w:rPr>
        <w:t xml:space="preserve"> exercise the right of association in accordance with the provisions of the Constitution and the legal order set forth in </w:t>
      </w:r>
      <w:r>
        <w:rPr>
          <w:rFonts w:ascii="Times New Roman" w:hAnsi="Times New Roman" w:cs="Times New Roman"/>
          <w:sz w:val="24"/>
          <w:szCs w:val="24"/>
          <w:lang w:val="en-US"/>
        </w:rPr>
        <w:t>legal acts</w:t>
      </w:r>
      <w:r w:rsidR="00B97B20">
        <w:rPr>
          <w:rStyle w:val="Odwoanieprzypisudolnego"/>
          <w:rFonts w:ascii="Times New Roman" w:hAnsi="Times New Roman" w:cs="Times New Roman"/>
          <w:sz w:val="24"/>
          <w:szCs w:val="24"/>
          <w:lang w:val="en-US"/>
        </w:rPr>
        <w:footnoteReference w:id="6"/>
      </w:r>
      <w:r>
        <w:rPr>
          <w:rFonts w:ascii="Times New Roman" w:hAnsi="Times New Roman" w:cs="Times New Roman"/>
          <w:sz w:val="24"/>
          <w:szCs w:val="24"/>
          <w:lang w:val="en-US"/>
        </w:rPr>
        <w:t xml:space="preserve">. </w:t>
      </w:r>
    </w:p>
    <w:p w14:paraId="7EACF1C3" w14:textId="77777777" w:rsidR="0001223A" w:rsidRDefault="0001223A" w:rsidP="0001223A">
      <w:pPr>
        <w:spacing w:line="360" w:lineRule="auto"/>
        <w:jc w:val="both"/>
        <w:rPr>
          <w:rFonts w:ascii="Times New Roman" w:hAnsi="Times New Roman" w:cs="Times New Roman"/>
          <w:sz w:val="24"/>
          <w:szCs w:val="24"/>
          <w:lang w:val="en-US"/>
        </w:rPr>
      </w:pPr>
      <w:r w:rsidRPr="0001223A">
        <w:rPr>
          <w:rFonts w:ascii="Times New Roman" w:hAnsi="Times New Roman" w:cs="Times New Roman"/>
          <w:sz w:val="24"/>
          <w:szCs w:val="24"/>
          <w:lang w:val="en-US"/>
        </w:rPr>
        <w:t>Under the Polish Constitution</w:t>
      </w:r>
      <w:r>
        <w:rPr>
          <w:rStyle w:val="Odwoanieprzypisudolnego"/>
          <w:rFonts w:ascii="Times New Roman" w:hAnsi="Times New Roman" w:cs="Times New Roman"/>
          <w:sz w:val="24"/>
          <w:szCs w:val="24"/>
          <w:lang w:val="en-US"/>
        </w:rPr>
        <w:footnoteReference w:id="7"/>
      </w:r>
      <w:r w:rsidRPr="0001223A">
        <w:rPr>
          <w:rFonts w:ascii="Times New Roman" w:hAnsi="Times New Roman" w:cs="Times New Roman"/>
          <w:sz w:val="24"/>
          <w:szCs w:val="24"/>
          <w:lang w:val="en-US"/>
        </w:rPr>
        <w:t>, associations whose purpose or activities are contrary to the Constitution or the law</w:t>
      </w:r>
      <w:r>
        <w:rPr>
          <w:rFonts w:ascii="Times New Roman" w:hAnsi="Times New Roman" w:cs="Times New Roman"/>
          <w:sz w:val="24"/>
          <w:szCs w:val="24"/>
          <w:lang w:val="en-US"/>
        </w:rPr>
        <w:t>s</w:t>
      </w:r>
      <w:r w:rsidRPr="0001223A">
        <w:rPr>
          <w:rFonts w:ascii="Times New Roman" w:hAnsi="Times New Roman" w:cs="Times New Roman"/>
          <w:sz w:val="24"/>
          <w:szCs w:val="24"/>
          <w:lang w:val="en-US"/>
        </w:rPr>
        <w:t xml:space="preserve"> are prohibited. Refusal to register or prohibition of such an association is ruled on by the court.</w:t>
      </w:r>
      <w:r>
        <w:rPr>
          <w:rFonts w:ascii="Times New Roman" w:hAnsi="Times New Roman" w:cs="Times New Roman"/>
          <w:sz w:val="24"/>
          <w:szCs w:val="24"/>
          <w:lang w:val="en-US"/>
        </w:rPr>
        <w:t xml:space="preserve"> </w:t>
      </w:r>
      <w:r w:rsidRPr="0001223A">
        <w:rPr>
          <w:rFonts w:ascii="Times New Roman" w:hAnsi="Times New Roman" w:cs="Times New Roman"/>
          <w:sz w:val="24"/>
          <w:szCs w:val="24"/>
          <w:lang w:val="en-US"/>
        </w:rPr>
        <w:t xml:space="preserve">Accordingly, if there is an association whose activities would be contrary to the human rights system, it </w:t>
      </w:r>
      <w:r>
        <w:rPr>
          <w:rFonts w:ascii="Times New Roman" w:hAnsi="Times New Roman" w:cs="Times New Roman"/>
          <w:sz w:val="24"/>
          <w:szCs w:val="24"/>
          <w:lang w:val="en-US"/>
        </w:rPr>
        <w:t>could</w:t>
      </w:r>
      <w:r w:rsidRPr="0001223A">
        <w:rPr>
          <w:rFonts w:ascii="Times New Roman" w:hAnsi="Times New Roman" w:cs="Times New Roman"/>
          <w:sz w:val="24"/>
          <w:szCs w:val="24"/>
          <w:lang w:val="en-US"/>
        </w:rPr>
        <w:t xml:space="preserve"> be dissolved by the court.</w:t>
      </w:r>
    </w:p>
    <w:p w14:paraId="0067E3BE" w14:textId="2B97EFA2" w:rsidR="0001223A" w:rsidRDefault="0001223A" w:rsidP="0001223A">
      <w:pPr>
        <w:pStyle w:val="Akapitzlist"/>
        <w:numPr>
          <w:ilvl w:val="1"/>
          <w:numId w:val="1"/>
        </w:numPr>
        <w:spacing w:line="360" w:lineRule="auto"/>
        <w:jc w:val="both"/>
        <w:rPr>
          <w:rFonts w:ascii="Times New Roman" w:hAnsi="Times New Roman" w:cs="Times New Roman"/>
          <w:sz w:val="24"/>
          <w:szCs w:val="24"/>
          <w:lang w:val="en-US"/>
        </w:rPr>
      </w:pPr>
      <w:r w:rsidRPr="00597025">
        <w:rPr>
          <w:rFonts w:ascii="Times New Roman" w:hAnsi="Times New Roman" w:cs="Times New Roman"/>
          <w:sz w:val="24"/>
          <w:szCs w:val="24"/>
          <w:lang w:val="en-US"/>
        </w:rPr>
        <w:t>Freedom of expression</w:t>
      </w:r>
    </w:p>
    <w:p w14:paraId="35E73D63" w14:textId="58BC09A9" w:rsidR="0001223A" w:rsidRDefault="006A59D4" w:rsidP="000122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Freedom of expression for everyone remains among the most fundamental rights in Poland. </w:t>
      </w:r>
    </w:p>
    <w:p w14:paraId="4CE5C709" w14:textId="3FAAAAF7" w:rsidR="006A59D4" w:rsidRDefault="006A59D4" w:rsidP="0001223A">
      <w:pPr>
        <w:spacing w:line="360" w:lineRule="auto"/>
        <w:jc w:val="both"/>
        <w:rPr>
          <w:rFonts w:ascii="Times New Roman" w:hAnsi="Times New Roman" w:cs="Times New Roman"/>
          <w:sz w:val="24"/>
          <w:szCs w:val="24"/>
          <w:lang w:val="en-US"/>
        </w:rPr>
      </w:pPr>
      <w:r w:rsidRPr="006A59D4">
        <w:rPr>
          <w:rFonts w:ascii="Times New Roman" w:hAnsi="Times New Roman" w:cs="Times New Roman"/>
          <w:sz w:val="24"/>
          <w:szCs w:val="24"/>
          <w:lang w:val="en-US"/>
        </w:rPr>
        <w:t>According to Article 54 of the Constitution, everyone is guaranteed the freedom to express his or her views and to obtain and disseminate information</w:t>
      </w:r>
      <w:r>
        <w:rPr>
          <w:rFonts w:ascii="Times New Roman" w:hAnsi="Times New Roman" w:cs="Times New Roman"/>
          <w:sz w:val="24"/>
          <w:szCs w:val="24"/>
          <w:lang w:val="en-US"/>
        </w:rPr>
        <w:t>. Moreover,</w:t>
      </w:r>
      <w:r w:rsidRPr="006A59D4">
        <w:rPr>
          <w:rFonts w:ascii="Times New Roman" w:hAnsi="Times New Roman" w:cs="Times New Roman"/>
          <w:sz w:val="24"/>
          <w:szCs w:val="24"/>
          <w:lang w:val="en-US"/>
        </w:rPr>
        <w:t xml:space="preserve"> preventive censorship of social media and press licensing are prohibited.</w:t>
      </w:r>
    </w:p>
    <w:p w14:paraId="30EEACE4" w14:textId="75BEE7E7" w:rsidR="0001223A" w:rsidRDefault="006A59D4" w:rsidP="003571C1">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Constitutional Court</w:t>
      </w:r>
      <w:r w:rsidRPr="006A59D4">
        <w:rPr>
          <w:rFonts w:ascii="Times New Roman" w:hAnsi="Times New Roman" w:cs="Times New Roman"/>
          <w:sz w:val="24"/>
          <w:szCs w:val="24"/>
          <w:lang w:val="en-US"/>
        </w:rPr>
        <w:t xml:space="preserve"> interpreting Article 54 of the Constitution, pointed out, </w:t>
      </w:r>
      <w:r>
        <w:rPr>
          <w:rFonts w:ascii="Times New Roman" w:hAnsi="Times New Roman" w:cs="Times New Roman"/>
          <w:sz w:val="24"/>
          <w:szCs w:val="24"/>
          <w:lang w:val="en-US"/>
        </w:rPr>
        <w:t>that the word “view”</w:t>
      </w:r>
      <w:r w:rsidRPr="006A59D4">
        <w:rPr>
          <w:rFonts w:ascii="Times New Roman" w:hAnsi="Times New Roman" w:cs="Times New Roman"/>
          <w:sz w:val="24"/>
          <w:szCs w:val="24"/>
          <w:lang w:val="en-US"/>
        </w:rPr>
        <w:t xml:space="preserve"> used in its content, according to the position adopted in the jurisprudence of the Constitutional Court and the doctrine, should be interpreted as broadly as possible, not only as an expression of personal judgments about facts, but also conjectures and opinions</w:t>
      </w:r>
      <w:r>
        <w:rPr>
          <w:rStyle w:val="Odwoanieprzypisudolnego"/>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w:t>
      </w:r>
      <w:r w:rsidR="003571C1">
        <w:rPr>
          <w:rFonts w:ascii="Times New Roman" w:hAnsi="Times New Roman" w:cs="Times New Roman"/>
          <w:sz w:val="24"/>
          <w:szCs w:val="24"/>
          <w:lang w:val="en-US"/>
        </w:rPr>
        <w:t xml:space="preserve">According to the Court, </w:t>
      </w:r>
      <w:r w:rsidR="003571C1" w:rsidRPr="003571C1">
        <w:rPr>
          <w:rFonts w:ascii="Times New Roman" w:hAnsi="Times New Roman" w:cs="Times New Roman"/>
          <w:sz w:val="24"/>
          <w:szCs w:val="24"/>
          <w:lang w:val="en-US"/>
        </w:rPr>
        <w:t xml:space="preserve">Article 54 (1) of the Constitution protects all lawful forms of expression that allow </w:t>
      </w:r>
      <w:r w:rsidR="003571C1" w:rsidRPr="003571C1">
        <w:rPr>
          <w:rFonts w:ascii="Times New Roman" w:hAnsi="Times New Roman" w:cs="Times New Roman"/>
          <w:sz w:val="24"/>
          <w:szCs w:val="24"/>
          <w:lang w:val="en-US"/>
        </w:rPr>
        <w:lastRenderedPageBreak/>
        <w:t>an individual to externalize and expose his own position</w:t>
      </w:r>
      <w:r w:rsidR="003571C1">
        <w:rPr>
          <w:rFonts w:ascii="Times New Roman" w:hAnsi="Times New Roman" w:cs="Times New Roman"/>
          <w:sz w:val="24"/>
          <w:szCs w:val="24"/>
          <w:lang w:val="en-US"/>
        </w:rPr>
        <w:t xml:space="preserve">, </w:t>
      </w:r>
      <w:r w:rsidR="003571C1" w:rsidRPr="003571C1">
        <w:rPr>
          <w:rFonts w:ascii="Times New Roman" w:hAnsi="Times New Roman" w:cs="Times New Roman"/>
          <w:sz w:val="24"/>
          <w:szCs w:val="24"/>
          <w:lang w:val="en-US"/>
        </w:rPr>
        <w:t>while living in a society in which freedom of speech is protected teaches tolerance for different opinions and behavior different from our own, which is essential for the normal functioning of a pluralistic society</w:t>
      </w:r>
      <w:r w:rsidR="003571C1">
        <w:rPr>
          <w:rStyle w:val="Odwoanieprzypisudolnego"/>
          <w:rFonts w:ascii="Times New Roman" w:hAnsi="Times New Roman" w:cs="Times New Roman"/>
          <w:sz w:val="24"/>
          <w:szCs w:val="24"/>
          <w:lang w:val="en-US"/>
        </w:rPr>
        <w:footnoteReference w:id="9"/>
      </w:r>
      <w:r w:rsidR="003571C1" w:rsidRPr="003571C1">
        <w:rPr>
          <w:rFonts w:ascii="Times New Roman" w:hAnsi="Times New Roman" w:cs="Times New Roman"/>
          <w:sz w:val="24"/>
          <w:szCs w:val="24"/>
          <w:lang w:val="en-US"/>
        </w:rPr>
        <w:t>.</w:t>
      </w:r>
    </w:p>
    <w:p w14:paraId="679B2C8D" w14:textId="77777777" w:rsidR="003571C1" w:rsidRDefault="003571C1" w:rsidP="003571C1">
      <w:pPr>
        <w:spacing w:after="0" w:line="360" w:lineRule="auto"/>
        <w:jc w:val="both"/>
        <w:rPr>
          <w:rFonts w:ascii="Times New Roman" w:hAnsi="Times New Roman" w:cs="Times New Roman"/>
          <w:sz w:val="24"/>
          <w:szCs w:val="24"/>
          <w:lang w:val="en-US"/>
        </w:rPr>
      </w:pPr>
    </w:p>
    <w:p w14:paraId="53C65D1F" w14:textId="23025A8B" w:rsidR="003571C1" w:rsidRPr="00597025" w:rsidRDefault="003571C1" w:rsidP="00597025">
      <w:pPr>
        <w:pStyle w:val="Akapitzlist"/>
        <w:numPr>
          <w:ilvl w:val="1"/>
          <w:numId w:val="1"/>
        </w:numPr>
        <w:spacing w:after="0" w:line="360" w:lineRule="auto"/>
        <w:jc w:val="both"/>
        <w:rPr>
          <w:rFonts w:ascii="Times New Roman" w:hAnsi="Times New Roman" w:cs="Times New Roman"/>
          <w:sz w:val="24"/>
          <w:szCs w:val="24"/>
          <w:lang w:val="en-US"/>
        </w:rPr>
      </w:pPr>
      <w:r w:rsidRPr="00597025">
        <w:rPr>
          <w:rFonts w:ascii="Times New Roman" w:hAnsi="Times New Roman" w:cs="Times New Roman"/>
          <w:sz w:val="24"/>
          <w:szCs w:val="24"/>
          <w:lang w:val="en-US"/>
        </w:rPr>
        <w:t>Protection from discrim</w:t>
      </w:r>
      <w:r w:rsidR="00881170">
        <w:rPr>
          <w:rFonts w:ascii="Times New Roman" w:hAnsi="Times New Roman" w:cs="Times New Roman"/>
          <w:sz w:val="24"/>
          <w:szCs w:val="24"/>
          <w:lang w:val="en-US"/>
        </w:rPr>
        <w:t>ina</w:t>
      </w:r>
      <w:r w:rsidRPr="00597025">
        <w:rPr>
          <w:rFonts w:ascii="Times New Roman" w:hAnsi="Times New Roman" w:cs="Times New Roman"/>
          <w:sz w:val="24"/>
          <w:szCs w:val="24"/>
          <w:lang w:val="en-US"/>
        </w:rPr>
        <w:t>tion</w:t>
      </w:r>
      <w:r>
        <w:rPr>
          <w:rFonts w:ascii="Times New Roman" w:hAnsi="Times New Roman" w:cs="Times New Roman"/>
          <w:sz w:val="24"/>
          <w:szCs w:val="24"/>
          <w:lang w:val="en-US"/>
        </w:rPr>
        <w:t xml:space="preserve"> and violence based on sexual orientation or “gender identity”</w:t>
      </w:r>
    </w:p>
    <w:p w14:paraId="6E10CA7B" w14:textId="77777777" w:rsidR="003571C1" w:rsidRDefault="003571C1" w:rsidP="003571C1">
      <w:pPr>
        <w:spacing w:after="0" w:line="360" w:lineRule="auto"/>
        <w:jc w:val="both"/>
        <w:rPr>
          <w:rFonts w:ascii="Times New Roman" w:hAnsi="Times New Roman" w:cs="Times New Roman"/>
          <w:sz w:val="24"/>
          <w:szCs w:val="24"/>
          <w:lang w:val="en-US"/>
        </w:rPr>
      </w:pPr>
    </w:p>
    <w:p w14:paraId="29244899" w14:textId="04A52AA6" w:rsidR="00400501" w:rsidRPr="00400501" w:rsidRDefault="00400501" w:rsidP="00400501">
      <w:pPr>
        <w:spacing w:after="0" w:line="360" w:lineRule="auto"/>
        <w:jc w:val="both"/>
        <w:rPr>
          <w:rFonts w:ascii="Times New Roman" w:hAnsi="Times New Roman" w:cs="Times New Roman"/>
          <w:sz w:val="24"/>
          <w:szCs w:val="24"/>
          <w:lang w:val="en-US"/>
        </w:rPr>
      </w:pPr>
      <w:r w:rsidRPr="00400501">
        <w:rPr>
          <w:rFonts w:ascii="Times New Roman" w:hAnsi="Times New Roman" w:cs="Times New Roman"/>
          <w:sz w:val="24"/>
          <w:szCs w:val="24"/>
          <w:lang w:val="en-US"/>
        </w:rPr>
        <w:t xml:space="preserve">Protection against violence (both verbal and physical) on the territory of Poland has a very broad scope, as it is enjoyed by every person, regardless of their individual characteristics, such as sexual orientation, </w:t>
      </w:r>
      <w:r>
        <w:rPr>
          <w:rFonts w:ascii="Times New Roman" w:hAnsi="Times New Roman" w:cs="Times New Roman"/>
          <w:sz w:val="24"/>
          <w:szCs w:val="24"/>
          <w:lang w:val="en-US"/>
        </w:rPr>
        <w:t>sex</w:t>
      </w:r>
      <w:r w:rsidRPr="00400501">
        <w:rPr>
          <w:rFonts w:ascii="Times New Roman" w:hAnsi="Times New Roman" w:cs="Times New Roman"/>
          <w:sz w:val="24"/>
          <w:szCs w:val="24"/>
          <w:lang w:val="en-US"/>
        </w:rPr>
        <w:t>, religion or political views, for example.</w:t>
      </w:r>
    </w:p>
    <w:p w14:paraId="7001E860" w14:textId="77777777" w:rsidR="00400501" w:rsidRPr="00400501" w:rsidRDefault="00400501" w:rsidP="00400501">
      <w:pPr>
        <w:spacing w:after="0" w:line="360" w:lineRule="auto"/>
        <w:jc w:val="both"/>
        <w:rPr>
          <w:rFonts w:ascii="Times New Roman" w:hAnsi="Times New Roman" w:cs="Times New Roman"/>
          <w:sz w:val="24"/>
          <w:szCs w:val="24"/>
          <w:lang w:val="en-US"/>
        </w:rPr>
      </w:pPr>
    </w:p>
    <w:p w14:paraId="476D371A" w14:textId="4A83A900" w:rsidR="002D6F64" w:rsidRDefault="00400501" w:rsidP="00400501">
      <w:pPr>
        <w:spacing w:after="0" w:line="360" w:lineRule="auto"/>
        <w:jc w:val="both"/>
        <w:rPr>
          <w:rFonts w:ascii="Times New Roman" w:hAnsi="Times New Roman" w:cs="Times New Roman"/>
          <w:sz w:val="24"/>
          <w:szCs w:val="24"/>
          <w:lang w:val="en-US"/>
        </w:rPr>
      </w:pPr>
      <w:r w:rsidRPr="00400501">
        <w:rPr>
          <w:rFonts w:ascii="Times New Roman" w:hAnsi="Times New Roman" w:cs="Times New Roman"/>
          <w:sz w:val="24"/>
          <w:szCs w:val="24"/>
          <w:lang w:val="en-US"/>
        </w:rPr>
        <w:t xml:space="preserve">Most of the provisions guaranteeing such protection </w:t>
      </w:r>
      <w:r w:rsidR="006E145B">
        <w:rPr>
          <w:rFonts w:ascii="Times New Roman" w:hAnsi="Times New Roman" w:cs="Times New Roman"/>
          <w:sz w:val="24"/>
          <w:szCs w:val="24"/>
          <w:lang w:val="en-US"/>
        </w:rPr>
        <w:t>can be</w:t>
      </w:r>
      <w:r w:rsidRPr="00400501">
        <w:rPr>
          <w:rFonts w:ascii="Times New Roman" w:hAnsi="Times New Roman" w:cs="Times New Roman"/>
          <w:sz w:val="24"/>
          <w:szCs w:val="24"/>
          <w:lang w:val="en-US"/>
        </w:rPr>
        <w:t xml:space="preserve"> found in the Criminal Code, which criminalizes insult</w:t>
      </w:r>
      <w:r>
        <w:rPr>
          <w:rStyle w:val="Odwoanieprzypisudolnego"/>
          <w:rFonts w:ascii="Times New Roman" w:hAnsi="Times New Roman" w:cs="Times New Roman"/>
          <w:sz w:val="24"/>
          <w:szCs w:val="24"/>
          <w:lang w:val="en-US"/>
        </w:rPr>
        <w:footnoteReference w:id="10"/>
      </w:r>
      <w:r w:rsidRPr="00400501">
        <w:rPr>
          <w:rFonts w:ascii="Times New Roman" w:hAnsi="Times New Roman" w:cs="Times New Roman"/>
          <w:sz w:val="24"/>
          <w:szCs w:val="24"/>
          <w:lang w:val="en-US"/>
        </w:rPr>
        <w:t>, defamation</w:t>
      </w:r>
      <w:r>
        <w:rPr>
          <w:rStyle w:val="Odwoanieprzypisudolnego"/>
          <w:rFonts w:ascii="Times New Roman" w:hAnsi="Times New Roman" w:cs="Times New Roman"/>
          <w:sz w:val="24"/>
          <w:szCs w:val="24"/>
          <w:lang w:val="en-US"/>
        </w:rPr>
        <w:footnoteReference w:id="11"/>
      </w:r>
      <w:r w:rsidRPr="00400501">
        <w:rPr>
          <w:rFonts w:ascii="Times New Roman" w:hAnsi="Times New Roman" w:cs="Times New Roman"/>
          <w:sz w:val="24"/>
          <w:szCs w:val="24"/>
          <w:lang w:val="en-US"/>
        </w:rPr>
        <w:t>, violation of bodily integrity</w:t>
      </w:r>
      <w:r>
        <w:rPr>
          <w:rStyle w:val="Odwoanieprzypisudolnego"/>
          <w:rFonts w:ascii="Times New Roman" w:hAnsi="Times New Roman" w:cs="Times New Roman"/>
          <w:sz w:val="24"/>
          <w:szCs w:val="24"/>
          <w:lang w:val="en-US"/>
        </w:rPr>
        <w:footnoteReference w:id="12"/>
      </w:r>
      <w:r w:rsidRPr="00400501">
        <w:rPr>
          <w:rFonts w:ascii="Times New Roman" w:hAnsi="Times New Roman" w:cs="Times New Roman"/>
          <w:sz w:val="24"/>
          <w:szCs w:val="24"/>
          <w:lang w:val="en-US"/>
        </w:rPr>
        <w:t xml:space="preserve">, </w:t>
      </w:r>
      <w:r>
        <w:rPr>
          <w:rFonts w:ascii="Times New Roman" w:hAnsi="Times New Roman" w:cs="Times New Roman"/>
          <w:sz w:val="24"/>
          <w:szCs w:val="24"/>
          <w:lang w:val="en-US"/>
        </w:rPr>
        <w:t>or</w:t>
      </w:r>
      <w:r w:rsidRPr="00400501">
        <w:rPr>
          <w:rFonts w:ascii="Times New Roman" w:hAnsi="Times New Roman" w:cs="Times New Roman"/>
          <w:sz w:val="24"/>
          <w:szCs w:val="24"/>
          <w:lang w:val="en-US"/>
        </w:rPr>
        <w:t xml:space="preserve"> battery</w:t>
      </w:r>
      <w:r>
        <w:rPr>
          <w:rStyle w:val="Odwoanieprzypisudolnego"/>
          <w:rFonts w:ascii="Times New Roman" w:hAnsi="Times New Roman" w:cs="Times New Roman"/>
          <w:sz w:val="24"/>
          <w:szCs w:val="24"/>
          <w:lang w:val="en-US"/>
        </w:rPr>
        <w:footnoteReference w:id="13"/>
      </w:r>
      <w:r w:rsidRPr="00400501">
        <w:rPr>
          <w:rFonts w:ascii="Times New Roman" w:hAnsi="Times New Roman" w:cs="Times New Roman"/>
          <w:sz w:val="24"/>
          <w:szCs w:val="24"/>
          <w:lang w:val="en-US"/>
        </w:rPr>
        <w:t xml:space="preserve">, among others. What's more, </w:t>
      </w:r>
      <w:r>
        <w:rPr>
          <w:rFonts w:ascii="Times New Roman" w:hAnsi="Times New Roman" w:cs="Times New Roman"/>
          <w:sz w:val="24"/>
          <w:szCs w:val="24"/>
          <w:lang w:val="en-US"/>
        </w:rPr>
        <w:t>regardless</w:t>
      </w:r>
      <w:r w:rsidRPr="00400501">
        <w:rPr>
          <w:rFonts w:ascii="Times New Roman" w:hAnsi="Times New Roman" w:cs="Times New Roman"/>
          <w:sz w:val="24"/>
          <w:szCs w:val="24"/>
          <w:lang w:val="en-US"/>
        </w:rPr>
        <w:t xml:space="preserve"> of the criminal law, the provisions of the Civil Code guarantee broad protection of personal </w:t>
      </w:r>
      <w:r>
        <w:rPr>
          <w:rFonts w:ascii="Times New Roman" w:hAnsi="Times New Roman" w:cs="Times New Roman"/>
          <w:sz w:val="24"/>
          <w:szCs w:val="24"/>
          <w:lang w:val="en-US"/>
        </w:rPr>
        <w:t>rights</w:t>
      </w:r>
      <w:r>
        <w:rPr>
          <w:rStyle w:val="Odwoanieprzypisudolnego"/>
          <w:rFonts w:ascii="Times New Roman" w:hAnsi="Times New Roman" w:cs="Times New Roman"/>
          <w:sz w:val="24"/>
          <w:szCs w:val="24"/>
          <w:lang w:val="en-US"/>
        </w:rPr>
        <w:footnoteReference w:id="14"/>
      </w:r>
      <w:r w:rsidRPr="00400501">
        <w:rPr>
          <w:rFonts w:ascii="Times New Roman" w:hAnsi="Times New Roman" w:cs="Times New Roman"/>
          <w:sz w:val="24"/>
          <w:szCs w:val="24"/>
          <w:lang w:val="en-US"/>
        </w:rPr>
        <w:t xml:space="preserve">, the catalog of which is open and includes, </w:t>
      </w:r>
      <w:r w:rsidR="006E145B">
        <w:rPr>
          <w:rFonts w:ascii="Times New Roman" w:hAnsi="Times New Roman" w:cs="Times New Roman"/>
          <w:sz w:val="24"/>
          <w:szCs w:val="24"/>
          <w:lang w:val="en-US"/>
        </w:rPr>
        <w:t>for instance</w:t>
      </w:r>
      <w:r w:rsidRPr="00400501">
        <w:rPr>
          <w:rFonts w:ascii="Times New Roman" w:hAnsi="Times New Roman" w:cs="Times New Roman"/>
          <w:sz w:val="24"/>
          <w:szCs w:val="24"/>
          <w:lang w:val="en-US"/>
        </w:rPr>
        <w:t>, the protection of one's good name or honor.</w:t>
      </w:r>
    </w:p>
    <w:p w14:paraId="27E9FE86" w14:textId="77777777" w:rsidR="00400501" w:rsidRDefault="00400501" w:rsidP="00400501">
      <w:pPr>
        <w:spacing w:after="0" w:line="360" w:lineRule="auto"/>
        <w:jc w:val="both"/>
        <w:rPr>
          <w:rFonts w:ascii="Times New Roman" w:hAnsi="Times New Roman" w:cs="Times New Roman"/>
          <w:sz w:val="24"/>
          <w:szCs w:val="24"/>
          <w:lang w:val="en-US"/>
        </w:rPr>
      </w:pPr>
    </w:p>
    <w:p w14:paraId="74DB257F" w14:textId="2E24736F" w:rsidR="002D6F64" w:rsidRDefault="00881170" w:rsidP="00597025">
      <w:pPr>
        <w:spacing w:after="0" w:line="360" w:lineRule="auto"/>
        <w:jc w:val="both"/>
        <w:rPr>
          <w:rFonts w:ascii="Times New Roman" w:hAnsi="Times New Roman" w:cs="Times New Roman"/>
          <w:sz w:val="24"/>
          <w:szCs w:val="24"/>
          <w:lang w:val="en-US"/>
        </w:rPr>
      </w:pPr>
      <w:r w:rsidRPr="00881170">
        <w:rPr>
          <w:rFonts w:ascii="Times New Roman" w:hAnsi="Times New Roman" w:cs="Times New Roman"/>
          <w:sz w:val="24"/>
          <w:szCs w:val="24"/>
          <w:lang w:val="en-US"/>
        </w:rPr>
        <w:t xml:space="preserve">As mentioned above, the concept of </w:t>
      </w:r>
      <w:r>
        <w:rPr>
          <w:rFonts w:ascii="Times New Roman" w:hAnsi="Times New Roman" w:cs="Times New Roman"/>
          <w:sz w:val="24"/>
          <w:szCs w:val="24"/>
          <w:lang w:val="en-US"/>
        </w:rPr>
        <w:t>“</w:t>
      </w:r>
      <w:r w:rsidRPr="00881170">
        <w:rPr>
          <w:rFonts w:ascii="Times New Roman" w:hAnsi="Times New Roman" w:cs="Times New Roman"/>
          <w:sz w:val="24"/>
          <w:szCs w:val="24"/>
          <w:lang w:val="en-US"/>
        </w:rPr>
        <w:t>gender identity,</w:t>
      </w:r>
      <w:r>
        <w:rPr>
          <w:rFonts w:ascii="Times New Roman" w:hAnsi="Times New Roman" w:cs="Times New Roman"/>
          <w:sz w:val="24"/>
          <w:szCs w:val="24"/>
          <w:lang w:val="en-US"/>
        </w:rPr>
        <w:t>”</w:t>
      </w:r>
      <w:r w:rsidRPr="00881170">
        <w:rPr>
          <w:rFonts w:ascii="Times New Roman" w:hAnsi="Times New Roman" w:cs="Times New Roman"/>
          <w:sz w:val="24"/>
          <w:szCs w:val="24"/>
          <w:lang w:val="en-US"/>
        </w:rPr>
        <w:t xml:space="preserve"> insofar as it is interpreted beyond biological criteria, is an ideological concept that does not appear in the Polish and international legal system</w:t>
      </w:r>
      <w:r>
        <w:rPr>
          <w:rFonts w:ascii="Times New Roman" w:hAnsi="Times New Roman" w:cs="Times New Roman"/>
          <w:sz w:val="24"/>
          <w:szCs w:val="24"/>
          <w:lang w:val="en-US"/>
        </w:rPr>
        <w:t xml:space="preserve">. </w:t>
      </w:r>
      <w:r w:rsidRPr="00881170">
        <w:rPr>
          <w:rFonts w:ascii="Times New Roman" w:hAnsi="Times New Roman" w:cs="Times New Roman"/>
          <w:sz w:val="24"/>
          <w:szCs w:val="24"/>
          <w:lang w:val="en-US"/>
        </w:rPr>
        <w:t xml:space="preserve">In Polish </w:t>
      </w:r>
      <w:r>
        <w:rPr>
          <w:rFonts w:ascii="Times New Roman" w:hAnsi="Times New Roman" w:cs="Times New Roman"/>
          <w:sz w:val="24"/>
          <w:szCs w:val="24"/>
          <w:lang w:val="en-US"/>
        </w:rPr>
        <w:t>legal system</w:t>
      </w:r>
      <w:r w:rsidRPr="00881170">
        <w:rPr>
          <w:rFonts w:ascii="Times New Roman" w:hAnsi="Times New Roman" w:cs="Times New Roman"/>
          <w:sz w:val="24"/>
          <w:szCs w:val="24"/>
          <w:lang w:val="en-US"/>
        </w:rPr>
        <w:t xml:space="preserve">, there is no basis for distinguishing more than two </w:t>
      </w:r>
      <w:r>
        <w:rPr>
          <w:rFonts w:ascii="Times New Roman" w:hAnsi="Times New Roman" w:cs="Times New Roman"/>
          <w:sz w:val="24"/>
          <w:szCs w:val="24"/>
          <w:lang w:val="en-US"/>
        </w:rPr>
        <w:t xml:space="preserve">sexes, which are considered equal. </w:t>
      </w:r>
      <w:r w:rsidRPr="00881170">
        <w:rPr>
          <w:rFonts w:ascii="Times New Roman" w:hAnsi="Times New Roman" w:cs="Times New Roman"/>
          <w:sz w:val="24"/>
          <w:szCs w:val="24"/>
          <w:lang w:val="en-US"/>
        </w:rPr>
        <w:t xml:space="preserve">Already at the constitutional level, the Polish legislator indicates the prohibition of discrimination and equality of all before the law, regardless of </w:t>
      </w:r>
      <w:r>
        <w:rPr>
          <w:rFonts w:ascii="Times New Roman" w:hAnsi="Times New Roman" w:cs="Times New Roman"/>
          <w:sz w:val="24"/>
          <w:szCs w:val="24"/>
          <w:lang w:val="en-US"/>
        </w:rPr>
        <w:t>sex</w:t>
      </w:r>
      <w:r w:rsidRPr="0088117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81170">
        <w:rPr>
          <w:rFonts w:ascii="Times New Roman" w:hAnsi="Times New Roman" w:cs="Times New Roman"/>
          <w:sz w:val="24"/>
          <w:szCs w:val="24"/>
          <w:lang w:val="en-US"/>
        </w:rPr>
        <w:t>A woman and a man in the Republic of Poland have equal rights in family, political, social and economic life</w:t>
      </w:r>
      <w:r>
        <w:rPr>
          <w:rFonts w:ascii="Times New Roman" w:hAnsi="Times New Roman" w:cs="Times New Roman"/>
          <w:sz w:val="24"/>
          <w:szCs w:val="24"/>
          <w:lang w:val="en-US"/>
        </w:rPr>
        <w:t>”</w:t>
      </w:r>
      <w:r w:rsidRPr="00881170">
        <w:rPr>
          <w:rFonts w:ascii="Times New Roman" w:hAnsi="Times New Roman" w:cs="Times New Roman"/>
          <w:sz w:val="24"/>
          <w:szCs w:val="24"/>
          <w:lang w:val="en-US"/>
        </w:rPr>
        <w:t xml:space="preserve"> and paragraph 2 of the indicated article states: </w:t>
      </w:r>
      <w:r>
        <w:rPr>
          <w:rFonts w:ascii="Times New Roman" w:hAnsi="Times New Roman" w:cs="Times New Roman"/>
          <w:sz w:val="24"/>
          <w:szCs w:val="24"/>
          <w:lang w:val="en-US"/>
        </w:rPr>
        <w:t>“</w:t>
      </w:r>
      <w:r w:rsidRPr="00881170">
        <w:rPr>
          <w:rFonts w:ascii="Times New Roman" w:hAnsi="Times New Roman" w:cs="Times New Roman"/>
          <w:sz w:val="24"/>
          <w:szCs w:val="24"/>
          <w:lang w:val="en-US"/>
        </w:rPr>
        <w:t>A woman and a man have, in particular, equal rights to education, employment and promotion, to equal remuneration for work of equal value, to social security, and to hold positions, perform functions and obtain public dignities and decorations.</w:t>
      </w:r>
      <w:r>
        <w:rPr>
          <w:rFonts w:ascii="Times New Roman" w:hAnsi="Times New Roman" w:cs="Times New Roman"/>
          <w:sz w:val="24"/>
          <w:szCs w:val="24"/>
          <w:lang w:val="en-US"/>
        </w:rPr>
        <w:t>”</w:t>
      </w:r>
      <w:r>
        <w:rPr>
          <w:rStyle w:val="Odwoanieprzypisudolnego"/>
          <w:rFonts w:ascii="Times New Roman" w:hAnsi="Times New Roman" w:cs="Times New Roman"/>
          <w:sz w:val="24"/>
          <w:szCs w:val="24"/>
          <w:lang w:val="en-US"/>
        </w:rPr>
        <w:footnoteReference w:id="15"/>
      </w:r>
    </w:p>
    <w:p w14:paraId="14F2C47E" w14:textId="77777777" w:rsidR="00D62520" w:rsidRDefault="002D6F64" w:rsidP="00D62520">
      <w:pPr>
        <w:pStyle w:val="Akapitzlist"/>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Moreover, </w:t>
      </w:r>
      <w:r w:rsidR="00D62520">
        <w:rPr>
          <w:rFonts w:ascii="Times New Roman" w:hAnsi="Times New Roman" w:cs="Times New Roman"/>
          <w:sz w:val="24"/>
          <w:szCs w:val="24"/>
          <w:lang w:val="en-US"/>
        </w:rPr>
        <w:t>a</w:t>
      </w:r>
      <w:r w:rsidRPr="00C7174A">
        <w:rPr>
          <w:rFonts w:ascii="Times New Roman" w:hAnsi="Times New Roman" w:cs="Times New Roman"/>
          <w:sz w:val="24"/>
          <w:szCs w:val="24"/>
          <w:lang w:val="en-US"/>
        </w:rPr>
        <w:t>rticle 32</w:t>
      </w:r>
      <w:r w:rsidR="00D62520">
        <w:rPr>
          <w:rFonts w:ascii="Times New Roman" w:hAnsi="Times New Roman" w:cs="Times New Roman"/>
          <w:sz w:val="24"/>
          <w:szCs w:val="24"/>
          <w:lang w:val="en-US"/>
        </w:rPr>
        <w:t xml:space="preserve"> states that</w:t>
      </w:r>
      <w:r>
        <w:rPr>
          <w:rFonts w:ascii="Times New Roman" w:hAnsi="Times New Roman" w:cs="Times New Roman"/>
          <w:sz w:val="24"/>
          <w:szCs w:val="24"/>
          <w:lang w:val="en-US"/>
        </w:rPr>
        <w:t xml:space="preserve"> “</w:t>
      </w:r>
      <w:r w:rsidRPr="002D6F64">
        <w:rPr>
          <w:rFonts w:ascii="Times New Roman" w:hAnsi="Times New Roman" w:cs="Times New Roman"/>
          <w:sz w:val="24"/>
          <w:szCs w:val="24"/>
          <w:lang w:val="en-US"/>
        </w:rPr>
        <w:t xml:space="preserve">Everyone is equal before the law. Everyone has the right to equal treatment by public authorities and no one shall be discriminated against in political, </w:t>
      </w:r>
      <w:r w:rsidRPr="002D6F64">
        <w:rPr>
          <w:rFonts w:ascii="Times New Roman" w:hAnsi="Times New Roman" w:cs="Times New Roman"/>
          <w:sz w:val="24"/>
          <w:szCs w:val="24"/>
          <w:lang w:val="en-US"/>
        </w:rPr>
        <w:lastRenderedPageBreak/>
        <w:t xml:space="preserve">social or economic </w:t>
      </w:r>
      <w:r w:rsidRPr="00597025">
        <w:rPr>
          <w:rFonts w:ascii="Times New Roman" w:hAnsi="Times New Roman" w:cs="Times New Roman"/>
          <w:b/>
          <w:bCs/>
          <w:sz w:val="24"/>
          <w:szCs w:val="24"/>
          <w:lang w:val="en-US"/>
        </w:rPr>
        <w:t>life for any reason</w:t>
      </w:r>
      <w:r>
        <w:rPr>
          <w:rFonts w:ascii="Times New Roman" w:hAnsi="Times New Roman" w:cs="Times New Roman"/>
          <w:sz w:val="24"/>
          <w:szCs w:val="24"/>
          <w:lang w:val="en-US"/>
        </w:rPr>
        <w:t>”</w:t>
      </w:r>
      <w:r w:rsidRPr="002D6F6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62520" w:rsidRPr="00D62520">
        <w:rPr>
          <w:rFonts w:ascii="Times New Roman" w:hAnsi="Times New Roman" w:cs="Times New Roman"/>
          <w:sz w:val="24"/>
          <w:szCs w:val="24"/>
          <w:lang w:val="en-US"/>
        </w:rPr>
        <w:t>Thus, it is already prohibited on constitutional grounds to discriminate against a person on any basis.</w:t>
      </w:r>
      <w:r w:rsidR="00D62520">
        <w:rPr>
          <w:rFonts w:ascii="Times New Roman" w:hAnsi="Times New Roman" w:cs="Times New Roman"/>
          <w:sz w:val="24"/>
          <w:szCs w:val="24"/>
          <w:lang w:val="en-US"/>
        </w:rPr>
        <w:t xml:space="preserve"> </w:t>
      </w:r>
    </w:p>
    <w:p w14:paraId="5F70E0B8" w14:textId="42F031C0" w:rsidR="002D6F64" w:rsidRPr="00597025" w:rsidRDefault="00D62520" w:rsidP="00D62520">
      <w:pPr>
        <w:pStyle w:val="Akapitzlist"/>
        <w:spacing w:line="360" w:lineRule="auto"/>
        <w:ind w:left="0"/>
        <w:jc w:val="both"/>
        <w:rPr>
          <w:rFonts w:ascii="Times" w:hAnsi="Times" w:cs="Times New Roman"/>
          <w:sz w:val="24"/>
          <w:szCs w:val="24"/>
          <w:lang w:val="en-US"/>
        </w:rPr>
      </w:pPr>
      <w:r w:rsidRPr="00D62520">
        <w:rPr>
          <w:rFonts w:ascii="Times New Roman" w:hAnsi="Times New Roman" w:cs="Times New Roman"/>
          <w:sz w:val="24"/>
          <w:szCs w:val="24"/>
          <w:lang w:val="en-US"/>
        </w:rPr>
        <w:t>Indeed, there are many acts in force expressing the prohibition of discrimination</w:t>
      </w:r>
      <w:r>
        <w:rPr>
          <w:rFonts w:ascii="Times New Roman" w:hAnsi="Times New Roman" w:cs="Times New Roman"/>
          <w:sz w:val="24"/>
          <w:szCs w:val="24"/>
          <w:lang w:val="en-US"/>
        </w:rPr>
        <w:t>,</w:t>
      </w:r>
      <w:r w:rsidRPr="00D62520">
        <w:rPr>
          <w:rFonts w:ascii="Times New Roman" w:hAnsi="Times New Roman" w:cs="Times New Roman"/>
          <w:sz w:val="24"/>
          <w:szCs w:val="24"/>
          <w:lang w:val="en-US"/>
        </w:rPr>
        <w:t xml:space="preserve"> whose addresses are both public and private entities.</w:t>
      </w:r>
      <w:r>
        <w:rPr>
          <w:rFonts w:ascii="Times New Roman" w:hAnsi="Times New Roman" w:cs="Times New Roman"/>
          <w:sz w:val="24"/>
          <w:szCs w:val="24"/>
          <w:lang w:val="en-US"/>
        </w:rPr>
        <w:t xml:space="preserve"> </w:t>
      </w:r>
      <w:r w:rsidRPr="00D62520">
        <w:rPr>
          <w:rFonts w:ascii="Times New Roman" w:hAnsi="Times New Roman" w:cs="Times New Roman"/>
          <w:sz w:val="24"/>
          <w:szCs w:val="24"/>
          <w:lang w:val="en-US"/>
        </w:rPr>
        <w:t>E.g., the Labor Code contains an exemplary list of legally protected characteristics</w:t>
      </w:r>
      <w:r w:rsidR="00C804C7">
        <w:rPr>
          <w:rFonts w:ascii="Times New Roman" w:hAnsi="Times New Roman" w:cs="Times New Roman"/>
          <w:sz w:val="24"/>
          <w:szCs w:val="24"/>
          <w:lang w:val="en-US"/>
        </w:rPr>
        <w:t>,</w:t>
      </w:r>
      <w:r w:rsidRPr="00D62520">
        <w:rPr>
          <w:rFonts w:ascii="Times New Roman" w:hAnsi="Times New Roman" w:cs="Times New Roman"/>
          <w:sz w:val="24"/>
          <w:szCs w:val="24"/>
          <w:lang w:val="en-US"/>
        </w:rPr>
        <w:t xml:space="preserve"> includ</w:t>
      </w:r>
      <w:r w:rsidR="00C804C7">
        <w:rPr>
          <w:rFonts w:ascii="Times New Roman" w:hAnsi="Times New Roman" w:cs="Times New Roman"/>
          <w:sz w:val="24"/>
          <w:szCs w:val="24"/>
          <w:lang w:val="en-US"/>
        </w:rPr>
        <w:t>ing</w:t>
      </w:r>
      <w:r w:rsidRPr="00D62520">
        <w:rPr>
          <w:rFonts w:ascii="Times New Roman" w:hAnsi="Times New Roman" w:cs="Times New Roman"/>
          <w:sz w:val="24"/>
          <w:szCs w:val="24"/>
          <w:lang w:val="en-US"/>
        </w:rPr>
        <w:t xml:space="preserve">: </w:t>
      </w:r>
      <w:r>
        <w:rPr>
          <w:rFonts w:ascii="Times New Roman" w:hAnsi="Times New Roman" w:cs="Times New Roman"/>
          <w:sz w:val="24"/>
          <w:szCs w:val="24"/>
          <w:lang w:val="en-US"/>
        </w:rPr>
        <w:t>sex</w:t>
      </w:r>
      <w:r w:rsidRPr="00D62520">
        <w:rPr>
          <w:rFonts w:ascii="Times New Roman" w:hAnsi="Times New Roman" w:cs="Times New Roman"/>
          <w:sz w:val="24"/>
          <w:szCs w:val="24"/>
          <w:lang w:val="en-US"/>
        </w:rPr>
        <w:t>, age, disability, race, religion, nationality, political beliefs, trade union membership, ethnicity, religion, sexual orientation</w:t>
      </w:r>
      <w:r>
        <w:rPr>
          <w:rStyle w:val="Odwoanieprzypisudolnego"/>
          <w:rFonts w:ascii="Times New Roman" w:hAnsi="Times New Roman" w:cs="Times New Roman"/>
          <w:sz w:val="24"/>
          <w:szCs w:val="24"/>
          <w:lang w:val="en-US"/>
        </w:rPr>
        <w:footnoteReference w:id="16"/>
      </w:r>
      <w:r w:rsidRPr="00D62520">
        <w:rPr>
          <w:rFonts w:ascii="Times New Roman" w:hAnsi="Times New Roman" w:cs="Times New Roman"/>
          <w:sz w:val="24"/>
          <w:szCs w:val="24"/>
          <w:lang w:val="en-US"/>
        </w:rPr>
        <w:t>. The national legislator has introduced an open catalog of prohibited grounds for unequal treatment in employment, unlike the EU legislator. In fulfilling its obligation to implement EU anti-</w:t>
      </w:r>
      <w:r w:rsidRPr="00597025">
        <w:rPr>
          <w:rFonts w:ascii="Times" w:hAnsi="Times" w:cs="Times New Roman"/>
          <w:sz w:val="24"/>
          <w:szCs w:val="24"/>
          <w:lang w:val="en-US"/>
        </w:rPr>
        <w:t>discrimination directives, it thus raised the protective standard compared to the EU's prohibition of discrimination in the area of employment.</w:t>
      </w:r>
    </w:p>
    <w:p w14:paraId="15E8EA23" w14:textId="13B16194" w:rsidR="002D6F64" w:rsidRDefault="00D62520" w:rsidP="00257136">
      <w:pPr>
        <w:pStyle w:val="Akapitzlist"/>
        <w:spacing w:line="360" w:lineRule="auto"/>
        <w:ind w:left="0"/>
        <w:jc w:val="both"/>
        <w:rPr>
          <w:rFonts w:ascii="Times" w:hAnsi="Times"/>
          <w:sz w:val="24"/>
          <w:szCs w:val="24"/>
          <w:lang w:val="en-US"/>
        </w:rPr>
      </w:pPr>
      <w:r w:rsidRPr="00597025">
        <w:rPr>
          <w:rFonts w:ascii="Times" w:hAnsi="Times"/>
          <w:sz w:val="24"/>
          <w:szCs w:val="24"/>
          <w:lang w:val="en-US"/>
        </w:rPr>
        <w:t>The Equal Treatment Act prohibits discrimination on the basis of sex race, ethnicity, nationality, religion, creed, worldview, disability, age or sexual orientation in the sphere of broadly defined professional activity</w:t>
      </w:r>
      <w:r w:rsidR="00257136" w:rsidRPr="00597025">
        <w:rPr>
          <w:rFonts w:ascii="Times" w:hAnsi="Times"/>
          <w:sz w:val="24"/>
          <w:szCs w:val="24"/>
          <w:lang w:val="en-US"/>
        </w:rPr>
        <w:t xml:space="preserve"> (with regard to labor employment - to the extent not regulated by the Labor Code) and in the sphere of social security, health care, education and higher education, as well as access to goods and services offered to the public</w:t>
      </w:r>
      <w:r w:rsidR="00257136" w:rsidRPr="00597025">
        <w:rPr>
          <w:rStyle w:val="Odwoanieprzypisudolnego"/>
          <w:rFonts w:ascii="Times" w:hAnsi="Times"/>
          <w:sz w:val="24"/>
          <w:szCs w:val="24"/>
        </w:rPr>
        <w:footnoteReference w:id="17"/>
      </w:r>
      <w:r w:rsidR="00257136" w:rsidRPr="00597025">
        <w:rPr>
          <w:rFonts w:ascii="Times" w:hAnsi="Times"/>
          <w:sz w:val="24"/>
          <w:szCs w:val="24"/>
          <w:lang w:val="en-US"/>
        </w:rPr>
        <w:t>.</w:t>
      </w:r>
    </w:p>
    <w:p w14:paraId="1149ADF8" w14:textId="77777777" w:rsidR="00257136" w:rsidRPr="00597025" w:rsidRDefault="00257136" w:rsidP="00597025">
      <w:pPr>
        <w:pStyle w:val="Akapitzlist"/>
        <w:spacing w:line="360" w:lineRule="auto"/>
        <w:ind w:left="0"/>
        <w:jc w:val="both"/>
        <w:rPr>
          <w:rFonts w:ascii="Times" w:hAnsi="Times" w:cs="Times New Roman"/>
          <w:sz w:val="24"/>
          <w:szCs w:val="24"/>
          <w:lang w:val="en-US"/>
        </w:rPr>
      </w:pPr>
    </w:p>
    <w:p w14:paraId="75DCB54F" w14:textId="2F08EED7" w:rsidR="00771C45" w:rsidRPr="00C7174A" w:rsidRDefault="0023352F" w:rsidP="00597025">
      <w:pPr>
        <w:pStyle w:val="Akapitzlist"/>
        <w:numPr>
          <w:ilvl w:val="0"/>
          <w:numId w:val="1"/>
        </w:numPr>
        <w:rPr>
          <w:lang w:val="en-US"/>
        </w:rPr>
      </w:pPr>
      <w:r>
        <w:rPr>
          <w:rFonts w:ascii="Times" w:hAnsi="Times" w:cs="Times New Roman"/>
          <w:sz w:val="24"/>
          <w:szCs w:val="24"/>
          <w:lang w:val="en-US"/>
        </w:rPr>
        <w:t>Remarks</w:t>
      </w:r>
    </w:p>
    <w:p w14:paraId="034DA529" w14:textId="04C5E1DC" w:rsidR="00B83765" w:rsidRPr="00C7174A" w:rsidRDefault="00C7174A" w:rsidP="002C64AD">
      <w:pPr>
        <w:spacing w:line="360" w:lineRule="auto"/>
        <w:ind w:firstLine="567"/>
        <w:jc w:val="both"/>
        <w:rPr>
          <w:lang w:val="en-US"/>
        </w:rPr>
      </w:pPr>
      <w:r w:rsidRPr="00C7174A">
        <w:rPr>
          <w:rFonts w:ascii="Times New Roman" w:hAnsi="Times New Roman" w:cs="Times New Roman"/>
          <w:sz w:val="24"/>
          <w:szCs w:val="24"/>
          <w:lang w:val="en-US"/>
        </w:rPr>
        <w:t>It is worth noting that homosexuality has never been p</w:t>
      </w:r>
      <w:r>
        <w:rPr>
          <w:rFonts w:ascii="Times New Roman" w:hAnsi="Times New Roman" w:cs="Times New Roman"/>
          <w:sz w:val="24"/>
          <w:szCs w:val="24"/>
          <w:lang w:val="en-US"/>
        </w:rPr>
        <w:t>enalized</w:t>
      </w:r>
      <w:r w:rsidRPr="00C7174A">
        <w:rPr>
          <w:rFonts w:ascii="Times New Roman" w:hAnsi="Times New Roman" w:cs="Times New Roman"/>
          <w:sz w:val="24"/>
          <w:szCs w:val="24"/>
          <w:lang w:val="en-US"/>
        </w:rPr>
        <w:t xml:space="preserve"> in Poland, unlike many other countries, including European. </w:t>
      </w:r>
      <w:r w:rsidR="00B97B20">
        <w:rPr>
          <w:rFonts w:ascii="Times New Roman" w:hAnsi="Times New Roman" w:cs="Times New Roman"/>
          <w:sz w:val="24"/>
          <w:szCs w:val="24"/>
          <w:lang w:val="en-US"/>
        </w:rPr>
        <w:t>Sexual c</w:t>
      </w:r>
      <w:r w:rsidRPr="00C7174A">
        <w:rPr>
          <w:rFonts w:ascii="Times New Roman" w:hAnsi="Times New Roman" w:cs="Times New Roman"/>
          <w:sz w:val="24"/>
          <w:szCs w:val="24"/>
          <w:lang w:val="en-US"/>
        </w:rPr>
        <w:t xml:space="preserve">ontacts between people of the same sex were </w:t>
      </w:r>
      <w:r w:rsidR="00B97B20">
        <w:rPr>
          <w:rFonts w:ascii="Times New Roman" w:hAnsi="Times New Roman" w:cs="Times New Roman"/>
          <w:sz w:val="24"/>
          <w:szCs w:val="24"/>
          <w:lang w:val="en-US"/>
        </w:rPr>
        <w:t xml:space="preserve">legal since Poland regained its independence and </w:t>
      </w:r>
      <w:r w:rsidR="00B97B20" w:rsidRPr="00B97B20">
        <w:rPr>
          <w:rFonts w:ascii="Times New Roman" w:hAnsi="Times New Roman" w:cs="Times New Roman"/>
          <w:sz w:val="24"/>
          <w:szCs w:val="24"/>
          <w:lang w:val="en-US"/>
        </w:rPr>
        <w:t>control</w:t>
      </w:r>
      <w:r w:rsidR="00B97B20">
        <w:rPr>
          <w:rFonts w:ascii="Times New Roman" w:hAnsi="Times New Roman" w:cs="Times New Roman"/>
          <w:sz w:val="24"/>
          <w:szCs w:val="24"/>
          <w:lang w:val="en-US"/>
        </w:rPr>
        <w:t xml:space="preserve"> over</w:t>
      </w:r>
      <w:r w:rsidR="00B97B20" w:rsidRPr="00B97B20">
        <w:rPr>
          <w:rFonts w:ascii="Times New Roman" w:hAnsi="Times New Roman" w:cs="Times New Roman"/>
          <w:sz w:val="24"/>
          <w:szCs w:val="24"/>
          <w:lang w:val="en-US"/>
        </w:rPr>
        <w:t xml:space="preserve"> the laws of its territory</w:t>
      </w:r>
      <w:r w:rsidR="0021409A">
        <w:rPr>
          <w:rStyle w:val="Odwoanieprzypisudolnego"/>
          <w:rFonts w:ascii="Times New Roman" w:hAnsi="Times New Roman" w:cs="Times New Roman"/>
          <w:sz w:val="24"/>
          <w:szCs w:val="24"/>
          <w:lang w:val="en-US"/>
        </w:rPr>
        <w:footnoteReference w:id="18"/>
      </w:r>
      <w:r w:rsidR="00EE7E9C">
        <w:rPr>
          <w:rFonts w:ascii="Times New Roman" w:hAnsi="Times New Roman" w:cs="Times New Roman"/>
          <w:sz w:val="24"/>
          <w:szCs w:val="24"/>
          <w:lang w:val="en-US"/>
        </w:rPr>
        <w:t>.</w:t>
      </w:r>
      <w:r w:rsidRPr="00C7174A">
        <w:rPr>
          <w:rFonts w:ascii="Times New Roman" w:hAnsi="Times New Roman" w:cs="Times New Roman"/>
          <w:sz w:val="24"/>
          <w:szCs w:val="24"/>
          <w:lang w:val="en-US"/>
        </w:rPr>
        <w:t xml:space="preserve"> </w:t>
      </w:r>
      <w:r w:rsidR="00EE7E9C" w:rsidRPr="00EE7E9C">
        <w:rPr>
          <w:rFonts w:ascii="Times New Roman" w:hAnsi="Times New Roman" w:cs="Times New Roman"/>
          <w:sz w:val="24"/>
          <w:szCs w:val="24"/>
          <w:lang w:val="en-US"/>
        </w:rPr>
        <w:t>This is because until 1932, Poland did not have its own Criminal Code, but used one that was still imposed from the periods of partition (until 1918, Poland was under partition, and therefore actively occupied by Prussia, Austria-Hungary and Russia, which criminalized homosexuality in their laws).</w:t>
      </w:r>
      <w:r w:rsidR="00EE7E9C">
        <w:rPr>
          <w:rFonts w:ascii="Times New Roman" w:hAnsi="Times New Roman" w:cs="Times New Roman"/>
          <w:sz w:val="24"/>
          <w:szCs w:val="24"/>
          <w:lang w:val="en-US"/>
        </w:rPr>
        <w:t xml:space="preserve"> </w:t>
      </w:r>
    </w:p>
    <w:p w14:paraId="4E444686" w14:textId="01E0B118" w:rsidR="00750E60" w:rsidRPr="0026389D" w:rsidRDefault="00C7174A" w:rsidP="00B97B20">
      <w:pPr>
        <w:spacing w:line="360" w:lineRule="auto"/>
        <w:ind w:firstLine="567"/>
        <w:jc w:val="both"/>
        <w:rPr>
          <w:rFonts w:ascii="Times New Roman" w:hAnsi="Times New Roman" w:cs="Times New Roman"/>
          <w:sz w:val="24"/>
          <w:szCs w:val="24"/>
          <w:lang w:val="en-US"/>
        </w:rPr>
      </w:pPr>
      <w:r w:rsidRPr="00C7174A">
        <w:rPr>
          <w:rFonts w:ascii="Times New Roman" w:hAnsi="Times New Roman" w:cs="Times New Roman"/>
          <w:sz w:val="24"/>
          <w:szCs w:val="24"/>
          <w:lang w:val="en-US"/>
        </w:rPr>
        <w:t xml:space="preserve">Fostering open and constructive dialogue between people and communities with different views on SOGI is crucial to bridging divides and promoting mutual understanding. This may include engaging in difficult conversations and seeking common ground. </w:t>
      </w:r>
      <w:r w:rsidR="00B97B20" w:rsidRPr="00B97B20">
        <w:rPr>
          <w:rFonts w:ascii="Times New Roman" w:hAnsi="Times New Roman" w:cs="Times New Roman"/>
          <w:sz w:val="24"/>
          <w:szCs w:val="24"/>
          <w:lang w:val="en-US"/>
        </w:rPr>
        <w:t xml:space="preserve">However, this should not and must not mean interfering with the rights of people with different views or restricting their rights, including to promote professed values. While trying to convey and protect one's values, one should not discredit the values of others. Working together, we can create a world </w:t>
      </w:r>
      <w:r w:rsidR="00B97B20" w:rsidRPr="00B97B20">
        <w:rPr>
          <w:rFonts w:ascii="Times New Roman" w:hAnsi="Times New Roman" w:cs="Times New Roman"/>
          <w:sz w:val="24"/>
          <w:szCs w:val="24"/>
          <w:lang w:val="en-US"/>
        </w:rPr>
        <w:lastRenderedPageBreak/>
        <w:t xml:space="preserve">in which all people are treated with dignity and respect, regardless of their views, faith, beliefs, sexual orientation or </w:t>
      </w:r>
      <w:r w:rsidR="00B97B20">
        <w:rPr>
          <w:rFonts w:ascii="Times New Roman" w:hAnsi="Times New Roman" w:cs="Times New Roman"/>
          <w:sz w:val="24"/>
          <w:szCs w:val="24"/>
          <w:lang w:val="en-US"/>
        </w:rPr>
        <w:t>sex.</w:t>
      </w:r>
      <w:r w:rsidR="00B97B20" w:rsidRPr="00B97B20">
        <w:rPr>
          <w:rFonts w:ascii="Times New Roman" w:hAnsi="Times New Roman" w:cs="Times New Roman"/>
          <w:sz w:val="24"/>
          <w:szCs w:val="24"/>
          <w:lang w:val="en-US"/>
        </w:rPr>
        <w:t xml:space="preserve"> </w:t>
      </w:r>
    </w:p>
    <w:p w14:paraId="39D7D9CB" w14:textId="77777777" w:rsidR="00B83765" w:rsidRPr="0026389D" w:rsidRDefault="00B83765" w:rsidP="007409F9">
      <w:pPr>
        <w:spacing w:after="0" w:line="360" w:lineRule="auto"/>
        <w:ind w:firstLine="567"/>
        <w:jc w:val="both"/>
        <w:rPr>
          <w:rFonts w:ascii="Times New Roman" w:hAnsi="Times New Roman" w:cs="Times New Roman"/>
          <w:sz w:val="24"/>
          <w:szCs w:val="24"/>
          <w:lang w:val="en-US"/>
        </w:rPr>
      </w:pPr>
    </w:p>
    <w:p w14:paraId="53AA6E02" w14:textId="77777777" w:rsidR="00723691" w:rsidRPr="0026389D" w:rsidRDefault="00723691" w:rsidP="000158C1">
      <w:pPr>
        <w:spacing w:after="0" w:line="360" w:lineRule="auto"/>
        <w:ind w:firstLine="567"/>
        <w:jc w:val="both"/>
        <w:rPr>
          <w:rFonts w:ascii="Times New Roman" w:hAnsi="Times New Roman" w:cs="Times New Roman"/>
          <w:sz w:val="24"/>
          <w:szCs w:val="24"/>
          <w:lang w:val="en-US"/>
        </w:rPr>
      </w:pPr>
    </w:p>
    <w:p w14:paraId="7B45994E" w14:textId="77777777" w:rsidR="00723691" w:rsidRPr="0026389D" w:rsidRDefault="00723691" w:rsidP="000158C1">
      <w:pPr>
        <w:spacing w:after="0" w:line="360" w:lineRule="auto"/>
        <w:ind w:firstLine="567"/>
        <w:jc w:val="both"/>
        <w:rPr>
          <w:rFonts w:ascii="Times New Roman" w:hAnsi="Times New Roman" w:cs="Times New Roman"/>
          <w:sz w:val="24"/>
          <w:szCs w:val="24"/>
          <w:lang w:val="en-US"/>
        </w:rPr>
      </w:pPr>
    </w:p>
    <w:sectPr w:rsidR="00723691" w:rsidRPr="002638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C256" w14:textId="77777777" w:rsidR="00250E88" w:rsidRDefault="00250E88" w:rsidP="005C23D8">
      <w:pPr>
        <w:spacing w:after="0" w:line="240" w:lineRule="auto"/>
      </w:pPr>
      <w:r>
        <w:separator/>
      </w:r>
    </w:p>
  </w:endnote>
  <w:endnote w:type="continuationSeparator" w:id="0">
    <w:p w14:paraId="5052EE38" w14:textId="77777777" w:rsidR="00250E88" w:rsidRDefault="00250E88" w:rsidP="005C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B6C8" w14:textId="77777777" w:rsidR="00250E88" w:rsidRDefault="00250E88" w:rsidP="005C23D8">
      <w:pPr>
        <w:spacing w:after="0" w:line="240" w:lineRule="auto"/>
      </w:pPr>
      <w:r>
        <w:separator/>
      </w:r>
    </w:p>
  </w:footnote>
  <w:footnote w:type="continuationSeparator" w:id="0">
    <w:p w14:paraId="5D26DF38" w14:textId="77777777" w:rsidR="00250E88" w:rsidRDefault="00250E88" w:rsidP="005C23D8">
      <w:pPr>
        <w:spacing w:after="0" w:line="240" w:lineRule="auto"/>
      </w:pPr>
      <w:r>
        <w:continuationSeparator/>
      </w:r>
    </w:p>
  </w:footnote>
  <w:footnote w:id="1">
    <w:p w14:paraId="11F806E1" w14:textId="23F69CA5" w:rsidR="00FC1348" w:rsidRPr="00FC1348" w:rsidRDefault="00343EC1" w:rsidP="00FC1348">
      <w:pPr>
        <w:pStyle w:val="Tekstprzypisudolnego"/>
        <w:rPr>
          <w:rFonts w:ascii="Times New Roman" w:hAnsi="Times New Roman" w:cs="Times New Roman"/>
          <w:lang w:val="en-US"/>
        </w:rPr>
      </w:pPr>
      <w:r>
        <w:rPr>
          <w:rStyle w:val="Odwoanieprzypisudolnego"/>
        </w:rPr>
        <w:footnoteRef/>
      </w:r>
      <w:r w:rsidRPr="00343EC1">
        <w:rPr>
          <w:lang w:val="en-US"/>
        </w:rPr>
        <w:t xml:space="preserve"> </w:t>
      </w:r>
      <w:r w:rsidR="00FC1348" w:rsidRPr="00FC1348">
        <w:rPr>
          <w:rFonts w:ascii="Times New Roman" w:hAnsi="Times New Roman" w:cs="Times New Roman"/>
          <w:lang w:val="en-US"/>
        </w:rPr>
        <w:t xml:space="preserve">J. Rawls </w:t>
      </w:r>
      <w:r w:rsidR="00FC1348" w:rsidRPr="00FC1348">
        <w:rPr>
          <w:rFonts w:ascii="Times New Roman" w:hAnsi="Times New Roman" w:cs="Times New Roman"/>
          <w:i/>
          <w:iCs/>
          <w:lang w:val="en-US"/>
        </w:rPr>
        <w:t>The Priority of Right and Ideas of the Good</w:t>
      </w:r>
      <w:r w:rsidR="00FC1348" w:rsidRPr="00FC1348">
        <w:rPr>
          <w:rFonts w:ascii="Times New Roman" w:hAnsi="Times New Roman" w:cs="Times New Roman"/>
          <w:lang w:val="en-US"/>
        </w:rPr>
        <w:t>, Philosophy &amp; Public Affairs Vol. 17, No. 4 (1988)</w:t>
      </w:r>
    </w:p>
  </w:footnote>
  <w:footnote w:id="2">
    <w:p w14:paraId="1E6FF00A" w14:textId="46E435E3" w:rsidR="00616769" w:rsidRPr="00616769" w:rsidRDefault="00616769" w:rsidP="00616769">
      <w:pPr>
        <w:pStyle w:val="Tekstprzypisudolnego"/>
        <w:rPr>
          <w:rFonts w:ascii="Times New Roman" w:hAnsi="Times New Roman" w:cs="Times New Roman"/>
          <w:lang w:val="en-US"/>
        </w:rPr>
      </w:pPr>
      <w:r>
        <w:rPr>
          <w:rStyle w:val="Odwoanieprzypisudolnego"/>
        </w:rPr>
        <w:footnoteRef/>
      </w:r>
      <w:r w:rsidRPr="00616769">
        <w:rPr>
          <w:rFonts w:ascii="Times New Roman" w:hAnsi="Times New Roman" w:cs="Times New Roman"/>
          <w:lang w:val="en-US"/>
        </w:rPr>
        <w:t xml:space="preserve"> J. Griffin </w:t>
      </w:r>
      <w:r w:rsidRPr="00616769">
        <w:rPr>
          <w:rFonts w:ascii="Times New Roman" w:hAnsi="Times New Roman" w:cs="Times New Roman"/>
          <w:i/>
          <w:iCs/>
          <w:lang w:val="en-US"/>
        </w:rPr>
        <w:t>On human rights</w:t>
      </w:r>
      <w:r w:rsidRPr="00616769">
        <w:rPr>
          <w:rFonts w:ascii="Times New Roman" w:hAnsi="Times New Roman" w:cs="Times New Roman"/>
          <w:lang w:val="en-US"/>
        </w:rPr>
        <w:t>, New York: Oxford University Press (2008), ISBN(s)</w:t>
      </w:r>
      <w:r>
        <w:rPr>
          <w:rFonts w:ascii="Times New Roman" w:hAnsi="Times New Roman" w:cs="Times New Roman"/>
          <w:lang w:val="en-US"/>
        </w:rPr>
        <w:t xml:space="preserve">: </w:t>
      </w:r>
      <w:r w:rsidRPr="00616769">
        <w:rPr>
          <w:rFonts w:ascii="Times New Roman" w:hAnsi="Times New Roman" w:cs="Times New Roman"/>
          <w:lang w:val="en-US"/>
        </w:rPr>
        <w:t>9780199238781   0199573107 7544753891</w:t>
      </w:r>
    </w:p>
  </w:footnote>
  <w:footnote w:id="3">
    <w:p w14:paraId="2468050B" w14:textId="6BD55EDA" w:rsidR="00131D54" w:rsidRPr="00597025" w:rsidRDefault="00131D54" w:rsidP="00597025">
      <w:pPr>
        <w:pStyle w:val="Tekstprzypisudolnego"/>
        <w:jc w:val="both"/>
        <w:rPr>
          <w:rFonts w:ascii="Times" w:hAnsi="Times"/>
          <w:lang w:val="en-US"/>
        </w:rPr>
      </w:pPr>
      <w:r w:rsidRPr="00597025">
        <w:rPr>
          <w:rStyle w:val="Odwoanieprzypisudolnego"/>
          <w:rFonts w:ascii="Times" w:hAnsi="Times"/>
        </w:rPr>
        <w:footnoteRef/>
      </w:r>
      <w:r w:rsidRPr="00597025">
        <w:rPr>
          <w:rFonts w:ascii="Times" w:hAnsi="Times"/>
          <w:lang w:val="en-US"/>
        </w:rPr>
        <w:t xml:space="preserve"> Article 7, </w:t>
      </w:r>
      <w:r w:rsidR="0023352F">
        <w:rPr>
          <w:rFonts w:ascii="Times" w:hAnsi="Times"/>
          <w:lang w:val="en-US"/>
        </w:rPr>
        <w:t>Act</w:t>
      </w:r>
      <w:r w:rsidRPr="00597025">
        <w:rPr>
          <w:rFonts w:ascii="Times" w:hAnsi="Times"/>
          <w:lang w:val="en-US"/>
        </w:rPr>
        <w:t xml:space="preserve"> of July 24, 2015. - Law on Assemblies.</w:t>
      </w:r>
    </w:p>
  </w:footnote>
  <w:footnote w:id="4">
    <w:p w14:paraId="73D1F2CB" w14:textId="7D60D176" w:rsidR="00131D54" w:rsidRPr="00597025" w:rsidRDefault="00131D54" w:rsidP="00597025">
      <w:pPr>
        <w:pStyle w:val="Tekstprzypisudolnego"/>
        <w:jc w:val="both"/>
        <w:rPr>
          <w:rFonts w:ascii="Times" w:hAnsi="Times"/>
          <w:lang w:val="en-US"/>
        </w:rPr>
      </w:pPr>
      <w:r w:rsidRPr="00597025">
        <w:rPr>
          <w:rStyle w:val="Odwoanieprzypisudolnego"/>
          <w:rFonts w:ascii="Times" w:hAnsi="Times"/>
        </w:rPr>
        <w:footnoteRef/>
      </w:r>
      <w:r w:rsidRPr="00597025">
        <w:rPr>
          <w:rFonts w:ascii="Times" w:hAnsi="Times"/>
          <w:lang w:val="en-US"/>
        </w:rPr>
        <w:t xml:space="preserve"> Article 14, </w:t>
      </w:r>
      <w:r w:rsidR="0023352F">
        <w:rPr>
          <w:rFonts w:ascii="Times" w:hAnsi="Times"/>
          <w:lang w:val="en-US"/>
        </w:rPr>
        <w:t>Act</w:t>
      </w:r>
      <w:r w:rsidRPr="00597025">
        <w:rPr>
          <w:rFonts w:ascii="Times" w:hAnsi="Times"/>
          <w:lang w:val="en-US"/>
        </w:rPr>
        <w:t xml:space="preserve"> of July 24, 2015. – Law on Assemblies.</w:t>
      </w:r>
    </w:p>
  </w:footnote>
  <w:footnote w:id="5">
    <w:p w14:paraId="261704C0" w14:textId="695EB11D" w:rsidR="0001223A" w:rsidRPr="00597025" w:rsidRDefault="0001223A" w:rsidP="00597025">
      <w:pPr>
        <w:pStyle w:val="Tekstprzypisudolnego"/>
        <w:jc w:val="both"/>
        <w:rPr>
          <w:rFonts w:ascii="Times" w:hAnsi="Times"/>
          <w:lang w:val="en-US"/>
        </w:rPr>
      </w:pPr>
      <w:r w:rsidRPr="00597025">
        <w:rPr>
          <w:rStyle w:val="Odwoanieprzypisudolnego"/>
          <w:rFonts w:ascii="Times" w:hAnsi="Times"/>
        </w:rPr>
        <w:footnoteRef/>
      </w:r>
      <w:r w:rsidRPr="00597025">
        <w:rPr>
          <w:rFonts w:ascii="Times" w:hAnsi="Times"/>
          <w:lang w:val="en-US"/>
        </w:rPr>
        <w:t xml:space="preserve"> </w:t>
      </w:r>
      <w:r w:rsidR="00B97B20" w:rsidRPr="00B97B20">
        <w:rPr>
          <w:rFonts w:ascii="Times" w:hAnsi="Times" w:cs="Open Sans"/>
          <w:color w:val="333333"/>
          <w:shd w:val="clear" w:color="auto" w:fill="FFFFFF"/>
          <w:lang w:val="en-US"/>
        </w:rPr>
        <w:t>Constitution of the Republic of Poland of April 2, 1997.</w:t>
      </w:r>
    </w:p>
  </w:footnote>
  <w:footnote w:id="6">
    <w:p w14:paraId="2C32BB61" w14:textId="5A95EF46" w:rsidR="00B97B20" w:rsidRPr="00B0525D" w:rsidRDefault="00B97B20" w:rsidP="00B97B20">
      <w:pPr>
        <w:pStyle w:val="Tekstprzypisudolnego"/>
        <w:jc w:val="both"/>
        <w:rPr>
          <w:rFonts w:ascii="Times" w:hAnsi="Times"/>
          <w:lang w:val="en-US"/>
        </w:rPr>
      </w:pPr>
      <w:r w:rsidRPr="00B0525D">
        <w:rPr>
          <w:rStyle w:val="Odwoanieprzypisudolnego"/>
          <w:rFonts w:ascii="Times" w:hAnsi="Times"/>
        </w:rPr>
        <w:footnoteRef/>
      </w:r>
      <w:r w:rsidRPr="00B0525D">
        <w:rPr>
          <w:rFonts w:ascii="Times" w:hAnsi="Times"/>
          <w:lang w:val="en-US"/>
        </w:rPr>
        <w:t xml:space="preserve"> </w:t>
      </w:r>
      <w:r>
        <w:rPr>
          <w:rFonts w:ascii="Times" w:hAnsi="Times"/>
          <w:lang w:val="en-US"/>
        </w:rPr>
        <w:t xml:space="preserve">Article 1, </w:t>
      </w:r>
      <w:r w:rsidR="0023352F">
        <w:rPr>
          <w:rFonts w:ascii="Times" w:hAnsi="Times" w:cs="Open Sans"/>
          <w:color w:val="333333"/>
          <w:shd w:val="clear" w:color="auto" w:fill="FFFFFF"/>
          <w:lang w:val="en-US"/>
        </w:rPr>
        <w:t>Act</w:t>
      </w:r>
      <w:r w:rsidRPr="00B0525D">
        <w:rPr>
          <w:rFonts w:ascii="Times" w:hAnsi="Times" w:cs="Open Sans"/>
          <w:color w:val="333333"/>
          <w:shd w:val="clear" w:color="auto" w:fill="FFFFFF"/>
          <w:lang w:val="en-US"/>
        </w:rPr>
        <w:t xml:space="preserve"> of April 7, 1989. </w:t>
      </w:r>
      <w:r>
        <w:rPr>
          <w:rFonts w:ascii="Times" w:hAnsi="Times" w:cs="Open Sans"/>
          <w:color w:val="333333"/>
          <w:shd w:val="clear" w:color="auto" w:fill="FFFFFF"/>
          <w:lang w:val="en-US"/>
        </w:rPr>
        <w:t xml:space="preserve">- </w:t>
      </w:r>
      <w:r w:rsidRPr="00B0525D">
        <w:rPr>
          <w:rFonts w:ascii="Times" w:hAnsi="Times" w:cs="Open Sans"/>
          <w:color w:val="333333"/>
          <w:shd w:val="clear" w:color="auto" w:fill="FFFFFF"/>
          <w:lang w:val="en-US"/>
        </w:rPr>
        <w:t>Law on Associations</w:t>
      </w:r>
      <w:r>
        <w:rPr>
          <w:rFonts w:ascii="Times" w:hAnsi="Times" w:cs="Open Sans"/>
          <w:color w:val="333333"/>
          <w:shd w:val="clear" w:color="auto" w:fill="FFFFFF"/>
          <w:lang w:val="en-US"/>
        </w:rPr>
        <w:t>.</w:t>
      </w:r>
    </w:p>
  </w:footnote>
  <w:footnote w:id="7">
    <w:p w14:paraId="5E5FE865" w14:textId="10E0BA59" w:rsidR="0001223A" w:rsidRPr="00597025" w:rsidRDefault="0001223A" w:rsidP="00597025">
      <w:pPr>
        <w:pStyle w:val="Tekstprzypisudolnego"/>
        <w:jc w:val="both"/>
        <w:rPr>
          <w:lang w:val="en-US"/>
        </w:rPr>
      </w:pPr>
      <w:r w:rsidRPr="00597025">
        <w:rPr>
          <w:rStyle w:val="Odwoanieprzypisudolnego"/>
          <w:rFonts w:ascii="Times" w:hAnsi="Times"/>
        </w:rPr>
        <w:footnoteRef/>
      </w:r>
      <w:r w:rsidRPr="00597025">
        <w:rPr>
          <w:rFonts w:ascii="Times" w:hAnsi="Times"/>
          <w:lang w:val="en-US"/>
        </w:rPr>
        <w:t xml:space="preserve"> Article 58, </w:t>
      </w:r>
      <w:r w:rsidR="00B97B20" w:rsidRPr="00597025">
        <w:rPr>
          <w:rFonts w:ascii="Times" w:hAnsi="Times" w:cs="Open Sans"/>
          <w:color w:val="333333"/>
          <w:shd w:val="clear" w:color="auto" w:fill="FFFFFF"/>
          <w:lang w:val="en-US"/>
        </w:rPr>
        <w:t>Constitution of the Republic of Poland of April 2, 1997.</w:t>
      </w:r>
    </w:p>
  </w:footnote>
  <w:footnote w:id="8">
    <w:p w14:paraId="627D1373" w14:textId="0E0F07B7" w:rsidR="006A59D4" w:rsidRPr="00597025" w:rsidRDefault="006A59D4" w:rsidP="006A59D4">
      <w:pPr>
        <w:pStyle w:val="Tekstprzypisudolnego"/>
        <w:rPr>
          <w:rFonts w:ascii="Times" w:hAnsi="Times"/>
          <w:lang w:val="en-US"/>
        </w:rPr>
      </w:pPr>
      <w:r w:rsidRPr="00597025">
        <w:rPr>
          <w:rStyle w:val="Odwoanieprzypisudolnego"/>
          <w:rFonts w:ascii="Times" w:hAnsi="Times"/>
        </w:rPr>
        <w:footnoteRef/>
      </w:r>
      <w:r w:rsidRPr="00597025">
        <w:rPr>
          <w:rFonts w:ascii="Times" w:hAnsi="Times"/>
          <w:lang w:val="en-US"/>
        </w:rPr>
        <w:t xml:space="preserve"> </w:t>
      </w:r>
      <w:r w:rsidRPr="00597025">
        <w:rPr>
          <w:rFonts w:ascii="Times" w:hAnsi="Times" w:cs="Times New Roman"/>
          <w:lang w:val="en-US"/>
        </w:rPr>
        <w:t xml:space="preserve">Judgment of May 12, 2008 ref. SK 43/05, </w:t>
      </w:r>
    </w:p>
  </w:footnote>
  <w:footnote w:id="9">
    <w:p w14:paraId="37D37963" w14:textId="787E3C21" w:rsidR="003571C1" w:rsidRPr="00597025" w:rsidRDefault="003571C1">
      <w:pPr>
        <w:pStyle w:val="Tekstprzypisudolnego"/>
        <w:rPr>
          <w:rFonts w:ascii="Times" w:hAnsi="Times"/>
          <w:lang w:val="en-US"/>
        </w:rPr>
      </w:pPr>
      <w:r w:rsidRPr="00597025">
        <w:rPr>
          <w:rStyle w:val="Odwoanieprzypisudolnego"/>
          <w:rFonts w:ascii="Times" w:hAnsi="Times"/>
        </w:rPr>
        <w:footnoteRef/>
      </w:r>
      <w:r w:rsidRPr="00597025">
        <w:rPr>
          <w:rFonts w:ascii="Times" w:hAnsi="Times"/>
          <w:lang w:val="en-US"/>
        </w:rPr>
        <w:t xml:space="preserve"> Ibidem.</w:t>
      </w:r>
    </w:p>
  </w:footnote>
  <w:footnote w:id="10">
    <w:p w14:paraId="6557B3B4" w14:textId="674456B1" w:rsidR="00400501" w:rsidRPr="00597025" w:rsidRDefault="00400501">
      <w:pPr>
        <w:pStyle w:val="Tekstprzypisudolnego"/>
        <w:rPr>
          <w:rFonts w:ascii="Times" w:hAnsi="Times"/>
          <w:lang w:val="en-US"/>
        </w:rPr>
      </w:pPr>
      <w:r w:rsidRPr="00597025">
        <w:rPr>
          <w:rStyle w:val="Odwoanieprzypisudolnego"/>
          <w:rFonts w:ascii="Times" w:hAnsi="Times"/>
        </w:rPr>
        <w:footnoteRef/>
      </w:r>
      <w:r w:rsidRPr="00597025">
        <w:rPr>
          <w:rFonts w:ascii="Times" w:hAnsi="Times"/>
          <w:lang w:val="en-US"/>
        </w:rPr>
        <w:t xml:space="preserve"> Article 212</w:t>
      </w:r>
      <w:r w:rsidR="0023352F" w:rsidRPr="00597025">
        <w:rPr>
          <w:rFonts w:ascii="Times" w:hAnsi="Times"/>
          <w:lang w:val="en-US"/>
        </w:rPr>
        <w:t>, Act of June 6, 1997. - Criminal Code.</w:t>
      </w:r>
    </w:p>
  </w:footnote>
  <w:footnote w:id="11">
    <w:p w14:paraId="4CE22103" w14:textId="5A01AA60" w:rsidR="00400501" w:rsidRPr="00597025" w:rsidRDefault="00400501">
      <w:pPr>
        <w:pStyle w:val="Tekstprzypisudolnego"/>
        <w:rPr>
          <w:rFonts w:ascii="Times" w:hAnsi="Times"/>
          <w:lang w:val="en-US"/>
        </w:rPr>
      </w:pPr>
      <w:r w:rsidRPr="00597025">
        <w:rPr>
          <w:rStyle w:val="Odwoanieprzypisudolnego"/>
          <w:rFonts w:ascii="Times" w:hAnsi="Times"/>
        </w:rPr>
        <w:footnoteRef/>
      </w:r>
      <w:r w:rsidRPr="00597025">
        <w:rPr>
          <w:rFonts w:ascii="Times" w:hAnsi="Times"/>
          <w:lang w:val="en-US"/>
        </w:rPr>
        <w:t xml:space="preserve"> Article 216</w:t>
      </w:r>
      <w:r w:rsidR="0023352F" w:rsidRPr="00597025">
        <w:rPr>
          <w:rFonts w:ascii="Times" w:hAnsi="Times"/>
          <w:lang w:val="en-US"/>
        </w:rPr>
        <w:t>, Act of June 6, 1997 - Criminal Code.</w:t>
      </w:r>
    </w:p>
  </w:footnote>
  <w:footnote w:id="12">
    <w:p w14:paraId="3EB38769" w14:textId="1E531F4E" w:rsidR="00400501" w:rsidRPr="00597025" w:rsidRDefault="00400501">
      <w:pPr>
        <w:pStyle w:val="Tekstprzypisudolnego"/>
        <w:rPr>
          <w:rFonts w:ascii="Times" w:hAnsi="Times"/>
          <w:lang w:val="en-US"/>
        </w:rPr>
      </w:pPr>
      <w:r w:rsidRPr="00597025">
        <w:rPr>
          <w:rStyle w:val="Odwoanieprzypisudolnego"/>
          <w:rFonts w:ascii="Times" w:hAnsi="Times"/>
        </w:rPr>
        <w:footnoteRef/>
      </w:r>
      <w:r w:rsidRPr="00597025">
        <w:rPr>
          <w:rFonts w:ascii="Times" w:hAnsi="Times"/>
          <w:lang w:val="en-US"/>
        </w:rPr>
        <w:t xml:space="preserve"> Article 217 and 217a</w:t>
      </w:r>
      <w:r w:rsidR="0023352F" w:rsidRPr="00597025">
        <w:rPr>
          <w:rFonts w:ascii="Times" w:hAnsi="Times"/>
          <w:lang w:val="en-US"/>
        </w:rPr>
        <w:t>, Act of June 6, 1997 - Criminal Code.</w:t>
      </w:r>
    </w:p>
  </w:footnote>
  <w:footnote w:id="13">
    <w:p w14:paraId="3C71FA1E" w14:textId="0898412A" w:rsidR="00400501" w:rsidRPr="00597025" w:rsidRDefault="00400501">
      <w:pPr>
        <w:pStyle w:val="Tekstprzypisudolnego"/>
        <w:rPr>
          <w:rFonts w:ascii="Times" w:hAnsi="Times"/>
          <w:lang w:val="en-US"/>
        </w:rPr>
      </w:pPr>
      <w:r w:rsidRPr="00597025">
        <w:rPr>
          <w:rStyle w:val="Odwoanieprzypisudolnego"/>
          <w:rFonts w:ascii="Times" w:hAnsi="Times"/>
        </w:rPr>
        <w:footnoteRef/>
      </w:r>
      <w:r w:rsidRPr="00597025">
        <w:rPr>
          <w:rFonts w:ascii="Times" w:hAnsi="Times"/>
          <w:lang w:val="en-US"/>
        </w:rPr>
        <w:t xml:space="preserve"> Article 158</w:t>
      </w:r>
      <w:r w:rsidR="0023352F" w:rsidRPr="00597025">
        <w:rPr>
          <w:rFonts w:ascii="Times" w:hAnsi="Times"/>
          <w:lang w:val="en-US"/>
        </w:rPr>
        <w:t>, Act of June 6, 1997 - Criminal Code.</w:t>
      </w:r>
    </w:p>
  </w:footnote>
  <w:footnote w:id="14">
    <w:p w14:paraId="75896BFA" w14:textId="73AB68D2" w:rsidR="00400501" w:rsidRPr="00597025" w:rsidRDefault="00400501">
      <w:pPr>
        <w:pStyle w:val="Tekstprzypisudolnego"/>
        <w:rPr>
          <w:lang w:val="en-US"/>
        </w:rPr>
      </w:pPr>
      <w:r w:rsidRPr="00597025">
        <w:rPr>
          <w:rStyle w:val="Odwoanieprzypisudolnego"/>
          <w:rFonts w:ascii="Times" w:hAnsi="Times"/>
        </w:rPr>
        <w:footnoteRef/>
      </w:r>
      <w:r w:rsidRPr="00597025">
        <w:rPr>
          <w:rFonts w:ascii="Times" w:hAnsi="Times"/>
          <w:lang w:val="en-US"/>
        </w:rPr>
        <w:t xml:space="preserve"> Article 23</w:t>
      </w:r>
      <w:r w:rsidR="0023352F" w:rsidRPr="00597025">
        <w:rPr>
          <w:rFonts w:ascii="Times" w:hAnsi="Times"/>
          <w:lang w:val="en-US"/>
        </w:rPr>
        <w:t>, Act of April 23, 1964 - Civil Code.</w:t>
      </w:r>
    </w:p>
  </w:footnote>
  <w:footnote w:id="15">
    <w:p w14:paraId="4514B810" w14:textId="3E15A265" w:rsidR="00881170" w:rsidRPr="00597025" w:rsidRDefault="00881170">
      <w:pPr>
        <w:pStyle w:val="Tekstprzypisudolnego"/>
        <w:rPr>
          <w:rFonts w:ascii="Times" w:hAnsi="Times"/>
          <w:lang w:val="en-US"/>
        </w:rPr>
      </w:pPr>
      <w:r w:rsidRPr="00597025">
        <w:rPr>
          <w:rStyle w:val="Odwoanieprzypisudolnego"/>
          <w:rFonts w:ascii="Times" w:hAnsi="Times"/>
        </w:rPr>
        <w:footnoteRef/>
      </w:r>
      <w:r w:rsidRPr="00597025">
        <w:rPr>
          <w:rFonts w:ascii="Times" w:hAnsi="Times"/>
          <w:lang w:val="en-US"/>
        </w:rPr>
        <w:t xml:space="preserve"> </w:t>
      </w:r>
      <w:r w:rsidR="002D6F64" w:rsidRPr="00597025">
        <w:rPr>
          <w:rFonts w:ascii="Times" w:hAnsi="Times"/>
          <w:lang w:val="en-US"/>
        </w:rPr>
        <w:t>Article 33</w:t>
      </w:r>
      <w:r w:rsidR="0023352F" w:rsidRPr="0023352F">
        <w:rPr>
          <w:rFonts w:ascii="Times" w:hAnsi="Times"/>
          <w:lang w:val="en-US"/>
        </w:rPr>
        <w:t xml:space="preserve">, </w:t>
      </w:r>
      <w:r w:rsidR="0023352F" w:rsidRPr="0023352F">
        <w:rPr>
          <w:rFonts w:ascii="Times" w:hAnsi="Times" w:cs="Open Sans"/>
          <w:color w:val="333333"/>
          <w:shd w:val="clear" w:color="auto" w:fill="FFFFFF"/>
          <w:lang w:val="en-US"/>
        </w:rPr>
        <w:t>Constitution of the Republic of Poland of April 2, 1997.</w:t>
      </w:r>
    </w:p>
  </w:footnote>
  <w:footnote w:id="16">
    <w:p w14:paraId="026DAF68" w14:textId="668E2C2A" w:rsidR="00D62520" w:rsidRPr="00597025" w:rsidRDefault="00D62520">
      <w:pPr>
        <w:pStyle w:val="Tekstprzypisudolnego"/>
        <w:rPr>
          <w:rFonts w:ascii="Times" w:hAnsi="Times"/>
          <w:lang w:val="en-US"/>
        </w:rPr>
      </w:pPr>
      <w:r w:rsidRPr="00597025">
        <w:rPr>
          <w:rStyle w:val="Odwoanieprzypisudolnego"/>
          <w:rFonts w:ascii="Times" w:hAnsi="Times"/>
        </w:rPr>
        <w:footnoteRef/>
      </w:r>
      <w:r w:rsidRPr="00597025">
        <w:rPr>
          <w:rFonts w:ascii="Times" w:hAnsi="Times"/>
          <w:lang w:val="en-US"/>
        </w:rPr>
        <w:t xml:space="preserve"> Article 18 (3a)</w:t>
      </w:r>
      <w:r w:rsidR="0023352F" w:rsidRPr="00597025">
        <w:rPr>
          <w:rFonts w:ascii="Times" w:hAnsi="Times"/>
          <w:lang w:val="en-US"/>
        </w:rPr>
        <w:t>, Act of June 26, 1974 - Labor Code.</w:t>
      </w:r>
    </w:p>
  </w:footnote>
  <w:footnote w:id="17">
    <w:p w14:paraId="35D4B71E" w14:textId="7AFC6478" w:rsidR="00257136" w:rsidRPr="00597025" w:rsidRDefault="00257136" w:rsidP="00257136">
      <w:pPr>
        <w:pStyle w:val="Tekstprzypisudolnego"/>
        <w:rPr>
          <w:rFonts w:ascii="Times" w:hAnsi="Times"/>
          <w:lang w:val="en-US"/>
        </w:rPr>
      </w:pPr>
      <w:r w:rsidRPr="00597025">
        <w:rPr>
          <w:rStyle w:val="Odwoanieprzypisudolnego"/>
          <w:rFonts w:ascii="Times" w:hAnsi="Times"/>
        </w:rPr>
        <w:footnoteRef/>
      </w:r>
      <w:r w:rsidRPr="00597025">
        <w:rPr>
          <w:rFonts w:ascii="Times" w:hAnsi="Times"/>
          <w:lang w:val="en-US"/>
        </w:rPr>
        <w:t xml:space="preserve"> </w:t>
      </w:r>
      <w:r w:rsidR="0023352F" w:rsidRPr="00597025">
        <w:rPr>
          <w:rFonts w:ascii="Times" w:hAnsi="Times"/>
          <w:lang w:val="en-US"/>
        </w:rPr>
        <w:t>Act of December 3, 2010 on the implementation of certain provisions of the European Union on equal treatment</w:t>
      </w:r>
      <w:r w:rsidRPr="00597025">
        <w:rPr>
          <w:rFonts w:ascii="Times" w:hAnsi="Times"/>
          <w:lang w:val="en-US"/>
        </w:rPr>
        <w:t>.</w:t>
      </w:r>
    </w:p>
  </w:footnote>
  <w:footnote w:id="18">
    <w:p w14:paraId="4F7C5E96" w14:textId="3BF41065" w:rsidR="0021409A" w:rsidRPr="0021409A" w:rsidRDefault="0021409A">
      <w:pPr>
        <w:pStyle w:val="Tekstprzypisudolnego"/>
        <w:rPr>
          <w:lang w:val="en-US"/>
        </w:rPr>
      </w:pPr>
      <w:r w:rsidRPr="00597025">
        <w:rPr>
          <w:rStyle w:val="Odwoanieprzypisudolnego"/>
          <w:rFonts w:ascii="Times" w:hAnsi="Times"/>
        </w:rPr>
        <w:footnoteRef/>
      </w:r>
      <w:r w:rsidRPr="00597025">
        <w:rPr>
          <w:rFonts w:ascii="Times" w:hAnsi="Times"/>
          <w:lang w:val="en-US"/>
        </w:rPr>
        <w:t xml:space="preserve"> </w:t>
      </w:r>
      <w:r w:rsidRPr="00597025">
        <w:rPr>
          <w:rFonts w:ascii="Times" w:hAnsi="Times" w:cs="Times New Roman"/>
          <w:lang w:val="en-US"/>
        </w:rPr>
        <w:t>Decree of the President of the Republic of 11 July 1932. - Criminal Code</w:t>
      </w:r>
      <w:r w:rsidR="0023352F">
        <w:rPr>
          <w:rFonts w:ascii="Times" w:hAnsi="Times"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E6"/>
    <w:multiLevelType w:val="hybridMultilevel"/>
    <w:tmpl w:val="53AA287C"/>
    <w:lvl w:ilvl="0" w:tplc="B2A4F150">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27A807E1"/>
    <w:multiLevelType w:val="hybridMultilevel"/>
    <w:tmpl w:val="5E10029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36A10CE1"/>
    <w:multiLevelType w:val="multilevel"/>
    <w:tmpl w:val="E23CABB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8F534D4"/>
    <w:multiLevelType w:val="multilevel"/>
    <w:tmpl w:val="AEAECF7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512C02"/>
    <w:multiLevelType w:val="multilevel"/>
    <w:tmpl w:val="E326BC98"/>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52723302"/>
    <w:multiLevelType w:val="hybridMultilevel"/>
    <w:tmpl w:val="201A0516"/>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733F146D"/>
    <w:multiLevelType w:val="multilevel"/>
    <w:tmpl w:val="2AD0E864"/>
    <w:lvl w:ilvl="0">
      <w:start w:val="1"/>
      <w:numFmt w:val="decimal"/>
      <w:lvlText w:val="%1."/>
      <w:lvlJc w:val="left"/>
      <w:pPr>
        <w:ind w:left="862" w:hanging="360"/>
      </w:pPr>
      <w:rPr>
        <w:rFonts w:ascii="Times New Roman" w:hAnsi="Times New Roman" w:cs="Times New Roman" w:hint="default"/>
        <w:color w:val="000000" w:themeColor="text1"/>
      </w:rPr>
    </w:lvl>
    <w:lvl w:ilvl="1">
      <w:start w:val="1"/>
      <w:numFmt w:val="decimal"/>
      <w:isLgl/>
      <w:lvlText w:val="%1.%2"/>
      <w:lvlJc w:val="left"/>
      <w:pPr>
        <w:ind w:left="1631" w:hanging="4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510" w:hanging="1440"/>
      </w:pPr>
      <w:rPr>
        <w:rFonts w:hint="default"/>
      </w:rPr>
    </w:lvl>
  </w:abstractNum>
  <w:abstractNum w:abstractNumId="7" w15:restartNumberingAfterBreak="0">
    <w:nsid w:val="79CB3D6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531619"/>
    <w:multiLevelType w:val="multilevel"/>
    <w:tmpl w:val="E4146576"/>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657876979">
    <w:abstractNumId w:val="6"/>
  </w:num>
  <w:num w:numId="2" w16cid:durableId="1075977455">
    <w:abstractNumId w:val="2"/>
  </w:num>
  <w:num w:numId="3" w16cid:durableId="1638678963">
    <w:abstractNumId w:val="1"/>
  </w:num>
  <w:num w:numId="4" w16cid:durableId="610434059">
    <w:abstractNumId w:val="7"/>
  </w:num>
  <w:num w:numId="5" w16cid:durableId="1503885705">
    <w:abstractNumId w:val="0"/>
  </w:num>
  <w:num w:numId="6" w16cid:durableId="948706663">
    <w:abstractNumId w:val="3"/>
  </w:num>
  <w:num w:numId="7" w16cid:durableId="1284191261">
    <w:abstractNumId w:val="4"/>
  </w:num>
  <w:num w:numId="8" w16cid:durableId="1734347912">
    <w:abstractNumId w:val="8"/>
  </w:num>
  <w:num w:numId="9" w16cid:durableId="1470173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2A"/>
    <w:rsid w:val="0001223A"/>
    <w:rsid w:val="000158C1"/>
    <w:rsid w:val="00095A43"/>
    <w:rsid w:val="00097BEF"/>
    <w:rsid w:val="000B4DBC"/>
    <w:rsid w:val="00101206"/>
    <w:rsid w:val="00131D54"/>
    <w:rsid w:val="0018732C"/>
    <w:rsid w:val="001F25B0"/>
    <w:rsid w:val="0021409A"/>
    <w:rsid w:val="0023352F"/>
    <w:rsid w:val="0024470F"/>
    <w:rsid w:val="00250E88"/>
    <w:rsid w:val="00257136"/>
    <w:rsid w:val="0026389D"/>
    <w:rsid w:val="002C64AD"/>
    <w:rsid w:val="002D6F64"/>
    <w:rsid w:val="003351CF"/>
    <w:rsid w:val="00343EC1"/>
    <w:rsid w:val="0035304D"/>
    <w:rsid w:val="003571C1"/>
    <w:rsid w:val="00383DD8"/>
    <w:rsid w:val="003E45F8"/>
    <w:rsid w:val="00400501"/>
    <w:rsid w:val="00401072"/>
    <w:rsid w:val="00413581"/>
    <w:rsid w:val="00493BA2"/>
    <w:rsid w:val="004D26C0"/>
    <w:rsid w:val="004F570C"/>
    <w:rsid w:val="005443A3"/>
    <w:rsid w:val="00587497"/>
    <w:rsid w:val="00597025"/>
    <w:rsid w:val="005C23D8"/>
    <w:rsid w:val="00616769"/>
    <w:rsid w:val="00665E5A"/>
    <w:rsid w:val="00671192"/>
    <w:rsid w:val="006A59D4"/>
    <w:rsid w:val="006C0D8A"/>
    <w:rsid w:val="006C6540"/>
    <w:rsid w:val="006E145B"/>
    <w:rsid w:val="00703F9C"/>
    <w:rsid w:val="00723691"/>
    <w:rsid w:val="007341D2"/>
    <w:rsid w:val="007409F9"/>
    <w:rsid w:val="00750E60"/>
    <w:rsid w:val="00771C45"/>
    <w:rsid w:val="00780C0C"/>
    <w:rsid w:val="008337AC"/>
    <w:rsid w:val="00845BA3"/>
    <w:rsid w:val="0085321B"/>
    <w:rsid w:val="00881170"/>
    <w:rsid w:val="008D19B9"/>
    <w:rsid w:val="00923548"/>
    <w:rsid w:val="0093146E"/>
    <w:rsid w:val="0097344C"/>
    <w:rsid w:val="009C0DD9"/>
    <w:rsid w:val="009E7837"/>
    <w:rsid w:val="00A06FE8"/>
    <w:rsid w:val="00A45879"/>
    <w:rsid w:val="00A76B86"/>
    <w:rsid w:val="00AC54F8"/>
    <w:rsid w:val="00B83765"/>
    <w:rsid w:val="00B97B20"/>
    <w:rsid w:val="00BD5EA0"/>
    <w:rsid w:val="00BF0015"/>
    <w:rsid w:val="00BF2490"/>
    <w:rsid w:val="00C32A71"/>
    <w:rsid w:val="00C32EC8"/>
    <w:rsid w:val="00C47A1C"/>
    <w:rsid w:val="00C65333"/>
    <w:rsid w:val="00C7174A"/>
    <w:rsid w:val="00C804C7"/>
    <w:rsid w:val="00C8584A"/>
    <w:rsid w:val="00CA0072"/>
    <w:rsid w:val="00D331D6"/>
    <w:rsid w:val="00D34C76"/>
    <w:rsid w:val="00D62520"/>
    <w:rsid w:val="00D90B32"/>
    <w:rsid w:val="00EE7E9C"/>
    <w:rsid w:val="00EF3263"/>
    <w:rsid w:val="00EF572A"/>
    <w:rsid w:val="00F3763D"/>
    <w:rsid w:val="00F41B11"/>
    <w:rsid w:val="00F45122"/>
    <w:rsid w:val="00FC1348"/>
    <w:rsid w:val="00FE03F1"/>
    <w:rsid w:val="00FF1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ED47"/>
  <w15:chartTrackingRefBased/>
  <w15:docId w15:val="{BDE743C6-05D2-49B1-BD06-A12F3212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57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337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EF57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F572A"/>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F572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8337A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8337AC"/>
    <w:pPr>
      <w:ind w:left="720"/>
      <w:contextualSpacing/>
    </w:pPr>
  </w:style>
  <w:style w:type="paragraph" w:styleId="Tekstprzypisudolnego">
    <w:name w:val="footnote text"/>
    <w:basedOn w:val="Normalny"/>
    <w:link w:val="TekstprzypisudolnegoZnak"/>
    <w:uiPriority w:val="99"/>
    <w:semiHidden/>
    <w:unhideWhenUsed/>
    <w:rsid w:val="005C23D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23D8"/>
    <w:rPr>
      <w:sz w:val="20"/>
      <w:szCs w:val="20"/>
    </w:rPr>
  </w:style>
  <w:style w:type="character" w:styleId="Odwoanieprzypisudolnego">
    <w:name w:val="footnote reference"/>
    <w:basedOn w:val="Domylnaczcionkaakapitu"/>
    <w:uiPriority w:val="99"/>
    <w:semiHidden/>
    <w:unhideWhenUsed/>
    <w:rsid w:val="005C23D8"/>
    <w:rPr>
      <w:vertAlign w:val="superscript"/>
    </w:rPr>
  </w:style>
  <w:style w:type="paragraph" w:styleId="Poprawka">
    <w:name w:val="Revision"/>
    <w:hidden/>
    <w:uiPriority w:val="99"/>
    <w:semiHidden/>
    <w:rsid w:val="00587497"/>
    <w:pPr>
      <w:spacing w:after="0" w:line="240" w:lineRule="auto"/>
    </w:pPr>
  </w:style>
  <w:style w:type="character" w:styleId="Odwoaniedokomentarza">
    <w:name w:val="annotation reference"/>
    <w:basedOn w:val="Domylnaczcionkaakapitu"/>
    <w:uiPriority w:val="99"/>
    <w:semiHidden/>
    <w:unhideWhenUsed/>
    <w:rsid w:val="0024470F"/>
    <w:rPr>
      <w:sz w:val="16"/>
      <w:szCs w:val="16"/>
    </w:rPr>
  </w:style>
  <w:style w:type="paragraph" w:styleId="Tekstkomentarza">
    <w:name w:val="annotation text"/>
    <w:basedOn w:val="Normalny"/>
    <w:link w:val="TekstkomentarzaZnak"/>
    <w:uiPriority w:val="99"/>
    <w:semiHidden/>
    <w:unhideWhenUsed/>
    <w:rsid w:val="002447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470F"/>
    <w:rPr>
      <w:sz w:val="20"/>
      <w:szCs w:val="20"/>
    </w:rPr>
  </w:style>
  <w:style w:type="paragraph" w:styleId="Tematkomentarza">
    <w:name w:val="annotation subject"/>
    <w:basedOn w:val="Tekstkomentarza"/>
    <w:next w:val="Tekstkomentarza"/>
    <w:link w:val="TematkomentarzaZnak"/>
    <w:uiPriority w:val="99"/>
    <w:semiHidden/>
    <w:unhideWhenUsed/>
    <w:rsid w:val="0024470F"/>
    <w:rPr>
      <w:b/>
      <w:bCs/>
    </w:rPr>
  </w:style>
  <w:style w:type="character" w:customStyle="1" w:styleId="TematkomentarzaZnak">
    <w:name w:val="Temat komentarza Znak"/>
    <w:basedOn w:val="TekstkomentarzaZnak"/>
    <w:link w:val="Tematkomentarza"/>
    <w:uiPriority w:val="99"/>
    <w:semiHidden/>
    <w:rsid w:val="0024470F"/>
    <w:rPr>
      <w:b/>
      <w:bCs/>
      <w:sz w:val="20"/>
      <w:szCs w:val="20"/>
    </w:rPr>
  </w:style>
  <w:style w:type="paragraph" w:styleId="NormalnyWeb">
    <w:name w:val="Normal (Web)"/>
    <w:basedOn w:val="Normalny"/>
    <w:uiPriority w:val="99"/>
    <w:unhideWhenUsed/>
    <w:rsid w:val="00FE03F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26068">
      <w:bodyDiv w:val="1"/>
      <w:marLeft w:val="0"/>
      <w:marRight w:val="0"/>
      <w:marTop w:val="0"/>
      <w:marBottom w:val="0"/>
      <w:divBdr>
        <w:top w:val="none" w:sz="0" w:space="0" w:color="auto"/>
        <w:left w:val="none" w:sz="0" w:space="0" w:color="auto"/>
        <w:bottom w:val="none" w:sz="0" w:space="0" w:color="auto"/>
        <w:right w:val="none" w:sz="0" w:space="0" w:color="auto"/>
      </w:divBdr>
    </w:div>
    <w:div w:id="20935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Academia</Category>
    <Filename xmlns="d42e65b2-cf21-49c1-b27d-d23f90380c0e" xsi:nil="true"/>
    <Doctype xmlns="d42e65b2-cf21-49c1-b27d-d23f90380c0e">input</Doctype>
    <Contributor xmlns="d42e65b2-cf21-49c1-b27d-d23f90380c0e">Ordo Iuris Institute for Legal Culture, Poland</Contributor>
  </documentManagement>
</p:properties>
</file>

<file path=customXml/itemProps1.xml><?xml version="1.0" encoding="utf-8"?>
<ds:datastoreItem xmlns:ds="http://schemas.openxmlformats.org/officeDocument/2006/customXml" ds:itemID="{4F2064C0-1751-45DB-BD6F-7BCF58B4DEA1}">
  <ds:schemaRefs>
    <ds:schemaRef ds:uri="http://schemas.openxmlformats.org/officeDocument/2006/bibliography"/>
  </ds:schemaRefs>
</ds:datastoreItem>
</file>

<file path=customXml/itemProps2.xml><?xml version="1.0" encoding="utf-8"?>
<ds:datastoreItem xmlns:ds="http://schemas.openxmlformats.org/officeDocument/2006/customXml" ds:itemID="{0EEAAB3E-0C70-4720-A3BA-2D2674C50D58}"/>
</file>

<file path=customXml/itemProps3.xml><?xml version="1.0" encoding="utf-8"?>
<ds:datastoreItem xmlns:ds="http://schemas.openxmlformats.org/officeDocument/2006/customXml" ds:itemID="{60974CE6-9F61-4651-9457-A2D65DF1BC0C}"/>
</file>

<file path=customXml/itemProps4.xml><?xml version="1.0" encoding="utf-8"?>
<ds:datastoreItem xmlns:ds="http://schemas.openxmlformats.org/officeDocument/2006/customXml" ds:itemID="{F5B1126D-EFA2-4706-8AC7-13EB34301D6E}"/>
</file>

<file path=docProps/app.xml><?xml version="1.0" encoding="utf-8"?>
<Properties xmlns="http://schemas.openxmlformats.org/officeDocument/2006/extended-properties" xmlns:vt="http://schemas.openxmlformats.org/officeDocument/2006/docPropsVTypes">
  <Template>Normal.dotm</Template>
  <TotalTime>2</TotalTime>
  <Pages>7</Pages>
  <Words>1825</Words>
  <Characters>10950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Książek</dc:creator>
  <cp:keywords/>
  <dc:description/>
  <cp:lastModifiedBy>Julia Książek</cp:lastModifiedBy>
  <cp:revision>2</cp:revision>
  <dcterms:created xsi:type="dcterms:W3CDTF">2024-01-15T14:23:00Z</dcterms:created>
  <dcterms:modified xsi:type="dcterms:W3CDTF">2024-01-15T14:23:00Z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y fmtid="{D5CDD505-2E9C-101B-9397-08002B2CF9AE}" pid="5" name="Language">
    <vt:lpwstr>English</vt:lpwstr>
  </property>
  <property fmtid="{D5CDD505-2E9C-101B-9397-08002B2CF9AE}" pid="6" name="xd_Signature">
    <vt:bool>false</vt:bool>
  </property>
  <property fmtid="{D5CDD505-2E9C-101B-9397-08002B2CF9AE}" pid="7" name="xd_ProgID">
    <vt:lpwstr/>
  </property>
  <property fmtid="{D5CDD505-2E9C-101B-9397-08002B2CF9AE}" pid="8" name="Security Level">
    <vt:lpwstr>Unclassified</vt:lpwstr>
  </property>
  <property fmtid="{D5CDD505-2E9C-101B-9397-08002B2CF9AE}" pid="9" name="Document Type">
    <vt:lpwstr>UN others</vt:lpwstr>
  </property>
  <property fmtid="{D5CDD505-2E9C-101B-9397-08002B2CF9AE}" pid="10" name="_SourceUrl">
    <vt:lpwstr/>
  </property>
  <property fmtid="{D5CDD505-2E9C-101B-9397-08002B2CF9AE}" pid="11" name="_SharedFileIndex">
    <vt:lpwstr/>
  </property>
  <property fmtid="{D5CDD505-2E9C-101B-9397-08002B2CF9AE}" pid="12" name="UN Official Language">
    <vt:lpwstr>English</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