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6876" w14:textId="0B39B392" w:rsidR="00841806" w:rsidRPr="00841806" w:rsidRDefault="00973C4B" w:rsidP="00841806">
      <w:pPr>
        <w:ind w:right="-1"/>
        <w:jc w:val="both"/>
        <w:rPr>
          <w:b/>
          <w:bCs/>
          <w:color w:val="808080" w:themeColor="background1" w:themeShade="80"/>
          <w:sz w:val="34"/>
          <w:szCs w:val="34"/>
          <w:lang w:val="en-GB"/>
        </w:rPr>
      </w:pPr>
      <w:r w:rsidRPr="00D33602">
        <w:rPr>
          <w:b/>
          <w:color w:val="808080" w:themeColor="background1" w:themeShade="80"/>
          <w:sz w:val="34"/>
          <w:szCs w:val="34"/>
          <w:lang w:val="en-GB"/>
        </w:rPr>
        <w:softHyphen/>
      </w:r>
      <w:r w:rsidRPr="00D33602">
        <w:rPr>
          <w:b/>
          <w:color w:val="808080" w:themeColor="background1" w:themeShade="80"/>
          <w:sz w:val="34"/>
          <w:szCs w:val="34"/>
          <w:lang w:val="en-GB"/>
        </w:rPr>
        <w:softHyphen/>
      </w:r>
      <w:r w:rsidR="001A275B" w:rsidRPr="00D33602">
        <w:rPr>
          <w:b/>
          <w:color w:val="808080" w:themeColor="background1" w:themeShade="80"/>
          <w:sz w:val="34"/>
          <w:szCs w:val="34"/>
          <w:lang w:val="en-GB"/>
        </w:rPr>
        <w:t xml:space="preserve">Questionnaire </w:t>
      </w:r>
      <w:r w:rsidR="00841806">
        <w:rPr>
          <w:b/>
          <w:color w:val="808080" w:themeColor="background1" w:themeShade="80"/>
          <w:sz w:val="34"/>
          <w:szCs w:val="34"/>
          <w:lang w:val="en-GB"/>
        </w:rPr>
        <w:t>in view of t</w:t>
      </w:r>
      <w:r w:rsidR="001B6067" w:rsidRPr="001B6067">
        <w:rPr>
          <w:b/>
          <w:color w:val="808080" w:themeColor="background1" w:themeShade="80"/>
          <w:sz w:val="34"/>
          <w:szCs w:val="34"/>
          <w:lang w:val="en-GB"/>
        </w:rPr>
        <w:t xml:space="preserve">he </w:t>
      </w:r>
      <w:r w:rsidR="00841806">
        <w:rPr>
          <w:b/>
          <w:color w:val="808080" w:themeColor="background1" w:themeShade="80"/>
          <w:sz w:val="34"/>
          <w:szCs w:val="34"/>
          <w:lang w:val="en-GB"/>
        </w:rPr>
        <w:t>R</w:t>
      </w:r>
      <w:r w:rsidR="00841806" w:rsidRPr="00841806">
        <w:rPr>
          <w:b/>
          <w:bCs/>
          <w:color w:val="808080" w:themeColor="background1" w:themeShade="80"/>
          <w:sz w:val="34"/>
          <w:szCs w:val="34"/>
          <w:lang w:val="en-GB"/>
        </w:rPr>
        <w:t>eport of the Independent Expert on protection against violence and discrimination based on sexual orientation and gender identity on Peace, Security, Sexual Orientation, and Gender Identity</w:t>
      </w:r>
    </w:p>
    <w:p w14:paraId="195662D5" w14:textId="77777777" w:rsidR="00161F59" w:rsidRPr="00D33602" w:rsidRDefault="00161F59" w:rsidP="009A3B47">
      <w:pPr>
        <w:pBdr>
          <w:bottom w:val="single" w:sz="12" w:space="1" w:color="auto"/>
        </w:pBdr>
        <w:ind w:right="-1"/>
        <w:rPr>
          <w:rFonts w:cs="Arial"/>
          <w:color w:val="818285"/>
          <w:sz w:val="11"/>
          <w:lang w:val="en-GB"/>
        </w:rPr>
      </w:pPr>
    </w:p>
    <w:p w14:paraId="1AAF8E97" w14:textId="58995256" w:rsidR="00161F59" w:rsidRPr="00D33602" w:rsidRDefault="001A275B" w:rsidP="009A3B47">
      <w:pPr>
        <w:pBdr>
          <w:bottom w:val="single" w:sz="12" w:space="1" w:color="auto"/>
        </w:pBdr>
        <w:ind w:right="-1"/>
        <w:rPr>
          <w:rFonts w:cs="Arial"/>
          <w:color w:val="818285"/>
          <w:sz w:val="28"/>
          <w:lang w:val="en-GB"/>
        </w:rPr>
      </w:pPr>
      <w:r w:rsidRPr="00D33602">
        <w:rPr>
          <w:rFonts w:cs="Arial"/>
          <w:color w:val="818285"/>
          <w:sz w:val="28"/>
          <w:lang w:val="en-GB"/>
        </w:rPr>
        <w:t>Input from the Republic of Malta</w:t>
      </w:r>
    </w:p>
    <w:p w14:paraId="1F653949" w14:textId="77777777" w:rsidR="00161F59" w:rsidRPr="00D33602" w:rsidRDefault="00161F59" w:rsidP="009A3B47">
      <w:pPr>
        <w:pBdr>
          <w:bottom w:val="single" w:sz="12" w:space="1" w:color="auto"/>
        </w:pBdr>
        <w:ind w:right="-1"/>
        <w:rPr>
          <w:rFonts w:cs="Arial"/>
          <w:color w:val="818285"/>
          <w:sz w:val="21"/>
          <w:szCs w:val="20"/>
          <w:lang w:val="en-GB"/>
        </w:rPr>
      </w:pPr>
    </w:p>
    <w:p w14:paraId="5627BF4F" w14:textId="4E7A2CD4" w:rsidR="00161F59" w:rsidRDefault="00161F59" w:rsidP="00973C4B">
      <w:pPr>
        <w:ind w:right="-1"/>
        <w:rPr>
          <w:color w:val="818285"/>
          <w:sz w:val="20"/>
          <w:szCs w:val="20"/>
          <w:lang w:val="en-GB"/>
        </w:rPr>
      </w:pPr>
    </w:p>
    <w:p w14:paraId="643FB55F" w14:textId="77777777" w:rsidR="00841806" w:rsidRDefault="00841806" w:rsidP="001B6067">
      <w:pPr>
        <w:tabs>
          <w:tab w:val="left" w:pos="2070"/>
        </w:tabs>
        <w:overflowPunct w:val="0"/>
        <w:autoSpaceDE w:val="0"/>
        <w:autoSpaceDN w:val="0"/>
        <w:adjustRightInd w:val="0"/>
        <w:spacing w:line="260" w:lineRule="exact"/>
        <w:jc w:val="center"/>
        <w:textAlignment w:val="baseline"/>
        <w:rPr>
          <w:rFonts w:eastAsia="Times New Roman" w:cs="Times New Roman"/>
          <w:color w:val="000000"/>
          <w:sz w:val="22"/>
          <w:szCs w:val="22"/>
          <w:lang w:val="mt-MT"/>
        </w:rPr>
      </w:pPr>
    </w:p>
    <w:p w14:paraId="2C200DDA" w14:textId="77777777" w:rsidR="0043733B" w:rsidRPr="0043733B" w:rsidRDefault="0043733B" w:rsidP="0043733B">
      <w:pPr>
        <w:spacing w:line="276" w:lineRule="auto"/>
        <w:jc w:val="both"/>
        <w:rPr>
          <w:rFonts w:cs="Times New Roman"/>
          <w:i/>
          <w:iCs/>
          <w:sz w:val="22"/>
          <w:szCs w:val="22"/>
        </w:rPr>
      </w:pPr>
      <w:r w:rsidRPr="0043733B">
        <w:rPr>
          <w:rFonts w:cs="Times New Roman"/>
          <w:i/>
          <w:iCs/>
          <w:sz w:val="22"/>
          <w:szCs w:val="22"/>
        </w:rPr>
        <w:t>Question no.1:</w:t>
      </w:r>
    </w:p>
    <w:p w14:paraId="64C0375D" w14:textId="77777777" w:rsidR="0043733B" w:rsidRPr="0043733B" w:rsidRDefault="0043733B" w:rsidP="0043733B">
      <w:pPr>
        <w:spacing w:line="276" w:lineRule="auto"/>
        <w:jc w:val="both"/>
        <w:rPr>
          <w:rFonts w:cs="Times New Roman"/>
          <w:sz w:val="22"/>
          <w:szCs w:val="22"/>
        </w:rPr>
      </w:pPr>
    </w:p>
    <w:p w14:paraId="3D18DC74" w14:textId="77777777" w:rsidR="0043733B" w:rsidRPr="0043733B" w:rsidRDefault="0043733B" w:rsidP="0043733B">
      <w:pPr>
        <w:spacing w:line="276" w:lineRule="auto"/>
        <w:jc w:val="both"/>
        <w:rPr>
          <w:rFonts w:cs="Times New Roman"/>
          <w:sz w:val="22"/>
          <w:szCs w:val="22"/>
          <w:lang w:val="mt-MT"/>
        </w:rPr>
      </w:pPr>
      <w:r w:rsidRPr="0043733B">
        <w:rPr>
          <w:rFonts w:cs="Times New Roman"/>
          <w:sz w:val="22"/>
          <w:szCs w:val="22"/>
          <w:lang w:val="mt-MT"/>
        </w:rPr>
        <w:t>No.</w:t>
      </w:r>
    </w:p>
    <w:p w14:paraId="7DCE16AB" w14:textId="77777777" w:rsidR="0043733B" w:rsidRPr="0043733B" w:rsidRDefault="0043733B" w:rsidP="0043733B">
      <w:pPr>
        <w:spacing w:line="276" w:lineRule="auto"/>
        <w:jc w:val="both"/>
        <w:rPr>
          <w:rFonts w:cs="Times New Roman"/>
          <w:sz w:val="22"/>
          <w:szCs w:val="22"/>
        </w:rPr>
      </w:pPr>
    </w:p>
    <w:p w14:paraId="664897BA" w14:textId="77777777" w:rsidR="0043733B" w:rsidRPr="0043733B" w:rsidRDefault="0043733B" w:rsidP="0043733B">
      <w:pPr>
        <w:spacing w:line="276" w:lineRule="auto"/>
        <w:jc w:val="both"/>
        <w:rPr>
          <w:rFonts w:cs="Times New Roman"/>
          <w:i/>
          <w:iCs/>
          <w:sz w:val="22"/>
          <w:szCs w:val="22"/>
        </w:rPr>
      </w:pPr>
      <w:r w:rsidRPr="0043733B">
        <w:rPr>
          <w:rFonts w:cs="Times New Roman"/>
          <w:i/>
          <w:iCs/>
          <w:sz w:val="22"/>
          <w:szCs w:val="22"/>
        </w:rPr>
        <w:t>Question no.2:</w:t>
      </w:r>
    </w:p>
    <w:p w14:paraId="09F1B349" w14:textId="77777777" w:rsidR="0043733B" w:rsidRPr="0043733B" w:rsidRDefault="0043733B" w:rsidP="0043733B">
      <w:pPr>
        <w:spacing w:line="276" w:lineRule="auto"/>
        <w:jc w:val="both"/>
        <w:rPr>
          <w:rFonts w:cs="Times New Roman"/>
          <w:sz w:val="22"/>
          <w:szCs w:val="22"/>
        </w:rPr>
      </w:pPr>
    </w:p>
    <w:p w14:paraId="18779C89" w14:textId="77777777" w:rsidR="0043733B" w:rsidRPr="0043733B" w:rsidRDefault="0043733B" w:rsidP="0043733B">
      <w:pPr>
        <w:spacing w:line="276" w:lineRule="auto"/>
        <w:jc w:val="both"/>
        <w:rPr>
          <w:rFonts w:cs="Times New Roman"/>
          <w:sz w:val="22"/>
          <w:szCs w:val="22"/>
        </w:rPr>
      </w:pPr>
      <w:r w:rsidRPr="0043733B">
        <w:rPr>
          <w:rFonts w:cs="Times New Roman"/>
          <w:sz w:val="22"/>
          <w:szCs w:val="22"/>
          <w:lang w:val="mt-MT"/>
        </w:rPr>
        <w:t>Malta has ratified the</w:t>
      </w:r>
      <w:r w:rsidRPr="0043733B">
        <w:rPr>
          <w:rFonts w:cs="Times New Roman"/>
          <w:sz w:val="22"/>
          <w:szCs w:val="22"/>
        </w:rPr>
        <w:t xml:space="preserve"> following:</w:t>
      </w:r>
    </w:p>
    <w:p w14:paraId="3FBD0345" w14:textId="77777777" w:rsidR="0043733B" w:rsidRPr="0043733B" w:rsidRDefault="0043733B" w:rsidP="0043733B">
      <w:pPr>
        <w:spacing w:line="276" w:lineRule="auto"/>
        <w:jc w:val="both"/>
        <w:rPr>
          <w:rFonts w:cs="Times New Roman"/>
          <w:sz w:val="22"/>
          <w:szCs w:val="22"/>
        </w:rPr>
      </w:pPr>
    </w:p>
    <w:p w14:paraId="51333D31"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Geneva Convention (I) for the Amelioration of the Condition of the Wounded and Sick in Armed Forces in the Field – Ratified on </w:t>
      </w:r>
      <w:proofErr w:type="gramStart"/>
      <w:r w:rsidRPr="0043733B">
        <w:rPr>
          <w:rFonts w:cs="Times New Roman"/>
        </w:rPr>
        <w:t>22.08.1968;</w:t>
      </w:r>
      <w:proofErr w:type="gramEnd"/>
    </w:p>
    <w:p w14:paraId="35BF5373"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Geneva Convention (II) for the Amelioration of the Condition of Wounded, Sick and Shipwrecked Members of Armed Forces at Sea – Ratified on </w:t>
      </w:r>
      <w:proofErr w:type="gramStart"/>
      <w:r w:rsidRPr="0043733B">
        <w:rPr>
          <w:rFonts w:cs="Times New Roman"/>
        </w:rPr>
        <w:t>22.08.1968;</w:t>
      </w:r>
      <w:proofErr w:type="gramEnd"/>
    </w:p>
    <w:p w14:paraId="07F123AB"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Geneva Convention (III) relative to the Treatment of Prisoners of War – </w:t>
      </w:r>
      <w:bookmarkStart w:id="0" w:name="_Hlk98492534"/>
      <w:r w:rsidRPr="0043733B">
        <w:rPr>
          <w:rFonts w:cs="Times New Roman"/>
        </w:rPr>
        <w:t xml:space="preserve">Ratified on </w:t>
      </w:r>
      <w:proofErr w:type="gramStart"/>
      <w:r w:rsidRPr="0043733B">
        <w:rPr>
          <w:rFonts w:cs="Times New Roman"/>
        </w:rPr>
        <w:t>22.08.1968;</w:t>
      </w:r>
      <w:bookmarkEnd w:id="0"/>
      <w:proofErr w:type="gramEnd"/>
    </w:p>
    <w:p w14:paraId="48F21623"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Geneva Convention (IV) relative to the Protection of Civilian Persons in Time of War – Signed on </w:t>
      </w:r>
      <w:proofErr w:type="gramStart"/>
      <w:r w:rsidRPr="0043733B">
        <w:rPr>
          <w:rFonts w:cs="Times New Roman"/>
        </w:rPr>
        <w:t>22.08.1968;</w:t>
      </w:r>
      <w:proofErr w:type="gramEnd"/>
    </w:p>
    <w:p w14:paraId="0A480D57"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Final Act of the Diplomatic Conference of Geneva of 1974-1977 – Signed on </w:t>
      </w:r>
      <w:proofErr w:type="gramStart"/>
      <w:r w:rsidRPr="0043733B">
        <w:rPr>
          <w:rFonts w:cs="Times New Roman"/>
        </w:rPr>
        <w:t>10.06.1977;</w:t>
      </w:r>
      <w:proofErr w:type="gramEnd"/>
    </w:p>
    <w:p w14:paraId="0934872B"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Protocol Additional to the Geneva Conventions of 12 August 1949, and relating to the Protection of Victims of International Armed Conflicts (Protocol I) – Ratified on </w:t>
      </w:r>
      <w:proofErr w:type="gramStart"/>
      <w:r w:rsidRPr="0043733B">
        <w:rPr>
          <w:rFonts w:cs="Times New Roman"/>
        </w:rPr>
        <w:t>17.04.1989;</w:t>
      </w:r>
      <w:proofErr w:type="gramEnd"/>
    </w:p>
    <w:p w14:paraId="3F3237D1"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Protocol Additional to the Geneva Conventions of 12 August 1949, and relating to the Protection of Victims of Non-International Armed Conflicts (Protocol II) – Ratified on </w:t>
      </w:r>
      <w:proofErr w:type="gramStart"/>
      <w:r w:rsidRPr="0043733B">
        <w:rPr>
          <w:rFonts w:cs="Times New Roman"/>
        </w:rPr>
        <w:t>17.04.1989;</w:t>
      </w:r>
      <w:proofErr w:type="gramEnd"/>
    </w:p>
    <w:p w14:paraId="04941370"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Convention on the Rights of the Child – Ratified on </w:t>
      </w:r>
      <w:proofErr w:type="gramStart"/>
      <w:r w:rsidRPr="0043733B">
        <w:rPr>
          <w:rFonts w:cs="Times New Roman"/>
        </w:rPr>
        <w:t>30.09.1990;</w:t>
      </w:r>
      <w:proofErr w:type="gramEnd"/>
    </w:p>
    <w:p w14:paraId="3FBA603E"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Optional Protocol to the Convention on the Rights of the Child on the involvement of children in armed conflict – Ratified on </w:t>
      </w:r>
      <w:proofErr w:type="gramStart"/>
      <w:r w:rsidRPr="0043733B">
        <w:rPr>
          <w:rFonts w:cs="Times New Roman"/>
        </w:rPr>
        <w:t>09.05.2002;</w:t>
      </w:r>
      <w:proofErr w:type="gramEnd"/>
    </w:p>
    <w:p w14:paraId="6C0AF8F9"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shd w:val="clear" w:color="auto" w:fill="FFFFFF"/>
        </w:rPr>
        <w:t xml:space="preserve">Geneva Protocol for the Prohibition of the Use of Asphyxiating, Poisonous or Other Gases, and of Bacteriological Methods of Warfare </w:t>
      </w:r>
      <w:r w:rsidRPr="0043733B">
        <w:rPr>
          <w:rFonts w:cs="Times New Roman"/>
        </w:rPr>
        <w:t xml:space="preserve">– Ratified on </w:t>
      </w:r>
      <w:proofErr w:type="gramStart"/>
      <w:r w:rsidRPr="0043733B">
        <w:rPr>
          <w:rFonts w:cs="Times New Roman"/>
        </w:rPr>
        <w:t>21.09.1964;</w:t>
      </w:r>
      <w:proofErr w:type="gramEnd"/>
    </w:p>
    <w:p w14:paraId="7BFE491C"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Convention on the Prohibition of the Development, Production and Stockpiling of Bacteriological (Biological) and Toxin Weapons and on their Destruction – Ratified on </w:t>
      </w:r>
      <w:proofErr w:type="gramStart"/>
      <w:r w:rsidRPr="0043733B">
        <w:rPr>
          <w:rFonts w:cs="Times New Roman"/>
        </w:rPr>
        <w:t>07.04.1975;</w:t>
      </w:r>
      <w:proofErr w:type="gramEnd"/>
    </w:p>
    <w:p w14:paraId="6547C3A9"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Geneva Convention on Prohibitions or Restrictions on the Use of Certain Conventional Weapons Which May be Deemed to be Excessively Injurious or to Have Indiscriminate Effects – Ratified on </w:t>
      </w:r>
      <w:proofErr w:type="gramStart"/>
      <w:r w:rsidRPr="0043733B">
        <w:rPr>
          <w:rFonts w:cs="Times New Roman"/>
        </w:rPr>
        <w:t>26.06.1995;</w:t>
      </w:r>
      <w:proofErr w:type="gramEnd"/>
    </w:p>
    <w:p w14:paraId="0D2A1A6A"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Geneva Protocol on Non-Detectable Fragments (Protocol I) – Ratified on </w:t>
      </w:r>
      <w:proofErr w:type="gramStart"/>
      <w:r w:rsidRPr="0043733B">
        <w:rPr>
          <w:rFonts w:cs="Times New Roman"/>
        </w:rPr>
        <w:t>26.06.1995;</w:t>
      </w:r>
      <w:proofErr w:type="gramEnd"/>
    </w:p>
    <w:p w14:paraId="23441D31"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lastRenderedPageBreak/>
        <w:t xml:space="preserve">Geneva Protocol (II) on Prohibitions or Restrictions on the Use of Mines, Booby-Traps and Other Devices – Ratified on </w:t>
      </w:r>
      <w:proofErr w:type="gramStart"/>
      <w:r w:rsidRPr="0043733B">
        <w:rPr>
          <w:rFonts w:cs="Times New Roman"/>
        </w:rPr>
        <w:t>26.06.1995;</w:t>
      </w:r>
      <w:proofErr w:type="gramEnd"/>
    </w:p>
    <w:p w14:paraId="07209BA0"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Geneva Protocol on Prohibitions or Restrictions on the Use of Incendiary Weapons (Protocol III) – Ratified on </w:t>
      </w:r>
      <w:proofErr w:type="gramStart"/>
      <w:r w:rsidRPr="0043733B">
        <w:rPr>
          <w:rFonts w:cs="Times New Roman"/>
        </w:rPr>
        <w:t>26.06.1995;</w:t>
      </w:r>
      <w:proofErr w:type="gramEnd"/>
    </w:p>
    <w:p w14:paraId="08FEECCB"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Paris Convention on the prohibition of the development, production, stockpiling and use of chemical weapons and on their destruction – Ratified on </w:t>
      </w:r>
      <w:proofErr w:type="gramStart"/>
      <w:r w:rsidRPr="0043733B">
        <w:rPr>
          <w:rFonts w:cs="Times New Roman"/>
        </w:rPr>
        <w:t>28.04.1997;</w:t>
      </w:r>
      <w:proofErr w:type="gramEnd"/>
    </w:p>
    <w:p w14:paraId="36CEECE8"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Protocol on Blinding Laser Weapons (Protocol IV to the 1980 Convention) – Ratified on </w:t>
      </w:r>
      <w:proofErr w:type="gramStart"/>
      <w:r w:rsidRPr="0043733B">
        <w:rPr>
          <w:rFonts w:cs="Times New Roman"/>
        </w:rPr>
        <w:t>24.09.2004;</w:t>
      </w:r>
      <w:proofErr w:type="gramEnd"/>
    </w:p>
    <w:p w14:paraId="3B634CDC"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Protocol on Prohibitions or Restrictions on the Use of Mines, Booby-Traps and Other Devices as amended on 3 May 1996 (Protocol II to the 1980 CCW Convention as amended on 3 May 1996) – Ratified on </w:t>
      </w:r>
      <w:proofErr w:type="gramStart"/>
      <w:r w:rsidRPr="0043733B">
        <w:rPr>
          <w:rFonts w:cs="Times New Roman"/>
        </w:rPr>
        <w:t>24.09.2004;</w:t>
      </w:r>
      <w:proofErr w:type="gramEnd"/>
    </w:p>
    <w:p w14:paraId="6B885FD2"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Convention on the Prohibition of the Use, Stockpiling, Production and Transfer of Anti-Personnel Mines and on their Destruction, 18 September 1997 – Ratified on </w:t>
      </w:r>
      <w:proofErr w:type="gramStart"/>
      <w:r w:rsidRPr="0043733B">
        <w:rPr>
          <w:rFonts w:cs="Times New Roman"/>
        </w:rPr>
        <w:t>07.05.2001;</w:t>
      </w:r>
      <w:proofErr w:type="gramEnd"/>
    </w:p>
    <w:p w14:paraId="69D0FB90"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Geneva Convention on Prohibitions or Restrictions on the Use of Certain Conventional Weapons Which May be Deemed to be Excessively Injurious or to Have Indiscriminate Effects – Ratified on </w:t>
      </w:r>
      <w:proofErr w:type="gramStart"/>
      <w:r w:rsidRPr="0043733B">
        <w:rPr>
          <w:rFonts w:cs="Times New Roman"/>
        </w:rPr>
        <w:t>24.09.2004;</w:t>
      </w:r>
      <w:proofErr w:type="gramEnd"/>
    </w:p>
    <w:p w14:paraId="114FC252"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Protocol on Explosive Remnants of War (Protocol V to the 1980 CCW Convention) – Ratified on </w:t>
      </w:r>
      <w:proofErr w:type="gramStart"/>
      <w:r w:rsidRPr="0043733B">
        <w:rPr>
          <w:rFonts w:cs="Times New Roman"/>
        </w:rPr>
        <w:t>22.09.2006;</w:t>
      </w:r>
      <w:proofErr w:type="gramEnd"/>
    </w:p>
    <w:p w14:paraId="3BDE72B2"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Convention on Cluster Munitions – Ratified on </w:t>
      </w:r>
      <w:proofErr w:type="gramStart"/>
      <w:r w:rsidRPr="0043733B">
        <w:rPr>
          <w:rFonts w:cs="Times New Roman"/>
        </w:rPr>
        <w:t>24.09.2009;</w:t>
      </w:r>
      <w:proofErr w:type="gramEnd"/>
    </w:p>
    <w:p w14:paraId="5FE2E543"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Treaty on the Prohibition of </w:t>
      </w:r>
      <w:proofErr w:type="gramStart"/>
      <w:r w:rsidRPr="0043733B">
        <w:rPr>
          <w:rFonts w:cs="Times New Roman"/>
        </w:rPr>
        <w:t>Nuclear Weapons</w:t>
      </w:r>
      <w:proofErr w:type="gramEnd"/>
      <w:r w:rsidRPr="0043733B">
        <w:rPr>
          <w:rFonts w:cs="Times New Roman"/>
        </w:rPr>
        <w:t xml:space="preserve"> – Ratified on 21.09.2020;</w:t>
      </w:r>
    </w:p>
    <w:p w14:paraId="1E8229F0"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Rome Statute of the International Criminal Court – Ratified on </w:t>
      </w:r>
      <w:proofErr w:type="gramStart"/>
      <w:r w:rsidRPr="0043733B">
        <w:rPr>
          <w:rFonts w:cs="Times New Roman"/>
        </w:rPr>
        <w:t>29.11.2002;</w:t>
      </w:r>
      <w:proofErr w:type="gramEnd"/>
    </w:p>
    <w:p w14:paraId="028F9390"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Amendment to the Rome Statute of the International Criminal Court on War Crimes, amended article 8, 10 June 2010 – Ratified on </w:t>
      </w:r>
      <w:proofErr w:type="gramStart"/>
      <w:r w:rsidRPr="0043733B">
        <w:rPr>
          <w:rFonts w:cs="Times New Roman"/>
        </w:rPr>
        <w:t>30.01.2015;</w:t>
      </w:r>
      <w:proofErr w:type="gramEnd"/>
    </w:p>
    <w:p w14:paraId="591CB7B4"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Amendment to the Rome Statute of the International Criminal Court on the Crime of Aggression, articles 8bis, 15bis and 15ter, 11 June 2010 – Ratified on </w:t>
      </w:r>
      <w:proofErr w:type="gramStart"/>
      <w:r w:rsidRPr="0043733B">
        <w:rPr>
          <w:rFonts w:cs="Times New Roman"/>
        </w:rPr>
        <w:t>30.01.2015;</w:t>
      </w:r>
      <w:proofErr w:type="gramEnd"/>
    </w:p>
    <w:p w14:paraId="3DC05DAB"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 xml:space="preserve">Convention on the Prevention and Punishment of the Crime of Genocide – Ratified on </w:t>
      </w:r>
      <w:proofErr w:type="gramStart"/>
      <w:r w:rsidRPr="0043733B">
        <w:rPr>
          <w:rFonts w:cs="Times New Roman"/>
        </w:rPr>
        <w:t>06.06.2014;</w:t>
      </w:r>
      <w:proofErr w:type="gramEnd"/>
    </w:p>
    <w:p w14:paraId="17D63B78"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International Convention for the Protection of all Persons from Enforced Disappearance – Ratified on 27.03.2015; and</w:t>
      </w:r>
    </w:p>
    <w:p w14:paraId="10B435FA" w14:textId="77777777" w:rsidR="0043733B" w:rsidRPr="0043733B" w:rsidRDefault="0043733B" w:rsidP="0043733B">
      <w:pPr>
        <w:pStyle w:val="ListParagraph"/>
        <w:numPr>
          <w:ilvl w:val="0"/>
          <w:numId w:val="21"/>
        </w:numPr>
        <w:spacing w:after="0" w:line="276" w:lineRule="auto"/>
        <w:jc w:val="both"/>
        <w:rPr>
          <w:rFonts w:cs="Times New Roman"/>
        </w:rPr>
      </w:pPr>
      <w:r w:rsidRPr="0043733B">
        <w:rPr>
          <w:rFonts w:cs="Times New Roman"/>
        </w:rPr>
        <w:t>Arms Trade Treaty – Ratified on 02.04.2014.</w:t>
      </w:r>
    </w:p>
    <w:p w14:paraId="6C8760F4" w14:textId="77777777" w:rsidR="0043733B" w:rsidRPr="0043733B" w:rsidRDefault="0043733B" w:rsidP="0043733B">
      <w:pPr>
        <w:spacing w:line="276" w:lineRule="auto"/>
        <w:jc w:val="both"/>
        <w:rPr>
          <w:rFonts w:cs="Times New Roman"/>
          <w:i/>
          <w:iCs/>
          <w:sz w:val="22"/>
          <w:szCs w:val="22"/>
        </w:rPr>
      </w:pPr>
    </w:p>
    <w:p w14:paraId="209F6621" w14:textId="77777777" w:rsidR="0043733B" w:rsidRPr="0043733B" w:rsidRDefault="0043733B" w:rsidP="0043733B">
      <w:pPr>
        <w:spacing w:line="276" w:lineRule="auto"/>
        <w:jc w:val="both"/>
        <w:rPr>
          <w:rFonts w:cs="Times New Roman"/>
          <w:i/>
          <w:iCs/>
          <w:sz w:val="22"/>
          <w:szCs w:val="22"/>
        </w:rPr>
      </w:pPr>
      <w:r w:rsidRPr="0043733B">
        <w:rPr>
          <w:rFonts w:cs="Times New Roman"/>
          <w:i/>
          <w:iCs/>
          <w:sz w:val="22"/>
          <w:szCs w:val="22"/>
        </w:rPr>
        <w:t>Question no.</w:t>
      </w:r>
      <w:proofErr w:type="gramStart"/>
      <w:r w:rsidRPr="0043733B">
        <w:rPr>
          <w:rFonts w:cs="Times New Roman"/>
          <w:i/>
          <w:iCs/>
          <w:sz w:val="22"/>
          <w:szCs w:val="22"/>
        </w:rPr>
        <w:t>2.a.</w:t>
      </w:r>
      <w:proofErr w:type="gramEnd"/>
      <w:r w:rsidRPr="0043733B">
        <w:rPr>
          <w:rFonts w:cs="Times New Roman"/>
          <w:i/>
          <w:iCs/>
          <w:sz w:val="22"/>
          <w:szCs w:val="22"/>
        </w:rPr>
        <w:t>:</w:t>
      </w:r>
    </w:p>
    <w:p w14:paraId="1E1DD2A3" w14:textId="77777777" w:rsidR="0043733B" w:rsidRPr="0043733B" w:rsidRDefault="0043733B" w:rsidP="0043733B">
      <w:pPr>
        <w:spacing w:line="276" w:lineRule="auto"/>
        <w:jc w:val="both"/>
        <w:rPr>
          <w:rFonts w:cs="Times New Roman"/>
          <w:sz w:val="22"/>
          <w:szCs w:val="22"/>
        </w:rPr>
      </w:pPr>
    </w:p>
    <w:p w14:paraId="79267819" w14:textId="77777777" w:rsidR="0043733B" w:rsidRPr="0043733B" w:rsidRDefault="0043733B" w:rsidP="0043733B">
      <w:pPr>
        <w:spacing w:line="276" w:lineRule="auto"/>
        <w:jc w:val="both"/>
        <w:rPr>
          <w:rFonts w:cs="Times New Roman"/>
          <w:sz w:val="22"/>
          <w:szCs w:val="22"/>
        </w:rPr>
      </w:pPr>
      <w:r w:rsidRPr="0043733B">
        <w:rPr>
          <w:rFonts w:cs="Times New Roman"/>
          <w:sz w:val="22"/>
          <w:szCs w:val="22"/>
        </w:rPr>
        <w:t>Despite the above extensive list, there have not been situations of armed conflicts after the ratification of the listed instruments, and naturally, no court has been posed with questions relating to their interpretation in conflict contexts. Thus, none of these instruments have been utilized or interpreted by domestic courts or other authorities with a gender-specific perspective aiming to address the causes and consequences of armed conflict.</w:t>
      </w:r>
    </w:p>
    <w:p w14:paraId="7C0E0959" w14:textId="77777777" w:rsidR="0043733B" w:rsidRPr="0043733B" w:rsidRDefault="0043733B" w:rsidP="0043733B">
      <w:pPr>
        <w:spacing w:line="276" w:lineRule="auto"/>
        <w:jc w:val="both"/>
        <w:rPr>
          <w:rFonts w:cs="Times New Roman"/>
          <w:i/>
          <w:iCs/>
          <w:sz w:val="22"/>
          <w:szCs w:val="22"/>
        </w:rPr>
      </w:pPr>
    </w:p>
    <w:p w14:paraId="41898D39" w14:textId="77777777" w:rsidR="0043733B" w:rsidRPr="0043733B" w:rsidRDefault="0043733B" w:rsidP="0043733B">
      <w:pPr>
        <w:spacing w:line="276" w:lineRule="auto"/>
        <w:jc w:val="both"/>
        <w:rPr>
          <w:rFonts w:cs="Times New Roman"/>
          <w:i/>
          <w:iCs/>
          <w:sz w:val="22"/>
          <w:szCs w:val="22"/>
        </w:rPr>
      </w:pPr>
      <w:r w:rsidRPr="0043733B">
        <w:rPr>
          <w:rFonts w:cs="Times New Roman"/>
          <w:i/>
          <w:iCs/>
          <w:sz w:val="22"/>
          <w:szCs w:val="22"/>
        </w:rPr>
        <w:t>Question no.</w:t>
      </w:r>
      <w:proofErr w:type="gramStart"/>
      <w:r w:rsidRPr="0043733B">
        <w:rPr>
          <w:rFonts w:cs="Times New Roman"/>
          <w:i/>
          <w:iCs/>
          <w:sz w:val="22"/>
          <w:szCs w:val="22"/>
        </w:rPr>
        <w:t>2.b.</w:t>
      </w:r>
      <w:proofErr w:type="gramEnd"/>
      <w:r w:rsidRPr="0043733B">
        <w:rPr>
          <w:rFonts w:cs="Times New Roman"/>
          <w:i/>
          <w:iCs/>
          <w:sz w:val="22"/>
          <w:szCs w:val="22"/>
        </w:rPr>
        <w:t>:</w:t>
      </w:r>
    </w:p>
    <w:p w14:paraId="54FBA124" w14:textId="77777777" w:rsidR="0043733B" w:rsidRPr="0043733B" w:rsidRDefault="0043733B" w:rsidP="0043733B">
      <w:pPr>
        <w:spacing w:line="276" w:lineRule="auto"/>
        <w:jc w:val="both"/>
        <w:rPr>
          <w:rFonts w:cs="Times New Roman"/>
          <w:sz w:val="22"/>
          <w:szCs w:val="22"/>
        </w:rPr>
      </w:pPr>
    </w:p>
    <w:p w14:paraId="5461CF53" w14:textId="77777777" w:rsidR="0043733B" w:rsidRPr="0043733B" w:rsidRDefault="0043733B" w:rsidP="0043733B">
      <w:pPr>
        <w:spacing w:line="276" w:lineRule="auto"/>
        <w:jc w:val="both"/>
        <w:rPr>
          <w:rFonts w:cs="Times New Roman"/>
          <w:sz w:val="22"/>
          <w:szCs w:val="22"/>
        </w:rPr>
      </w:pPr>
      <w:r w:rsidRPr="0043733B">
        <w:rPr>
          <w:rFonts w:cs="Times New Roman"/>
          <w:sz w:val="22"/>
          <w:szCs w:val="22"/>
          <w:lang w:val="mt-MT"/>
        </w:rPr>
        <w:t>As above.</w:t>
      </w:r>
    </w:p>
    <w:p w14:paraId="475B768C" w14:textId="53D51E20" w:rsidR="0043733B" w:rsidRDefault="0043733B" w:rsidP="0043733B">
      <w:pPr>
        <w:spacing w:line="276" w:lineRule="auto"/>
        <w:jc w:val="both"/>
        <w:rPr>
          <w:rFonts w:cs="Times New Roman"/>
          <w:sz w:val="22"/>
          <w:szCs w:val="22"/>
        </w:rPr>
      </w:pPr>
    </w:p>
    <w:p w14:paraId="31F19D73" w14:textId="1D3206DE" w:rsidR="004659F2" w:rsidRDefault="004659F2" w:rsidP="0043733B">
      <w:pPr>
        <w:spacing w:line="276" w:lineRule="auto"/>
        <w:jc w:val="both"/>
        <w:rPr>
          <w:rFonts w:cs="Times New Roman"/>
          <w:sz w:val="22"/>
          <w:szCs w:val="22"/>
        </w:rPr>
      </w:pPr>
    </w:p>
    <w:p w14:paraId="233E2E12" w14:textId="77777777" w:rsidR="004659F2" w:rsidRPr="0043733B" w:rsidRDefault="004659F2" w:rsidP="0043733B">
      <w:pPr>
        <w:spacing w:line="276" w:lineRule="auto"/>
        <w:jc w:val="both"/>
        <w:rPr>
          <w:rFonts w:cs="Times New Roman"/>
          <w:sz w:val="22"/>
          <w:szCs w:val="22"/>
        </w:rPr>
      </w:pPr>
    </w:p>
    <w:p w14:paraId="1ADFB912" w14:textId="77777777" w:rsidR="0043733B" w:rsidRPr="0043733B" w:rsidRDefault="0043733B" w:rsidP="0043733B">
      <w:pPr>
        <w:spacing w:line="276" w:lineRule="auto"/>
        <w:jc w:val="both"/>
        <w:rPr>
          <w:rFonts w:cs="Times New Roman"/>
          <w:i/>
          <w:iCs/>
          <w:sz w:val="22"/>
          <w:szCs w:val="22"/>
        </w:rPr>
      </w:pPr>
      <w:r w:rsidRPr="0043733B">
        <w:rPr>
          <w:rFonts w:cs="Times New Roman"/>
          <w:i/>
          <w:iCs/>
          <w:sz w:val="22"/>
          <w:szCs w:val="22"/>
        </w:rPr>
        <w:t>Question no.</w:t>
      </w:r>
      <w:proofErr w:type="gramStart"/>
      <w:r w:rsidRPr="0043733B">
        <w:rPr>
          <w:rFonts w:cs="Times New Roman"/>
          <w:i/>
          <w:iCs/>
          <w:sz w:val="22"/>
          <w:szCs w:val="22"/>
        </w:rPr>
        <w:t>2.c.</w:t>
      </w:r>
      <w:proofErr w:type="gramEnd"/>
      <w:r w:rsidRPr="0043733B">
        <w:rPr>
          <w:rFonts w:cs="Times New Roman"/>
          <w:i/>
          <w:iCs/>
          <w:sz w:val="22"/>
          <w:szCs w:val="22"/>
        </w:rPr>
        <w:t>:</w:t>
      </w:r>
    </w:p>
    <w:p w14:paraId="13CBA3B6" w14:textId="77777777" w:rsidR="0043733B" w:rsidRPr="0043733B" w:rsidRDefault="0043733B" w:rsidP="0043733B">
      <w:pPr>
        <w:spacing w:line="276" w:lineRule="auto"/>
        <w:jc w:val="both"/>
        <w:rPr>
          <w:rFonts w:cs="Times New Roman"/>
          <w:sz w:val="22"/>
          <w:szCs w:val="22"/>
        </w:rPr>
      </w:pPr>
    </w:p>
    <w:p w14:paraId="06542B21" w14:textId="77777777" w:rsidR="0043733B" w:rsidRPr="0043733B" w:rsidRDefault="0043733B" w:rsidP="0043733B">
      <w:pPr>
        <w:spacing w:line="276" w:lineRule="auto"/>
        <w:jc w:val="both"/>
        <w:rPr>
          <w:rFonts w:cs="Times New Roman"/>
          <w:sz w:val="22"/>
          <w:szCs w:val="22"/>
        </w:rPr>
      </w:pPr>
      <w:r w:rsidRPr="0043733B">
        <w:rPr>
          <w:rFonts w:cs="Times New Roman"/>
          <w:sz w:val="22"/>
          <w:szCs w:val="22"/>
        </w:rPr>
        <w:t>Malta has adopted the Malta’s National Action Plan for the Implementation of United Nations Security Council Resolution 1325 2020-2024, and it focuses on the WPS Agenda promotion, prevention of violence including Gender-Based Violence and Sexual Exploitation and Abuse, increased representation of women at decision-making levels, and strengthening of partnerships to accomplish WPS Agenda at a domestic level. SOGI-related measures have not been included in this first National Action Plan.</w:t>
      </w:r>
    </w:p>
    <w:p w14:paraId="66073254" w14:textId="77777777" w:rsidR="0043733B" w:rsidRPr="0043733B" w:rsidRDefault="0043733B" w:rsidP="0043733B">
      <w:pPr>
        <w:spacing w:line="276" w:lineRule="auto"/>
        <w:jc w:val="both"/>
        <w:rPr>
          <w:rFonts w:cs="Times New Roman"/>
          <w:sz w:val="22"/>
          <w:szCs w:val="22"/>
        </w:rPr>
      </w:pPr>
    </w:p>
    <w:p w14:paraId="3D22BA33" w14:textId="77777777" w:rsidR="0043733B" w:rsidRPr="0043733B" w:rsidRDefault="0043733B" w:rsidP="0043733B">
      <w:pPr>
        <w:spacing w:line="276" w:lineRule="auto"/>
        <w:jc w:val="both"/>
        <w:rPr>
          <w:rFonts w:cs="Times New Roman"/>
          <w:i/>
          <w:iCs/>
          <w:sz w:val="22"/>
          <w:szCs w:val="22"/>
          <w:lang w:val="mt-MT"/>
        </w:rPr>
      </w:pPr>
      <w:r w:rsidRPr="0043733B">
        <w:rPr>
          <w:rFonts w:cs="Times New Roman"/>
          <w:i/>
          <w:iCs/>
          <w:sz w:val="22"/>
          <w:szCs w:val="22"/>
        </w:rPr>
        <w:t>Question no. 3.a.</w:t>
      </w:r>
      <w:r w:rsidRPr="0043733B">
        <w:rPr>
          <w:rFonts w:cs="Times New Roman"/>
          <w:i/>
          <w:iCs/>
          <w:sz w:val="22"/>
          <w:szCs w:val="22"/>
          <w:lang w:val="mt-MT"/>
        </w:rPr>
        <w:t xml:space="preserve"> – 10:</w:t>
      </w:r>
    </w:p>
    <w:p w14:paraId="784E0FC4" w14:textId="77777777" w:rsidR="0043733B" w:rsidRPr="0043733B" w:rsidRDefault="0043733B" w:rsidP="0043733B">
      <w:pPr>
        <w:spacing w:line="276" w:lineRule="auto"/>
        <w:jc w:val="both"/>
        <w:rPr>
          <w:rFonts w:cs="Times New Roman"/>
          <w:sz w:val="22"/>
          <w:szCs w:val="22"/>
        </w:rPr>
      </w:pPr>
    </w:p>
    <w:p w14:paraId="65BFB8DA" w14:textId="77777777" w:rsidR="0043733B" w:rsidRPr="0043733B" w:rsidRDefault="0043733B" w:rsidP="0043733B">
      <w:pPr>
        <w:spacing w:line="276" w:lineRule="auto"/>
        <w:jc w:val="both"/>
        <w:rPr>
          <w:rFonts w:cs="Times New Roman"/>
          <w:sz w:val="22"/>
          <w:szCs w:val="22"/>
        </w:rPr>
      </w:pPr>
      <w:r w:rsidRPr="0043733B">
        <w:rPr>
          <w:rFonts w:cs="Times New Roman"/>
          <w:sz w:val="22"/>
          <w:szCs w:val="22"/>
        </w:rPr>
        <w:t>N/A. See response to question no. 1.</w:t>
      </w:r>
    </w:p>
    <w:p w14:paraId="07237DB5" w14:textId="77777777" w:rsidR="0043733B" w:rsidRPr="0043733B" w:rsidRDefault="0043733B" w:rsidP="0043733B">
      <w:pPr>
        <w:spacing w:line="276" w:lineRule="auto"/>
        <w:jc w:val="both"/>
        <w:rPr>
          <w:rFonts w:cs="Times New Roman"/>
          <w:sz w:val="22"/>
          <w:szCs w:val="22"/>
        </w:rPr>
      </w:pPr>
    </w:p>
    <w:p w14:paraId="463DC2A5" w14:textId="77777777" w:rsidR="00841806" w:rsidRDefault="00841806" w:rsidP="001B6067">
      <w:pPr>
        <w:tabs>
          <w:tab w:val="left" w:pos="2070"/>
        </w:tabs>
        <w:overflowPunct w:val="0"/>
        <w:autoSpaceDE w:val="0"/>
        <w:autoSpaceDN w:val="0"/>
        <w:adjustRightInd w:val="0"/>
        <w:spacing w:line="260" w:lineRule="exact"/>
        <w:jc w:val="center"/>
        <w:textAlignment w:val="baseline"/>
        <w:rPr>
          <w:rFonts w:eastAsia="Times New Roman" w:cs="Times New Roman"/>
          <w:color w:val="000000"/>
          <w:sz w:val="22"/>
          <w:szCs w:val="22"/>
          <w:lang w:val="mt-MT"/>
        </w:rPr>
      </w:pPr>
    </w:p>
    <w:p w14:paraId="2A8A14EA" w14:textId="62392B44" w:rsidR="001B6067" w:rsidRPr="001B6067" w:rsidRDefault="001B6067" w:rsidP="001B6067">
      <w:pPr>
        <w:tabs>
          <w:tab w:val="left" w:pos="2070"/>
        </w:tabs>
        <w:overflowPunct w:val="0"/>
        <w:autoSpaceDE w:val="0"/>
        <w:autoSpaceDN w:val="0"/>
        <w:adjustRightInd w:val="0"/>
        <w:spacing w:line="260" w:lineRule="exact"/>
        <w:jc w:val="center"/>
        <w:textAlignment w:val="baseline"/>
        <w:rPr>
          <w:rFonts w:eastAsia="Times New Roman" w:cs="Times New Roman"/>
          <w:color w:val="000000"/>
          <w:sz w:val="22"/>
          <w:szCs w:val="22"/>
          <w:lang w:val="mt-MT"/>
        </w:rPr>
      </w:pPr>
      <w:r>
        <w:rPr>
          <w:rFonts w:eastAsia="Times New Roman" w:cs="Times New Roman"/>
          <w:color w:val="000000"/>
          <w:sz w:val="22"/>
          <w:szCs w:val="22"/>
          <w:lang w:val="mt-MT"/>
        </w:rPr>
        <w:t>***</w:t>
      </w:r>
    </w:p>
    <w:p w14:paraId="4016A079" w14:textId="77777777" w:rsidR="001B6067" w:rsidRPr="001B6067" w:rsidRDefault="001B6067" w:rsidP="00973C4B">
      <w:pPr>
        <w:ind w:right="-1"/>
        <w:rPr>
          <w:color w:val="818285"/>
          <w:sz w:val="22"/>
          <w:szCs w:val="22"/>
          <w:lang w:val="en-GB"/>
        </w:rPr>
      </w:pPr>
    </w:p>
    <w:sectPr w:rsidR="001B6067" w:rsidRPr="001B6067" w:rsidSect="009C6F52">
      <w:headerReference w:type="even" r:id="rId11"/>
      <w:headerReference w:type="default" r:id="rId12"/>
      <w:footerReference w:type="even" r:id="rId13"/>
      <w:footerReference w:type="default" r:id="rId14"/>
      <w:headerReference w:type="first" r:id="rId15"/>
      <w:footerReference w:type="first" r:id="rId16"/>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598E" w14:textId="77777777" w:rsidR="00C03D93" w:rsidRDefault="00C03D93" w:rsidP="0066567E">
      <w:r>
        <w:separator/>
      </w:r>
    </w:p>
  </w:endnote>
  <w:endnote w:type="continuationSeparator" w:id="0">
    <w:p w14:paraId="4604710A" w14:textId="77777777" w:rsidR="00C03D93" w:rsidRDefault="00C03D93"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533240"/>
      <w:docPartObj>
        <w:docPartGallery w:val="Page Numbers (Bottom of Page)"/>
        <w:docPartUnique/>
      </w:docPartObj>
    </w:sdtPr>
    <w:sdtEndPr>
      <w:rPr>
        <w:noProof/>
      </w:rPr>
    </w:sdtEndPr>
    <w:sdtContent>
      <w:p w14:paraId="68CABCB7" w14:textId="2C8DD4A6" w:rsidR="00852514" w:rsidRDefault="008525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644" w14:textId="390C2468" w:rsidR="008C79D9" w:rsidRDefault="008C79D9">
    <w:pPr>
      <w:pStyle w:val="Footer"/>
    </w:pPr>
    <w:r>
      <w:rPr>
        <w:noProof/>
      </w:rPr>
      <w:drawing>
        <wp:anchor distT="0" distB="0" distL="114300" distR="114300" simplePos="0" relativeHeight="251664384" behindDoc="1" locked="1" layoutInCell="1" allowOverlap="1" wp14:anchorId="21DD7D67" wp14:editId="4C6D5FFA">
          <wp:simplePos x="0" y="0"/>
          <wp:positionH relativeFrom="page">
            <wp:posOffset>3571875</wp:posOffset>
          </wp:positionH>
          <wp:positionV relativeFrom="page">
            <wp:posOffset>95250</wp:posOffset>
          </wp:positionV>
          <wp:extent cx="3942080" cy="10626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6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FAD2" w14:textId="77777777" w:rsidR="00C03D93" w:rsidRDefault="00C03D93" w:rsidP="0066567E">
      <w:r>
        <w:separator/>
      </w:r>
    </w:p>
  </w:footnote>
  <w:footnote w:type="continuationSeparator" w:id="0">
    <w:p w14:paraId="4FB983CD" w14:textId="77777777" w:rsidR="00C03D93" w:rsidRDefault="00C03D93" w:rsidP="0066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5F6B" w14:textId="77777777" w:rsidR="00BD30E1" w:rsidRDefault="00BD3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521" w14:textId="0D98E90E" w:rsidR="0066567E" w:rsidRDefault="005B5AAE">
    <w:pPr>
      <w:pStyle w:val="Header"/>
    </w:pPr>
    <w:r>
      <w:rPr>
        <w:noProof/>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3955" w14:textId="1BF55D86" w:rsidR="008C79D9" w:rsidRDefault="006D504B">
    <w:pPr>
      <w:pStyle w:val="Header"/>
    </w:pPr>
    <w:r>
      <w:rPr>
        <w:noProof/>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C0B"/>
    <w:multiLevelType w:val="hybridMultilevel"/>
    <w:tmpl w:val="1282410A"/>
    <w:lvl w:ilvl="0" w:tplc="0809000F">
      <w:start w:val="1"/>
      <w:numFmt w:val="decimal"/>
      <w:lvlText w:val="%1."/>
      <w:lvlJc w:val="left"/>
      <w:pPr>
        <w:ind w:left="360" w:hanging="360"/>
      </w:pPr>
      <w:rPr>
        <w:rFonts w:hint="default"/>
      </w:rPr>
    </w:lvl>
    <w:lvl w:ilvl="1" w:tplc="FECEDBA4">
      <w:start w:val="1"/>
      <w:numFmt w:val="lowerRoman"/>
      <w:lvlText w:val="(%2)"/>
      <w:lvlJc w:val="lef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BAA3473"/>
    <w:multiLevelType w:val="multilevel"/>
    <w:tmpl w:val="CCAC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56406"/>
    <w:multiLevelType w:val="hybridMultilevel"/>
    <w:tmpl w:val="05CEFCF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B2348"/>
    <w:multiLevelType w:val="hybridMultilevel"/>
    <w:tmpl w:val="63529D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E68B4"/>
    <w:multiLevelType w:val="hybridMultilevel"/>
    <w:tmpl w:val="FD787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E2001"/>
    <w:multiLevelType w:val="hybridMultilevel"/>
    <w:tmpl w:val="7DB28ABA"/>
    <w:lvl w:ilvl="0" w:tplc="239456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F0A15"/>
    <w:multiLevelType w:val="hybridMultilevel"/>
    <w:tmpl w:val="1448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D6142"/>
    <w:multiLevelType w:val="hybridMultilevel"/>
    <w:tmpl w:val="568A6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46FC6"/>
    <w:multiLevelType w:val="hybridMultilevel"/>
    <w:tmpl w:val="8596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9D12DC"/>
    <w:multiLevelType w:val="hybridMultilevel"/>
    <w:tmpl w:val="5EF6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1537D"/>
    <w:multiLevelType w:val="hybridMultilevel"/>
    <w:tmpl w:val="310C208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BFA78C6"/>
    <w:multiLevelType w:val="hybridMultilevel"/>
    <w:tmpl w:val="43A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A4DCA"/>
    <w:multiLevelType w:val="hybridMultilevel"/>
    <w:tmpl w:val="C1AC8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185CD4"/>
    <w:multiLevelType w:val="hybridMultilevel"/>
    <w:tmpl w:val="0082F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996E99"/>
    <w:multiLevelType w:val="hybridMultilevel"/>
    <w:tmpl w:val="7A4C37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62706"/>
    <w:multiLevelType w:val="multilevel"/>
    <w:tmpl w:val="A1C23A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0A84EB0"/>
    <w:multiLevelType w:val="hybridMultilevel"/>
    <w:tmpl w:val="E50EE7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3BC4CD1"/>
    <w:multiLevelType w:val="hybridMultilevel"/>
    <w:tmpl w:val="6DC0C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977B1D"/>
    <w:multiLevelType w:val="hybridMultilevel"/>
    <w:tmpl w:val="9F204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901C8B"/>
    <w:multiLevelType w:val="hybridMultilevel"/>
    <w:tmpl w:val="4D923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A8272E"/>
    <w:multiLevelType w:val="hybridMultilevel"/>
    <w:tmpl w:val="8C8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12"/>
  </w:num>
  <w:num w:numId="5">
    <w:abstractNumId w:val="0"/>
  </w:num>
  <w:num w:numId="6">
    <w:abstractNumId w:val="17"/>
  </w:num>
  <w:num w:numId="7">
    <w:abstractNumId w:val="19"/>
  </w:num>
  <w:num w:numId="8">
    <w:abstractNumId w:val="8"/>
  </w:num>
  <w:num w:numId="9">
    <w:abstractNumId w:val="14"/>
  </w:num>
  <w:num w:numId="10">
    <w:abstractNumId w:val="13"/>
  </w:num>
  <w:num w:numId="11">
    <w:abstractNumId w:val="15"/>
  </w:num>
  <w:num w:numId="12">
    <w:abstractNumId w:val="4"/>
  </w:num>
  <w:num w:numId="13">
    <w:abstractNumId w:val="3"/>
  </w:num>
  <w:num w:numId="14">
    <w:abstractNumId w:val="11"/>
  </w:num>
  <w:num w:numId="15">
    <w:abstractNumId w:val="6"/>
  </w:num>
  <w:num w:numId="16">
    <w:abstractNumId w:val="10"/>
  </w:num>
  <w:num w:numId="17">
    <w:abstractNumId w:val="18"/>
  </w:num>
  <w:num w:numId="18">
    <w:abstractNumId w:val="2"/>
  </w:num>
  <w:num w:numId="19">
    <w:abstractNumId w:val="1"/>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3"/>
    <w:rsid w:val="0002684C"/>
    <w:rsid w:val="000362B4"/>
    <w:rsid w:val="00065510"/>
    <w:rsid w:val="000D0163"/>
    <w:rsid w:val="000E5461"/>
    <w:rsid w:val="00134D45"/>
    <w:rsid w:val="00152C46"/>
    <w:rsid w:val="00161F59"/>
    <w:rsid w:val="001A275B"/>
    <w:rsid w:val="001B6067"/>
    <w:rsid w:val="001C06A4"/>
    <w:rsid w:val="001C7AA6"/>
    <w:rsid w:val="001D239E"/>
    <w:rsid w:val="001D632B"/>
    <w:rsid w:val="001E3569"/>
    <w:rsid w:val="00207A79"/>
    <w:rsid w:val="002349F6"/>
    <w:rsid w:val="00235888"/>
    <w:rsid w:val="002B478D"/>
    <w:rsid w:val="002B79E4"/>
    <w:rsid w:val="002E17A6"/>
    <w:rsid w:val="002F333F"/>
    <w:rsid w:val="00322BF9"/>
    <w:rsid w:val="00323E46"/>
    <w:rsid w:val="00363BFB"/>
    <w:rsid w:val="003D35DE"/>
    <w:rsid w:val="003E2021"/>
    <w:rsid w:val="0043733B"/>
    <w:rsid w:val="00445764"/>
    <w:rsid w:val="004659F2"/>
    <w:rsid w:val="004F5EE9"/>
    <w:rsid w:val="004F6C8F"/>
    <w:rsid w:val="005162FE"/>
    <w:rsid w:val="00563615"/>
    <w:rsid w:val="005B5AAE"/>
    <w:rsid w:val="005B74D6"/>
    <w:rsid w:val="005C42F7"/>
    <w:rsid w:val="00645CC5"/>
    <w:rsid w:val="0066567E"/>
    <w:rsid w:val="006778A5"/>
    <w:rsid w:val="0068254E"/>
    <w:rsid w:val="00695583"/>
    <w:rsid w:val="006A2624"/>
    <w:rsid w:val="006D504B"/>
    <w:rsid w:val="006E645F"/>
    <w:rsid w:val="0070745D"/>
    <w:rsid w:val="0072134C"/>
    <w:rsid w:val="0074100F"/>
    <w:rsid w:val="0078546C"/>
    <w:rsid w:val="0079396B"/>
    <w:rsid w:val="007B674D"/>
    <w:rsid w:val="007D0AF9"/>
    <w:rsid w:val="00841806"/>
    <w:rsid w:val="00852514"/>
    <w:rsid w:val="008B5EA3"/>
    <w:rsid w:val="008B7A11"/>
    <w:rsid w:val="008C1E58"/>
    <w:rsid w:val="008C79D9"/>
    <w:rsid w:val="008D25DF"/>
    <w:rsid w:val="00916E1B"/>
    <w:rsid w:val="00917447"/>
    <w:rsid w:val="00930C47"/>
    <w:rsid w:val="00933928"/>
    <w:rsid w:val="00943C84"/>
    <w:rsid w:val="00944217"/>
    <w:rsid w:val="00956866"/>
    <w:rsid w:val="00973C4B"/>
    <w:rsid w:val="00983E5E"/>
    <w:rsid w:val="009954DF"/>
    <w:rsid w:val="009A3B47"/>
    <w:rsid w:val="009C6F52"/>
    <w:rsid w:val="009E2F63"/>
    <w:rsid w:val="00A0581C"/>
    <w:rsid w:val="00A061D6"/>
    <w:rsid w:val="00A2564E"/>
    <w:rsid w:val="00A31D40"/>
    <w:rsid w:val="00A46055"/>
    <w:rsid w:val="00A51386"/>
    <w:rsid w:val="00A57162"/>
    <w:rsid w:val="00A90C94"/>
    <w:rsid w:val="00AA335C"/>
    <w:rsid w:val="00AA40F6"/>
    <w:rsid w:val="00AB618D"/>
    <w:rsid w:val="00AE32CA"/>
    <w:rsid w:val="00AE4995"/>
    <w:rsid w:val="00B51262"/>
    <w:rsid w:val="00B865FA"/>
    <w:rsid w:val="00BA2602"/>
    <w:rsid w:val="00BC0BF9"/>
    <w:rsid w:val="00BD30E1"/>
    <w:rsid w:val="00C03D93"/>
    <w:rsid w:val="00C5618B"/>
    <w:rsid w:val="00C9696B"/>
    <w:rsid w:val="00CB36EC"/>
    <w:rsid w:val="00CB6C8A"/>
    <w:rsid w:val="00CE68A3"/>
    <w:rsid w:val="00CF449A"/>
    <w:rsid w:val="00D33602"/>
    <w:rsid w:val="00D7028C"/>
    <w:rsid w:val="00D80F9B"/>
    <w:rsid w:val="00D87251"/>
    <w:rsid w:val="00DB5216"/>
    <w:rsid w:val="00DC370A"/>
    <w:rsid w:val="00DC6DD3"/>
    <w:rsid w:val="00DE49B0"/>
    <w:rsid w:val="00DF6870"/>
    <w:rsid w:val="00E117BD"/>
    <w:rsid w:val="00E41BD9"/>
    <w:rsid w:val="00E5493F"/>
    <w:rsid w:val="00E73BB3"/>
    <w:rsid w:val="00EE01C0"/>
    <w:rsid w:val="00EE329C"/>
    <w:rsid w:val="00EE73AD"/>
    <w:rsid w:val="00F15225"/>
    <w:rsid w:val="00F16F54"/>
    <w:rsid w:val="00F27B2E"/>
    <w:rsid w:val="00F43CA9"/>
    <w:rsid w:val="00F45DCC"/>
    <w:rsid w:val="00F870B0"/>
    <w:rsid w:val="00F946E0"/>
    <w:rsid w:val="00FB1E7E"/>
    <w:rsid w:val="00FD09E3"/>
    <w:rsid w:val="00FE519C"/>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60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character" w:styleId="Hyperlink">
    <w:name w:val="Hyperlink"/>
    <w:basedOn w:val="DefaultParagraphFont"/>
    <w:uiPriority w:val="99"/>
    <w:semiHidden/>
    <w:unhideWhenUsed/>
    <w:rsid w:val="001A275B"/>
    <w:rPr>
      <w:color w:val="0563C1"/>
      <w:u w:val="single"/>
    </w:rPr>
  </w:style>
  <w:style w:type="paragraph" w:styleId="ListParagraph">
    <w:name w:val="List Paragraph"/>
    <w:basedOn w:val="Normal"/>
    <w:link w:val="ListParagraphChar"/>
    <w:uiPriority w:val="34"/>
    <w:qFormat/>
    <w:rsid w:val="001A275B"/>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2B79E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B79E4"/>
    <w:rPr>
      <w:rFonts w:eastAsiaTheme="minorHAnsi"/>
      <w:sz w:val="22"/>
      <w:szCs w:val="22"/>
      <w:lang w:val="en-GB"/>
    </w:rPr>
  </w:style>
  <w:style w:type="paragraph" w:styleId="FootnoteText">
    <w:name w:val="footnote text"/>
    <w:basedOn w:val="Normal"/>
    <w:link w:val="FootnoteTextChar"/>
    <w:uiPriority w:val="99"/>
    <w:unhideWhenUsed/>
    <w:rsid w:val="00FD09E3"/>
    <w:rPr>
      <w:rFonts w:eastAsiaTheme="minorHAnsi"/>
      <w:sz w:val="20"/>
      <w:szCs w:val="20"/>
      <w:lang w:val="en-GB"/>
    </w:rPr>
  </w:style>
  <w:style w:type="character" w:customStyle="1" w:styleId="FootnoteTextChar">
    <w:name w:val="Footnote Text Char"/>
    <w:basedOn w:val="DefaultParagraphFont"/>
    <w:link w:val="FootnoteText"/>
    <w:uiPriority w:val="99"/>
    <w:rsid w:val="00FD09E3"/>
    <w:rPr>
      <w:rFonts w:eastAsiaTheme="minorHAnsi"/>
      <w:sz w:val="20"/>
      <w:szCs w:val="20"/>
      <w:lang w:val="en-GB"/>
    </w:rPr>
  </w:style>
  <w:style w:type="character" w:styleId="FootnoteReference">
    <w:name w:val="footnote reference"/>
    <w:basedOn w:val="DefaultParagraphFont"/>
    <w:uiPriority w:val="99"/>
    <w:semiHidden/>
    <w:unhideWhenUsed/>
    <w:rsid w:val="00FD09E3"/>
    <w:rPr>
      <w:vertAlign w:val="superscript"/>
    </w:rPr>
  </w:style>
  <w:style w:type="paragraph" w:customStyle="1" w:styleId="Default">
    <w:name w:val="Default"/>
    <w:basedOn w:val="Normal"/>
    <w:uiPriority w:val="99"/>
    <w:rsid w:val="00BD30E1"/>
    <w:pPr>
      <w:autoSpaceDE w:val="0"/>
      <w:autoSpaceDN w:val="0"/>
    </w:pPr>
    <w:rPr>
      <w:rFonts w:ascii="Calibri" w:eastAsiaTheme="minorHAnsi" w:hAnsi="Calibri" w:cs="Calibri"/>
      <w:color w:val="000000"/>
      <w:lang w:val="en-GB" w:eastAsia="ja-JP"/>
    </w:rPr>
  </w:style>
  <w:style w:type="character" w:customStyle="1" w:styleId="Heading2Char">
    <w:name w:val="Heading 2 Char"/>
    <w:basedOn w:val="DefaultParagraphFont"/>
    <w:link w:val="Heading2"/>
    <w:uiPriority w:val="9"/>
    <w:semiHidden/>
    <w:rsid w:val="001B60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94D1-2751-44A6-9F66-1AAC622D16A5}">
  <ds:schemaRefs>
    <ds:schemaRef ds:uri="http://schemas.microsoft.com/sharepoint/v3/contenttype/forms"/>
  </ds:schemaRefs>
</ds:datastoreItem>
</file>

<file path=customXml/itemProps2.xml><?xml version="1.0" encoding="utf-8"?>
<ds:datastoreItem xmlns:ds="http://schemas.openxmlformats.org/officeDocument/2006/customXml" ds:itemID="{FCEAA4B8-92C9-4E5D-8E01-8C67FFBBD988}">
  <ds:schemaRefs>
    <ds:schemaRef ds:uri="http://purl.org/dc/terms/"/>
    <ds:schemaRef ds:uri="http://www.w3.org/XML/1998/namespace"/>
    <ds:schemaRef ds:uri="89040124-3724-453e-9e0f-d53a96d17322"/>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35e5363-379b-4480-9448-73efe99cab00"/>
    <ds:schemaRef ds:uri="http://schemas.microsoft.com/office/2006/metadata/properties"/>
  </ds:schemaRefs>
</ds:datastoreItem>
</file>

<file path=customXml/itemProps3.xml><?xml version="1.0" encoding="utf-8"?>
<ds:datastoreItem xmlns:ds="http://schemas.openxmlformats.org/officeDocument/2006/customXml" ds:itemID="{706B5D4A-D6C9-4CC4-B39B-21B245AB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a35e5363-379b-4480-9448-73efe99ca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6CEF4-FE3E-BA48-8722-1905F4E8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Zapata Welti</cp:lastModifiedBy>
  <cp:revision>2</cp:revision>
  <cp:lastPrinted>2021-03-12T14:11:00Z</cp:lastPrinted>
  <dcterms:created xsi:type="dcterms:W3CDTF">2022-11-10T13:52:00Z</dcterms:created>
  <dcterms:modified xsi:type="dcterms:W3CDTF">2022-11-10T13:52:00Z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