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3CF3" w14:textId="364BBB0B" w:rsidR="00973DCA" w:rsidRPr="001558F4" w:rsidRDefault="00FD64D0" w:rsidP="00FE49C4">
      <w:pPr>
        <w:jc w:val="center"/>
        <w:rPr>
          <w:rFonts w:ascii="Arial" w:hAnsi="Arial" w:cs="Arial"/>
          <w:b/>
          <w:bCs/>
          <w:sz w:val="28"/>
          <w:szCs w:val="28"/>
          <w:lang w:val="en-GB"/>
        </w:rPr>
      </w:pPr>
      <w:r>
        <w:rPr>
          <w:rFonts w:ascii="Arial" w:hAnsi="Arial" w:cs="Arial"/>
          <w:b/>
          <w:bCs/>
          <w:sz w:val="28"/>
          <w:szCs w:val="28"/>
          <w:lang w:val="en-GB"/>
        </w:rPr>
        <w:t>PROGRESS MADE BY THE SA GOVERNMENT TO ENSURE THE PROTECTION AND PROMOTION OF THE HUMAN RIGHTS OF LGBTIQ+ PERSONS</w:t>
      </w:r>
    </w:p>
    <w:p w14:paraId="6E597B5E" w14:textId="77777777" w:rsidR="00937111" w:rsidRPr="001558F4" w:rsidRDefault="00937111" w:rsidP="00FE49C4">
      <w:pPr>
        <w:jc w:val="center"/>
        <w:rPr>
          <w:rFonts w:ascii="Arial" w:hAnsi="Arial" w:cs="Arial"/>
          <w:b/>
          <w:bCs/>
          <w:sz w:val="28"/>
          <w:szCs w:val="28"/>
          <w:lang w:val="en-GB"/>
        </w:rPr>
      </w:pPr>
    </w:p>
    <w:tbl>
      <w:tblPr>
        <w:tblStyle w:val="TableGrid"/>
        <w:tblW w:w="13745" w:type="dxa"/>
        <w:tblLook w:val="04A0" w:firstRow="1" w:lastRow="0" w:firstColumn="1" w:lastColumn="0" w:noHBand="0" w:noVBand="1"/>
      </w:tblPr>
      <w:tblGrid>
        <w:gridCol w:w="7225"/>
        <w:gridCol w:w="6520"/>
      </w:tblGrid>
      <w:tr w:rsidR="00804B80" w:rsidRPr="001558F4" w14:paraId="18D43AE4" w14:textId="77777777" w:rsidTr="00804B80">
        <w:trPr>
          <w:tblHeader/>
        </w:trPr>
        <w:tc>
          <w:tcPr>
            <w:tcW w:w="7225" w:type="dxa"/>
            <w:shd w:val="clear" w:color="auto" w:fill="A6A6A6" w:themeFill="background1" w:themeFillShade="A6"/>
          </w:tcPr>
          <w:p w14:paraId="582BDBA0" w14:textId="18D87130" w:rsidR="00804B80" w:rsidRPr="001558F4" w:rsidRDefault="00804B80" w:rsidP="00FE49C4">
            <w:pPr>
              <w:jc w:val="center"/>
              <w:rPr>
                <w:rFonts w:ascii="Arial" w:hAnsi="Arial" w:cs="Arial"/>
                <w:b/>
                <w:bCs/>
                <w:sz w:val="28"/>
                <w:szCs w:val="28"/>
                <w:lang w:val="en-GB"/>
              </w:rPr>
            </w:pPr>
            <w:r>
              <w:rPr>
                <w:rFonts w:ascii="Arial" w:hAnsi="Arial" w:cs="Arial"/>
                <w:b/>
                <w:bCs/>
                <w:sz w:val="28"/>
                <w:szCs w:val="28"/>
                <w:lang w:val="en-GB"/>
              </w:rPr>
              <w:t>AREAS OF FOCUS</w:t>
            </w:r>
          </w:p>
        </w:tc>
        <w:tc>
          <w:tcPr>
            <w:tcW w:w="6520" w:type="dxa"/>
            <w:shd w:val="clear" w:color="auto" w:fill="A6A6A6" w:themeFill="background1" w:themeFillShade="A6"/>
          </w:tcPr>
          <w:p w14:paraId="7E9F5CF6" w14:textId="05C41FF6" w:rsidR="00804B80" w:rsidRPr="001558F4" w:rsidRDefault="00804B80" w:rsidP="00FE49C4">
            <w:pPr>
              <w:jc w:val="center"/>
              <w:rPr>
                <w:rFonts w:ascii="Arial" w:hAnsi="Arial" w:cs="Arial"/>
                <w:b/>
                <w:bCs/>
                <w:sz w:val="28"/>
                <w:szCs w:val="28"/>
                <w:lang w:val="en-GB"/>
              </w:rPr>
            </w:pPr>
            <w:r>
              <w:rPr>
                <w:rFonts w:ascii="Arial" w:hAnsi="Arial" w:cs="Arial"/>
                <w:b/>
                <w:bCs/>
                <w:sz w:val="28"/>
                <w:szCs w:val="28"/>
                <w:lang w:val="en-GB"/>
              </w:rPr>
              <w:t>PROGRESS MADE</w:t>
            </w:r>
          </w:p>
        </w:tc>
      </w:tr>
      <w:tr w:rsidR="00804B80" w:rsidRPr="001558F4" w14:paraId="6C9CAC9C" w14:textId="77777777" w:rsidTr="00804B80">
        <w:tc>
          <w:tcPr>
            <w:tcW w:w="7225" w:type="dxa"/>
          </w:tcPr>
          <w:p w14:paraId="14793B80" w14:textId="693DE4E6" w:rsidR="00804B80" w:rsidRPr="001558F4" w:rsidRDefault="00804B80" w:rsidP="00761314">
            <w:pPr>
              <w:pStyle w:val="ListParagraph"/>
              <w:numPr>
                <w:ilvl w:val="0"/>
                <w:numId w:val="2"/>
              </w:numPr>
              <w:jc w:val="both"/>
              <w:rPr>
                <w:rFonts w:ascii="Arial" w:hAnsi="Arial" w:cs="Arial"/>
                <w:sz w:val="24"/>
                <w:szCs w:val="24"/>
                <w:lang w:val="en-GB"/>
              </w:rPr>
            </w:pPr>
            <w:r w:rsidRPr="001558F4">
              <w:rPr>
                <w:rFonts w:ascii="Arial" w:hAnsi="Arial" w:cs="Arial"/>
                <w:sz w:val="24"/>
                <w:szCs w:val="24"/>
                <w:lang w:val="en-GB"/>
              </w:rPr>
              <w:t>Update on the Prevention and Combating of Hate Crimes and Hate Speech Bill.</w:t>
            </w:r>
          </w:p>
        </w:tc>
        <w:tc>
          <w:tcPr>
            <w:tcW w:w="6520" w:type="dxa"/>
          </w:tcPr>
          <w:p w14:paraId="7DC59F4F" w14:textId="78CE30BA" w:rsidR="00804B80" w:rsidRPr="001558F4" w:rsidRDefault="00804B80" w:rsidP="001558F4">
            <w:pPr>
              <w:jc w:val="both"/>
              <w:rPr>
                <w:rFonts w:ascii="Arial" w:hAnsi="Arial" w:cs="Arial"/>
                <w:sz w:val="24"/>
                <w:szCs w:val="24"/>
                <w:lang w:val="en-GB"/>
              </w:rPr>
            </w:pPr>
            <w:r w:rsidRPr="001558F4">
              <w:rPr>
                <w:rFonts w:ascii="Arial" w:hAnsi="Arial" w:cs="Arial"/>
                <w:sz w:val="24"/>
                <w:szCs w:val="24"/>
                <w:lang w:val="en-GB"/>
              </w:rPr>
              <w:t xml:space="preserve">Prevention and Combating of Hate Crimes and Hate Speech Bill is before the National Assembly at the moment </w:t>
            </w:r>
          </w:p>
        </w:tc>
      </w:tr>
      <w:tr w:rsidR="00804B80" w:rsidRPr="001558F4" w14:paraId="1095D570" w14:textId="77777777" w:rsidTr="00804B80">
        <w:tc>
          <w:tcPr>
            <w:tcW w:w="7225" w:type="dxa"/>
          </w:tcPr>
          <w:p w14:paraId="53891AB4" w14:textId="497C148E" w:rsidR="00804B80" w:rsidRPr="001558F4" w:rsidRDefault="00804B80" w:rsidP="00804B80">
            <w:pPr>
              <w:pStyle w:val="ListParagraph"/>
              <w:numPr>
                <w:ilvl w:val="0"/>
                <w:numId w:val="2"/>
              </w:numPr>
              <w:jc w:val="both"/>
              <w:rPr>
                <w:rFonts w:ascii="Arial" w:hAnsi="Arial" w:cs="Arial"/>
                <w:sz w:val="24"/>
                <w:szCs w:val="24"/>
                <w:lang w:val="en-GB"/>
              </w:rPr>
            </w:pPr>
            <w:r>
              <w:rPr>
                <w:rFonts w:ascii="Arial" w:hAnsi="Arial" w:cs="Arial"/>
                <w:sz w:val="24"/>
                <w:szCs w:val="24"/>
                <w:lang w:val="en-GB"/>
              </w:rPr>
              <w:t>Response to hate crimes perpetrated against persons on the basis of their SOGIESC.</w:t>
            </w:r>
          </w:p>
        </w:tc>
        <w:tc>
          <w:tcPr>
            <w:tcW w:w="6520" w:type="dxa"/>
          </w:tcPr>
          <w:p w14:paraId="7F29AD0B" w14:textId="6C9CB48B" w:rsidR="00804B80" w:rsidRPr="001558F4" w:rsidRDefault="00804B80" w:rsidP="001558F4">
            <w:pPr>
              <w:jc w:val="both"/>
              <w:rPr>
                <w:rFonts w:ascii="Arial" w:hAnsi="Arial" w:cs="Arial"/>
                <w:sz w:val="24"/>
                <w:szCs w:val="24"/>
                <w:lang w:val="en-GB"/>
              </w:rPr>
            </w:pPr>
            <w:r w:rsidRPr="001558F4">
              <w:rPr>
                <w:rFonts w:ascii="Arial" w:hAnsi="Arial" w:cs="Arial"/>
                <w:sz w:val="24"/>
                <w:szCs w:val="24"/>
                <w:lang w:val="en-GB"/>
              </w:rPr>
              <w:t>I</w:t>
            </w:r>
            <w:r>
              <w:rPr>
                <w:rFonts w:ascii="Arial" w:hAnsi="Arial" w:cs="Arial"/>
                <w:sz w:val="24"/>
                <w:szCs w:val="24"/>
                <w:lang w:val="en-GB"/>
              </w:rPr>
              <w:t>n 2014 the DOJCD established the Rapid Response Team to monitor pending hate crimes within the criminal justice system.</w:t>
            </w:r>
            <w:r w:rsidRPr="001558F4">
              <w:rPr>
                <w:rFonts w:ascii="Arial" w:hAnsi="Arial" w:cs="Arial"/>
                <w:sz w:val="24"/>
                <w:szCs w:val="24"/>
                <w:lang w:val="en-GB"/>
              </w:rPr>
              <w:t xml:space="preserve"> </w:t>
            </w:r>
          </w:p>
          <w:p w14:paraId="77C61F6A" w14:textId="201AF13D" w:rsidR="00804B80" w:rsidRPr="00804B80" w:rsidRDefault="00804B80" w:rsidP="00110381">
            <w:pPr>
              <w:jc w:val="both"/>
              <w:rPr>
                <w:rFonts w:ascii="Arial" w:hAnsi="Arial" w:cs="Arial"/>
                <w:color w:val="000000" w:themeColor="text1"/>
                <w:sz w:val="24"/>
                <w:szCs w:val="24"/>
                <w:lang w:val="en-GB"/>
              </w:rPr>
            </w:pPr>
            <w:r w:rsidRPr="001558F4">
              <w:rPr>
                <w:rFonts w:ascii="Arial" w:hAnsi="Arial" w:cs="Arial"/>
                <w:sz w:val="24"/>
                <w:szCs w:val="24"/>
                <w:lang w:val="en-GB"/>
              </w:rPr>
              <w:t xml:space="preserve">DOJCD is chairing a </w:t>
            </w:r>
            <w:r>
              <w:rPr>
                <w:rFonts w:ascii="Arial" w:hAnsi="Arial" w:cs="Arial"/>
                <w:sz w:val="24"/>
                <w:szCs w:val="24"/>
                <w:lang w:val="en-GB"/>
              </w:rPr>
              <w:t xml:space="preserve">Rapid Response Team (RRT) on </w:t>
            </w:r>
            <w:r w:rsidRPr="001558F4">
              <w:rPr>
                <w:rFonts w:ascii="Arial" w:hAnsi="Arial" w:cs="Arial"/>
                <w:sz w:val="24"/>
                <w:szCs w:val="24"/>
                <w:lang w:val="en-GB"/>
              </w:rPr>
              <w:t xml:space="preserve">Hate Crimes, consisting of </w:t>
            </w:r>
            <w:r>
              <w:rPr>
                <w:rFonts w:ascii="Arial" w:hAnsi="Arial" w:cs="Arial"/>
                <w:sz w:val="24"/>
                <w:szCs w:val="24"/>
                <w:lang w:val="en-GB"/>
              </w:rPr>
              <w:t>South African Police Service,</w:t>
            </w:r>
            <w:r w:rsidRPr="001558F4">
              <w:rPr>
                <w:rFonts w:ascii="Arial" w:hAnsi="Arial" w:cs="Arial"/>
                <w:sz w:val="24"/>
                <w:szCs w:val="24"/>
                <w:lang w:val="en-GB"/>
              </w:rPr>
              <w:t xml:space="preserve"> N</w:t>
            </w:r>
            <w:r>
              <w:rPr>
                <w:rFonts w:ascii="Arial" w:hAnsi="Arial" w:cs="Arial"/>
                <w:sz w:val="24"/>
                <w:szCs w:val="24"/>
                <w:lang w:val="en-GB"/>
              </w:rPr>
              <w:t xml:space="preserve">ational </w:t>
            </w:r>
            <w:r w:rsidRPr="001558F4">
              <w:rPr>
                <w:rFonts w:ascii="Arial" w:hAnsi="Arial" w:cs="Arial"/>
                <w:sz w:val="24"/>
                <w:szCs w:val="24"/>
                <w:lang w:val="en-GB"/>
              </w:rPr>
              <w:t>P</w:t>
            </w:r>
            <w:r>
              <w:rPr>
                <w:rFonts w:ascii="Arial" w:hAnsi="Arial" w:cs="Arial"/>
                <w:sz w:val="24"/>
                <w:szCs w:val="24"/>
                <w:lang w:val="en-GB"/>
              </w:rPr>
              <w:t xml:space="preserve">rosecuting </w:t>
            </w:r>
            <w:r w:rsidRPr="001558F4">
              <w:rPr>
                <w:rFonts w:ascii="Arial" w:hAnsi="Arial" w:cs="Arial"/>
                <w:sz w:val="24"/>
                <w:szCs w:val="24"/>
                <w:lang w:val="en-GB"/>
              </w:rPr>
              <w:t>A</w:t>
            </w:r>
            <w:r>
              <w:rPr>
                <w:rFonts w:ascii="Arial" w:hAnsi="Arial" w:cs="Arial"/>
                <w:sz w:val="24"/>
                <w:szCs w:val="24"/>
                <w:lang w:val="en-GB"/>
              </w:rPr>
              <w:t>uthority,</w:t>
            </w:r>
            <w:r w:rsidRPr="001558F4">
              <w:rPr>
                <w:rFonts w:ascii="Arial" w:hAnsi="Arial" w:cs="Arial"/>
                <w:sz w:val="24"/>
                <w:szCs w:val="24"/>
                <w:lang w:val="en-GB"/>
              </w:rPr>
              <w:t xml:space="preserve"> and </w:t>
            </w:r>
            <w:r>
              <w:rPr>
                <w:rFonts w:ascii="Arial" w:hAnsi="Arial" w:cs="Arial"/>
                <w:sz w:val="24"/>
                <w:szCs w:val="24"/>
                <w:lang w:val="en-GB"/>
              </w:rPr>
              <w:t xml:space="preserve">nominated </w:t>
            </w:r>
            <w:r w:rsidRPr="001558F4">
              <w:rPr>
                <w:rFonts w:ascii="Arial" w:hAnsi="Arial" w:cs="Arial"/>
                <w:sz w:val="24"/>
                <w:szCs w:val="24"/>
                <w:lang w:val="en-GB"/>
              </w:rPr>
              <w:t>civil society</w:t>
            </w:r>
            <w:r>
              <w:rPr>
                <w:rFonts w:ascii="Arial" w:hAnsi="Arial" w:cs="Arial"/>
                <w:sz w:val="24"/>
                <w:szCs w:val="24"/>
                <w:lang w:val="en-GB"/>
              </w:rPr>
              <w:t xml:space="preserve"> organisations</w:t>
            </w:r>
            <w:r w:rsidRPr="001558F4">
              <w:rPr>
                <w:rFonts w:ascii="Arial" w:hAnsi="Arial" w:cs="Arial"/>
                <w:sz w:val="24"/>
                <w:szCs w:val="24"/>
                <w:lang w:val="en-GB"/>
              </w:rPr>
              <w:t xml:space="preserve">. </w:t>
            </w:r>
            <w:r w:rsidRPr="006E281E">
              <w:rPr>
                <w:rFonts w:ascii="Arial" w:hAnsi="Arial" w:cs="Arial"/>
                <w:color w:val="000000" w:themeColor="text1"/>
                <w:sz w:val="24"/>
                <w:szCs w:val="24"/>
                <w:lang w:val="en-GB"/>
              </w:rPr>
              <w:t xml:space="preserve">The RRT meets regularly and is responsible for the monitoring of pending hate crime cases within the criminal justice system and also to intervene where there are blockages to ensure successful investigations and prosecutions of hate crime cases.  The following is </w:t>
            </w:r>
            <w:r>
              <w:rPr>
                <w:rFonts w:ascii="Arial" w:hAnsi="Arial" w:cs="Arial"/>
                <w:color w:val="000000" w:themeColor="text1"/>
                <w:sz w:val="24"/>
                <w:szCs w:val="24"/>
                <w:lang w:val="en-GB"/>
              </w:rPr>
              <w:t xml:space="preserve">the latest </w:t>
            </w:r>
            <w:r w:rsidRPr="006E281E">
              <w:rPr>
                <w:rFonts w:ascii="Arial" w:hAnsi="Arial" w:cs="Arial"/>
                <w:color w:val="000000" w:themeColor="text1"/>
                <w:sz w:val="24"/>
                <w:szCs w:val="24"/>
                <w:lang w:val="en-GB"/>
              </w:rPr>
              <w:t xml:space="preserve"> analysis of the reported and pending hate crime cases received by the RRT from civil society organisations and media,</w:t>
            </w:r>
            <w:r>
              <w:rPr>
                <w:rFonts w:ascii="Arial" w:hAnsi="Arial" w:cs="Arial"/>
                <w:color w:val="000000" w:themeColor="text1"/>
                <w:sz w:val="24"/>
                <w:szCs w:val="24"/>
                <w:lang w:val="en-GB"/>
              </w:rPr>
              <w:t xml:space="preserve"> </w:t>
            </w:r>
            <w:r w:rsidRPr="006E281E">
              <w:rPr>
                <w:rFonts w:ascii="Arial" w:hAnsi="Arial" w:cs="Arial"/>
                <w:color w:val="000000" w:themeColor="text1"/>
                <w:sz w:val="24"/>
                <w:szCs w:val="24"/>
                <w:lang w:val="en-GB"/>
              </w:rPr>
              <w:t>for the May 2022 – August 2022</w:t>
            </w:r>
            <w:r w:rsidRPr="00B322B5">
              <w:rPr>
                <w:rFonts w:ascii="Arial" w:hAnsi="Arial" w:cs="Arial"/>
                <w:color w:val="FF0000"/>
                <w:sz w:val="24"/>
                <w:szCs w:val="24"/>
                <w:lang w:val="en-GB"/>
              </w:rPr>
              <w:t>:</w:t>
            </w:r>
          </w:p>
          <w:p w14:paraId="3039EB27" w14:textId="77777777" w:rsidR="00804B80" w:rsidRPr="00B322B5" w:rsidRDefault="00804B80" w:rsidP="00110381">
            <w:pPr>
              <w:jc w:val="both"/>
              <w:rPr>
                <w:rFonts w:ascii="Arial" w:hAnsi="Arial" w:cs="Arial"/>
                <w:color w:val="FF0000"/>
                <w:sz w:val="24"/>
                <w:szCs w:val="24"/>
                <w:lang w:val="en-GB"/>
              </w:rPr>
            </w:pPr>
          </w:p>
          <w:p w14:paraId="031B1B95" w14:textId="304581F4" w:rsidR="00804B80" w:rsidRPr="006E281E" w:rsidRDefault="00804B80" w:rsidP="001421AD">
            <w:pPr>
              <w:jc w:val="both"/>
              <w:rPr>
                <w:rFonts w:ascii="Arial" w:hAnsi="Arial" w:cs="Arial"/>
                <w:color w:val="000000" w:themeColor="text1"/>
                <w:sz w:val="24"/>
                <w:szCs w:val="24"/>
                <w:lang w:val="en-GB"/>
              </w:rPr>
            </w:pPr>
            <w:r w:rsidRPr="006E281E">
              <w:rPr>
                <w:rFonts w:ascii="Arial" w:hAnsi="Arial" w:cs="Arial"/>
                <w:color w:val="000000" w:themeColor="text1"/>
                <w:sz w:val="24"/>
                <w:szCs w:val="24"/>
                <w:lang w:val="en-GB"/>
              </w:rPr>
              <w:t>Total number of pending cases for April 2021: 38 (hate crime cases increased from 17 during State of Disaster in 2020 to 38)</w:t>
            </w:r>
          </w:p>
          <w:p w14:paraId="38FF07F1" w14:textId="759736C5" w:rsidR="00804B80" w:rsidRPr="006E281E" w:rsidRDefault="00804B80" w:rsidP="001421AD">
            <w:pPr>
              <w:jc w:val="both"/>
              <w:rPr>
                <w:rFonts w:ascii="Arial" w:hAnsi="Arial" w:cs="Arial"/>
                <w:color w:val="000000" w:themeColor="text1"/>
                <w:sz w:val="24"/>
                <w:szCs w:val="24"/>
                <w:lang w:val="en-GB"/>
              </w:rPr>
            </w:pPr>
            <w:r w:rsidRPr="006E281E">
              <w:rPr>
                <w:rFonts w:ascii="Arial" w:hAnsi="Arial" w:cs="Arial"/>
                <w:color w:val="000000" w:themeColor="text1"/>
                <w:sz w:val="24"/>
                <w:szCs w:val="24"/>
                <w:lang w:val="en-GB"/>
              </w:rPr>
              <w:t>Total number of cases for May 2022: 28 (included 2 at sentencing stage).</w:t>
            </w:r>
          </w:p>
          <w:p w14:paraId="094F6791" w14:textId="77777777" w:rsidR="00804B80" w:rsidRPr="006E281E" w:rsidRDefault="00804B80" w:rsidP="001421AD">
            <w:pPr>
              <w:jc w:val="both"/>
              <w:rPr>
                <w:rFonts w:ascii="Arial" w:hAnsi="Arial" w:cs="Arial"/>
                <w:color w:val="000000" w:themeColor="text1"/>
                <w:sz w:val="24"/>
                <w:szCs w:val="24"/>
                <w:lang w:val="en-GB"/>
              </w:rPr>
            </w:pPr>
          </w:p>
          <w:p w14:paraId="3F0B3A44" w14:textId="3829A256" w:rsidR="00804B80" w:rsidRPr="006E281E" w:rsidRDefault="00804B80" w:rsidP="001421AD">
            <w:pPr>
              <w:rPr>
                <w:rFonts w:ascii="Arial" w:hAnsi="Arial" w:cs="Arial"/>
                <w:color w:val="000000" w:themeColor="text1"/>
                <w:sz w:val="24"/>
                <w:szCs w:val="24"/>
                <w:lang w:val="en-GB"/>
              </w:rPr>
            </w:pPr>
            <w:r w:rsidRPr="006E281E">
              <w:rPr>
                <w:rFonts w:ascii="Arial" w:hAnsi="Arial" w:cs="Arial"/>
                <w:color w:val="000000" w:themeColor="text1"/>
                <w:sz w:val="24"/>
                <w:szCs w:val="24"/>
                <w:lang w:val="en-GB"/>
              </w:rPr>
              <w:t xml:space="preserve">Total number of pending cases for 30 August 2022: 26 with 46% of the cases still under investigation. </w:t>
            </w:r>
          </w:p>
          <w:p w14:paraId="495383D7" w14:textId="77777777" w:rsidR="00804B80" w:rsidRPr="006E281E" w:rsidRDefault="00804B80" w:rsidP="00110381">
            <w:pPr>
              <w:jc w:val="both"/>
              <w:rPr>
                <w:rFonts w:ascii="Arial" w:hAnsi="Arial" w:cs="Arial"/>
                <w:color w:val="000000" w:themeColor="text1"/>
                <w:sz w:val="24"/>
                <w:szCs w:val="24"/>
                <w:lang w:val="en-GB"/>
              </w:rPr>
            </w:pPr>
            <w:r w:rsidRPr="006E281E">
              <w:rPr>
                <w:rFonts w:ascii="Arial" w:hAnsi="Arial" w:cs="Arial"/>
                <w:color w:val="000000" w:themeColor="text1"/>
                <w:sz w:val="24"/>
                <w:szCs w:val="24"/>
                <w:lang w:val="en-GB"/>
              </w:rPr>
              <w:lastRenderedPageBreak/>
              <w:t xml:space="preserve"> </w:t>
            </w:r>
          </w:p>
          <w:p w14:paraId="58E87C78" w14:textId="3B8CF973" w:rsidR="00804B80" w:rsidRPr="001421AD" w:rsidRDefault="00804B80" w:rsidP="001421AD">
            <w:pPr>
              <w:jc w:val="both"/>
              <w:rPr>
                <w:rFonts w:ascii="Arial" w:hAnsi="Arial" w:cs="Arial"/>
                <w:color w:val="FF0000"/>
                <w:sz w:val="24"/>
                <w:szCs w:val="24"/>
                <w:lang w:val="en-GB"/>
              </w:rPr>
            </w:pPr>
            <w:r w:rsidRPr="006E281E">
              <w:rPr>
                <w:rFonts w:ascii="Arial" w:hAnsi="Arial" w:cs="Arial"/>
                <w:color w:val="000000" w:themeColor="text1"/>
                <w:sz w:val="24"/>
                <w:szCs w:val="24"/>
                <w:lang w:val="en-GB"/>
              </w:rPr>
              <w:t>Total number of pending cases for the June 2022 – September 2022: 29 with 52% on the court roll,  31% under investigation and 10% withdrawn</w:t>
            </w:r>
            <w:r w:rsidRPr="00B322B5">
              <w:rPr>
                <w:rFonts w:ascii="Arial" w:hAnsi="Arial" w:cs="Arial"/>
                <w:color w:val="FF0000"/>
                <w:sz w:val="24"/>
                <w:szCs w:val="24"/>
                <w:lang w:val="en-GB"/>
              </w:rPr>
              <w:t xml:space="preserve"> </w:t>
            </w:r>
          </w:p>
          <w:p w14:paraId="04A6A08E" w14:textId="77777777" w:rsidR="00804B80" w:rsidRDefault="00804B80" w:rsidP="00110381">
            <w:pPr>
              <w:jc w:val="both"/>
              <w:rPr>
                <w:rFonts w:ascii="Arial" w:hAnsi="Arial" w:cs="Arial"/>
                <w:sz w:val="24"/>
                <w:szCs w:val="24"/>
                <w:lang w:val="en-GB"/>
              </w:rPr>
            </w:pPr>
          </w:p>
          <w:p w14:paraId="1782D0ED" w14:textId="15A94BDB" w:rsidR="00804B80" w:rsidRPr="001558F4" w:rsidRDefault="00804B80" w:rsidP="00B322B5">
            <w:pPr>
              <w:jc w:val="both"/>
              <w:rPr>
                <w:rFonts w:ascii="Arial" w:hAnsi="Arial" w:cs="Arial"/>
                <w:sz w:val="24"/>
                <w:szCs w:val="24"/>
                <w:lang w:val="en-GB"/>
              </w:rPr>
            </w:pPr>
            <w:r w:rsidRPr="00B322B5">
              <w:rPr>
                <w:rFonts w:ascii="Arial" w:hAnsi="Arial" w:cs="Arial"/>
                <w:b/>
                <w:i/>
                <w:sz w:val="24"/>
                <w:szCs w:val="24"/>
                <w:lang w:val="en-GB"/>
              </w:rPr>
              <w:t>Note</w:t>
            </w:r>
            <w:r>
              <w:rPr>
                <w:rFonts w:ascii="Arial" w:hAnsi="Arial" w:cs="Arial"/>
                <w:b/>
                <w:i/>
                <w:sz w:val="24"/>
                <w:szCs w:val="24"/>
                <w:lang w:val="en-GB"/>
              </w:rPr>
              <w:t xml:space="preserve"> that</w:t>
            </w:r>
            <w:r w:rsidRPr="00B322B5">
              <w:rPr>
                <w:rFonts w:ascii="Arial" w:hAnsi="Arial" w:cs="Arial"/>
                <w:b/>
                <w:i/>
                <w:sz w:val="24"/>
                <w:szCs w:val="24"/>
                <w:lang w:val="en-GB"/>
              </w:rPr>
              <w:t xml:space="preserve"> more cases are periodically added</w:t>
            </w:r>
            <w:r>
              <w:rPr>
                <w:rFonts w:ascii="Arial" w:hAnsi="Arial" w:cs="Arial"/>
                <w:b/>
                <w:i/>
                <w:sz w:val="24"/>
                <w:szCs w:val="24"/>
                <w:lang w:val="en-GB"/>
              </w:rPr>
              <w:t xml:space="preserve"> and some</w:t>
            </w:r>
            <w:r w:rsidRPr="00B322B5">
              <w:rPr>
                <w:rFonts w:ascii="Arial" w:hAnsi="Arial" w:cs="Arial"/>
                <w:b/>
                <w:i/>
                <w:sz w:val="24"/>
                <w:szCs w:val="24"/>
                <w:lang w:val="en-GB"/>
              </w:rPr>
              <w:t xml:space="preserve"> are removed when </w:t>
            </w:r>
            <w:r>
              <w:rPr>
                <w:rFonts w:ascii="Arial" w:hAnsi="Arial" w:cs="Arial"/>
                <w:b/>
                <w:i/>
                <w:sz w:val="24"/>
                <w:szCs w:val="24"/>
                <w:lang w:val="en-GB"/>
              </w:rPr>
              <w:t xml:space="preserve">finalised with convictions; withdrawn by complainants or undetected. </w:t>
            </w:r>
            <w:r w:rsidRPr="001558F4">
              <w:rPr>
                <w:rFonts w:ascii="Arial" w:hAnsi="Arial" w:cs="Arial"/>
                <w:sz w:val="24"/>
                <w:szCs w:val="24"/>
                <w:lang w:val="en-GB"/>
              </w:rPr>
              <w:t xml:space="preserve"> </w:t>
            </w:r>
          </w:p>
        </w:tc>
      </w:tr>
      <w:tr w:rsidR="00804B80" w:rsidRPr="001558F4" w14:paraId="75974E79" w14:textId="77777777" w:rsidTr="00804B80">
        <w:tc>
          <w:tcPr>
            <w:tcW w:w="7225" w:type="dxa"/>
          </w:tcPr>
          <w:p w14:paraId="79AF71BE" w14:textId="4644CDEA" w:rsidR="00804B80" w:rsidRPr="001558F4" w:rsidRDefault="00804B80" w:rsidP="006C7F7A">
            <w:pPr>
              <w:pStyle w:val="ListParagraph"/>
              <w:numPr>
                <w:ilvl w:val="0"/>
                <w:numId w:val="2"/>
              </w:numPr>
              <w:jc w:val="both"/>
              <w:rPr>
                <w:rFonts w:ascii="Arial" w:hAnsi="Arial" w:cs="Arial"/>
                <w:sz w:val="24"/>
                <w:szCs w:val="24"/>
                <w:lang w:val="en-GB"/>
              </w:rPr>
            </w:pPr>
            <w:r w:rsidRPr="001558F4">
              <w:rPr>
                <w:rFonts w:ascii="Arial" w:hAnsi="Arial" w:cs="Arial"/>
                <w:sz w:val="24"/>
                <w:szCs w:val="24"/>
                <w:lang w:val="en-GB"/>
              </w:rPr>
              <w:lastRenderedPageBreak/>
              <w:t>Sensitization workshops on LGBTIQ rights.</w:t>
            </w:r>
          </w:p>
        </w:tc>
        <w:tc>
          <w:tcPr>
            <w:tcW w:w="6520" w:type="dxa"/>
          </w:tcPr>
          <w:p w14:paraId="79AADFFA" w14:textId="77777777" w:rsidR="00804B80" w:rsidRPr="006E281E" w:rsidRDefault="00804B80" w:rsidP="000C24AA">
            <w:pPr>
              <w:jc w:val="both"/>
              <w:rPr>
                <w:rFonts w:ascii="Arial" w:hAnsi="Arial" w:cs="Arial"/>
                <w:bCs/>
                <w:color w:val="000000" w:themeColor="text1"/>
                <w:sz w:val="24"/>
                <w:szCs w:val="24"/>
              </w:rPr>
            </w:pPr>
            <w:r w:rsidRPr="006E281E">
              <w:rPr>
                <w:rFonts w:ascii="Arial" w:hAnsi="Arial" w:cs="Arial"/>
                <w:bCs/>
                <w:color w:val="000000" w:themeColor="text1"/>
                <w:sz w:val="24"/>
                <w:szCs w:val="24"/>
              </w:rPr>
              <w:t>The following awareness sessions were conducted:</w:t>
            </w:r>
          </w:p>
          <w:p w14:paraId="4346A399" w14:textId="5A2714D9" w:rsidR="00804B80" w:rsidRPr="006E281E" w:rsidRDefault="00804B80" w:rsidP="000C24AA">
            <w:pPr>
              <w:jc w:val="both"/>
              <w:rPr>
                <w:rFonts w:ascii="Arial" w:hAnsi="Arial" w:cs="Arial"/>
                <w:bCs/>
                <w:color w:val="000000" w:themeColor="text1"/>
                <w:sz w:val="24"/>
                <w:szCs w:val="24"/>
              </w:rPr>
            </w:pPr>
            <w:r w:rsidRPr="006E281E">
              <w:rPr>
                <w:rFonts w:ascii="Arial" w:hAnsi="Arial" w:cs="Arial"/>
                <w:bCs/>
                <w:color w:val="000000" w:themeColor="text1"/>
                <w:sz w:val="24"/>
                <w:szCs w:val="24"/>
              </w:rPr>
              <w:t>Community and commercial radio interviews on the SA LGBTIQ+ Programme and human rights of LGBTIQ+ persons. The public was reached through all the community radio stations in each of the targeted provinces.</w:t>
            </w:r>
          </w:p>
          <w:p w14:paraId="07FEF296" w14:textId="3E4DCDAB" w:rsidR="00804B80" w:rsidRPr="006E281E" w:rsidRDefault="00804B80" w:rsidP="000C24AA">
            <w:pPr>
              <w:jc w:val="both"/>
              <w:rPr>
                <w:rFonts w:ascii="Arial" w:hAnsi="Arial" w:cs="Arial"/>
                <w:bCs/>
                <w:color w:val="000000" w:themeColor="text1"/>
                <w:sz w:val="24"/>
                <w:szCs w:val="24"/>
              </w:rPr>
            </w:pPr>
            <w:r w:rsidRPr="006E281E">
              <w:rPr>
                <w:rFonts w:ascii="Arial" w:hAnsi="Arial" w:cs="Arial"/>
                <w:bCs/>
                <w:color w:val="000000" w:themeColor="text1"/>
                <w:sz w:val="24"/>
                <w:szCs w:val="24"/>
              </w:rPr>
              <w:t>National virtual awareness session on sexual orientation, gender identity, expression and sex characteristics (SOGIE) matters.</w:t>
            </w:r>
          </w:p>
          <w:p w14:paraId="027FA2DB" w14:textId="09C656D6" w:rsidR="00804B80" w:rsidRPr="006E281E" w:rsidRDefault="00804B80" w:rsidP="006E281E">
            <w:pPr>
              <w:jc w:val="both"/>
              <w:rPr>
                <w:rFonts w:ascii="Arial" w:hAnsi="Arial" w:cs="Arial"/>
                <w:color w:val="000000" w:themeColor="text1"/>
                <w:sz w:val="24"/>
                <w:szCs w:val="24"/>
                <w:lang w:val="en-GB"/>
              </w:rPr>
            </w:pPr>
            <w:r w:rsidRPr="006E281E">
              <w:rPr>
                <w:rFonts w:ascii="Arial" w:hAnsi="Arial" w:cs="Arial"/>
                <w:color w:val="000000" w:themeColor="text1"/>
                <w:sz w:val="24"/>
                <w:szCs w:val="24"/>
                <w:lang w:val="en-GB"/>
              </w:rPr>
              <w:t>Community dialogues were also conducted with schools</w:t>
            </w:r>
            <w:r>
              <w:rPr>
                <w:rFonts w:ascii="Arial" w:hAnsi="Arial" w:cs="Arial"/>
                <w:color w:val="000000" w:themeColor="text1"/>
                <w:sz w:val="24"/>
                <w:szCs w:val="24"/>
                <w:lang w:val="en-GB"/>
              </w:rPr>
              <w:t xml:space="preserve"> and communities</w:t>
            </w:r>
            <w:r w:rsidRPr="006E281E">
              <w:rPr>
                <w:rFonts w:ascii="Arial" w:hAnsi="Arial" w:cs="Arial"/>
                <w:color w:val="000000" w:themeColor="text1"/>
                <w:sz w:val="24"/>
                <w:szCs w:val="24"/>
                <w:lang w:val="en-GB"/>
              </w:rPr>
              <w:t xml:space="preserve"> in the targeted rural areas.</w:t>
            </w:r>
          </w:p>
        </w:tc>
      </w:tr>
      <w:tr w:rsidR="00804B80" w:rsidRPr="001558F4" w14:paraId="6B2F591F" w14:textId="77777777" w:rsidTr="00804B80">
        <w:tc>
          <w:tcPr>
            <w:tcW w:w="7225" w:type="dxa"/>
          </w:tcPr>
          <w:p w14:paraId="175620CD" w14:textId="1317C23A" w:rsidR="00804B80" w:rsidRPr="001558F4" w:rsidRDefault="00804B80" w:rsidP="00804B80">
            <w:pPr>
              <w:pStyle w:val="ListParagraph"/>
              <w:numPr>
                <w:ilvl w:val="0"/>
                <w:numId w:val="2"/>
              </w:numPr>
              <w:jc w:val="both"/>
              <w:rPr>
                <w:rFonts w:ascii="Arial" w:hAnsi="Arial" w:cs="Arial"/>
                <w:sz w:val="24"/>
                <w:szCs w:val="24"/>
                <w:lang w:val="en-GB"/>
              </w:rPr>
            </w:pPr>
            <w:r>
              <w:rPr>
                <w:rFonts w:ascii="Arial" w:hAnsi="Arial" w:cs="Arial"/>
                <w:sz w:val="24"/>
                <w:szCs w:val="24"/>
                <w:lang w:val="en-GB"/>
              </w:rPr>
              <w:t xml:space="preserve">Protections of the human rights of </w:t>
            </w:r>
            <w:r w:rsidRPr="001558F4">
              <w:rPr>
                <w:rFonts w:ascii="Arial" w:hAnsi="Arial" w:cs="Arial"/>
                <w:sz w:val="24"/>
                <w:szCs w:val="24"/>
                <w:lang w:val="en-GB"/>
              </w:rPr>
              <w:t>transgender and intersex persons</w:t>
            </w:r>
          </w:p>
        </w:tc>
        <w:tc>
          <w:tcPr>
            <w:tcW w:w="6520" w:type="dxa"/>
          </w:tcPr>
          <w:p w14:paraId="21CEC72F" w14:textId="6A923B64" w:rsidR="00804B80" w:rsidRPr="006E281E" w:rsidRDefault="00804B80" w:rsidP="002C7A4A">
            <w:pPr>
              <w:jc w:val="both"/>
              <w:rPr>
                <w:rFonts w:ascii="Arial" w:hAnsi="Arial" w:cs="Arial"/>
                <w:color w:val="000000" w:themeColor="text1"/>
                <w:sz w:val="24"/>
                <w:szCs w:val="24"/>
              </w:rPr>
            </w:pPr>
            <w:r w:rsidRPr="006E281E">
              <w:rPr>
                <w:rFonts w:ascii="Arial" w:hAnsi="Arial" w:cs="Arial"/>
                <w:color w:val="000000" w:themeColor="text1"/>
                <w:sz w:val="24"/>
                <w:szCs w:val="24"/>
              </w:rPr>
              <w:t xml:space="preserve">The SA-EU Policy Dialogue on the Rights of Transgender and Intersex Persons was held wherein the Minister of Justice and Correctional Services delivered a key note address of the Dialogue. </w:t>
            </w:r>
          </w:p>
          <w:p w14:paraId="4C92574F" w14:textId="77777777" w:rsidR="00804B80" w:rsidRPr="006E281E" w:rsidRDefault="00804B80" w:rsidP="002C7A4A">
            <w:pPr>
              <w:jc w:val="both"/>
              <w:rPr>
                <w:rFonts w:ascii="Arial" w:hAnsi="Arial" w:cs="Arial"/>
                <w:bCs/>
                <w:iCs/>
                <w:color w:val="000000" w:themeColor="text1"/>
                <w:sz w:val="24"/>
                <w:szCs w:val="24"/>
                <w:lang w:val="en-US"/>
              </w:rPr>
            </w:pPr>
            <w:r w:rsidRPr="006E281E">
              <w:rPr>
                <w:rFonts w:ascii="Arial" w:hAnsi="Arial" w:cs="Arial"/>
                <w:color w:val="000000" w:themeColor="text1"/>
                <w:sz w:val="24"/>
                <w:szCs w:val="24"/>
              </w:rPr>
              <w:t>The national dialogue f</w:t>
            </w:r>
            <w:r w:rsidRPr="006E281E">
              <w:rPr>
                <w:rFonts w:ascii="Arial" w:hAnsi="Arial" w:cs="Arial"/>
                <w:bCs/>
                <w:iCs/>
                <w:color w:val="000000" w:themeColor="text1"/>
                <w:sz w:val="24"/>
                <w:szCs w:val="24"/>
              </w:rPr>
              <w:t xml:space="preserve">ocused on the current Legal Framework on Legal Gender Recognition for Transgender people in South Africa and the need for self-determination for Legal Gender Recognition and </w:t>
            </w:r>
            <w:r w:rsidRPr="006E281E">
              <w:rPr>
                <w:rFonts w:ascii="Arial" w:hAnsi="Arial" w:cs="Arial"/>
                <w:bCs/>
                <w:iCs/>
                <w:color w:val="000000" w:themeColor="text1"/>
                <w:sz w:val="24"/>
                <w:szCs w:val="24"/>
                <w:lang w:val="en-US"/>
              </w:rPr>
              <w:t xml:space="preserve">the violations experienced by Intersex persons and the necessity to have Intersex specific Legal Framework that addresses Intersex Genital Mutilation (IGM). </w:t>
            </w:r>
          </w:p>
          <w:p w14:paraId="359689C0" w14:textId="1A75E00C" w:rsidR="00804B80" w:rsidRPr="006E281E" w:rsidRDefault="00804B80" w:rsidP="002C7A4A">
            <w:pPr>
              <w:jc w:val="both"/>
              <w:rPr>
                <w:rFonts w:ascii="Arial" w:hAnsi="Arial" w:cs="Arial"/>
                <w:bCs/>
                <w:iCs/>
                <w:color w:val="000000" w:themeColor="text1"/>
                <w:sz w:val="24"/>
                <w:szCs w:val="24"/>
              </w:rPr>
            </w:pPr>
            <w:r w:rsidRPr="006E281E">
              <w:rPr>
                <w:rFonts w:ascii="Arial" w:hAnsi="Arial" w:cs="Arial"/>
                <w:bCs/>
                <w:iCs/>
                <w:color w:val="000000" w:themeColor="text1"/>
                <w:sz w:val="24"/>
                <w:szCs w:val="24"/>
                <w:lang w:val="en-US"/>
              </w:rPr>
              <w:t xml:space="preserve">A number of International Experts made presentations to the Policy Dialogue, including the UN Independent Expert on </w:t>
            </w:r>
            <w:r w:rsidRPr="006E281E">
              <w:rPr>
                <w:rFonts w:ascii="Arial" w:hAnsi="Arial" w:cs="Arial"/>
                <w:bCs/>
                <w:iCs/>
                <w:color w:val="000000" w:themeColor="text1"/>
                <w:sz w:val="24"/>
                <w:szCs w:val="24"/>
                <w:lang w:val="en-US"/>
              </w:rPr>
              <w:lastRenderedPageBreak/>
              <w:t>SOGIESC Rights as well as the EU Rapporteur on LGBTI Rights. Dr Tlaleng Mofokeng, the UN Rapporteur UN Special Procedure also made a presentation on South Africa’s obligations. Deputy Minister Dhlomo also delivered an address on measures taken by the Department of Health. The event was live streamed via You Tube, Facebook, Twitter and Community Radio Stations. CSOs, government departments and Chapter 9 Institutions attended the dialogue with key note inputs from the CGE and the SAHRC. The Department is taking forward the recommendations of the national dialogue together with the Departments of Home Affairs and Health.</w:t>
            </w:r>
          </w:p>
        </w:tc>
      </w:tr>
      <w:tr w:rsidR="00804B80" w:rsidRPr="001558F4" w14:paraId="45B60FD1" w14:textId="77777777" w:rsidTr="00804B80">
        <w:tc>
          <w:tcPr>
            <w:tcW w:w="7225" w:type="dxa"/>
          </w:tcPr>
          <w:p w14:paraId="23FC4BB8" w14:textId="4AC526C0" w:rsidR="00804B80" w:rsidRPr="001558F4" w:rsidRDefault="00804B80" w:rsidP="00804B80">
            <w:pPr>
              <w:pStyle w:val="ListParagraph"/>
              <w:numPr>
                <w:ilvl w:val="0"/>
                <w:numId w:val="2"/>
              </w:numPr>
              <w:jc w:val="both"/>
              <w:rPr>
                <w:rFonts w:ascii="Arial" w:hAnsi="Arial" w:cs="Arial"/>
                <w:sz w:val="24"/>
                <w:szCs w:val="24"/>
                <w:lang w:val="en-GB"/>
              </w:rPr>
            </w:pPr>
            <w:r>
              <w:rPr>
                <w:rFonts w:ascii="Arial" w:hAnsi="Arial" w:cs="Arial"/>
                <w:sz w:val="24"/>
                <w:szCs w:val="24"/>
                <w:lang w:val="en-GB"/>
              </w:rPr>
              <w:lastRenderedPageBreak/>
              <w:t>Training and capacity building of officials at service points</w:t>
            </w:r>
          </w:p>
        </w:tc>
        <w:tc>
          <w:tcPr>
            <w:tcW w:w="6520" w:type="dxa"/>
          </w:tcPr>
          <w:p w14:paraId="588E62DF" w14:textId="77777777" w:rsidR="00804B80" w:rsidRPr="00FD64D0" w:rsidRDefault="00804B80" w:rsidP="00EA64FF">
            <w:pPr>
              <w:jc w:val="both"/>
              <w:rPr>
                <w:rFonts w:ascii="Arial" w:hAnsi="Arial" w:cs="Arial"/>
                <w:color w:val="000000" w:themeColor="text1"/>
                <w:sz w:val="24"/>
                <w:szCs w:val="24"/>
                <w:lang w:val="en-GB"/>
              </w:rPr>
            </w:pPr>
            <w:r w:rsidRPr="00FD64D0">
              <w:rPr>
                <w:rFonts w:ascii="Arial" w:hAnsi="Arial" w:cs="Arial"/>
                <w:color w:val="000000" w:themeColor="text1"/>
                <w:sz w:val="24"/>
                <w:szCs w:val="24"/>
                <w:lang w:val="en-GB"/>
              </w:rPr>
              <w:t>Given the high levels of secondary victimisation suffered by the LGBTIQ+ communities and the discriminatory attitudes of communities towards the LGBTIQ+ persons, there is a great need for sensitisation of service providers who interface with victims of hate crimes and discrimination.  In this regard, the National Task Team developed document: “Working with Diverse Communities: Understanding sexual orientation, gender identity and expression: A Guide for service providers”.</w:t>
            </w:r>
          </w:p>
          <w:p w14:paraId="6973F5DA" w14:textId="77777777" w:rsidR="00804B80" w:rsidRPr="00FD64D0" w:rsidRDefault="00804B80" w:rsidP="00EA64FF">
            <w:pPr>
              <w:jc w:val="both"/>
              <w:rPr>
                <w:rFonts w:ascii="Arial" w:hAnsi="Arial" w:cs="Arial"/>
                <w:color w:val="000000" w:themeColor="text1"/>
                <w:sz w:val="24"/>
                <w:szCs w:val="24"/>
                <w:lang w:val="en-GB"/>
              </w:rPr>
            </w:pPr>
          </w:p>
          <w:p w14:paraId="701DE3B8" w14:textId="4C735AC7" w:rsidR="00804B80" w:rsidRPr="00FD64D0" w:rsidRDefault="00804B80" w:rsidP="00EA64FF">
            <w:pPr>
              <w:jc w:val="both"/>
              <w:rPr>
                <w:rFonts w:ascii="Arial" w:hAnsi="Arial" w:cs="Arial"/>
                <w:color w:val="000000" w:themeColor="text1"/>
                <w:sz w:val="24"/>
                <w:szCs w:val="24"/>
                <w:lang w:val="en-GB"/>
              </w:rPr>
            </w:pPr>
            <w:r w:rsidRPr="00FD64D0">
              <w:rPr>
                <w:rFonts w:ascii="Arial" w:hAnsi="Arial" w:cs="Arial"/>
                <w:color w:val="000000" w:themeColor="text1"/>
                <w:sz w:val="24"/>
                <w:szCs w:val="24"/>
                <w:lang w:val="en-GB"/>
              </w:rPr>
              <w:t>The Guide for Service providers was successfully piloted in 2019 in targeted provinces and rolled out nationally, through training workshops in 2022. Further, a number of training workshops on SOGIESC matters are being conducted targeting officials at service points in the government departments, Chapter 9 institutions and community advice offices in the provinces.</w:t>
            </w:r>
          </w:p>
        </w:tc>
      </w:tr>
    </w:tbl>
    <w:p w14:paraId="6E0F7A04" w14:textId="77777777" w:rsidR="00F174DA" w:rsidRPr="001558F4" w:rsidRDefault="00F174DA" w:rsidP="00FE49C4">
      <w:pPr>
        <w:jc w:val="center"/>
        <w:rPr>
          <w:rFonts w:ascii="Arial" w:hAnsi="Arial" w:cs="Arial"/>
          <w:sz w:val="24"/>
          <w:szCs w:val="24"/>
          <w:lang w:val="en-GB"/>
        </w:rPr>
      </w:pPr>
    </w:p>
    <w:sectPr w:rsidR="00F174DA" w:rsidRPr="001558F4" w:rsidSect="00973DCA">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0211" w14:textId="77777777" w:rsidR="00840A6E" w:rsidRDefault="00840A6E" w:rsidP="00AC2563">
      <w:pPr>
        <w:spacing w:after="0" w:line="240" w:lineRule="auto"/>
      </w:pPr>
      <w:r>
        <w:separator/>
      </w:r>
    </w:p>
  </w:endnote>
  <w:endnote w:type="continuationSeparator" w:id="0">
    <w:p w14:paraId="6C57C594" w14:textId="77777777" w:rsidR="00840A6E" w:rsidRDefault="00840A6E" w:rsidP="00AC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812322"/>
      <w:docPartObj>
        <w:docPartGallery w:val="Page Numbers (Bottom of Page)"/>
        <w:docPartUnique/>
      </w:docPartObj>
    </w:sdtPr>
    <w:sdtEndPr>
      <w:rPr>
        <w:noProof/>
      </w:rPr>
    </w:sdtEndPr>
    <w:sdtContent>
      <w:p w14:paraId="169DEF85" w14:textId="7AF7C91A" w:rsidR="006E281E" w:rsidRDefault="006E281E">
        <w:pPr>
          <w:pStyle w:val="Footer"/>
          <w:jc w:val="center"/>
        </w:pPr>
        <w:r>
          <w:fldChar w:fldCharType="begin"/>
        </w:r>
        <w:r>
          <w:instrText xml:space="preserve"> PAGE   \* MERGEFORMAT </w:instrText>
        </w:r>
        <w:r>
          <w:fldChar w:fldCharType="separate"/>
        </w:r>
        <w:r w:rsidR="00804B80">
          <w:rPr>
            <w:noProof/>
          </w:rPr>
          <w:t>1</w:t>
        </w:r>
        <w:r>
          <w:rPr>
            <w:noProof/>
          </w:rPr>
          <w:fldChar w:fldCharType="end"/>
        </w:r>
      </w:p>
    </w:sdtContent>
  </w:sdt>
  <w:p w14:paraId="69BC98E2" w14:textId="77777777" w:rsidR="006E281E" w:rsidRDefault="006E2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D826" w14:textId="77777777" w:rsidR="00840A6E" w:rsidRDefault="00840A6E" w:rsidP="00AC2563">
      <w:pPr>
        <w:spacing w:after="0" w:line="240" w:lineRule="auto"/>
      </w:pPr>
      <w:r>
        <w:separator/>
      </w:r>
    </w:p>
  </w:footnote>
  <w:footnote w:type="continuationSeparator" w:id="0">
    <w:p w14:paraId="275471FD" w14:textId="77777777" w:rsidR="00840A6E" w:rsidRDefault="00840A6E" w:rsidP="00AC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ED"/>
    <w:multiLevelType w:val="hybridMultilevel"/>
    <w:tmpl w:val="DE2E1D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8738BD"/>
    <w:multiLevelType w:val="hybridMultilevel"/>
    <w:tmpl w:val="AACC04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1B35640"/>
    <w:multiLevelType w:val="hybridMultilevel"/>
    <w:tmpl w:val="DFD0C1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232197"/>
    <w:multiLevelType w:val="hybridMultilevel"/>
    <w:tmpl w:val="C5723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784BE6"/>
    <w:multiLevelType w:val="hybridMultilevel"/>
    <w:tmpl w:val="D8E206E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0C2E7CB4"/>
    <w:multiLevelType w:val="hybridMultilevel"/>
    <w:tmpl w:val="84589826"/>
    <w:lvl w:ilvl="0" w:tplc="97806E64">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174BD9"/>
    <w:multiLevelType w:val="hybridMultilevel"/>
    <w:tmpl w:val="354CF6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5161629"/>
    <w:multiLevelType w:val="hybridMultilevel"/>
    <w:tmpl w:val="B156DA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6267733"/>
    <w:multiLevelType w:val="hybridMultilevel"/>
    <w:tmpl w:val="918E5E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BC04923"/>
    <w:multiLevelType w:val="hybridMultilevel"/>
    <w:tmpl w:val="344CAE7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2AD56C3D"/>
    <w:multiLevelType w:val="hybridMultilevel"/>
    <w:tmpl w:val="83503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02123E3"/>
    <w:multiLevelType w:val="hybridMultilevel"/>
    <w:tmpl w:val="09823090"/>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340D274F"/>
    <w:multiLevelType w:val="hybridMultilevel"/>
    <w:tmpl w:val="91749B0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3E1A26A3"/>
    <w:multiLevelType w:val="hybridMultilevel"/>
    <w:tmpl w:val="A1EE95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F393435"/>
    <w:multiLevelType w:val="hybridMultilevel"/>
    <w:tmpl w:val="1D9ADC3C"/>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45A93944"/>
    <w:multiLevelType w:val="hybridMultilevel"/>
    <w:tmpl w:val="5044B2E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48AE75F8"/>
    <w:multiLevelType w:val="hybridMultilevel"/>
    <w:tmpl w:val="55561D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95341F6"/>
    <w:multiLevelType w:val="hybridMultilevel"/>
    <w:tmpl w:val="731A4C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AE579B3"/>
    <w:multiLevelType w:val="hybridMultilevel"/>
    <w:tmpl w:val="205CB38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4E3474F2"/>
    <w:multiLevelType w:val="hybridMultilevel"/>
    <w:tmpl w:val="1CF2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25494C"/>
    <w:multiLevelType w:val="hybridMultilevel"/>
    <w:tmpl w:val="6310C7C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1" w15:restartNumberingAfterBreak="0">
    <w:nsid w:val="529862AC"/>
    <w:multiLevelType w:val="hybridMultilevel"/>
    <w:tmpl w:val="21647E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DF556BD"/>
    <w:multiLevelType w:val="hybridMultilevel"/>
    <w:tmpl w:val="A346316C"/>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4" w15:restartNumberingAfterBreak="0">
    <w:nsid w:val="5F662447"/>
    <w:multiLevelType w:val="hybridMultilevel"/>
    <w:tmpl w:val="F232EF3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5" w15:restartNumberingAfterBreak="0">
    <w:nsid w:val="66EB0502"/>
    <w:multiLevelType w:val="hybridMultilevel"/>
    <w:tmpl w:val="972E49C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6" w15:restartNumberingAfterBreak="0">
    <w:nsid w:val="68DF04E9"/>
    <w:multiLevelType w:val="hybridMultilevel"/>
    <w:tmpl w:val="1B62026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7" w15:restartNumberingAfterBreak="0">
    <w:nsid w:val="6CBA5C1A"/>
    <w:multiLevelType w:val="hybridMultilevel"/>
    <w:tmpl w:val="EE76A3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E5C1257"/>
    <w:multiLevelType w:val="hybridMultilevel"/>
    <w:tmpl w:val="B0680D1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9" w15:restartNumberingAfterBreak="0">
    <w:nsid w:val="6F253C10"/>
    <w:multiLevelType w:val="hybridMultilevel"/>
    <w:tmpl w:val="E7ECF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9D24736"/>
    <w:multiLevelType w:val="hybridMultilevel"/>
    <w:tmpl w:val="DDA23E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D2C57E5"/>
    <w:multiLevelType w:val="hybridMultilevel"/>
    <w:tmpl w:val="18CA75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27"/>
  </w:num>
  <w:num w:numId="5">
    <w:abstractNumId w:val="21"/>
  </w:num>
  <w:num w:numId="6">
    <w:abstractNumId w:val="31"/>
  </w:num>
  <w:num w:numId="7">
    <w:abstractNumId w:val="8"/>
  </w:num>
  <w:num w:numId="8">
    <w:abstractNumId w:val="13"/>
  </w:num>
  <w:num w:numId="9">
    <w:abstractNumId w:val="6"/>
  </w:num>
  <w:num w:numId="10">
    <w:abstractNumId w:val="30"/>
  </w:num>
  <w:num w:numId="11">
    <w:abstractNumId w:val="7"/>
  </w:num>
  <w:num w:numId="12">
    <w:abstractNumId w:val="19"/>
  </w:num>
  <w:num w:numId="13">
    <w:abstractNumId w:val="2"/>
  </w:num>
  <w:num w:numId="14">
    <w:abstractNumId w:val="15"/>
  </w:num>
  <w:num w:numId="15">
    <w:abstractNumId w:val="4"/>
  </w:num>
  <w:num w:numId="16">
    <w:abstractNumId w:val="28"/>
  </w:num>
  <w:num w:numId="17">
    <w:abstractNumId w:val="26"/>
  </w:num>
  <w:num w:numId="18">
    <w:abstractNumId w:val="20"/>
  </w:num>
  <w:num w:numId="19">
    <w:abstractNumId w:val="18"/>
  </w:num>
  <w:num w:numId="20">
    <w:abstractNumId w:val="11"/>
  </w:num>
  <w:num w:numId="21">
    <w:abstractNumId w:val="12"/>
  </w:num>
  <w:num w:numId="22">
    <w:abstractNumId w:val="23"/>
  </w:num>
  <w:num w:numId="23">
    <w:abstractNumId w:val="25"/>
  </w:num>
  <w:num w:numId="24">
    <w:abstractNumId w:val="24"/>
  </w:num>
  <w:num w:numId="25">
    <w:abstractNumId w:val="9"/>
  </w:num>
  <w:num w:numId="26">
    <w:abstractNumId w:val="14"/>
  </w:num>
  <w:num w:numId="27">
    <w:abstractNumId w:val="1"/>
  </w:num>
  <w:num w:numId="28">
    <w:abstractNumId w:val="10"/>
  </w:num>
  <w:num w:numId="29">
    <w:abstractNumId w:val="0"/>
  </w:num>
  <w:num w:numId="30">
    <w:abstractNumId w:val="29"/>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9C4"/>
    <w:rsid w:val="000028A7"/>
    <w:rsid w:val="000276CE"/>
    <w:rsid w:val="00035C79"/>
    <w:rsid w:val="00087E5D"/>
    <w:rsid w:val="000A391E"/>
    <w:rsid w:val="000C24AA"/>
    <w:rsid w:val="000E07AF"/>
    <w:rsid w:val="000E4A97"/>
    <w:rsid w:val="00110381"/>
    <w:rsid w:val="00111E8E"/>
    <w:rsid w:val="00114691"/>
    <w:rsid w:val="00117409"/>
    <w:rsid w:val="0012172C"/>
    <w:rsid w:val="001257C3"/>
    <w:rsid w:val="001421AD"/>
    <w:rsid w:val="001558F4"/>
    <w:rsid w:val="00156BB3"/>
    <w:rsid w:val="001617E8"/>
    <w:rsid w:val="00171C60"/>
    <w:rsid w:val="00184E09"/>
    <w:rsid w:val="00190359"/>
    <w:rsid w:val="001917C0"/>
    <w:rsid w:val="001A4857"/>
    <w:rsid w:val="001C4C87"/>
    <w:rsid w:val="00200257"/>
    <w:rsid w:val="002060EF"/>
    <w:rsid w:val="00215BBA"/>
    <w:rsid w:val="00226FF6"/>
    <w:rsid w:val="00232F31"/>
    <w:rsid w:val="00233532"/>
    <w:rsid w:val="00237D42"/>
    <w:rsid w:val="00240E72"/>
    <w:rsid w:val="00257E0A"/>
    <w:rsid w:val="002600FC"/>
    <w:rsid w:val="00264921"/>
    <w:rsid w:val="00272223"/>
    <w:rsid w:val="002724E6"/>
    <w:rsid w:val="00272D68"/>
    <w:rsid w:val="00274EA7"/>
    <w:rsid w:val="00291B44"/>
    <w:rsid w:val="00293D10"/>
    <w:rsid w:val="002A4F74"/>
    <w:rsid w:val="002B57B9"/>
    <w:rsid w:val="002C7A4A"/>
    <w:rsid w:val="002D38A6"/>
    <w:rsid w:val="002E74D1"/>
    <w:rsid w:val="002F13AE"/>
    <w:rsid w:val="002F4053"/>
    <w:rsid w:val="002F507A"/>
    <w:rsid w:val="002F641E"/>
    <w:rsid w:val="00300EF7"/>
    <w:rsid w:val="00316474"/>
    <w:rsid w:val="003250B3"/>
    <w:rsid w:val="0032537A"/>
    <w:rsid w:val="0034161F"/>
    <w:rsid w:val="003548E8"/>
    <w:rsid w:val="003554AF"/>
    <w:rsid w:val="003604DD"/>
    <w:rsid w:val="00376164"/>
    <w:rsid w:val="003876B1"/>
    <w:rsid w:val="00390973"/>
    <w:rsid w:val="003A4918"/>
    <w:rsid w:val="003A616F"/>
    <w:rsid w:val="003B0890"/>
    <w:rsid w:val="003B4210"/>
    <w:rsid w:val="003F12D9"/>
    <w:rsid w:val="003F658A"/>
    <w:rsid w:val="00406E17"/>
    <w:rsid w:val="0041348C"/>
    <w:rsid w:val="00415CE6"/>
    <w:rsid w:val="004421E4"/>
    <w:rsid w:val="00446A4B"/>
    <w:rsid w:val="0046532F"/>
    <w:rsid w:val="00486042"/>
    <w:rsid w:val="004A55B3"/>
    <w:rsid w:val="004B3CE7"/>
    <w:rsid w:val="004B5E67"/>
    <w:rsid w:val="005250F9"/>
    <w:rsid w:val="00534B51"/>
    <w:rsid w:val="005417F4"/>
    <w:rsid w:val="0054213C"/>
    <w:rsid w:val="00542AEB"/>
    <w:rsid w:val="00553E24"/>
    <w:rsid w:val="005560FA"/>
    <w:rsid w:val="00560978"/>
    <w:rsid w:val="00565C44"/>
    <w:rsid w:val="00570D03"/>
    <w:rsid w:val="00574177"/>
    <w:rsid w:val="005761DF"/>
    <w:rsid w:val="005855E9"/>
    <w:rsid w:val="005869C5"/>
    <w:rsid w:val="005A3C20"/>
    <w:rsid w:val="005A4C2D"/>
    <w:rsid w:val="005A4FC0"/>
    <w:rsid w:val="005B056C"/>
    <w:rsid w:val="005C449E"/>
    <w:rsid w:val="005C4D8D"/>
    <w:rsid w:val="005C5F34"/>
    <w:rsid w:val="005D6BC7"/>
    <w:rsid w:val="005E720F"/>
    <w:rsid w:val="00600477"/>
    <w:rsid w:val="00603C59"/>
    <w:rsid w:val="006053AD"/>
    <w:rsid w:val="006067C4"/>
    <w:rsid w:val="00610924"/>
    <w:rsid w:val="00613F4A"/>
    <w:rsid w:val="00616D27"/>
    <w:rsid w:val="00620294"/>
    <w:rsid w:val="00624DF7"/>
    <w:rsid w:val="00642909"/>
    <w:rsid w:val="006440D0"/>
    <w:rsid w:val="006528C0"/>
    <w:rsid w:val="00653EAA"/>
    <w:rsid w:val="00657E7A"/>
    <w:rsid w:val="0068775E"/>
    <w:rsid w:val="00691C7F"/>
    <w:rsid w:val="006A2ABE"/>
    <w:rsid w:val="006A40B9"/>
    <w:rsid w:val="006A4458"/>
    <w:rsid w:val="006A4AC3"/>
    <w:rsid w:val="006A4CF4"/>
    <w:rsid w:val="006C7F7A"/>
    <w:rsid w:val="006E281E"/>
    <w:rsid w:val="006F0D1D"/>
    <w:rsid w:val="00716C67"/>
    <w:rsid w:val="0072427F"/>
    <w:rsid w:val="0073004C"/>
    <w:rsid w:val="00737B21"/>
    <w:rsid w:val="00747A45"/>
    <w:rsid w:val="00761314"/>
    <w:rsid w:val="00771042"/>
    <w:rsid w:val="007741B2"/>
    <w:rsid w:val="007A48CA"/>
    <w:rsid w:val="007B7707"/>
    <w:rsid w:val="007C0698"/>
    <w:rsid w:val="007C19D3"/>
    <w:rsid w:val="00804B80"/>
    <w:rsid w:val="00811E8A"/>
    <w:rsid w:val="00825550"/>
    <w:rsid w:val="00840A6E"/>
    <w:rsid w:val="00852570"/>
    <w:rsid w:val="008B1E65"/>
    <w:rsid w:val="008B2972"/>
    <w:rsid w:val="008C13E1"/>
    <w:rsid w:val="009145C9"/>
    <w:rsid w:val="009363CD"/>
    <w:rsid w:val="00936B19"/>
    <w:rsid w:val="00937111"/>
    <w:rsid w:val="00940AF9"/>
    <w:rsid w:val="00950CA6"/>
    <w:rsid w:val="00953B43"/>
    <w:rsid w:val="009559E3"/>
    <w:rsid w:val="009612F5"/>
    <w:rsid w:val="009613B4"/>
    <w:rsid w:val="00966979"/>
    <w:rsid w:val="00973DCA"/>
    <w:rsid w:val="009740B1"/>
    <w:rsid w:val="0098216F"/>
    <w:rsid w:val="009843A0"/>
    <w:rsid w:val="009C3338"/>
    <w:rsid w:val="009E5143"/>
    <w:rsid w:val="00A06482"/>
    <w:rsid w:val="00A07B70"/>
    <w:rsid w:val="00A1175F"/>
    <w:rsid w:val="00A42885"/>
    <w:rsid w:val="00A44263"/>
    <w:rsid w:val="00A444D3"/>
    <w:rsid w:val="00A80878"/>
    <w:rsid w:val="00A815A4"/>
    <w:rsid w:val="00AC2563"/>
    <w:rsid w:val="00AD51ED"/>
    <w:rsid w:val="00AD6F66"/>
    <w:rsid w:val="00AF1825"/>
    <w:rsid w:val="00AF52BB"/>
    <w:rsid w:val="00B02A9C"/>
    <w:rsid w:val="00B11EBD"/>
    <w:rsid w:val="00B12C38"/>
    <w:rsid w:val="00B322B5"/>
    <w:rsid w:val="00B3413B"/>
    <w:rsid w:val="00B571BD"/>
    <w:rsid w:val="00B67341"/>
    <w:rsid w:val="00B76C55"/>
    <w:rsid w:val="00B833A0"/>
    <w:rsid w:val="00B926B0"/>
    <w:rsid w:val="00B97DF2"/>
    <w:rsid w:val="00BB2A9F"/>
    <w:rsid w:val="00BC5110"/>
    <w:rsid w:val="00BC6BAD"/>
    <w:rsid w:val="00BE2007"/>
    <w:rsid w:val="00C0478A"/>
    <w:rsid w:val="00C06FAD"/>
    <w:rsid w:val="00C24A84"/>
    <w:rsid w:val="00C43929"/>
    <w:rsid w:val="00C75067"/>
    <w:rsid w:val="00C75770"/>
    <w:rsid w:val="00C83BF2"/>
    <w:rsid w:val="00CA12D8"/>
    <w:rsid w:val="00CA5117"/>
    <w:rsid w:val="00CB2525"/>
    <w:rsid w:val="00CB5177"/>
    <w:rsid w:val="00CB555C"/>
    <w:rsid w:val="00CC14B9"/>
    <w:rsid w:val="00CC6C1F"/>
    <w:rsid w:val="00CD0880"/>
    <w:rsid w:val="00CD1ABC"/>
    <w:rsid w:val="00CE21E2"/>
    <w:rsid w:val="00CF6846"/>
    <w:rsid w:val="00D16920"/>
    <w:rsid w:val="00D16ED5"/>
    <w:rsid w:val="00D23962"/>
    <w:rsid w:val="00D35737"/>
    <w:rsid w:val="00D3661A"/>
    <w:rsid w:val="00D374A7"/>
    <w:rsid w:val="00D678F4"/>
    <w:rsid w:val="00D75AEC"/>
    <w:rsid w:val="00D82CE0"/>
    <w:rsid w:val="00D8614D"/>
    <w:rsid w:val="00D93B6D"/>
    <w:rsid w:val="00DA31C0"/>
    <w:rsid w:val="00DA7F7F"/>
    <w:rsid w:val="00DB055A"/>
    <w:rsid w:val="00DB5073"/>
    <w:rsid w:val="00DC10D9"/>
    <w:rsid w:val="00DC3D8C"/>
    <w:rsid w:val="00DC455C"/>
    <w:rsid w:val="00DD52A2"/>
    <w:rsid w:val="00DF7B69"/>
    <w:rsid w:val="00E07321"/>
    <w:rsid w:val="00E07F70"/>
    <w:rsid w:val="00E13C8C"/>
    <w:rsid w:val="00E14080"/>
    <w:rsid w:val="00E5053B"/>
    <w:rsid w:val="00E52748"/>
    <w:rsid w:val="00E65B6F"/>
    <w:rsid w:val="00E663CA"/>
    <w:rsid w:val="00E7365D"/>
    <w:rsid w:val="00E769CA"/>
    <w:rsid w:val="00E93727"/>
    <w:rsid w:val="00E941BC"/>
    <w:rsid w:val="00E96846"/>
    <w:rsid w:val="00EA0EE5"/>
    <w:rsid w:val="00EA4AF5"/>
    <w:rsid w:val="00EA64FF"/>
    <w:rsid w:val="00EC08DD"/>
    <w:rsid w:val="00F00C0A"/>
    <w:rsid w:val="00F01CE1"/>
    <w:rsid w:val="00F15F40"/>
    <w:rsid w:val="00F174DA"/>
    <w:rsid w:val="00F251B2"/>
    <w:rsid w:val="00F341CB"/>
    <w:rsid w:val="00F423E2"/>
    <w:rsid w:val="00F43539"/>
    <w:rsid w:val="00F44996"/>
    <w:rsid w:val="00F6326C"/>
    <w:rsid w:val="00F63F8C"/>
    <w:rsid w:val="00F92D26"/>
    <w:rsid w:val="00FA7D84"/>
    <w:rsid w:val="00FB6129"/>
    <w:rsid w:val="00FC7CF1"/>
    <w:rsid w:val="00FD64D0"/>
    <w:rsid w:val="00FE1A7F"/>
    <w:rsid w:val="00FE49C4"/>
    <w:rsid w:val="00FF0C37"/>
    <w:rsid w:val="00FF2461"/>
    <w:rsid w:val="00FF62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1A2FE9"/>
  <w15:chartTrackingRefBased/>
  <w15:docId w15:val="{5A60036D-5902-443D-B9FF-C701C646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DCA"/>
    <w:pPr>
      <w:ind w:left="720"/>
      <w:contextualSpacing/>
    </w:pPr>
  </w:style>
  <w:style w:type="paragraph" w:styleId="Header">
    <w:name w:val="header"/>
    <w:basedOn w:val="Normal"/>
    <w:link w:val="HeaderChar"/>
    <w:uiPriority w:val="99"/>
    <w:unhideWhenUsed/>
    <w:rsid w:val="00AC2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563"/>
  </w:style>
  <w:style w:type="paragraph" w:styleId="Footer">
    <w:name w:val="footer"/>
    <w:basedOn w:val="Normal"/>
    <w:link w:val="FooterChar"/>
    <w:uiPriority w:val="99"/>
    <w:unhideWhenUsed/>
    <w:rsid w:val="00AC2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563"/>
  </w:style>
  <w:style w:type="character" w:styleId="CommentReference">
    <w:name w:val="annotation reference"/>
    <w:basedOn w:val="DefaultParagraphFont"/>
    <w:uiPriority w:val="99"/>
    <w:semiHidden/>
    <w:unhideWhenUsed/>
    <w:rsid w:val="001917C0"/>
    <w:rPr>
      <w:sz w:val="16"/>
      <w:szCs w:val="16"/>
    </w:rPr>
  </w:style>
  <w:style w:type="paragraph" w:styleId="CommentText">
    <w:name w:val="annotation text"/>
    <w:basedOn w:val="Normal"/>
    <w:link w:val="CommentTextChar"/>
    <w:uiPriority w:val="99"/>
    <w:semiHidden/>
    <w:unhideWhenUsed/>
    <w:rsid w:val="001917C0"/>
    <w:pPr>
      <w:spacing w:line="240" w:lineRule="auto"/>
    </w:pPr>
    <w:rPr>
      <w:sz w:val="20"/>
      <w:szCs w:val="20"/>
    </w:rPr>
  </w:style>
  <w:style w:type="character" w:customStyle="1" w:styleId="CommentTextChar">
    <w:name w:val="Comment Text Char"/>
    <w:basedOn w:val="DefaultParagraphFont"/>
    <w:link w:val="CommentText"/>
    <w:uiPriority w:val="99"/>
    <w:semiHidden/>
    <w:rsid w:val="001917C0"/>
    <w:rPr>
      <w:sz w:val="20"/>
      <w:szCs w:val="20"/>
    </w:rPr>
  </w:style>
  <w:style w:type="paragraph" w:styleId="CommentSubject">
    <w:name w:val="annotation subject"/>
    <w:basedOn w:val="CommentText"/>
    <w:next w:val="CommentText"/>
    <w:link w:val="CommentSubjectChar"/>
    <w:uiPriority w:val="99"/>
    <w:semiHidden/>
    <w:unhideWhenUsed/>
    <w:rsid w:val="001917C0"/>
    <w:rPr>
      <w:b/>
      <w:bCs/>
    </w:rPr>
  </w:style>
  <w:style w:type="character" w:customStyle="1" w:styleId="CommentSubjectChar">
    <w:name w:val="Comment Subject Char"/>
    <w:basedOn w:val="CommentTextChar"/>
    <w:link w:val="CommentSubject"/>
    <w:uiPriority w:val="99"/>
    <w:semiHidden/>
    <w:rsid w:val="001917C0"/>
    <w:rPr>
      <w:b/>
      <w:bCs/>
      <w:sz w:val="20"/>
      <w:szCs w:val="20"/>
    </w:rPr>
  </w:style>
  <w:style w:type="paragraph" w:styleId="BalloonText">
    <w:name w:val="Balloon Text"/>
    <w:basedOn w:val="Normal"/>
    <w:link w:val="BalloonTextChar"/>
    <w:uiPriority w:val="99"/>
    <w:semiHidden/>
    <w:unhideWhenUsed/>
    <w:rsid w:val="00191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South Africa</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1D3E2-2ADD-48A5-A31D-6ADC18D935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B092FB-5AE8-4A83-A4AB-5504A5056F1C}">
  <ds:schemaRefs>
    <ds:schemaRef ds:uri="http://schemas.openxmlformats.org/officeDocument/2006/bibliography"/>
  </ds:schemaRefs>
</ds:datastoreItem>
</file>

<file path=customXml/itemProps3.xml><?xml version="1.0" encoding="utf-8"?>
<ds:datastoreItem xmlns:ds="http://schemas.openxmlformats.org/officeDocument/2006/customXml" ds:itemID="{BC297A39-3C08-4116-84A3-8E51B5BF3C15}"/>
</file>

<file path=customXml/itemProps4.xml><?xml version="1.0" encoding="utf-8"?>
<ds:datastoreItem xmlns:ds="http://schemas.openxmlformats.org/officeDocument/2006/customXml" ds:itemID="{8ADBABCB-C296-4EF0-AE45-AC157969B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Leso Malesela</dc:creator>
  <cp:keywords/>
  <dc:description/>
  <cp:lastModifiedBy>Brian GRIFFEY</cp:lastModifiedBy>
  <cp:revision>2</cp:revision>
  <dcterms:created xsi:type="dcterms:W3CDTF">2023-01-30T10:29:00Z</dcterms:created>
  <dcterms:modified xsi:type="dcterms:W3CDTF">2023-01-30T10:29:00Z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