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58D8" w14:textId="76FB2B82" w:rsidR="00EF3798" w:rsidRPr="00182E57" w:rsidRDefault="007C680F" w:rsidP="00166B0D">
      <w:pPr>
        <w:jc w:val="center"/>
        <w:rPr>
          <w:rFonts w:cs="Arial"/>
          <w:b/>
          <w:sz w:val="23"/>
          <w:szCs w:val="23"/>
        </w:rPr>
      </w:pPr>
      <w:r w:rsidRPr="00182E57">
        <w:rPr>
          <w:rFonts w:cs="Arial"/>
          <w:b/>
          <w:sz w:val="23"/>
          <w:szCs w:val="23"/>
        </w:rPr>
        <w:t>Insumos para un informe sobre la libertad de religión o creencias (</w:t>
      </w:r>
      <w:proofErr w:type="spellStart"/>
      <w:r w:rsidRPr="00182E57">
        <w:rPr>
          <w:rFonts w:cs="Arial"/>
          <w:b/>
          <w:sz w:val="23"/>
          <w:szCs w:val="23"/>
        </w:rPr>
        <w:t>FoRB</w:t>
      </w:r>
      <w:proofErr w:type="spellEnd"/>
      <w:r w:rsidRPr="00182E57">
        <w:rPr>
          <w:rFonts w:cs="Arial"/>
          <w:b/>
          <w:sz w:val="23"/>
          <w:szCs w:val="23"/>
        </w:rPr>
        <w:t>) y protección contra la violencia y la discriminación por motivos de orientación sexual e identidad de género (SOGI)</w:t>
      </w:r>
    </w:p>
    <w:p w14:paraId="5D410309" w14:textId="221E5D98" w:rsidR="007C680F" w:rsidRPr="00182E57" w:rsidRDefault="007C680F" w:rsidP="00166B0D">
      <w:pPr>
        <w:jc w:val="both"/>
        <w:rPr>
          <w:rFonts w:cs="Arial"/>
          <w:bCs/>
          <w:sz w:val="23"/>
          <w:szCs w:val="23"/>
        </w:rPr>
      </w:pPr>
    </w:p>
    <w:p w14:paraId="08A628F4" w14:textId="40D2CBBB"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t>¿Cuáles son los puntos de tensión reales o percibidos (si los hay) entre el derecho a manifestar la libertad de religión o de creencias y la ausencia de violencia y discriminación por motivos de orientación sexual e identidad de género? ¿Hay áreas en las que son mutuamente excluyentes?</w:t>
      </w:r>
    </w:p>
    <w:p w14:paraId="71DEA7B0" w14:textId="05D3F437" w:rsidR="008010E1" w:rsidRPr="00182E57" w:rsidRDefault="008010E1" w:rsidP="00166B0D">
      <w:pPr>
        <w:jc w:val="both"/>
        <w:rPr>
          <w:rFonts w:cs="Arial"/>
          <w:bCs/>
          <w:sz w:val="23"/>
          <w:szCs w:val="23"/>
          <w:lang w:val="es-MX"/>
        </w:rPr>
      </w:pPr>
    </w:p>
    <w:p w14:paraId="77C01F25" w14:textId="0EF4ED95" w:rsidR="008010E1" w:rsidRPr="00182E57" w:rsidRDefault="003256E2" w:rsidP="00166B0D">
      <w:pPr>
        <w:jc w:val="both"/>
        <w:rPr>
          <w:rFonts w:cs="Arial"/>
          <w:bCs/>
          <w:sz w:val="23"/>
          <w:szCs w:val="23"/>
          <w:lang w:val="es-MX"/>
        </w:rPr>
      </w:pPr>
      <w:r w:rsidRPr="00182E57">
        <w:rPr>
          <w:rFonts w:cs="Arial"/>
          <w:bCs/>
          <w:sz w:val="23"/>
          <w:szCs w:val="23"/>
          <w:lang w:val="es-MX"/>
        </w:rPr>
        <w:t>Los preceptos morales, como elemento</w:t>
      </w:r>
      <w:r w:rsidR="002E3C27" w:rsidRPr="00182E57">
        <w:rPr>
          <w:rFonts w:cs="Arial"/>
          <w:bCs/>
          <w:sz w:val="23"/>
          <w:szCs w:val="23"/>
          <w:lang w:val="es-MX"/>
        </w:rPr>
        <w:t>s</w:t>
      </w:r>
      <w:r w:rsidRPr="00182E57">
        <w:rPr>
          <w:rFonts w:cs="Arial"/>
          <w:bCs/>
          <w:sz w:val="23"/>
          <w:szCs w:val="23"/>
          <w:lang w:val="es-MX"/>
        </w:rPr>
        <w:t xml:space="preserve"> intrínseco</w:t>
      </w:r>
      <w:r w:rsidR="002E3C27" w:rsidRPr="00182E57">
        <w:rPr>
          <w:rFonts w:cs="Arial"/>
          <w:bCs/>
          <w:sz w:val="23"/>
          <w:szCs w:val="23"/>
          <w:lang w:val="es-MX"/>
        </w:rPr>
        <w:t>s</w:t>
      </w:r>
      <w:r w:rsidRPr="00182E57">
        <w:rPr>
          <w:rFonts w:cs="Arial"/>
          <w:bCs/>
          <w:sz w:val="23"/>
          <w:szCs w:val="23"/>
          <w:lang w:val="es-MX"/>
        </w:rPr>
        <w:t xml:space="preserve"> del pensamiento religioso, juegan un papel esencial en la formación de la identidad, por lo que existen puntos de tensión constantes en los que se trabaja para desarrollar dinámicas de desaprendizaje socio cultural.</w:t>
      </w:r>
    </w:p>
    <w:p w14:paraId="5A7C5353" w14:textId="77777777" w:rsidR="003256E2" w:rsidRPr="00182E57" w:rsidRDefault="003256E2" w:rsidP="00166B0D">
      <w:pPr>
        <w:jc w:val="both"/>
        <w:rPr>
          <w:rFonts w:cs="Arial"/>
          <w:bCs/>
          <w:sz w:val="23"/>
          <w:szCs w:val="23"/>
          <w:lang w:val="es-MX"/>
        </w:rPr>
      </w:pPr>
    </w:p>
    <w:p w14:paraId="2DB5937B" w14:textId="42F7324C" w:rsidR="008010E1" w:rsidRPr="00182E57" w:rsidRDefault="003256E2" w:rsidP="00166B0D">
      <w:pPr>
        <w:jc w:val="both"/>
        <w:rPr>
          <w:rFonts w:cs="Arial"/>
          <w:bCs/>
          <w:sz w:val="23"/>
          <w:szCs w:val="23"/>
          <w:lang w:val="es-MX"/>
        </w:rPr>
      </w:pPr>
      <w:r w:rsidRPr="00182E57">
        <w:rPr>
          <w:rFonts w:cs="Arial"/>
          <w:bCs/>
          <w:sz w:val="23"/>
          <w:szCs w:val="23"/>
          <w:lang w:val="es-MX"/>
        </w:rPr>
        <w:t xml:space="preserve">No necesariamente son excluyentes, pues la violencia puede manifestarse como consecuencia de la comprensión de una cosmovisión. </w:t>
      </w:r>
    </w:p>
    <w:p w14:paraId="38AA14D3" w14:textId="77777777" w:rsidR="008010E1" w:rsidRPr="00182E57" w:rsidRDefault="008010E1" w:rsidP="00166B0D">
      <w:pPr>
        <w:jc w:val="both"/>
        <w:rPr>
          <w:rFonts w:cs="Arial"/>
          <w:bCs/>
          <w:sz w:val="23"/>
          <w:szCs w:val="23"/>
          <w:lang w:val="es-MX"/>
        </w:rPr>
      </w:pPr>
    </w:p>
    <w:p w14:paraId="697DDACD" w14:textId="132B48B5"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t>¿Hay alguna forma en que el derecho a la libertad de religión o creencias y la ausencia de violencia y discriminación basada en la orientación sexual y la identidad de género se refuercen mutuamente?</w:t>
      </w:r>
    </w:p>
    <w:p w14:paraId="7E910BB6" w14:textId="77777777" w:rsidR="003256E2" w:rsidRPr="00182E57" w:rsidRDefault="003256E2" w:rsidP="00166B0D">
      <w:pPr>
        <w:jc w:val="both"/>
        <w:rPr>
          <w:rFonts w:cs="Arial"/>
          <w:bCs/>
          <w:i/>
          <w:iCs/>
          <w:sz w:val="23"/>
          <w:szCs w:val="23"/>
          <w:lang w:val="es-MX"/>
        </w:rPr>
      </w:pPr>
    </w:p>
    <w:p w14:paraId="06D1E1A9" w14:textId="2B8F7BE4" w:rsidR="008010E1" w:rsidRPr="00182E57" w:rsidRDefault="003256E2" w:rsidP="00166B0D">
      <w:pPr>
        <w:jc w:val="both"/>
        <w:rPr>
          <w:rFonts w:cs="Arial"/>
          <w:bCs/>
          <w:sz w:val="23"/>
          <w:szCs w:val="23"/>
          <w:lang w:val="es-MX"/>
        </w:rPr>
      </w:pPr>
      <w:r w:rsidRPr="00182E57">
        <w:rPr>
          <w:rFonts w:cs="Arial"/>
          <w:bCs/>
          <w:sz w:val="23"/>
          <w:szCs w:val="23"/>
          <w:lang w:val="es-MX"/>
        </w:rPr>
        <w:t>El derecho a la libertad de religión y creencias está basado en la comprensión de la diversidad humana del pensamiento y la forma en cómo este se manifiesta. Buscar desde las instituciones que este derecho se garantice y proteja</w:t>
      </w:r>
      <w:r w:rsidR="00226980" w:rsidRPr="00182E57">
        <w:rPr>
          <w:rFonts w:cs="Arial"/>
          <w:bCs/>
          <w:sz w:val="23"/>
          <w:szCs w:val="23"/>
          <w:lang w:val="es-MX"/>
        </w:rPr>
        <w:t>, es una acción que</w:t>
      </w:r>
      <w:r w:rsidRPr="00182E57">
        <w:rPr>
          <w:rFonts w:cs="Arial"/>
          <w:bCs/>
          <w:sz w:val="23"/>
          <w:szCs w:val="23"/>
          <w:lang w:val="es-MX"/>
        </w:rPr>
        <w:t xml:space="preserve"> promueve el respeto y la tolerancia hacia las diferencias y la otredad, lo que fundamenta </w:t>
      </w:r>
      <w:r w:rsidR="00226980" w:rsidRPr="00182E57">
        <w:rPr>
          <w:rFonts w:cs="Arial"/>
          <w:bCs/>
          <w:sz w:val="23"/>
          <w:szCs w:val="23"/>
          <w:lang w:val="es-MX"/>
        </w:rPr>
        <w:t xml:space="preserve">la capacidad de reforzar el derecho a una vida libre de violencia para quienes ejercen su libertad de expresión o creencias. No obstante, debe protegerse la limitación del alcance del discurso religioso que exhorte a los discursos de odio o actos discriminatorios. </w:t>
      </w:r>
    </w:p>
    <w:p w14:paraId="488CE1E9" w14:textId="77777777" w:rsidR="008010E1" w:rsidRPr="00182E57" w:rsidRDefault="008010E1" w:rsidP="00166B0D">
      <w:pPr>
        <w:jc w:val="both"/>
        <w:rPr>
          <w:rFonts w:cs="Arial"/>
          <w:bCs/>
          <w:sz w:val="23"/>
          <w:szCs w:val="23"/>
          <w:lang w:val="es-MX"/>
        </w:rPr>
      </w:pPr>
    </w:p>
    <w:p w14:paraId="1C3FD33A" w14:textId="188AF2B9"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258E6BF7" w14:textId="63D0A484" w:rsidR="00226980" w:rsidRPr="00182E57" w:rsidRDefault="00226980" w:rsidP="00166B0D">
      <w:pPr>
        <w:jc w:val="both"/>
        <w:rPr>
          <w:rFonts w:cs="Arial"/>
          <w:bCs/>
          <w:sz w:val="23"/>
          <w:szCs w:val="23"/>
          <w:lang w:val="es-MX"/>
        </w:rPr>
      </w:pPr>
    </w:p>
    <w:p w14:paraId="56444839" w14:textId="08020E58" w:rsidR="00226980" w:rsidRPr="00182E57" w:rsidRDefault="00226980" w:rsidP="00166B0D">
      <w:pPr>
        <w:jc w:val="both"/>
        <w:rPr>
          <w:rFonts w:cs="Arial"/>
          <w:bCs/>
          <w:sz w:val="23"/>
          <w:szCs w:val="23"/>
          <w:lang w:val="es-MX"/>
        </w:rPr>
      </w:pPr>
      <w:r w:rsidRPr="00182E57">
        <w:rPr>
          <w:rFonts w:cs="Arial"/>
          <w:bCs/>
          <w:sz w:val="23"/>
          <w:szCs w:val="23"/>
          <w:lang w:val="es-MX"/>
        </w:rPr>
        <w:t xml:space="preserve">Sí. En la década de los noventa </w:t>
      </w:r>
      <w:r w:rsidR="00E179E3" w:rsidRPr="00182E57">
        <w:rPr>
          <w:rFonts w:cs="Arial"/>
          <w:bCs/>
          <w:sz w:val="23"/>
          <w:szCs w:val="23"/>
          <w:lang w:val="es-MX"/>
        </w:rPr>
        <w:t>el</w:t>
      </w:r>
      <w:r w:rsidRPr="00182E57">
        <w:rPr>
          <w:rFonts w:cs="Arial"/>
          <w:bCs/>
          <w:sz w:val="23"/>
          <w:szCs w:val="23"/>
          <w:lang w:val="es-MX"/>
        </w:rPr>
        <w:t xml:space="preserve"> sacerdote Pbro. Jorge Sosa fundó la Iglesia de la Comunidad Metropolitana, la primera rama de la Iglesia Católica que promovió la aceptación de las personas LGBTI en México.</w:t>
      </w:r>
    </w:p>
    <w:p w14:paraId="12DF77C0" w14:textId="2201AADD" w:rsidR="00226980" w:rsidRPr="00182E57" w:rsidRDefault="00226980" w:rsidP="00166B0D">
      <w:pPr>
        <w:jc w:val="both"/>
        <w:rPr>
          <w:rFonts w:cs="Arial"/>
          <w:bCs/>
          <w:sz w:val="23"/>
          <w:szCs w:val="23"/>
          <w:lang w:val="es-MX"/>
        </w:rPr>
      </w:pPr>
    </w:p>
    <w:p w14:paraId="350496E9" w14:textId="6A64EE9D" w:rsidR="00226980" w:rsidRPr="00182E57" w:rsidRDefault="00226980" w:rsidP="00166B0D">
      <w:pPr>
        <w:jc w:val="both"/>
        <w:rPr>
          <w:rFonts w:cs="Arial"/>
          <w:bCs/>
          <w:sz w:val="23"/>
          <w:szCs w:val="23"/>
          <w:lang w:val="es-MX"/>
        </w:rPr>
      </w:pPr>
      <w:r w:rsidRPr="00182E57">
        <w:rPr>
          <w:rFonts w:cs="Arial"/>
          <w:bCs/>
          <w:sz w:val="23"/>
          <w:szCs w:val="23"/>
          <w:lang w:val="es-MX"/>
        </w:rPr>
        <w:t>Asimismo, en el estado de Oaxaca, existe una comunidad indígena zapoteca que reconoce la existencia de un tercer género/sexo, conocidas como Muxes, quienes juegan un rol social fundamental en el cuidado de la población de Juchitán, Oaxaca.</w:t>
      </w:r>
    </w:p>
    <w:p w14:paraId="0D5972CF" w14:textId="3B96309D" w:rsidR="00226980" w:rsidRPr="00182E57" w:rsidRDefault="00226980" w:rsidP="00166B0D">
      <w:pPr>
        <w:jc w:val="both"/>
        <w:rPr>
          <w:rFonts w:cs="Arial"/>
          <w:bCs/>
          <w:sz w:val="23"/>
          <w:szCs w:val="23"/>
          <w:lang w:val="es-MX"/>
        </w:rPr>
      </w:pPr>
    </w:p>
    <w:p w14:paraId="318C4EBF" w14:textId="3D22DDD8" w:rsidR="008010E1" w:rsidRPr="00182E57" w:rsidRDefault="00226980" w:rsidP="00166B0D">
      <w:pPr>
        <w:jc w:val="both"/>
        <w:rPr>
          <w:rFonts w:cs="Arial"/>
          <w:bCs/>
          <w:sz w:val="23"/>
          <w:szCs w:val="23"/>
          <w:lang w:val="es-MX"/>
        </w:rPr>
      </w:pPr>
      <w:r w:rsidRPr="00182E57">
        <w:rPr>
          <w:rFonts w:cs="Arial"/>
          <w:bCs/>
          <w:sz w:val="23"/>
          <w:szCs w:val="23"/>
          <w:lang w:val="es-MX"/>
        </w:rPr>
        <w:t>La legislación electoral del estado de Oaxaca fue modificada para la inclusión de la comunidad Muxe; asimismo, la presencia de personas LGBTI en las actividades democráticas ha sido cada vez mayor.</w:t>
      </w:r>
    </w:p>
    <w:p w14:paraId="4EC7C228" w14:textId="77777777" w:rsidR="008010E1" w:rsidRPr="00182E57" w:rsidRDefault="008010E1" w:rsidP="00166B0D">
      <w:pPr>
        <w:jc w:val="both"/>
        <w:rPr>
          <w:rFonts w:cs="Arial"/>
          <w:bCs/>
          <w:sz w:val="23"/>
          <w:szCs w:val="23"/>
          <w:lang w:val="es-MX"/>
        </w:rPr>
      </w:pPr>
    </w:p>
    <w:p w14:paraId="579708FF" w14:textId="01C8E3F3"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lastRenderedPageBreak/>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12DD9834" w14:textId="5A24BBD6" w:rsidR="00226980" w:rsidRPr="00182E57" w:rsidRDefault="00226980" w:rsidP="00166B0D">
      <w:pPr>
        <w:jc w:val="both"/>
        <w:rPr>
          <w:rFonts w:cs="Arial"/>
          <w:bCs/>
          <w:i/>
          <w:iCs/>
          <w:sz w:val="23"/>
          <w:szCs w:val="23"/>
          <w:lang w:val="es-MX"/>
        </w:rPr>
      </w:pPr>
    </w:p>
    <w:p w14:paraId="5386EF16" w14:textId="69D4C60D" w:rsidR="008010E1" w:rsidRPr="00182E57" w:rsidRDefault="00226980" w:rsidP="00166B0D">
      <w:pPr>
        <w:jc w:val="both"/>
        <w:rPr>
          <w:rFonts w:cs="Arial"/>
          <w:bCs/>
          <w:sz w:val="23"/>
          <w:szCs w:val="23"/>
          <w:lang w:val="es-MX"/>
        </w:rPr>
      </w:pPr>
      <w:r w:rsidRPr="00182E57">
        <w:rPr>
          <w:rFonts w:cs="Arial"/>
          <w:bCs/>
          <w:sz w:val="23"/>
          <w:szCs w:val="23"/>
          <w:lang w:val="es-MX"/>
        </w:rPr>
        <w:t xml:space="preserve">Se conoce de proveedores individuales de servicios pseudo psicológicos o psiquiátricos para promover la corrección de la orientación sexual </w:t>
      </w:r>
      <w:r w:rsidR="00626D8E" w:rsidRPr="00182E57">
        <w:rPr>
          <w:rFonts w:cs="Arial"/>
          <w:bCs/>
          <w:sz w:val="23"/>
          <w:szCs w:val="23"/>
          <w:lang w:val="es-MX"/>
        </w:rPr>
        <w:t>diferente a la</w:t>
      </w:r>
      <w:r w:rsidRPr="00182E57">
        <w:rPr>
          <w:rFonts w:cs="Arial"/>
          <w:bCs/>
          <w:sz w:val="23"/>
          <w:szCs w:val="23"/>
          <w:lang w:val="es-MX"/>
        </w:rPr>
        <w:t xml:space="preserve"> heterosexual y de la identidad de género no cisgénero</w:t>
      </w:r>
      <w:r w:rsidR="00626D8E" w:rsidRPr="00182E57">
        <w:rPr>
          <w:rStyle w:val="Refdenotaalpie"/>
          <w:rFonts w:cs="Arial"/>
          <w:bCs/>
          <w:sz w:val="23"/>
          <w:szCs w:val="23"/>
          <w:lang w:val="es-MX"/>
        </w:rPr>
        <w:footnoteReference w:id="1"/>
      </w:r>
      <w:r w:rsidRPr="00182E57">
        <w:rPr>
          <w:rFonts w:cs="Arial"/>
          <w:bCs/>
          <w:sz w:val="23"/>
          <w:szCs w:val="23"/>
          <w:lang w:val="es-MX"/>
        </w:rPr>
        <w:t xml:space="preserve">, utilizando el discurso religioso y de conceptos morales para la atracción de casos de personas que, más allá de ser sexualmente diversas y diversos, se encuentran en estados de alta vulnerabilidad por la familia o sectores sociales inmediatos. </w:t>
      </w:r>
    </w:p>
    <w:p w14:paraId="5BB8C05B" w14:textId="77777777" w:rsidR="008010E1" w:rsidRPr="00182E57" w:rsidRDefault="008010E1" w:rsidP="00166B0D">
      <w:pPr>
        <w:jc w:val="both"/>
        <w:rPr>
          <w:rFonts w:cs="Arial"/>
          <w:bCs/>
          <w:sz w:val="23"/>
          <w:szCs w:val="23"/>
          <w:lang w:val="es-MX"/>
        </w:rPr>
      </w:pPr>
    </w:p>
    <w:p w14:paraId="58410FED" w14:textId="4CFCDB93"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1B8077F6" w14:textId="2A86DEE0" w:rsidR="00DE6BC8" w:rsidRPr="00182E57" w:rsidRDefault="00DE6BC8" w:rsidP="00166B0D">
      <w:pPr>
        <w:jc w:val="both"/>
        <w:rPr>
          <w:rFonts w:cs="Arial"/>
          <w:bCs/>
          <w:sz w:val="23"/>
          <w:szCs w:val="23"/>
          <w:lang w:val="es-MX"/>
        </w:rPr>
      </w:pPr>
    </w:p>
    <w:p w14:paraId="13210E4B" w14:textId="7C72E762" w:rsidR="00DE6BC8" w:rsidRPr="00182E57" w:rsidRDefault="00DE6BC8" w:rsidP="00166B0D">
      <w:pPr>
        <w:jc w:val="both"/>
        <w:rPr>
          <w:rFonts w:cs="Arial"/>
          <w:bCs/>
          <w:sz w:val="23"/>
          <w:szCs w:val="23"/>
          <w:lang w:val="es-MX"/>
        </w:rPr>
      </w:pPr>
      <w:r w:rsidRPr="00182E57">
        <w:rPr>
          <w:rFonts w:cs="Arial"/>
          <w:bCs/>
          <w:sz w:val="23"/>
          <w:szCs w:val="23"/>
          <w:lang w:val="es-MX"/>
        </w:rPr>
        <w:t xml:space="preserve">No han sido adoptadas normas de carácter discriminatorio. Por el contrario, se analizan las normatividades que rigen en la actualidad a fin de modificar las redacciones que tengan por objeto menoscabar la integridad de las personas, por acción u omisión. </w:t>
      </w:r>
    </w:p>
    <w:p w14:paraId="5F2385AC" w14:textId="77777777" w:rsidR="00626D8E" w:rsidRPr="00182E57" w:rsidRDefault="00626D8E" w:rsidP="00166B0D">
      <w:pPr>
        <w:jc w:val="both"/>
        <w:rPr>
          <w:rFonts w:cs="Arial"/>
          <w:bCs/>
          <w:sz w:val="23"/>
          <w:szCs w:val="23"/>
          <w:lang w:val="es-MX"/>
        </w:rPr>
      </w:pPr>
    </w:p>
    <w:p w14:paraId="10A55FF3" w14:textId="025A5441" w:rsidR="008010E1" w:rsidRPr="00182E57" w:rsidRDefault="0023424B" w:rsidP="00166B0D">
      <w:pPr>
        <w:jc w:val="both"/>
        <w:rPr>
          <w:rFonts w:cs="Arial"/>
          <w:bCs/>
          <w:sz w:val="23"/>
          <w:szCs w:val="23"/>
          <w:lang w:val="es-MX"/>
        </w:rPr>
      </w:pPr>
      <w:r w:rsidRPr="00182E57">
        <w:rPr>
          <w:rFonts w:cs="Arial"/>
          <w:bCs/>
          <w:sz w:val="23"/>
          <w:szCs w:val="23"/>
          <w:lang w:val="es-MX"/>
        </w:rPr>
        <w:t xml:space="preserve">Asimismo, las legislaciones y políticas públicas se elaboran bajo el respeto al artículo 24 de la Constitución Política de los Estados Unidos Mexicanos, </w:t>
      </w:r>
      <w:r w:rsidR="00626D8E" w:rsidRPr="00182E57">
        <w:rPr>
          <w:rFonts w:cs="Arial"/>
          <w:bCs/>
          <w:sz w:val="23"/>
          <w:szCs w:val="23"/>
          <w:lang w:val="es-MX"/>
        </w:rPr>
        <w:t xml:space="preserve">el cual establece que </w:t>
      </w:r>
      <w:r w:rsidR="00626D8E" w:rsidRPr="00182E57">
        <w:rPr>
          <w:rFonts w:cs="Arial"/>
          <w:bCs/>
          <w:i/>
          <w:iCs/>
          <w:sz w:val="23"/>
          <w:szCs w:val="23"/>
          <w:lang w:val="es-MX"/>
        </w:rPr>
        <w:t>“Toda persona tiene derecho a la libertad de convicciones éticas, de conciencia y de religión, y a tener o adoptar, en su caso, la de su agrado. (…)”</w:t>
      </w:r>
    </w:p>
    <w:p w14:paraId="4EBD2FA2" w14:textId="77777777" w:rsidR="008010E1" w:rsidRPr="00182E57" w:rsidRDefault="008010E1" w:rsidP="00166B0D">
      <w:pPr>
        <w:jc w:val="both"/>
        <w:rPr>
          <w:rFonts w:cs="Arial"/>
          <w:bCs/>
          <w:sz w:val="23"/>
          <w:szCs w:val="23"/>
          <w:lang w:val="es-MX"/>
        </w:rPr>
      </w:pPr>
    </w:p>
    <w:p w14:paraId="530CE983" w14:textId="4124A812" w:rsidR="007C680F" w:rsidRPr="00182E57" w:rsidRDefault="007C680F" w:rsidP="00166B0D">
      <w:pPr>
        <w:numPr>
          <w:ilvl w:val="0"/>
          <w:numId w:val="6"/>
        </w:numPr>
        <w:jc w:val="both"/>
        <w:rPr>
          <w:rFonts w:cs="Arial"/>
          <w:bCs/>
          <w:i/>
          <w:iCs/>
          <w:sz w:val="23"/>
          <w:szCs w:val="23"/>
          <w:lang w:val="es-MX"/>
        </w:rPr>
      </w:pPr>
      <w:r w:rsidRPr="00182E57">
        <w:rPr>
          <w:rFonts w:cs="Arial"/>
          <w:bCs/>
          <w:i/>
          <w:iCs/>
          <w:sz w:val="23"/>
          <w:szCs w:val="23"/>
          <w:lang w:val="es-MX"/>
        </w:rPr>
        <w:t>¿Ha habido algún desafío legal a estas políticas/disposiciones bajo alguna disposición de derechos humanos nacional, regional o internacional? Si es así, indique el resultado y la razón del caso. De no ser así, dé su opinión sobre por qué no se ha presentado aún tal impugnación.</w:t>
      </w:r>
    </w:p>
    <w:p w14:paraId="36508099" w14:textId="77777777" w:rsidR="002F1DEE" w:rsidRPr="00182E57" w:rsidRDefault="002F1DEE" w:rsidP="00166B0D">
      <w:pPr>
        <w:ind w:left="720"/>
        <w:jc w:val="both"/>
        <w:rPr>
          <w:rFonts w:cs="Arial"/>
          <w:bCs/>
          <w:sz w:val="23"/>
          <w:szCs w:val="23"/>
          <w:lang w:val="es-MX"/>
        </w:rPr>
      </w:pPr>
    </w:p>
    <w:p w14:paraId="4BF61B1C" w14:textId="5E5EED12" w:rsidR="002F1DEE" w:rsidRPr="00182E57" w:rsidRDefault="002F1DEE" w:rsidP="00166B0D">
      <w:pPr>
        <w:jc w:val="both"/>
        <w:rPr>
          <w:rFonts w:cs="Arial"/>
          <w:bCs/>
          <w:sz w:val="23"/>
          <w:szCs w:val="23"/>
          <w:lang w:val="es-MX"/>
        </w:rPr>
      </w:pPr>
      <w:r w:rsidRPr="00182E57">
        <w:rPr>
          <w:rFonts w:cs="Arial"/>
          <w:bCs/>
          <w:sz w:val="23"/>
          <w:szCs w:val="23"/>
          <w:lang w:val="es-MX"/>
        </w:rPr>
        <w:t>En el caso de las normativas que preceden el alcance de los derechos humanos consagrados en la Constitución, posterior a la Reforma de 2011, se realizan análisis jurídicos para detectar las disposiciones reglamentarias que resulten discriminatorias para su eventual derogación o abrogación a nivel local; asimismo, sucede una situación similar con las políticas públicas que actuaban contrarias a los intereses de las personas LGBTI (en caso de existirlas).</w:t>
      </w:r>
    </w:p>
    <w:p w14:paraId="1E42DC3B" w14:textId="06078287" w:rsidR="00E179E3" w:rsidRPr="00182E57" w:rsidRDefault="00E179E3" w:rsidP="00166B0D">
      <w:pPr>
        <w:jc w:val="both"/>
        <w:rPr>
          <w:rFonts w:cs="Arial"/>
          <w:bCs/>
          <w:sz w:val="23"/>
          <w:szCs w:val="23"/>
          <w:lang w:val="es-MX"/>
        </w:rPr>
      </w:pPr>
    </w:p>
    <w:p w14:paraId="7DE8582C" w14:textId="2D1FCA72" w:rsidR="00E179E3" w:rsidRPr="00182E57" w:rsidRDefault="00E179E3" w:rsidP="00166B0D">
      <w:pPr>
        <w:pStyle w:val="Prrafodelista"/>
        <w:numPr>
          <w:ilvl w:val="0"/>
          <w:numId w:val="6"/>
        </w:numPr>
        <w:spacing w:after="0"/>
        <w:jc w:val="both"/>
        <w:rPr>
          <w:rFonts w:ascii="Arial" w:hAnsi="Arial" w:cs="Arial"/>
          <w:bCs/>
          <w:i/>
          <w:iCs/>
          <w:sz w:val="23"/>
          <w:szCs w:val="23"/>
        </w:rPr>
      </w:pPr>
      <w:r w:rsidRPr="00182E57">
        <w:rPr>
          <w:rFonts w:ascii="Arial" w:hAnsi="Arial" w:cs="Arial"/>
          <w:bCs/>
          <w:i/>
          <w:iCs/>
          <w:sz w:val="23"/>
          <w:szCs w:val="23"/>
        </w:rPr>
        <w:t xml:space="preserve">¿Existen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w:t>
      </w:r>
      <w:r w:rsidRPr="00182E57">
        <w:rPr>
          <w:rFonts w:ascii="Arial" w:hAnsi="Arial" w:cs="Arial"/>
          <w:bCs/>
          <w:i/>
          <w:iCs/>
          <w:sz w:val="23"/>
          <w:szCs w:val="23"/>
        </w:rPr>
        <w:lastRenderedPageBreak/>
        <w:t>legalmente sobre la base de la libertad de religión o de creencias? En caso afirmativo, explique el resultado y la justificación del caso(s).</w:t>
      </w:r>
    </w:p>
    <w:p w14:paraId="37A63B73" w14:textId="77777777" w:rsidR="00166B0D" w:rsidRPr="00182E57" w:rsidRDefault="00166B0D" w:rsidP="00166B0D">
      <w:pPr>
        <w:pStyle w:val="Prrafodelista"/>
        <w:spacing w:after="0"/>
        <w:jc w:val="both"/>
        <w:rPr>
          <w:rFonts w:ascii="Arial" w:hAnsi="Arial" w:cs="Arial"/>
          <w:bCs/>
          <w:i/>
          <w:iCs/>
          <w:sz w:val="23"/>
          <w:szCs w:val="23"/>
        </w:rPr>
      </w:pPr>
    </w:p>
    <w:p w14:paraId="69272645" w14:textId="1384FB4E" w:rsidR="00E179E3" w:rsidRPr="00182E57" w:rsidRDefault="00E179E3" w:rsidP="00166B0D">
      <w:pPr>
        <w:jc w:val="both"/>
        <w:rPr>
          <w:rFonts w:cs="Arial"/>
          <w:bCs/>
          <w:sz w:val="23"/>
          <w:szCs w:val="23"/>
        </w:rPr>
      </w:pPr>
      <w:r w:rsidRPr="00182E57">
        <w:rPr>
          <w:rFonts w:cs="Arial"/>
          <w:bCs/>
          <w:sz w:val="23"/>
          <w:szCs w:val="23"/>
        </w:rPr>
        <w:t xml:space="preserve">En México, de manera paulatina, cada vez más Estados legislan para tipificar como delito las terapias de conversión, conocidas como esfuerzos por corregir la orientación sexual y la identidad de género de las personas LGBTTTI+. Este avance ha tenido una férrea oposición por parte grupos conservadores con apoyo de iglesias cristianas, tanto católicas como evangélicas. Los cuestionamientos al avance de derechos de personas LGBTTTI+, no se ha hecho aún en el terreno legal desde los planteamientos religiosos, sino que han sido erigidos utilizando como escudo “argumentos pantalla” como la defensa de la familia, de </w:t>
      </w:r>
      <w:r w:rsidR="00B422D9" w:rsidRPr="00182E57">
        <w:rPr>
          <w:rFonts w:cs="Arial"/>
          <w:bCs/>
          <w:sz w:val="23"/>
          <w:szCs w:val="23"/>
        </w:rPr>
        <w:t>la niñez</w:t>
      </w:r>
      <w:r w:rsidRPr="00182E57">
        <w:rPr>
          <w:rFonts w:cs="Arial"/>
          <w:bCs/>
          <w:sz w:val="23"/>
          <w:szCs w:val="23"/>
        </w:rPr>
        <w:t>, del derecho a “opinar diferente”, entre otras.</w:t>
      </w:r>
    </w:p>
    <w:p w14:paraId="42F61EA9" w14:textId="7703206B" w:rsidR="00E179E3" w:rsidRPr="00182E57" w:rsidRDefault="00E179E3" w:rsidP="00166B0D">
      <w:pPr>
        <w:jc w:val="both"/>
        <w:rPr>
          <w:rFonts w:cs="Arial"/>
          <w:bCs/>
          <w:sz w:val="23"/>
          <w:szCs w:val="23"/>
        </w:rPr>
      </w:pPr>
    </w:p>
    <w:p w14:paraId="2BB97AB7" w14:textId="77777777" w:rsidR="00E179E3" w:rsidRPr="00182E57" w:rsidRDefault="00E179E3" w:rsidP="00166B0D">
      <w:pPr>
        <w:pStyle w:val="Prrafodelista"/>
        <w:numPr>
          <w:ilvl w:val="0"/>
          <w:numId w:val="6"/>
        </w:numPr>
        <w:spacing w:after="0"/>
        <w:jc w:val="both"/>
        <w:rPr>
          <w:rFonts w:ascii="Arial" w:hAnsi="Arial" w:cs="Arial"/>
          <w:bCs/>
          <w:i/>
          <w:iCs/>
          <w:sz w:val="23"/>
          <w:szCs w:val="23"/>
        </w:rPr>
      </w:pPr>
      <w:r w:rsidRPr="00182E57">
        <w:rPr>
          <w:rFonts w:ascii="Arial" w:hAnsi="Arial" w:cs="Arial"/>
          <w:bCs/>
          <w:i/>
          <w:iCs/>
          <w:sz w:val="23"/>
          <w:szCs w:val="23"/>
        </w:rPr>
        <w:t>¿Qué papel (si lo ha tenido) ha jugado el concepto de objeción de conciencia en la limitación del pleno disfrute del derecho a no sufrir violencia ni discriminación por motivos de orientación sexual e identidad de género?</w:t>
      </w:r>
    </w:p>
    <w:p w14:paraId="4DFF9FB5" w14:textId="2AE0ECD7" w:rsidR="00E179E3" w:rsidRPr="00182E57" w:rsidRDefault="00E179E3" w:rsidP="00166B0D">
      <w:pPr>
        <w:jc w:val="both"/>
        <w:rPr>
          <w:rFonts w:cs="Arial"/>
          <w:bCs/>
          <w:sz w:val="23"/>
          <w:szCs w:val="23"/>
        </w:rPr>
      </w:pPr>
      <w:r w:rsidRPr="00182E57">
        <w:rPr>
          <w:rFonts w:cs="Arial"/>
          <w:bCs/>
          <w:sz w:val="23"/>
          <w:szCs w:val="23"/>
        </w:rPr>
        <w:t>Se ha utilizado en el ámbito legislativo en los Congresos de varios Estados, por parte de Diputados de partidos de derecha, sin que sus discursos hayan afectado la aprobación de las iniciativas en cuanto a matrimonio igualitario y reconocimiento de la identidad de género de las personas trans.</w:t>
      </w:r>
    </w:p>
    <w:p w14:paraId="62B0CA37" w14:textId="334A8BF4" w:rsidR="00E179E3" w:rsidRPr="00182E57" w:rsidRDefault="00E179E3" w:rsidP="00166B0D">
      <w:pPr>
        <w:jc w:val="both"/>
        <w:rPr>
          <w:rFonts w:cs="Arial"/>
          <w:bCs/>
          <w:sz w:val="23"/>
          <w:szCs w:val="23"/>
        </w:rPr>
      </w:pPr>
    </w:p>
    <w:p w14:paraId="61717A55" w14:textId="7F4381EA" w:rsidR="00E179E3" w:rsidRPr="00182E57" w:rsidRDefault="00E179E3" w:rsidP="00166B0D">
      <w:pPr>
        <w:pStyle w:val="Prrafodelista"/>
        <w:numPr>
          <w:ilvl w:val="0"/>
          <w:numId w:val="6"/>
        </w:numPr>
        <w:spacing w:after="0"/>
        <w:jc w:val="both"/>
        <w:rPr>
          <w:rFonts w:ascii="Arial" w:hAnsi="Arial" w:cs="Arial"/>
          <w:bCs/>
          <w:i/>
          <w:iCs/>
          <w:sz w:val="23"/>
          <w:szCs w:val="23"/>
        </w:rPr>
      </w:pPr>
      <w:r w:rsidRPr="00182E57">
        <w:rPr>
          <w:rFonts w:ascii="Arial" w:hAnsi="Arial" w:cs="Arial"/>
          <w:bCs/>
          <w:i/>
          <w:iCs/>
          <w:sz w:val="23"/>
          <w:szCs w:val="23"/>
        </w:rPr>
        <w:t>¿Se ha definido, limitado y/o regulado suficientemente el alcance y la aplicación de la objeción de conciencia para 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5BDBF7BA" w14:textId="77777777" w:rsidR="00166B0D" w:rsidRPr="00182E57" w:rsidRDefault="00166B0D" w:rsidP="00166B0D">
      <w:pPr>
        <w:pStyle w:val="Prrafodelista"/>
        <w:spacing w:after="0"/>
        <w:jc w:val="both"/>
        <w:rPr>
          <w:rFonts w:ascii="Arial" w:hAnsi="Arial" w:cs="Arial"/>
          <w:bCs/>
          <w:i/>
          <w:iCs/>
          <w:sz w:val="23"/>
          <w:szCs w:val="23"/>
        </w:rPr>
      </w:pPr>
    </w:p>
    <w:p w14:paraId="4DE7DFAA" w14:textId="65B60E41" w:rsidR="00E179E3" w:rsidRPr="00182E57" w:rsidRDefault="00E179E3" w:rsidP="00166B0D">
      <w:pPr>
        <w:jc w:val="both"/>
        <w:rPr>
          <w:rFonts w:cs="Arial"/>
          <w:bCs/>
          <w:sz w:val="23"/>
          <w:szCs w:val="23"/>
        </w:rPr>
      </w:pPr>
      <w:r w:rsidRPr="00182E57">
        <w:rPr>
          <w:rFonts w:cs="Arial"/>
          <w:bCs/>
          <w:sz w:val="23"/>
          <w:szCs w:val="23"/>
        </w:rPr>
        <w:t>La Suprema Corte de Justicia de la Nación, ha sido piedra angular en cuanto a los alcances de la objeción de conciencia a la que se ha apelado, para frenar el avance de derechos, por no establecer límites claros lo que podría poner en riesgo el ejercicio de otros varios derechos.</w:t>
      </w:r>
    </w:p>
    <w:p w14:paraId="144DC369" w14:textId="064E46ED" w:rsidR="00E179E3" w:rsidRPr="00182E57" w:rsidRDefault="00E179E3" w:rsidP="00166B0D">
      <w:pPr>
        <w:jc w:val="both"/>
        <w:rPr>
          <w:rFonts w:cs="Arial"/>
          <w:bCs/>
          <w:sz w:val="23"/>
          <w:szCs w:val="23"/>
        </w:rPr>
      </w:pPr>
    </w:p>
    <w:p w14:paraId="27A56C55" w14:textId="20BB6F04" w:rsidR="00E179E3" w:rsidRPr="00182E57" w:rsidRDefault="00E179E3" w:rsidP="00166B0D">
      <w:pPr>
        <w:pStyle w:val="Prrafodelista"/>
        <w:numPr>
          <w:ilvl w:val="0"/>
          <w:numId w:val="6"/>
        </w:numPr>
        <w:spacing w:after="0"/>
        <w:jc w:val="both"/>
        <w:rPr>
          <w:rFonts w:ascii="Arial" w:hAnsi="Arial" w:cs="Arial"/>
          <w:bCs/>
          <w:i/>
          <w:iCs/>
          <w:sz w:val="23"/>
          <w:szCs w:val="23"/>
        </w:rPr>
      </w:pPr>
      <w:r w:rsidRPr="00182E57">
        <w:rPr>
          <w:rFonts w:ascii="Arial" w:hAnsi="Arial" w:cs="Arial"/>
          <w:bCs/>
          <w:i/>
          <w:iCs/>
          <w:sz w:val="23"/>
          <w:szCs w:val="23"/>
        </w:rPr>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519EBB21" w14:textId="77777777" w:rsidR="00166B0D" w:rsidRPr="00182E57" w:rsidRDefault="00166B0D" w:rsidP="00166B0D">
      <w:pPr>
        <w:pStyle w:val="Prrafodelista"/>
        <w:spacing w:after="0"/>
        <w:jc w:val="both"/>
        <w:rPr>
          <w:rFonts w:ascii="Arial" w:hAnsi="Arial" w:cs="Arial"/>
          <w:bCs/>
          <w:i/>
          <w:iCs/>
          <w:sz w:val="23"/>
          <w:szCs w:val="23"/>
        </w:rPr>
      </w:pPr>
    </w:p>
    <w:p w14:paraId="040392EC" w14:textId="6153BB47" w:rsidR="00E179E3" w:rsidRPr="00182E57" w:rsidRDefault="00E179E3" w:rsidP="00166B0D">
      <w:pPr>
        <w:jc w:val="both"/>
        <w:rPr>
          <w:rFonts w:cs="Arial"/>
          <w:bCs/>
          <w:sz w:val="23"/>
          <w:szCs w:val="23"/>
        </w:rPr>
      </w:pPr>
      <w:r w:rsidRPr="00182E57">
        <w:rPr>
          <w:rFonts w:cs="Arial"/>
          <w:bCs/>
          <w:sz w:val="23"/>
          <w:szCs w:val="23"/>
        </w:rPr>
        <w:t xml:space="preserve">A nivel federal, existe el Consejo Nacional para Prevenir la Discriminación, para atender casos en lo referente; del mismo modo, en varios Estados se cuenta con Consejos para Prevenir la </w:t>
      </w:r>
      <w:r w:rsidRPr="00182E57">
        <w:rPr>
          <w:rFonts w:cs="Arial"/>
          <w:bCs/>
          <w:sz w:val="23"/>
          <w:szCs w:val="23"/>
        </w:rPr>
        <w:lastRenderedPageBreak/>
        <w:t xml:space="preserve">Discriminación y Dependencias que atienden a personas LGBTTTI+, como en la Ciudad de México, donde existe la Dirección General de Diversidad Sexual y Derechos Humanos, </w:t>
      </w:r>
      <w:r w:rsidR="001F1F6B" w:rsidRPr="00182E57">
        <w:rPr>
          <w:rFonts w:cs="Arial"/>
          <w:bCs/>
          <w:sz w:val="23"/>
          <w:szCs w:val="23"/>
        </w:rPr>
        <w:t>en donde se otorga atención</w:t>
      </w:r>
      <w:r w:rsidRPr="00182E57">
        <w:rPr>
          <w:rFonts w:cs="Arial"/>
          <w:bCs/>
          <w:sz w:val="23"/>
          <w:szCs w:val="23"/>
        </w:rPr>
        <w:t xml:space="preserve"> a personas LGBTTTI+, víctimas de violencia, discriminación y violaciones a sus derechos humanos, para canalizarlas y brindarles acompañamiento.</w:t>
      </w:r>
    </w:p>
    <w:p w14:paraId="38FBA131" w14:textId="2863B7C8" w:rsidR="00E179E3" w:rsidRPr="00182E57" w:rsidRDefault="00E179E3" w:rsidP="00166B0D">
      <w:pPr>
        <w:jc w:val="both"/>
        <w:rPr>
          <w:rFonts w:cs="Arial"/>
          <w:bCs/>
          <w:sz w:val="23"/>
          <w:szCs w:val="23"/>
        </w:rPr>
      </w:pPr>
    </w:p>
    <w:p w14:paraId="148E4B7A" w14:textId="4046E001" w:rsidR="00E179E3" w:rsidRPr="00182E57" w:rsidRDefault="00E179E3" w:rsidP="00166B0D">
      <w:pPr>
        <w:pStyle w:val="Prrafodelista"/>
        <w:numPr>
          <w:ilvl w:val="0"/>
          <w:numId w:val="6"/>
        </w:numPr>
        <w:spacing w:after="0"/>
        <w:jc w:val="both"/>
        <w:rPr>
          <w:rFonts w:ascii="Arial" w:hAnsi="Arial" w:cs="Arial"/>
          <w:bCs/>
          <w:i/>
          <w:iCs/>
          <w:sz w:val="23"/>
          <w:szCs w:val="23"/>
        </w:rPr>
      </w:pPr>
      <w:r w:rsidRPr="00182E57">
        <w:rPr>
          <w:rFonts w:ascii="Arial" w:hAnsi="Arial" w:cs="Arial"/>
          <w:bCs/>
          <w:i/>
          <w:iCs/>
          <w:sz w:val="23"/>
          <w:szCs w:val="23"/>
        </w:rPr>
        <w:t>Buenas prácticas:</w:t>
      </w:r>
    </w:p>
    <w:p w14:paraId="7189FC72" w14:textId="69229B78" w:rsidR="00E179E3" w:rsidRPr="00182E57" w:rsidRDefault="00E179E3" w:rsidP="00166B0D">
      <w:pPr>
        <w:pStyle w:val="Prrafodelista"/>
        <w:numPr>
          <w:ilvl w:val="1"/>
          <w:numId w:val="6"/>
        </w:numPr>
        <w:spacing w:after="0"/>
        <w:jc w:val="both"/>
        <w:rPr>
          <w:rFonts w:ascii="Arial" w:hAnsi="Arial" w:cs="Arial"/>
          <w:bCs/>
          <w:i/>
          <w:iCs/>
          <w:sz w:val="23"/>
          <w:szCs w:val="23"/>
        </w:rPr>
      </w:pPr>
      <w:r w:rsidRPr="00182E57">
        <w:rPr>
          <w:rFonts w:ascii="Arial" w:hAnsi="Arial" w:cs="Arial"/>
          <w:bCs/>
          <w:i/>
          <w:iCs/>
          <w:sz w:val="23"/>
          <w:szCs w:val="23"/>
        </w:rPr>
        <w:t>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promover la libertad de religión o creencias de las personas LGBT+ y de género diverso, y realizó esfuerzos para prevenir, mitigar y responder a cualquier violencia y/o discriminación justificada en nombre de la religión.</w:t>
      </w:r>
    </w:p>
    <w:p w14:paraId="751CB397" w14:textId="77777777" w:rsidR="00E179E3" w:rsidRPr="00182E57" w:rsidRDefault="00E179E3" w:rsidP="00166B0D">
      <w:pPr>
        <w:pStyle w:val="Prrafodelista"/>
        <w:spacing w:after="0"/>
        <w:ind w:left="1440"/>
        <w:jc w:val="both"/>
        <w:rPr>
          <w:rFonts w:ascii="Arial" w:hAnsi="Arial" w:cs="Arial"/>
          <w:bCs/>
          <w:sz w:val="23"/>
          <w:szCs w:val="23"/>
        </w:rPr>
      </w:pPr>
    </w:p>
    <w:p w14:paraId="7A0C6226" w14:textId="0BCE34B8" w:rsidR="00E179E3" w:rsidRPr="00182E57" w:rsidRDefault="00E179E3" w:rsidP="00166B0D">
      <w:pPr>
        <w:jc w:val="both"/>
        <w:rPr>
          <w:rFonts w:cs="Arial"/>
          <w:bCs/>
          <w:sz w:val="23"/>
          <w:szCs w:val="23"/>
        </w:rPr>
      </w:pPr>
      <w:r w:rsidRPr="00182E57">
        <w:rPr>
          <w:rFonts w:cs="Arial"/>
          <w:bCs/>
          <w:sz w:val="23"/>
          <w:szCs w:val="23"/>
        </w:rPr>
        <w:t>Hace un par de meses, la librería LGBTTTI+, Somos Voces, organizó un Foro llamado “Espiritualidades fronterizas: religiones y diversidad sexual”, en el que se abordaron varios enfoques religiosos en torno a la diversidad sexual, con temáticas como la diversidad sexual dentro del catolicismo, una crítica a las terapias de conversión, entre otros. Por otra parte, el CONAPRED ha organizado reuniones con liderazgos de diferentes congregaciones cristianas en los que se habla sobre temas de derechos humanos, igualdad y no discriminación, en los que está incluida la diversidad sexual.</w:t>
      </w:r>
    </w:p>
    <w:p w14:paraId="00C92527" w14:textId="3FA30662" w:rsidR="00E179E3" w:rsidRPr="00182E57" w:rsidRDefault="00E179E3" w:rsidP="00166B0D">
      <w:pPr>
        <w:pStyle w:val="Prrafodelista"/>
        <w:spacing w:after="0"/>
        <w:jc w:val="both"/>
        <w:rPr>
          <w:rFonts w:ascii="Arial" w:hAnsi="Arial" w:cs="Arial"/>
          <w:bCs/>
          <w:sz w:val="23"/>
          <w:szCs w:val="23"/>
        </w:rPr>
      </w:pPr>
    </w:p>
    <w:p w14:paraId="6C38C6CD" w14:textId="517DB030" w:rsidR="00E179E3" w:rsidRPr="00182E57" w:rsidRDefault="00E179E3" w:rsidP="00166B0D">
      <w:pPr>
        <w:pStyle w:val="Prrafodelista"/>
        <w:numPr>
          <w:ilvl w:val="1"/>
          <w:numId w:val="6"/>
        </w:numPr>
        <w:spacing w:after="0"/>
        <w:jc w:val="both"/>
        <w:rPr>
          <w:rFonts w:ascii="Arial" w:hAnsi="Arial" w:cs="Arial"/>
          <w:bCs/>
          <w:sz w:val="23"/>
          <w:szCs w:val="23"/>
        </w:rPr>
      </w:pPr>
      <w:r w:rsidRPr="00182E57">
        <w:rPr>
          <w:rFonts w:ascii="Arial" w:hAnsi="Arial" w:cs="Arial"/>
          <w:bCs/>
          <w:i/>
          <w:iCs/>
          <w:sz w:val="23"/>
          <w:szCs w:val="23"/>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r w:rsidRPr="00182E57">
        <w:rPr>
          <w:rFonts w:ascii="Arial" w:hAnsi="Arial" w:cs="Arial"/>
          <w:bCs/>
          <w:sz w:val="23"/>
          <w:szCs w:val="23"/>
        </w:rPr>
        <w:t>.</w:t>
      </w:r>
    </w:p>
    <w:p w14:paraId="5DDCFB0D" w14:textId="77777777" w:rsidR="00166B0D" w:rsidRPr="00182E57" w:rsidRDefault="00166B0D" w:rsidP="00166B0D">
      <w:pPr>
        <w:pStyle w:val="Prrafodelista"/>
        <w:spacing w:after="0"/>
        <w:ind w:left="1440"/>
        <w:jc w:val="both"/>
        <w:rPr>
          <w:rFonts w:ascii="Arial" w:hAnsi="Arial" w:cs="Arial"/>
          <w:bCs/>
          <w:sz w:val="23"/>
          <w:szCs w:val="23"/>
        </w:rPr>
      </w:pPr>
    </w:p>
    <w:p w14:paraId="67BDF80C" w14:textId="5CF83E09" w:rsidR="007C680F" w:rsidRPr="00182E57" w:rsidRDefault="00E179E3" w:rsidP="00166B0D">
      <w:pPr>
        <w:jc w:val="both"/>
        <w:rPr>
          <w:rFonts w:cs="Arial"/>
          <w:bCs/>
          <w:sz w:val="23"/>
          <w:szCs w:val="23"/>
        </w:rPr>
      </w:pPr>
      <w:r w:rsidRPr="00182E57">
        <w:rPr>
          <w:rFonts w:cs="Arial"/>
          <w:bCs/>
          <w:sz w:val="23"/>
          <w:szCs w:val="23"/>
        </w:rPr>
        <w:t xml:space="preserve">No se tiene registro de una medida adoptada por actores estatales o no estatales en el país en el tema religioso. No obstante, sí existe fomento a la actividad cultural, pero desde un punto de vista no religioso. </w:t>
      </w:r>
      <w:r w:rsidR="001F1F6B" w:rsidRPr="00182E57">
        <w:rPr>
          <w:rFonts w:cs="Arial"/>
          <w:bCs/>
          <w:sz w:val="23"/>
          <w:szCs w:val="23"/>
        </w:rPr>
        <w:t>Además de la incursión de personas LGBT+ en cargos políticos.</w:t>
      </w:r>
    </w:p>
    <w:sectPr w:rsidR="007C680F" w:rsidRPr="00182E57" w:rsidSect="007C680F">
      <w:headerReference w:type="default" r:id="rId8"/>
      <w:footerReference w:type="default" r:id="rId9"/>
      <w:pgSz w:w="12242" w:h="15842" w:code="1"/>
      <w:pgMar w:top="276" w:right="1327" w:bottom="1135" w:left="1276" w:header="142" w:footer="3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EE7" w14:textId="77777777" w:rsidR="005A295A" w:rsidRDefault="005A295A">
      <w:r>
        <w:separator/>
      </w:r>
    </w:p>
  </w:endnote>
  <w:endnote w:type="continuationSeparator" w:id="0">
    <w:p w14:paraId="5B35B8B7" w14:textId="77777777" w:rsidR="005A295A" w:rsidRDefault="005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2C99" w14:textId="77777777" w:rsidR="00F16670" w:rsidRPr="005F1029" w:rsidRDefault="00F16670" w:rsidP="00F16670">
    <w:pPr>
      <w:jc w:val="center"/>
      <w:rPr>
        <w:rFonts w:cs="Arial"/>
        <w:sz w:val="18"/>
        <w:szCs w:val="18"/>
      </w:rPr>
    </w:pPr>
    <w:r w:rsidRPr="005F1029">
      <w:rPr>
        <w:rFonts w:cs="Arial"/>
        <w:sz w:val="18"/>
        <w:szCs w:val="18"/>
      </w:rPr>
      <w:t xml:space="preserve">Boulevard Adolfo López Mateos 1922, Col. </w:t>
    </w:r>
    <w:proofErr w:type="spellStart"/>
    <w:r w:rsidRPr="005F1029">
      <w:rPr>
        <w:rFonts w:cs="Arial"/>
        <w:sz w:val="18"/>
        <w:szCs w:val="18"/>
      </w:rPr>
      <w:t>Tlacopac</w:t>
    </w:r>
    <w:proofErr w:type="spellEnd"/>
    <w:r w:rsidRPr="005F1029">
      <w:rPr>
        <w:rFonts w:cs="Arial"/>
        <w:sz w:val="18"/>
        <w:szCs w:val="18"/>
      </w:rPr>
      <w:t>, Alcaldía Álvaro Obregón,</w:t>
    </w:r>
  </w:p>
  <w:p w14:paraId="71AFA2F9" w14:textId="77777777" w:rsidR="00F16670" w:rsidRPr="005F1029" w:rsidRDefault="00F16670" w:rsidP="00F16670">
    <w:pPr>
      <w:jc w:val="center"/>
      <w:rPr>
        <w:rFonts w:cs="Arial"/>
        <w:sz w:val="18"/>
        <w:szCs w:val="18"/>
        <w:lang w:val="en-US"/>
      </w:rPr>
    </w:pPr>
    <w:r w:rsidRPr="005F1029">
      <w:rPr>
        <w:rFonts w:cs="Arial"/>
        <w:sz w:val="18"/>
        <w:szCs w:val="18"/>
      </w:rPr>
      <w:t xml:space="preserve">C.P. 01049, Cd. de México. </w:t>
    </w:r>
    <w:r w:rsidRPr="005F1029">
      <w:rPr>
        <w:rFonts w:cs="Arial"/>
        <w:sz w:val="18"/>
        <w:szCs w:val="18"/>
        <w:lang w:val="en-US"/>
      </w:rPr>
      <w:t>Tel. 1719-2000, ext. 8138</w:t>
    </w:r>
  </w:p>
  <w:p w14:paraId="66FC0602" w14:textId="1CFBEC99" w:rsidR="007019A4" w:rsidRPr="005F1029" w:rsidRDefault="00F16670" w:rsidP="00F16670">
    <w:pPr>
      <w:jc w:val="center"/>
      <w:rPr>
        <w:rFonts w:cs="Arial"/>
        <w:sz w:val="18"/>
        <w:szCs w:val="18"/>
        <w:lang w:val="en-US"/>
      </w:rPr>
    </w:pPr>
    <w:r w:rsidRPr="005F1029">
      <w:rPr>
        <w:rFonts w:cs="Arial"/>
        <w:b/>
        <w:sz w:val="18"/>
        <w:szCs w:val="18"/>
        <w:lang w:val="en-US"/>
      </w:rPr>
      <w:t>www.cndh.org.mx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E6D9" w14:textId="77777777" w:rsidR="005A295A" w:rsidRDefault="005A295A">
      <w:r>
        <w:separator/>
      </w:r>
    </w:p>
  </w:footnote>
  <w:footnote w:type="continuationSeparator" w:id="0">
    <w:p w14:paraId="269E4EDF" w14:textId="77777777" w:rsidR="005A295A" w:rsidRDefault="005A295A">
      <w:r>
        <w:continuationSeparator/>
      </w:r>
    </w:p>
  </w:footnote>
  <w:footnote w:id="1">
    <w:p w14:paraId="22BECDF8" w14:textId="5911017C" w:rsidR="00626D8E" w:rsidRPr="00626D8E" w:rsidRDefault="00626D8E" w:rsidP="00626D8E">
      <w:pPr>
        <w:pStyle w:val="Textonotapie"/>
        <w:jc w:val="both"/>
      </w:pPr>
      <w:r w:rsidRPr="00626D8E">
        <w:rPr>
          <w:rStyle w:val="Refdenotaalpie"/>
          <w:sz w:val="18"/>
          <w:szCs w:val="18"/>
        </w:rPr>
        <w:footnoteRef/>
      </w:r>
      <w:r w:rsidRPr="00626D8E">
        <w:rPr>
          <w:sz w:val="18"/>
          <w:szCs w:val="18"/>
        </w:rPr>
        <w:t xml:space="preserve"> Cuando la expectativa social del género de la persona se alinea con el sexo asignado al nacer. En consecuencia, existen mujeres y hombres cis. El prefijo </w:t>
      </w:r>
      <w:r w:rsidRPr="00626D8E">
        <w:rPr>
          <w:i/>
          <w:iCs/>
          <w:sz w:val="18"/>
          <w:szCs w:val="18"/>
        </w:rPr>
        <w:t>cis</w:t>
      </w:r>
      <w:r w:rsidRPr="00626D8E">
        <w:rPr>
          <w:sz w:val="18"/>
          <w:szCs w:val="18"/>
        </w:rPr>
        <w:t xml:space="preserve"> proviene del latín “de este lado” o “correspondiente a” y es el antónimo del prefijo </w:t>
      </w:r>
      <w:r w:rsidRPr="00626D8E">
        <w:rPr>
          <w:i/>
          <w:iCs/>
          <w:sz w:val="18"/>
          <w:szCs w:val="18"/>
        </w:rPr>
        <w:t>trans</w:t>
      </w:r>
      <w:r w:rsidRPr="00626D8E">
        <w:rPr>
          <w:sz w:val="18"/>
          <w:szCs w:val="18"/>
        </w:rPr>
        <w:t>, que significa “del otro lado”.</w:t>
      </w:r>
      <w:r>
        <w:rPr>
          <w:sz w:val="18"/>
          <w:szCs w:val="18"/>
        </w:rPr>
        <w:t xml:space="preserve"> (</w:t>
      </w:r>
      <w:r w:rsidRPr="00626D8E">
        <w:rPr>
          <w:sz w:val="18"/>
          <w:szCs w:val="18"/>
        </w:rPr>
        <w:t>Consejo Nacional para Prevenir la Discriminación</w:t>
      </w:r>
      <w:r>
        <w:rPr>
          <w:sz w:val="18"/>
          <w:szCs w:val="18"/>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12E" w14:textId="3350426F" w:rsidR="0008456F" w:rsidRPr="00AC0187" w:rsidRDefault="00CB7750" w:rsidP="0008456F">
    <w:pPr>
      <w:pStyle w:val="Encabezado"/>
      <w:jc w:val="right"/>
      <w:rPr>
        <w:szCs w:val="22"/>
      </w:rPr>
    </w:pPr>
    <w:r w:rsidRPr="00AC0187">
      <w:rPr>
        <w:b/>
        <w:bCs/>
        <w:noProof/>
        <w:szCs w:val="22"/>
      </w:rPr>
      <w:drawing>
        <wp:anchor distT="0" distB="0" distL="114300" distR="114300" simplePos="0" relativeHeight="251661312" behindDoc="1" locked="0" layoutInCell="1" allowOverlap="1" wp14:anchorId="0E19C96B" wp14:editId="78657493">
          <wp:simplePos x="0" y="0"/>
          <wp:positionH relativeFrom="column">
            <wp:posOffset>66040</wp:posOffset>
          </wp:positionH>
          <wp:positionV relativeFrom="paragraph">
            <wp:posOffset>138431</wp:posOffset>
          </wp:positionV>
          <wp:extent cx="1019175" cy="13387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20949" cy="1341030"/>
                  </a:xfrm>
                  <a:prstGeom prst="rect">
                    <a:avLst/>
                  </a:prstGeom>
                </pic:spPr>
              </pic:pic>
            </a:graphicData>
          </a:graphic>
          <wp14:sizeRelH relativeFrom="page">
            <wp14:pctWidth>0</wp14:pctWidth>
          </wp14:sizeRelH>
          <wp14:sizeRelV relativeFrom="page">
            <wp14:pctHeight>0</wp14:pctHeight>
          </wp14:sizeRelV>
        </wp:anchor>
      </w:drawing>
    </w:r>
    <w:r w:rsidR="00B834A1" w:rsidRPr="00AC0187">
      <w:rPr>
        <w:szCs w:val="22"/>
      </w:rPr>
      <w:t xml:space="preserve">                    </w:t>
    </w:r>
  </w:p>
  <w:p w14:paraId="217994DF" w14:textId="5044D922" w:rsidR="006D33E0" w:rsidRPr="007C680F" w:rsidRDefault="0008456F" w:rsidP="00F16670">
    <w:pPr>
      <w:pStyle w:val="Encabezado"/>
      <w:jc w:val="right"/>
      <w:rPr>
        <w:rFonts w:cs="Arial"/>
        <w:b/>
        <w:bCs/>
        <w:szCs w:val="22"/>
      </w:rPr>
    </w:pPr>
    <w:r w:rsidRPr="007C680F">
      <w:rPr>
        <w:rFonts w:cs="Arial"/>
        <w:b/>
        <w:bCs/>
        <w:szCs w:val="22"/>
      </w:rPr>
      <w:t>Comisión Nacional de los Derechos Humanos</w:t>
    </w:r>
  </w:p>
  <w:p w14:paraId="77ED061C" w14:textId="5CFF374F" w:rsidR="006D33E0" w:rsidRPr="007C680F" w:rsidRDefault="00C82DBF" w:rsidP="00F16670">
    <w:pPr>
      <w:rPr>
        <w:rFonts w:cs="Arial"/>
        <w:szCs w:val="22"/>
      </w:rPr>
    </w:pPr>
    <w:r w:rsidRPr="007C680F">
      <w:rPr>
        <w:noProof/>
        <w:szCs w:val="22"/>
      </w:rPr>
      <mc:AlternateContent>
        <mc:Choice Requires="wps">
          <w:drawing>
            <wp:anchor distT="4294967295" distB="4294967295" distL="114300" distR="114300" simplePos="0" relativeHeight="251659264" behindDoc="0" locked="0" layoutInCell="1" allowOverlap="1" wp14:anchorId="6FD45FC2" wp14:editId="5FF53500">
              <wp:simplePos x="0" y="0"/>
              <wp:positionH relativeFrom="column">
                <wp:posOffset>2086610</wp:posOffset>
              </wp:positionH>
              <wp:positionV relativeFrom="paragraph">
                <wp:posOffset>33019</wp:posOffset>
              </wp:positionV>
              <wp:extent cx="404939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9395" cy="0"/>
                      </a:xfrm>
                      <a:prstGeom prst="line">
                        <a:avLst/>
                      </a:prstGeom>
                      <a:ln w="19050">
                        <a:solidFill>
                          <a:srgbClr val="97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A000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3pt,2.6pt" to="48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" strokecolor="#97252b" strokeweight="1.5pt">
              <v:stroke joinstyle="miter"/>
              <o:lock v:ext="edit" shapetype="f"/>
            </v:line>
          </w:pict>
        </mc:Fallback>
      </mc:AlternateContent>
    </w:r>
  </w:p>
  <w:p w14:paraId="4AF437C9" w14:textId="59E05726" w:rsidR="00B43DFC" w:rsidRPr="007C680F" w:rsidRDefault="00B43DFC" w:rsidP="00B43DFC">
    <w:pPr>
      <w:pStyle w:val="Encabezado"/>
      <w:jc w:val="right"/>
      <w:rPr>
        <w:rFonts w:cs="Arial"/>
        <w:b/>
        <w:bCs/>
        <w:szCs w:val="22"/>
      </w:rPr>
    </w:pPr>
    <w:r w:rsidRPr="007C680F">
      <w:rPr>
        <w:rFonts w:cs="Arial"/>
        <w:b/>
        <w:bCs/>
        <w:szCs w:val="22"/>
      </w:rPr>
      <w:t>SECRETARÍA EJECUTIVA</w:t>
    </w:r>
  </w:p>
  <w:p w14:paraId="0E7C3615" w14:textId="4E337EF9" w:rsidR="003A60DE" w:rsidRPr="007C680F" w:rsidRDefault="003A60DE" w:rsidP="00B43DFC">
    <w:pPr>
      <w:pStyle w:val="Encabezado"/>
      <w:jc w:val="right"/>
      <w:rPr>
        <w:rFonts w:cs="Arial"/>
        <w:b/>
        <w:bCs/>
        <w:szCs w:val="22"/>
      </w:rPr>
    </w:pPr>
  </w:p>
  <w:p w14:paraId="289AEAE7" w14:textId="7E77F294" w:rsidR="003A60DE" w:rsidRPr="007C680F" w:rsidRDefault="003A60DE" w:rsidP="00B43DFC">
    <w:pPr>
      <w:pStyle w:val="Encabezado"/>
      <w:jc w:val="right"/>
      <w:rPr>
        <w:rFonts w:cs="Arial"/>
        <w:b/>
        <w:bCs/>
        <w:szCs w:val="22"/>
      </w:rPr>
    </w:pPr>
    <w:r w:rsidRPr="007C680F">
      <w:rPr>
        <w:rFonts w:cs="Arial"/>
        <w:b/>
        <w:bCs/>
        <w:szCs w:val="22"/>
      </w:rPr>
      <w:t>Dirección General de Asuntos Internacionales</w:t>
    </w:r>
  </w:p>
  <w:p w14:paraId="160D09F7" w14:textId="77777777" w:rsidR="00B43DFC" w:rsidRPr="007C680F" w:rsidRDefault="00B43DFC" w:rsidP="00B43DFC">
    <w:pPr>
      <w:pStyle w:val="Encabezado"/>
      <w:jc w:val="right"/>
      <w:rPr>
        <w:rFonts w:cs="Arial"/>
        <w:b/>
        <w:bCs/>
        <w:szCs w:val="22"/>
      </w:rPr>
    </w:pPr>
  </w:p>
  <w:p w14:paraId="321D3E4B" w14:textId="0C32AA83" w:rsidR="00275E79" w:rsidRPr="007C680F" w:rsidRDefault="00C568FD" w:rsidP="00275E79">
    <w:pPr>
      <w:pStyle w:val="Encabezado"/>
      <w:jc w:val="right"/>
      <w:rPr>
        <w:rFonts w:cs="Arial"/>
        <w:b/>
        <w:bCs/>
        <w:szCs w:val="22"/>
      </w:rPr>
    </w:pPr>
    <w:r w:rsidRPr="007C680F">
      <w:rPr>
        <w:rFonts w:cs="Arial"/>
        <w:b/>
        <w:bCs/>
        <w:szCs w:val="22"/>
      </w:rPr>
      <w:t xml:space="preserve">ANEXO </w:t>
    </w:r>
    <w:r w:rsidR="00275E79" w:rsidRPr="007C680F">
      <w:rPr>
        <w:rFonts w:cs="Arial"/>
        <w:b/>
        <w:bCs/>
        <w:szCs w:val="22"/>
      </w:rPr>
      <w:t>Oficio No. CNDH/SE/DGAI/</w:t>
    </w:r>
    <w:r w:rsidR="00FA098D" w:rsidRPr="007C680F">
      <w:rPr>
        <w:rFonts w:cs="Arial"/>
        <w:b/>
        <w:bCs/>
        <w:szCs w:val="22"/>
      </w:rPr>
      <w:t>00</w:t>
    </w:r>
    <w:r w:rsidR="00166B0D">
      <w:rPr>
        <w:rFonts w:cs="Arial"/>
        <w:b/>
        <w:bCs/>
        <w:szCs w:val="22"/>
      </w:rPr>
      <w:t>63</w:t>
    </w:r>
    <w:r w:rsidR="00275E79" w:rsidRPr="007C680F">
      <w:rPr>
        <w:rFonts w:cs="Arial"/>
        <w:b/>
        <w:bCs/>
        <w:szCs w:val="22"/>
      </w:rPr>
      <w:t>/202</w:t>
    </w:r>
    <w:r w:rsidR="00570E1D" w:rsidRPr="007C680F">
      <w:rPr>
        <w:rFonts w:cs="Arial"/>
        <w:b/>
        <w:bCs/>
        <w:szCs w:val="22"/>
      </w:rPr>
      <w:t>3</w:t>
    </w:r>
  </w:p>
  <w:p w14:paraId="26EB826A" w14:textId="6DD7A247" w:rsidR="00275E79" w:rsidRDefault="00275E79" w:rsidP="00275E79">
    <w:pPr>
      <w:pStyle w:val="Encabezado"/>
      <w:jc w:val="right"/>
      <w:rPr>
        <w:rFonts w:cs="Arial"/>
        <w:b/>
        <w:bCs/>
        <w:szCs w:val="22"/>
      </w:rPr>
    </w:pPr>
  </w:p>
  <w:p w14:paraId="047964AC" w14:textId="77777777" w:rsidR="007C680F" w:rsidRPr="007C680F" w:rsidRDefault="007C680F" w:rsidP="00275E79">
    <w:pPr>
      <w:pStyle w:val="Encabezado"/>
      <w:jc w:val="righ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E84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80B98"/>
    <w:multiLevelType w:val="multilevel"/>
    <w:tmpl w:val="E5C0A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36324"/>
    <w:multiLevelType w:val="multilevel"/>
    <w:tmpl w:val="62DCF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62570"/>
    <w:multiLevelType w:val="hybridMultilevel"/>
    <w:tmpl w:val="03423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833EFA"/>
    <w:multiLevelType w:val="hybridMultilevel"/>
    <w:tmpl w:val="691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C458FB"/>
    <w:multiLevelType w:val="hybridMultilevel"/>
    <w:tmpl w:val="7472D2D8"/>
    <w:lvl w:ilvl="0" w:tplc="CBD8C1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5249974">
    <w:abstractNumId w:val="0"/>
  </w:num>
  <w:num w:numId="2" w16cid:durableId="1829442342">
    <w:abstractNumId w:val="3"/>
  </w:num>
  <w:num w:numId="3" w16cid:durableId="1608805863">
    <w:abstractNumId w:val="5"/>
  </w:num>
  <w:num w:numId="4" w16cid:durableId="798958282">
    <w:abstractNumId w:val="1"/>
  </w:num>
  <w:num w:numId="5" w16cid:durableId="928923190">
    <w:abstractNumId w:val="4"/>
  </w:num>
  <w:num w:numId="6" w16cid:durableId="173743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9"/>
    <w:rsid w:val="00012F02"/>
    <w:rsid w:val="00044094"/>
    <w:rsid w:val="00050B12"/>
    <w:rsid w:val="00060314"/>
    <w:rsid w:val="00065870"/>
    <w:rsid w:val="00067DC8"/>
    <w:rsid w:val="00080ABF"/>
    <w:rsid w:val="0008456F"/>
    <w:rsid w:val="00096FAB"/>
    <w:rsid w:val="000A30A1"/>
    <w:rsid w:val="000B32AE"/>
    <w:rsid w:val="000D13E6"/>
    <w:rsid w:val="000D2D8A"/>
    <w:rsid w:val="000D3566"/>
    <w:rsid w:val="000F3797"/>
    <w:rsid w:val="001140A9"/>
    <w:rsid w:val="001170E2"/>
    <w:rsid w:val="00117410"/>
    <w:rsid w:val="001233A0"/>
    <w:rsid w:val="001272DE"/>
    <w:rsid w:val="00165EAF"/>
    <w:rsid w:val="00166B0D"/>
    <w:rsid w:val="001723C9"/>
    <w:rsid w:val="00182E57"/>
    <w:rsid w:val="00183BFB"/>
    <w:rsid w:val="001858D6"/>
    <w:rsid w:val="0018608F"/>
    <w:rsid w:val="001A34FB"/>
    <w:rsid w:val="001B185E"/>
    <w:rsid w:val="001B4698"/>
    <w:rsid w:val="001E4295"/>
    <w:rsid w:val="001F1D69"/>
    <w:rsid w:val="001F1F6B"/>
    <w:rsid w:val="001F2F6E"/>
    <w:rsid w:val="0020206E"/>
    <w:rsid w:val="0021524A"/>
    <w:rsid w:val="002178B7"/>
    <w:rsid w:val="00226980"/>
    <w:rsid w:val="0023424B"/>
    <w:rsid w:val="002366D5"/>
    <w:rsid w:val="00237552"/>
    <w:rsid w:val="00237F60"/>
    <w:rsid w:val="00260F66"/>
    <w:rsid w:val="00275E79"/>
    <w:rsid w:val="00277302"/>
    <w:rsid w:val="002857B3"/>
    <w:rsid w:val="0029445B"/>
    <w:rsid w:val="00294696"/>
    <w:rsid w:val="002B1D48"/>
    <w:rsid w:val="002C2864"/>
    <w:rsid w:val="002D101F"/>
    <w:rsid w:val="002E366A"/>
    <w:rsid w:val="002E3C27"/>
    <w:rsid w:val="002E3E9C"/>
    <w:rsid w:val="002F1472"/>
    <w:rsid w:val="002F1DEE"/>
    <w:rsid w:val="00301BFF"/>
    <w:rsid w:val="00306C40"/>
    <w:rsid w:val="00320364"/>
    <w:rsid w:val="003256E2"/>
    <w:rsid w:val="00326C08"/>
    <w:rsid w:val="00343AED"/>
    <w:rsid w:val="00346366"/>
    <w:rsid w:val="0035606D"/>
    <w:rsid w:val="00360FCD"/>
    <w:rsid w:val="00362540"/>
    <w:rsid w:val="00362CC4"/>
    <w:rsid w:val="0036492E"/>
    <w:rsid w:val="00365673"/>
    <w:rsid w:val="00372277"/>
    <w:rsid w:val="00374C72"/>
    <w:rsid w:val="003776EA"/>
    <w:rsid w:val="00377E51"/>
    <w:rsid w:val="00391172"/>
    <w:rsid w:val="003932D6"/>
    <w:rsid w:val="003A60DE"/>
    <w:rsid w:val="003B0505"/>
    <w:rsid w:val="003C01A4"/>
    <w:rsid w:val="003C0203"/>
    <w:rsid w:val="003E330C"/>
    <w:rsid w:val="0042134C"/>
    <w:rsid w:val="00441421"/>
    <w:rsid w:val="00447A53"/>
    <w:rsid w:val="00451192"/>
    <w:rsid w:val="0045136A"/>
    <w:rsid w:val="004517AB"/>
    <w:rsid w:val="00452E43"/>
    <w:rsid w:val="0045512A"/>
    <w:rsid w:val="00473D35"/>
    <w:rsid w:val="00474B2E"/>
    <w:rsid w:val="00476145"/>
    <w:rsid w:val="004762C2"/>
    <w:rsid w:val="00477D30"/>
    <w:rsid w:val="004A2A7E"/>
    <w:rsid w:val="004B0396"/>
    <w:rsid w:val="004B0D3C"/>
    <w:rsid w:val="004C3C11"/>
    <w:rsid w:val="004E313D"/>
    <w:rsid w:val="004E5872"/>
    <w:rsid w:val="004E5941"/>
    <w:rsid w:val="004F160B"/>
    <w:rsid w:val="005042C8"/>
    <w:rsid w:val="00515DEA"/>
    <w:rsid w:val="0052483D"/>
    <w:rsid w:val="005361FE"/>
    <w:rsid w:val="00540196"/>
    <w:rsid w:val="00543B36"/>
    <w:rsid w:val="00545057"/>
    <w:rsid w:val="00570E1D"/>
    <w:rsid w:val="00571CBF"/>
    <w:rsid w:val="00587A64"/>
    <w:rsid w:val="00590CEB"/>
    <w:rsid w:val="00592AA7"/>
    <w:rsid w:val="00595D58"/>
    <w:rsid w:val="005A295A"/>
    <w:rsid w:val="005D145E"/>
    <w:rsid w:val="005D5C88"/>
    <w:rsid w:val="005E1560"/>
    <w:rsid w:val="005E65D7"/>
    <w:rsid w:val="005F1029"/>
    <w:rsid w:val="005F2C87"/>
    <w:rsid w:val="005F2FD7"/>
    <w:rsid w:val="006016B3"/>
    <w:rsid w:val="0060387A"/>
    <w:rsid w:val="00610D6C"/>
    <w:rsid w:val="00625CAF"/>
    <w:rsid w:val="00626D8E"/>
    <w:rsid w:val="00631B69"/>
    <w:rsid w:val="00633C21"/>
    <w:rsid w:val="00633EEA"/>
    <w:rsid w:val="006432B3"/>
    <w:rsid w:val="006602FB"/>
    <w:rsid w:val="0068051A"/>
    <w:rsid w:val="00681224"/>
    <w:rsid w:val="00681321"/>
    <w:rsid w:val="006904C0"/>
    <w:rsid w:val="006957EE"/>
    <w:rsid w:val="006A4E7D"/>
    <w:rsid w:val="006B302B"/>
    <w:rsid w:val="006C2DC8"/>
    <w:rsid w:val="006C3DF4"/>
    <w:rsid w:val="006C7F1E"/>
    <w:rsid w:val="006D33E0"/>
    <w:rsid w:val="006D5D87"/>
    <w:rsid w:val="006E2FE3"/>
    <w:rsid w:val="006E731C"/>
    <w:rsid w:val="006E75D3"/>
    <w:rsid w:val="007019A4"/>
    <w:rsid w:val="007028C9"/>
    <w:rsid w:val="00716732"/>
    <w:rsid w:val="00723399"/>
    <w:rsid w:val="007274E9"/>
    <w:rsid w:val="007278ED"/>
    <w:rsid w:val="00730541"/>
    <w:rsid w:val="00732B63"/>
    <w:rsid w:val="0073458B"/>
    <w:rsid w:val="007366E7"/>
    <w:rsid w:val="00754C8D"/>
    <w:rsid w:val="00755A77"/>
    <w:rsid w:val="00776FFC"/>
    <w:rsid w:val="00786F29"/>
    <w:rsid w:val="0079471D"/>
    <w:rsid w:val="00795531"/>
    <w:rsid w:val="0079609A"/>
    <w:rsid w:val="007B0799"/>
    <w:rsid w:val="007B2B64"/>
    <w:rsid w:val="007C4E61"/>
    <w:rsid w:val="007C680F"/>
    <w:rsid w:val="007F7BE3"/>
    <w:rsid w:val="008010E1"/>
    <w:rsid w:val="00805E52"/>
    <w:rsid w:val="00815F74"/>
    <w:rsid w:val="00817DC5"/>
    <w:rsid w:val="0082579E"/>
    <w:rsid w:val="008257E1"/>
    <w:rsid w:val="0084682B"/>
    <w:rsid w:val="008800D9"/>
    <w:rsid w:val="008A54C2"/>
    <w:rsid w:val="008A61DA"/>
    <w:rsid w:val="008B7131"/>
    <w:rsid w:val="008C0219"/>
    <w:rsid w:val="008C0625"/>
    <w:rsid w:val="008C4B3A"/>
    <w:rsid w:val="008C7A26"/>
    <w:rsid w:val="008D767F"/>
    <w:rsid w:val="008E0485"/>
    <w:rsid w:val="008E250F"/>
    <w:rsid w:val="00924302"/>
    <w:rsid w:val="00924956"/>
    <w:rsid w:val="0092551F"/>
    <w:rsid w:val="00935CF0"/>
    <w:rsid w:val="00946592"/>
    <w:rsid w:val="00975304"/>
    <w:rsid w:val="0097653F"/>
    <w:rsid w:val="00982AE4"/>
    <w:rsid w:val="00984443"/>
    <w:rsid w:val="00991DFD"/>
    <w:rsid w:val="0099389A"/>
    <w:rsid w:val="00995FBD"/>
    <w:rsid w:val="009A4E23"/>
    <w:rsid w:val="009B1FE0"/>
    <w:rsid w:val="009B42C9"/>
    <w:rsid w:val="009B7F20"/>
    <w:rsid w:val="009C27F4"/>
    <w:rsid w:val="009C75CD"/>
    <w:rsid w:val="009E1A13"/>
    <w:rsid w:val="009F4174"/>
    <w:rsid w:val="009F69EA"/>
    <w:rsid w:val="00A04AE0"/>
    <w:rsid w:val="00A06EAD"/>
    <w:rsid w:val="00A16925"/>
    <w:rsid w:val="00A27101"/>
    <w:rsid w:val="00A30D2E"/>
    <w:rsid w:val="00A4535A"/>
    <w:rsid w:val="00A453EB"/>
    <w:rsid w:val="00A469CF"/>
    <w:rsid w:val="00A51C7D"/>
    <w:rsid w:val="00A54A78"/>
    <w:rsid w:val="00A60D73"/>
    <w:rsid w:val="00A62E0F"/>
    <w:rsid w:val="00A64AFC"/>
    <w:rsid w:val="00A81722"/>
    <w:rsid w:val="00A9246F"/>
    <w:rsid w:val="00AB3DC9"/>
    <w:rsid w:val="00AB6247"/>
    <w:rsid w:val="00AC0187"/>
    <w:rsid w:val="00AD5A72"/>
    <w:rsid w:val="00AE3825"/>
    <w:rsid w:val="00AE4C90"/>
    <w:rsid w:val="00AF41B1"/>
    <w:rsid w:val="00B10F75"/>
    <w:rsid w:val="00B214DC"/>
    <w:rsid w:val="00B422D9"/>
    <w:rsid w:val="00B43DFC"/>
    <w:rsid w:val="00B54A4E"/>
    <w:rsid w:val="00B73CA8"/>
    <w:rsid w:val="00B834A1"/>
    <w:rsid w:val="00BA0063"/>
    <w:rsid w:val="00BC417E"/>
    <w:rsid w:val="00BC6096"/>
    <w:rsid w:val="00BD48EA"/>
    <w:rsid w:val="00BF09A2"/>
    <w:rsid w:val="00BF459C"/>
    <w:rsid w:val="00BF4CC3"/>
    <w:rsid w:val="00C006C3"/>
    <w:rsid w:val="00C01B0B"/>
    <w:rsid w:val="00C020E4"/>
    <w:rsid w:val="00C140D7"/>
    <w:rsid w:val="00C17329"/>
    <w:rsid w:val="00C23B37"/>
    <w:rsid w:val="00C422E5"/>
    <w:rsid w:val="00C42600"/>
    <w:rsid w:val="00C52DF0"/>
    <w:rsid w:val="00C568FD"/>
    <w:rsid w:val="00C82DBF"/>
    <w:rsid w:val="00C90809"/>
    <w:rsid w:val="00CB23AF"/>
    <w:rsid w:val="00CB7750"/>
    <w:rsid w:val="00CC0AC8"/>
    <w:rsid w:val="00CC6C9C"/>
    <w:rsid w:val="00CD1D6C"/>
    <w:rsid w:val="00CF087A"/>
    <w:rsid w:val="00D024F5"/>
    <w:rsid w:val="00D17545"/>
    <w:rsid w:val="00D21548"/>
    <w:rsid w:val="00D56A8D"/>
    <w:rsid w:val="00D960C9"/>
    <w:rsid w:val="00D96DD5"/>
    <w:rsid w:val="00DA4772"/>
    <w:rsid w:val="00DC2468"/>
    <w:rsid w:val="00DD13CF"/>
    <w:rsid w:val="00DD7C71"/>
    <w:rsid w:val="00DE6BC8"/>
    <w:rsid w:val="00E05436"/>
    <w:rsid w:val="00E12EFC"/>
    <w:rsid w:val="00E179E3"/>
    <w:rsid w:val="00E33243"/>
    <w:rsid w:val="00E334DD"/>
    <w:rsid w:val="00E40411"/>
    <w:rsid w:val="00E54518"/>
    <w:rsid w:val="00E60199"/>
    <w:rsid w:val="00E71F47"/>
    <w:rsid w:val="00E82A3F"/>
    <w:rsid w:val="00EA484B"/>
    <w:rsid w:val="00EB140F"/>
    <w:rsid w:val="00EB4D6A"/>
    <w:rsid w:val="00EB68FA"/>
    <w:rsid w:val="00EC50FC"/>
    <w:rsid w:val="00EE34DE"/>
    <w:rsid w:val="00EF3798"/>
    <w:rsid w:val="00F01DB8"/>
    <w:rsid w:val="00F06B1B"/>
    <w:rsid w:val="00F10FEC"/>
    <w:rsid w:val="00F11EC1"/>
    <w:rsid w:val="00F14181"/>
    <w:rsid w:val="00F154C3"/>
    <w:rsid w:val="00F16670"/>
    <w:rsid w:val="00F174B9"/>
    <w:rsid w:val="00F206EF"/>
    <w:rsid w:val="00F21A96"/>
    <w:rsid w:val="00F347EC"/>
    <w:rsid w:val="00F470ED"/>
    <w:rsid w:val="00F55A12"/>
    <w:rsid w:val="00F57C7B"/>
    <w:rsid w:val="00F7254E"/>
    <w:rsid w:val="00F769D8"/>
    <w:rsid w:val="00F7789B"/>
    <w:rsid w:val="00F94766"/>
    <w:rsid w:val="00FA098D"/>
    <w:rsid w:val="00FB6AE2"/>
    <w:rsid w:val="00FB7827"/>
    <w:rsid w:val="00FC55E6"/>
    <w:rsid w:val="00FD4B7F"/>
    <w:rsid w:val="00FD6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D385"/>
  <w15:docId w15:val="{FDD0F3F9-1983-4AE8-9398-6409583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_tradnl"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link w:val="Ttulo2Car"/>
    <w:semiHidden/>
    <w:unhideWhenUsed/>
    <w:qFormat/>
    <w:rsid w:val="000D13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extosinformato">
    <w:name w:val="Plain Text"/>
    <w:basedOn w:val="Normal"/>
    <w:link w:val="TextosinformatoCar"/>
    <w:uiPriority w:val="99"/>
    <w:unhideWhenUsed/>
    <w:rsid w:val="000D3566"/>
    <w:rPr>
      <w:rFonts w:ascii="Consolas" w:hAnsi="Consolas"/>
      <w:sz w:val="21"/>
      <w:szCs w:val="21"/>
      <w:lang w:val="es-MX" w:eastAsia="es-MX"/>
    </w:rPr>
  </w:style>
  <w:style w:type="character" w:customStyle="1" w:styleId="TextosinformatoCar">
    <w:name w:val="Texto sin formato Car"/>
    <w:link w:val="Textosinformato"/>
    <w:uiPriority w:val="99"/>
    <w:rsid w:val="000D3566"/>
    <w:rPr>
      <w:rFonts w:ascii="Consolas" w:hAnsi="Consolas"/>
      <w:sz w:val="21"/>
      <w:szCs w:val="21"/>
    </w:rPr>
  </w:style>
  <w:style w:type="paragraph" w:styleId="Prrafodelista">
    <w:name w:val="List Paragraph"/>
    <w:basedOn w:val="Normal"/>
    <w:uiPriority w:val="34"/>
    <w:qFormat/>
    <w:rsid w:val="00C52DF0"/>
    <w:pPr>
      <w:spacing w:after="160" w:line="259" w:lineRule="auto"/>
      <w:ind w:left="720"/>
      <w:contextualSpacing/>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rsid w:val="00B43DFC"/>
    <w:rPr>
      <w:rFonts w:ascii="Arial" w:hAnsi="Arial"/>
      <w:sz w:val="22"/>
      <w:lang w:val="es-ES_tradnl" w:eastAsia="es-ES"/>
    </w:rPr>
  </w:style>
  <w:style w:type="paragraph" w:styleId="Textoindependiente">
    <w:name w:val="Body Text"/>
    <w:basedOn w:val="Normal"/>
    <w:link w:val="TextoindependienteCar"/>
    <w:rsid w:val="00F01DB8"/>
    <w:pPr>
      <w:jc w:val="both"/>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F01DB8"/>
    <w:rPr>
      <w:sz w:val="24"/>
      <w:szCs w:val="24"/>
      <w:lang w:val="es-ES" w:eastAsia="es-ES"/>
    </w:rPr>
  </w:style>
  <w:style w:type="table" w:styleId="Tablaconcuadrcula">
    <w:name w:val="Table Grid"/>
    <w:basedOn w:val="Tablanormal"/>
    <w:rsid w:val="00DA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0D2E"/>
    <w:rPr>
      <w:color w:val="605E5C"/>
      <w:shd w:val="clear" w:color="auto" w:fill="E1DFDD"/>
    </w:rPr>
  </w:style>
  <w:style w:type="character" w:customStyle="1" w:styleId="Ttulo2Car">
    <w:name w:val="Título 2 Car"/>
    <w:basedOn w:val="Fuentedeprrafopredeter"/>
    <w:link w:val="Ttulo2"/>
    <w:semiHidden/>
    <w:rsid w:val="000D13E6"/>
    <w:rPr>
      <w:rFonts w:asciiTheme="majorHAnsi" w:eastAsiaTheme="majorEastAsia" w:hAnsiTheme="majorHAnsi" w:cstheme="majorBidi"/>
      <w:color w:val="2F5496" w:themeColor="accent1" w:themeShade="BF"/>
      <w:sz w:val="26"/>
      <w:szCs w:val="26"/>
      <w:lang w:val="es-ES_tradnl" w:eastAsia="es-ES"/>
    </w:rPr>
  </w:style>
  <w:style w:type="paragraph" w:styleId="Textonotapie">
    <w:name w:val="footnote text"/>
    <w:basedOn w:val="Normal"/>
    <w:link w:val="TextonotapieCar"/>
    <w:rsid w:val="00626D8E"/>
    <w:rPr>
      <w:sz w:val="20"/>
    </w:rPr>
  </w:style>
  <w:style w:type="character" w:customStyle="1" w:styleId="TextonotapieCar">
    <w:name w:val="Texto nota pie Car"/>
    <w:basedOn w:val="Fuentedeprrafopredeter"/>
    <w:link w:val="Textonotapie"/>
    <w:rsid w:val="00626D8E"/>
    <w:rPr>
      <w:rFonts w:ascii="Arial" w:hAnsi="Arial"/>
      <w:lang w:val="es-ES_tradnl" w:eastAsia="es-ES"/>
    </w:rPr>
  </w:style>
  <w:style w:type="character" w:styleId="Refdenotaalpie">
    <w:name w:val="footnote reference"/>
    <w:basedOn w:val="Fuentedeprrafopredeter"/>
    <w:rsid w:val="00626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446">
      <w:bodyDiv w:val="1"/>
      <w:marLeft w:val="0"/>
      <w:marRight w:val="0"/>
      <w:marTop w:val="0"/>
      <w:marBottom w:val="0"/>
      <w:divBdr>
        <w:top w:val="none" w:sz="0" w:space="0" w:color="auto"/>
        <w:left w:val="none" w:sz="0" w:space="0" w:color="auto"/>
        <w:bottom w:val="none" w:sz="0" w:space="0" w:color="auto"/>
        <w:right w:val="none" w:sz="0" w:space="0" w:color="auto"/>
      </w:divBdr>
    </w:div>
    <w:div w:id="140929094">
      <w:bodyDiv w:val="1"/>
      <w:marLeft w:val="0"/>
      <w:marRight w:val="0"/>
      <w:marTop w:val="0"/>
      <w:marBottom w:val="0"/>
      <w:divBdr>
        <w:top w:val="none" w:sz="0" w:space="0" w:color="auto"/>
        <w:left w:val="none" w:sz="0" w:space="0" w:color="auto"/>
        <w:bottom w:val="none" w:sz="0" w:space="0" w:color="auto"/>
        <w:right w:val="none" w:sz="0" w:space="0" w:color="auto"/>
      </w:divBdr>
    </w:div>
    <w:div w:id="168905990">
      <w:bodyDiv w:val="1"/>
      <w:marLeft w:val="0"/>
      <w:marRight w:val="0"/>
      <w:marTop w:val="0"/>
      <w:marBottom w:val="0"/>
      <w:divBdr>
        <w:top w:val="none" w:sz="0" w:space="0" w:color="auto"/>
        <w:left w:val="none" w:sz="0" w:space="0" w:color="auto"/>
        <w:bottom w:val="none" w:sz="0" w:space="0" w:color="auto"/>
        <w:right w:val="none" w:sz="0" w:space="0" w:color="auto"/>
      </w:divBdr>
    </w:div>
    <w:div w:id="179708107">
      <w:bodyDiv w:val="1"/>
      <w:marLeft w:val="0"/>
      <w:marRight w:val="0"/>
      <w:marTop w:val="0"/>
      <w:marBottom w:val="0"/>
      <w:divBdr>
        <w:top w:val="none" w:sz="0" w:space="0" w:color="auto"/>
        <w:left w:val="none" w:sz="0" w:space="0" w:color="auto"/>
        <w:bottom w:val="none" w:sz="0" w:space="0" w:color="auto"/>
        <w:right w:val="none" w:sz="0" w:space="0" w:color="auto"/>
      </w:divBdr>
    </w:div>
    <w:div w:id="210701217">
      <w:bodyDiv w:val="1"/>
      <w:marLeft w:val="0"/>
      <w:marRight w:val="0"/>
      <w:marTop w:val="0"/>
      <w:marBottom w:val="0"/>
      <w:divBdr>
        <w:top w:val="none" w:sz="0" w:space="0" w:color="auto"/>
        <w:left w:val="none" w:sz="0" w:space="0" w:color="auto"/>
        <w:bottom w:val="none" w:sz="0" w:space="0" w:color="auto"/>
        <w:right w:val="none" w:sz="0" w:space="0" w:color="auto"/>
      </w:divBdr>
    </w:div>
    <w:div w:id="233975880">
      <w:bodyDiv w:val="1"/>
      <w:marLeft w:val="0"/>
      <w:marRight w:val="0"/>
      <w:marTop w:val="0"/>
      <w:marBottom w:val="0"/>
      <w:divBdr>
        <w:top w:val="none" w:sz="0" w:space="0" w:color="auto"/>
        <w:left w:val="none" w:sz="0" w:space="0" w:color="auto"/>
        <w:bottom w:val="none" w:sz="0" w:space="0" w:color="auto"/>
        <w:right w:val="none" w:sz="0" w:space="0" w:color="auto"/>
      </w:divBdr>
    </w:div>
    <w:div w:id="409736931">
      <w:bodyDiv w:val="1"/>
      <w:marLeft w:val="0"/>
      <w:marRight w:val="0"/>
      <w:marTop w:val="0"/>
      <w:marBottom w:val="0"/>
      <w:divBdr>
        <w:top w:val="none" w:sz="0" w:space="0" w:color="auto"/>
        <w:left w:val="none" w:sz="0" w:space="0" w:color="auto"/>
        <w:bottom w:val="none" w:sz="0" w:space="0" w:color="auto"/>
        <w:right w:val="none" w:sz="0" w:space="0" w:color="auto"/>
      </w:divBdr>
    </w:div>
    <w:div w:id="578364900">
      <w:bodyDiv w:val="1"/>
      <w:marLeft w:val="0"/>
      <w:marRight w:val="0"/>
      <w:marTop w:val="0"/>
      <w:marBottom w:val="0"/>
      <w:divBdr>
        <w:top w:val="none" w:sz="0" w:space="0" w:color="auto"/>
        <w:left w:val="none" w:sz="0" w:space="0" w:color="auto"/>
        <w:bottom w:val="none" w:sz="0" w:space="0" w:color="auto"/>
        <w:right w:val="none" w:sz="0" w:space="0" w:color="auto"/>
      </w:divBdr>
    </w:div>
    <w:div w:id="801113615">
      <w:bodyDiv w:val="1"/>
      <w:marLeft w:val="0"/>
      <w:marRight w:val="0"/>
      <w:marTop w:val="0"/>
      <w:marBottom w:val="0"/>
      <w:divBdr>
        <w:top w:val="none" w:sz="0" w:space="0" w:color="auto"/>
        <w:left w:val="none" w:sz="0" w:space="0" w:color="auto"/>
        <w:bottom w:val="none" w:sz="0" w:space="0" w:color="auto"/>
        <w:right w:val="none" w:sz="0" w:space="0" w:color="auto"/>
      </w:divBdr>
    </w:div>
    <w:div w:id="1045715118">
      <w:bodyDiv w:val="1"/>
      <w:marLeft w:val="0"/>
      <w:marRight w:val="0"/>
      <w:marTop w:val="0"/>
      <w:marBottom w:val="0"/>
      <w:divBdr>
        <w:top w:val="none" w:sz="0" w:space="0" w:color="auto"/>
        <w:left w:val="none" w:sz="0" w:space="0" w:color="auto"/>
        <w:bottom w:val="none" w:sz="0" w:space="0" w:color="auto"/>
        <w:right w:val="none" w:sz="0" w:space="0" w:color="auto"/>
      </w:divBdr>
    </w:div>
    <w:div w:id="1062292814">
      <w:bodyDiv w:val="1"/>
      <w:marLeft w:val="0"/>
      <w:marRight w:val="0"/>
      <w:marTop w:val="0"/>
      <w:marBottom w:val="0"/>
      <w:divBdr>
        <w:top w:val="none" w:sz="0" w:space="0" w:color="auto"/>
        <w:left w:val="none" w:sz="0" w:space="0" w:color="auto"/>
        <w:bottom w:val="none" w:sz="0" w:space="0" w:color="auto"/>
        <w:right w:val="none" w:sz="0" w:space="0" w:color="auto"/>
      </w:divBdr>
    </w:div>
    <w:div w:id="1231306769">
      <w:bodyDiv w:val="1"/>
      <w:marLeft w:val="0"/>
      <w:marRight w:val="0"/>
      <w:marTop w:val="0"/>
      <w:marBottom w:val="0"/>
      <w:divBdr>
        <w:top w:val="none" w:sz="0" w:space="0" w:color="auto"/>
        <w:left w:val="none" w:sz="0" w:space="0" w:color="auto"/>
        <w:bottom w:val="none" w:sz="0" w:space="0" w:color="auto"/>
        <w:right w:val="none" w:sz="0" w:space="0" w:color="auto"/>
      </w:divBdr>
    </w:div>
    <w:div w:id="1244411972">
      <w:bodyDiv w:val="1"/>
      <w:marLeft w:val="0"/>
      <w:marRight w:val="0"/>
      <w:marTop w:val="0"/>
      <w:marBottom w:val="0"/>
      <w:divBdr>
        <w:top w:val="none" w:sz="0" w:space="0" w:color="auto"/>
        <w:left w:val="none" w:sz="0" w:space="0" w:color="auto"/>
        <w:bottom w:val="none" w:sz="0" w:space="0" w:color="auto"/>
        <w:right w:val="none" w:sz="0" w:space="0" w:color="auto"/>
      </w:divBdr>
    </w:div>
    <w:div w:id="1365666847">
      <w:bodyDiv w:val="1"/>
      <w:marLeft w:val="0"/>
      <w:marRight w:val="0"/>
      <w:marTop w:val="0"/>
      <w:marBottom w:val="0"/>
      <w:divBdr>
        <w:top w:val="none" w:sz="0" w:space="0" w:color="auto"/>
        <w:left w:val="none" w:sz="0" w:space="0" w:color="auto"/>
        <w:bottom w:val="none" w:sz="0" w:space="0" w:color="auto"/>
        <w:right w:val="none" w:sz="0" w:space="0" w:color="auto"/>
      </w:divBdr>
    </w:div>
    <w:div w:id="1389760935">
      <w:bodyDiv w:val="1"/>
      <w:marLeft w:val="0"/>
      <w:marRight w:val="0"/>
      <w:marTop w:val="0"/>
      <w:marBottom w:val="0"/>
      <w:divBdr>
        <w:top w:val="none" w:sz="0" w:space="0" w:color="auto"/>
        <w:left w:val="none" w:sz="0" w:space="0" w:color="auto"/>
        <w:bottom w:val="none" w:sz="0" w:space="0" w:color="auto"/>
        <w:right w:val="none" w:sz="0" w:space="0" w:color="auto"/>
      </w:divBdr>
    </w:div>
    <w:div w:id="1762989736">
      <w:bodyDiv w:val="1"/>
      <w:marLeft w:val="0"/>
      <w:marRight w:val="0"/>
      <w:marTop w:val="0"/>
      <w:marBottom w:val="0"/>
      <w:divBdr>
        <w:top w:val="none" w:sz="0" w:space="0" w:color="auto"/>
        <w:left w:val="none" w:sz="0" w:space="0" w:color="auto"/>
        <w:bottom w:val="none" w:sz="0" w:space="0" w:color="auto"/>
        <w:right w:val="none" w:sz="0" w:space="0" w:color="auto"/>
      </w:divBdr>
    </w:div>
    <w:div w:id="1840850339">
      <w:bodyDiv w:val="1"/>
      <w:marLeft w:val="0"/>
      <w:marRight w:val="0"/>
      <w:marTop w:val="0"/>
      <w:marBottom w:val="0"/>
      <w:divBdr>
        <w:top w:val="none" w:sz="0" w:space="0" w:color="auto"/>
        <w:left w:val="none" w:sz="0" w:space="0" w:color="auto"/>
        <w:bottom w:val="none" w:sz="0" w:space="0" w:color="auto"/>
        <w:right w:val="none" w:sz="0" w:space="0" w:color="auto"/>
      </w:divBdr>
    </w:div>
    <w:div w:id="1967857250">
      <w:bodyDiv w:val="1"/>
      <w:marLeft w:val="0"/>
      <w:marRight w:val="0"/>
      <w:marTop w:val="0"/>
      <w:marBottom w:val="0"/>
      <w:divBdr>
        <w:top w:val="none" w:sz="0" w:space="0" w:color="auto"/>
        <w:left w:val="none" w:sz="0" w:space="0" w:color="auto"/>
        <w:bottom w:val="none" w:sz="0" w:space="0" w:color="auto"/>
        <w:right w:val="none" w:sz="0" w:space="0" w:color="auto"/>
      </w:divBdr>
    </w:div>
    <w:div w:id="204389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annex</Doctype>
    <Contributor xmlns="d42e65b2-cf21-49c1-b27d-d23f90380c0e">CNDH 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AF4C679-B1A2-844B-B1F4-0B74025A5B60}">
  <ds:schemaRefs>
    <ds:schemaRef ds:uri="http://schemas.openxmlformats.org/officeDocument/2006/bibliography"/>
  </ds:schemaRefs>
</ds:datastoreItem>
</file>

<file path=customXml/itemProps2.xml><?xml version="1.0" encoding="utf-8"?>
<ds:datastoreItem xmlns:ds="http://schemas.openxmlformats.org/officeDocument/2006/customXml" ds:itemID="{EB47E1CE-87D6-4FDA-9D7D-528753BA7B63}"/>
</file>

<file path=customXml/itemProps3.xml><?xml version="1.0" encoding="utf-8"?>
<ds:datastoreItem xmlns:ds="http://schemas.openxmlformats.org/officeDocument/2006/customXml" ds:itemID="{7DCBDEAE-20D6-4C58-9367-4F0E0BBD5894}"/>
</file>

<file path=customXml/itemProps4.xml><?xml version="1.0" encoding="utf-8"?>
<ds:datastoreItem xmlns:ds="http://schemas.openxmlformats.org/officeDocument/2006/customXml" ds:itemID="{D0BAD9E7-77BB-4543-9169-6FA1B5553A93}"/>
</file>

<file path=docProps/app.xml><?xml version="1.0" encoding="utf-8"?>
<Properties xmlns="http://schemas.openxmlformats.org/officeDocument/2006/extended-properties" xmlns:vt="http://schemas.openxmlformats.org/officeDocument/2006/docPropsVTypes">
  <Template>Normal</Template>
  <TotalTime>2</TotalTime>
  <Pages>4</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CHEMICAL ADDITIVES DE MÉXICO,S.A. DE C.V.</vt:lpstr>
    </vt:vector>
  </TitlesOfParts>
  <Company>Barlocher Mexicana,S.A. de C.</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ADDITIVES DE MÉXICO,S.A. DE C.V.</dc:title>
  <dc:subject/>
  <dc:creator>.</dc:creator>
  <cp:keywords/>
  <dc:description/>
  <cp:lastModifiedBy>Anna Maria Roldan Rodriguez</cp:lastModifiedBy>
  <cp:revision>3</cp:revision>
  <cp:lastPrinted>2023-01-04T18:13:00Z</cp:lastPrinted>
  <dcterms:created xsi:type="dcterms:W3CDTF">2023-01-11T18:37:00Z</dcterms:created>
  <dcterms:modified xsi:type="dcterms:W3CDTF">2023-01-11T18:37:00Z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