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9E4AE" w14:textId="6E84DD81" w:rsidR="002D1AED" w:rsidRDefault="002D1AED" w:rsidP="3CB87E8B">
      <w:pPr>
        <w:spacing w:before="240" w:after="240"/>
        <w:jc w:val="center"/>
        <w:rPr>
          <w:rFonts w:eastAsiaTheme="minorEastAsia"/>
          <w:b/>
          <w:bCs/>
          <w:sz w:val="32"/>
          <w:szCs w:val="32"/>
        </w:rPr>
      </w:pPr>
      <w:r>
        <w:rPr>
          <w:rFonts w:ascii="Cambria" w:hAnsi="Cambria" w:cs="Times New Roman"/>
          <w:b/>
          <w:bCs/>
          <w:iCs/>
          <w:noProof/>
          <w:lang w:val="es-MX" w:eastAsia="es-MX"/>
        </w:rPr>
        <w:drawing>
          <wp:anchor distT="0" distB="0" distL="114300" distR="114300" simplePos="0" relativeHeight="251659264" behindDoc="0" locked="0" layoutInCell="1" allowOverlap="1" wp14:anchorId="6DFDEA9B" wp14:editId="2488E2CA">
            <wp:simplePos x="0" y="0"/>
            <wp:positionH relativeFrom="column">
              <wp:posOffset>2495550</wp:posOffset>
            </wp:positionH>
            <wp:positionV relativeFrom="paragraph">
              <wp:posOffset>-676275</wp:posOffset>
            </wp:positionV>
            <wp:extent cx="928687" cy="1285875"/>
            <wp:effectExtent l="0" t="0" r="508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GA logo.png"/>
                    <pic:cNvPicPr/>
                  </pic:nvPicPr>
                  <pic:blipFill>
                    <a:blip r:embed="rId8">
                      <a:extLst>
                        <a:ext uri="{28A0092B-C50C-407E-A947-70E740481C1C}">
                          <a14:useLocalDpi xmlns:a14="http://schemas.microsoft.com/office/drawing/2010/main" val="0"/>
                        </a:ext>
                      </a:extLst>
                    </a:blip>
                    <a:stretch>
                      <a:fillRect/>
                    </a:stretch>
                  </pic:blipFill>
                  <pic:spPr>
                    <a:xfrm>
                      <a:off x="0" y="0"/>
                      <a:ext cx="928687" cy="1285875"/>
                    </a:xfrm>
                    <a:prstGeom prst="rect">
                      <a:avLst/>
                    </a:prstGeom>
                  </pic:spPr>
                </pic:pic>
              </a:graphicData>
            </a:graphic>
            <wp14:sizeRelH relativeFrom="page">
              <wp14:pctWidth>0</wp14:pctWidth>
            </wp14:sizeRelH>
            <wp14:sizeRelV relativeFrom="page">
              <wp14:pctHeight>0</wp14:pctHeight>
            </wp14:sizeRelV>
          </wp:anchor>
        </w:drawing>
      </w:r>
    </w:p>
    <w:p w14:paraId="4D16BBBB" w14:textId="77777777" w:rsidR="002D1AED" w:rsidRDefault="002D1AED" w:rsidP="3CB87E8B">
      <w:pPr>
        <w:spacing w:before="240" w:after="240"/>
        <w:jc w:val="center"/>
        <w:rPr>
          <w:rFonts w:eastAsiaTheme="minorEastAsia"/>
          <w:b/>
          <w:bCs/>
          <w:sz w:val="32"/>
          <w:szCs w:val="32"/>
        </w:rPr>
      </w:pPr>
    </w:p>
    <w:p w14:paraId="0E0EBA3D" w14:textId="5D30E7DB" w:rsidR="00643196" w:rsidRDefault="11709BBF" w:rsidP="31B5B968">
      <w:pPr>
        <w:spacing w:before="240" w:after="240"/>
        <w:jc w:val="center"/>
        <w:rPr>
          <w:rFonts w:eastAsiaTheme="minorEastAsia"/>
          <w:color w:val="000000" w:themeColor="text1"/>
          <w:sz w:val="32"/>
          <w:szCs w:val="32"/>
        </w:rPr>
      </w:pPr>
      <w:r w:rsidRPr="31B5B968">
        <w:rPr>
          <w:rFonts w:eastAsiaTheme="minorEastAsia"/>
          <w:b/>
          <w:bCs/>
          <w:sz w:val="32"/>
          <w:szCs w:val="32"/>
        </w:rPr>
        <w:t>Joint s</w:t>
      </w:r>
      <w:r w:rsidR="16C0FC85" w:rsidRPr="31B5B968">
        <w:rPr>
          <w:rFonts w:eastAsiaTheme="minorEastAsia"/>
          <w:b/>
          <w:bCs/>
          <w:sz w:val="32"/>
          <w:szCs w:val="32"/>
        </w:rPr>
        <w:t xml:space="preserve">ubmission </w:t>
      </w:r>
      <w:r w:rsidR="002E198D" w:rsidRPr="31B5B968">
        <w:rPr>
          <w:rFonts w:eastAsiaTheme="minorEastAsia"/>
          <w:b/>
          <w:bCs/>
          <w:sz w:val="32"/>
          <w:szCs w:val="32"/>
        </w:rPr>
        <w:t xml:space="preserve">on Freedom of Religion and Belief and SOGI rights </w:t>
      </w:r>
      <w:r w:rsidR="16C0FC85" w:rsidRPr="31B5B968">
        <w:rPr>
          <w:rFonts w:eastAsiaTheme="minorEastAsia"/>
          <w:b/>
          <w:bCs/>
          <w:sz w:val="32"/>
          <w:szCs w:val="32"/>
        </w:rPr>
        <w:t>to the UN Independent Expert on Sexual Orientation and Gender Identity</w:t>
      </w:r>
    </w:p>
    <w:p w14:paraId="7B87A331" w14:textId="6F33E7CF" w:rsidR="00643196" w:rsidRDefault="16C0FC85" w:rsidP="3CB87E8B">
      <w:pPr>
        <w:spacing w:before="240" w:after="240"/>
        <w:jc w:val="center"/>
        <w:rPr>
          <w:rFonts w:eastAsiaTheme="minorEastAsia"/>
          <w:color w:val="000000" w:themeColor="text1"/>
          <w:sz w:val="24"/>
          <w:szCs w:val="24"/>
        </w:rPr>
      </w:pPr>
      <w:r w:rsidRPr="3CB87E8B">
        <w:rPr>
          <w:rFonts w:eastAsiaTheme="minorEastAsia"/>
          <w:sz w:val="24"/>
          <w:szCs w:val="24"/>
        </w:rPr>
        <w:t xml:space="preserve"> </w:t>
      </w:r>
      <w:r w:rsidR="5A5CABC1" w:rsidRPr="3CB87E8B">
        <w:rPr>
          <w:rFonts w:eastAsiaTheme="minorEastAsia"/>
          <w:sz w:val="24"/>
          <w:szCs w:val="24"/>
        </w:rPr>
        <w:t>15</w:t>
      </w:r>
      <w:r w:rsidR="14DEB701" w:rsidRPr="3CB87E8B">
        <w:rPr>
          <w:rFonts w:eastAsiaTheme="minorEastAsia"/>
          <w:sz w:val="24"/>
          <w:szCs w:val="24"/>
        </w:rPr>
        <w:t xml:space="preserve"> Jan, 2023</w:t>
      </w:r>
    </w:p>
    <w:p w14:paraId="70D1C0E1" w14:textId="6BFDD33F" w:rsidR="00643196" w:rsidRDefault="16C0FC85" w:rsidP="3CB87E8B">
      <w:pPr>
        <w:spacing w:after="0" w:line="240" w:lineRule="auto"/>
        <w:jc w:val="center"/>
        <w:rPr>
          <w:rFonts w:eastAsiaTheme="minorEastAsia"/>
          <w:color w:val="000000" w:themeColor="text1"/>
          <w:sz w:val="24"/>
          <w:szCs w:val="24"/>
        </w:rPr>
      </w:pPr>
      <w:r w:rsidRPr="3CB87E8B">
        <w:rPr>
          <w:rFonts w:eastAsiaTheme="minorEastAsia"/>
          <w:b/>
          <w:bCs/>
          <w:sz w:val="24"/>
          <w:szCs w:val="24"/>
        </w:rPr>
        <w:t>Report submitted by:</w:t>
      </w:r>
      <w:r w:rsidRPr="3CB87E8B">
        <w:rPr>
          <w:rFonts w:eastAsiaTheme="minorEastAsia"/>
          <w:sz w:val="24"/>
          <w:szCs w:val="24"/>
        </w:rPr>
        <w:t> </w:t>
      </w:r>
    </w:p>
    <w:p w14:paraId="1A8BCB9D" w14:textId="04C96B98" w:rsidR="00643196" w:rsidRDefault="00643196" w:rsidP="3CB87E8B">
      <w:pPr>
        <w:spacing w:after="0" w:line="240" w:lineRule="auto"/>
        <w:jc w:val="center"/>
        <w:rPr>
          <w:rFonts w:eastAsiaTheme="minorEastAsia"/>
          <w:color w:val="000000" w:themeColor="text1"/>
          <w:sz w:val="24"/>
          <w:szCs w:val="24"/>
        </w:rPr>
      </w:pPr>
    </w:p>
    <w:p w14:paraId="1196B864" w14:textId="6C753FFB" w:rsidR="00643196" w:rsidRDefault="16C0FC85" w:rsidP="3CB87E8B">
      <w:pPr>
        <w:spacing w:after="0" w:line="240" w:lineRule="auto"/>
        <w:jc w:val="center"/>
        <w:rPr>
          <w:rFonts w:eastAsiaTheme="minorEastAsia"/>
          <w:color w:val="000000" w:themeColor="text1"/>
          <w:sz w:val="24"/>
          <w:szCs w:val="24"/>
        </w:rPr>
      </w:pPr>
      <w:r w:rsidRPr="3CB87E8B">
        <w:rPr>
          <w:rFonts w:eastAsiaTheme="minorEastAsia"/>
          <w:sz w:val="24"/>
          <w:szCs w:val="24"/>
        </w:rPr>
        <w:t>International Lesbian, Gay, Bisexual, Trans and Intersex Association (ILGA World)</w:t>
      </w:r>
    </w:p>
    <w:p w14:paraId="6E88EB35" w14:textId="37BC43C0" w:rsidR="00643196" w:rsidRDefault="16C0FC85" w:rsidP="3CB87E8B">
      <w:pPr>
        <w:spacing w:after="0" w:line="240" w:lineRule="auto"/>
        <w:jc w:val="center"/>
        <w:rPr>
          <w:rFonts w:eastAsiaTheme="minorEastAsia"/>
          <w:color w:val="000000" w:themeColor="text1"/>
          <w:sz w:val="24"/>
          <w:szCs w:val="24"/>
        </w:rPr>
      </w:pPr>
      <w:r w:rsidRPr="3CB87E8B">
        <w:rPr>
          <w:rFonts w:eastAsiaTheme="minorEastAsia"/>
          <w:sz w:val="24"/>
          <w:szCs w:val="24"/>
        </w:rPr>
        <w:t xml:space="preserve"> and </w:t>
      </w:r>
    </w:p>
    <w:p w14:paraId="5EE5CCB2" w14:textId="02C7F132" w:rsidR="00643196" w:rsidRDefault="38BF2441" w:rsidP="3CB87E8B">
      <w:pPr>
        <w:spacing w:after="0" w:line="240" w:lineRule="auto"/>
        <w:jc w:val="center"/>
        <w:rPr>
          <w:rFonts w:eastAsiaTheme="minorEastAsia"/>
          <w:color w:val="000000" w:themeColor="text1"/>
          <w:sz w:val="24"/>
          <w:szCs w:val="24"/>
          <w:lang w:val="en-US"/>
        </w:rPr>
      </w:pPr>
      <w:r w:rsidRPr="3CB87E8B">
        <w:rPr>
          <w:rFonts w:eastAsiaTheme="minorEastAsia"/>
          <w:sz w:val="24"/>
          <w:szCs w:val="24"/>
        </w:rPr>
        <w:t>EQUAL GROUND</w:t>
      </w:r>
    </w:p>
    <w:p w14:paraId="616AD19D" w14:textId="29EFB415" w:rsidR="376E5FAE" w:rsidRDefault="376E5FAE" w:rsidP="3CB87E8B">
      <w:pPr>
        <w:spacing w:after="0" w:line="240" w:lineRule="auto"/>
        <w:jc w:val="center"/>
        <w:rPr>
          <w:rFonts w:eastAsiaTheme="minorEastAsia"/>
          <w:sz w:val="24"/>
          <w:szCs w:val="24"/>
        </w:rPr>
      </w:pPr>
      <w:r w:rsidRPr="3CB87E8B">
        <w:rPr>
          <w:rFonts w:eastAsiaTheme="minorEastAsia"/>
          <w:sz w:val="24"/>
          <w:szCs w:val="24"/>
        </w:rPr>
        <w:t>Pink Armenia</w:t>
      </w:r>
    </w:p>
    <w:p w14:paraId="080DE96B" w14:textId="5045AE54" w:rsidR="12DF04D4" w:rsidRDefault="12DF04D4" w:rsidP="3CB87E8B">
      <w:pPr>
        <w:spacing w:after="0" w:line="240" w:lineRule="auto"/>
        <w:jc w:val="center"/>
        <w:rPr>
          <w:rFonts w:eastAsiaTheme="minorEastAsia"/>
          <w:sz w:val="24"/>
          <w:szCs w:val="24"/>
        </w:rPr>
      </w:pPr>
      <w:r w:rsidRPr="3CB87E8B">
        <w:rPr>
          <w:rFonts w:eastAsiaTheme="minorEastAsia"/>
          <w:sz w:val="24"/>
          <w:szCs w:val="24"/>
        </w:rPr>
        <w:t>Otros Cruces</w:t>
      </w:r>
    </w:p>
    <w:p w14:paraId="3291F2AC" w14:textId="237BFBFB" w:rsidR="12DF04D4" w:rsidRPr="002D1AED" w:rsidRDefault="12DF04D4" w:rsidP="3CB87E8B">
      <w:pPr>
        <w:spacing w:after="0" w:line="240" w:lineRule="auto"/>
        <w:jc w:val="center"/>
        <w:rPr>
          <w:rFonts w:eastAsiaTheme="minorEastAsia"/>
          <w:sz w:val="24"/>
          <w:szCs w:val="24"/>
          <w:lang w:val="es-MX"/>
        </w:rPr>
      </w:pPr>
      <w:r w:rsidRPr="002D1AED">
        <w:rPr>
          <w:rFonts w:eastAsiaTheme="minorEastAsia"/>
          <w:sz w:val="24"/>
          <w:szCs w:val="24"/>
          <w:lang w:val="es-MX"/>
        </w:rPr>
        <w:t xml:space="preserve">West Kenya LBQT Feminist Forum </w:t>
      </w:r>
    </w:p>
    <w:p w14:paraId="08A9C424" w14:textId="65F223A5" w:rsidR="12DF04D4" w:rsidRPr="002D1AED" w:rsidRDefault="12DF04D4" w:rsidP="3CB87E8B">
      <w:pPr>
        <w:spacing w:after="0" w:line="240" w:lineRule="auto"/>
        <w:jc w:val="center"/>
        <w:rPr>
          <w:rFonts w:eastAsiaTheme="minorEastAsia"/>
          <w:sz w:val="24"/>
          <w:szCs w:val="24"/>
          <w:lang w:val="es-MX"/>
        </w:rPr>
      </w:pPr>
      <w:r w:rsidRPr="002D1AED">
        <w:rPr>
          <w:rFonts w:eastAsiaTheme="minorEastAsia"/>
          <w:color w:val="242424"/>
          <w:sz w:val="24"/>
          <w:szCs w:val="24"/>
          <w:lang w:val="es-MX"/>
        </w:rPr>
        <w:t>Centro de Promoción y Defensa de los Derechos Sexuales y Reproductivos-PROMSEX</w:t>
      </w:r>
    </w:p>
    <w:p w14:paraId="2F086319" w14:textId="34CBF162" w:rsidR="00643196" w:rsidRPr="002D1AED" w:rsidRDefault="00643196" w:rsidP="3CB87E8B">
      <w:pPr>
        <w:spacing w:after="0" w:line="240" w:lineRule="auto"/>
        <w:jc w:val="center"/>
        <w:rPr>
          <w:rFonts w:eastAsiaTheme="minorEastAsia"/>
          <w:color w:val="000000" w:themeColor="text1"/>
          <w:sz w:val="24"/>
          <w:szCs w:val="24"/>
          <w:lang w:val="es-MX"/>
        </w:rPr>
      </w:pPr>
    </w:p>
    <w:p w14:paraId="42E33E7A" w14:textId="3356E0CF" w:rsidR="00643196" w:rsidRDefault="1A4ADD98" w:rsidP="3CB87E8B">
      <w:pPr>
        <w:spacing w:after="0" w:line="240" w:lineRule="auto"/>
        <w:jc w:val="center"/>
        <w:rPr>
          <w:rFonts w:eastAsiaTheme="minorEastAsia"/>
          <w:sz w:val="24"/>
          <w:szCs w:val="24"/>
        </w:rPr>
      </w:pPr>
      <w:r w:rsidRPr="3CB87E8B">
        <w:rPr>
          <w:rFonts w:eastAsiaTheme="minorEastAsia"/>
          <w:b/>
          <w:bCs/>
          <w:sz w:val="24"/>
          <w:szCs w:val="24"/>
        </w:rPr>
        <w:t>With</w:t>
      </w:r>
      <w:r w:rsidR="5D6FBEFE" w:rsidRPr="3CB87E8B">
        <w:rPr>
          <w:rFonts w:eastAsiaTheme="minorEastAsia"/>
          <w:b/>
          <w:bCs/>
          <w:sz w:val="24"/>
          <w:szCs w:val="24"/>
        </w:rPr>
        <w:t xml:space="preserve"> the support </w:t>
      </w:r>
      <w:r w:rsidR="00342109" w:rsidRPr="3CB87E8B">
        <w:rPr>
          <w:rFonts w:eastAsiaTheme="minorEastAsia"/>
          <w:b/>
          <w:bCs/>
          <w:sz w:val="24"/>
          <w:szCs w:val="24"/>
        </w:rPr>
        <w:t>of:</w:t>
      </w:r>
      <w:r w:rsidRPr="3CB87E8B">
        <w:rPr>
          <w:rFonts w:eastAsiaTheme="minorEastAsia"/>
          <w:sz w:val="24"/>
          <w:szCs w:val="24"/>
        </w:rPr>
        <w:t> </w:t>
      </w:r>
    </w:p>
    <w:p w14:paraId="48B15285" w14:textId="4F71D38E" w:rsidR="00643196" w:rsidRDefault="211F7B03" w:rsidP="3CB87E8B">
      <w:pPr>
        <w:spacing w:after="0" w:line="240" w:lineRule="auto"/>
        <w:jc w:val="center"/>
        <w:rPr>
          <w:rFonts w:eastAsiaTheme="minorEastAsia"/>
          <w:sz w:val="24"/>
          <w:szCs w:val="24"/>
        </w:rPr>
      </w:pPr>
      <w:r w:rsidRPr="3CB87E8B">
        <w:rPr>
          <w:rFonts w:eastAsiaTheme="minorEastAsia"/>
          <w:sz w:val="24"/>
          <w:szCs w:val="24"/>
        </w:rPr>
        <w:t>ILGA Asia</w:t>
      </w:r>
    </w:p>
    <w:p w14:paraId="3AD95266" w14:textId="5E3EE86B" w:rsidR="002D1AED" w:rsidRDefault="002D1AED" w:rsidP="3CB87E8B">
      <w:pPr>
        <w:spacing w:after="0" w:line="240" w:lineRule="auto"/>
        <w:jc w:val="center"/>
        <w:rPr>
          <w:rFonts w:eastAsiaTheme="minorEastAsia"/>
          <w:sz w:val="24"/>
          <w:szCs w:val="24"/>
        </w:rPr>
      </w:pPr>
    </w:p>
    <w:p w14:paraId="3E3AF01E" w14:textId="706B22B9" w:rsidR="002D1AED" w:rsidRDefault="002D1AED" w:rsidP="3CB87E8B">
      <w:pPr>
        <w:spacing w:after="0" w:line="240" w:lineRule="auto"/>
        <w:jc w:val="center"/>
        <w:rPr>
          <w:rFonts w:eastAsiaTheme="minorEastAsia"/>
          <w:sz w:val="24"/>
          <w:szCs w:val="24"/>
        </w:rPr>
      </w:pPr>
      <w:r>
        <w:rPr>
          <w:noProof/>
          <w:lang w:val="es-MX" w:eastAsia="es-MX"/>
        </w:rPr>
        <w:drawing>
          <wp:anchor distT="0" distB="0" distL="114300" distR="114300" simplePos="0" relativeHeight="251662336" behindDoc="0" locked="0" layoutInCell="1" allowOverlap="1" wp14:anchorId="0B4569CB" wp14:editId="6AF996DE">
            <wp:simplePos x="0" y="0"/>
            <wp:positionH relativeFrom="column">
              <wp:posOffset>4667250</wp:posOffset>
            </wp:positionH>
            <wp:positionV relativeFrom="paragraph">
              <wp:posOffset>91440</wp:posOffset>
            </wp:positionV>
            <wp:extent cx="1295400" cy="129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0" locked="0" layoutInCell="1" allowOverlap="1" wp14:anchorId="5E30C612" wp14:editId="5920114F">
            <wp:simplePos x="0" y="0"/>
            <wp:positionH relativeFrom="column">
              <wp:posOffset>2543175</wp:posOffset>
            </wp:positionH>
            <wp:positionV relativeFrom="paragraph">
              <wp:posOffset>139065</wp:posOffset>
            </wp:positionV>
            <wp:extent cx="1085850" cy="1059842"/>
            <wp:effectExtent l="0" t="0" r="0" b="6985"/>
            <wp:wrapSquare wrapText="bothSides"/>
            <wp:docPr id="1150617403" name="Imagen 1150617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85850" cy="1059842"/>
                    </a:xfrm>
                    <a:prstGeom prst="rect">
                      <a:avLst/>
                    </a:prstGeom>
                  </pic:spPr>
                </pic:pic>
              </a:graphicData>
            </a:graphic>
            <wp14:sizeRelH relativeFrom="page">
              <wp14:pctWidth>0</wp14:pctWidth>
            </wp14:sizeRelH>
            <wp14:sizeRelV relativeFrom="page">
              <wp14:pctHeight>0</wp14:pctHeight>
            </wp14:sizeRelV>
          </wp:anchor>
        </w:drawing>
      </w:r>
      <w:r w:rsidRPr="00F060DD">
        <w:rPr>
          <w:noProof/>
          <w:lang w:val="es-MX" w:eastAsia="es-MX"/>
        </w:rPr>
        <w:drawing>
          <wp:anchor distT="0" distB="0" distL="114300" distR="114300" simplePos="0" relativeHeight="251660288" behindDoc="0" locked="0" layoutInCell="1" allowOverlap="1" wp14:anchorId="69654917" wp14:editId="5B675B24">
            <wp:simplePos x="0" y="0"/>
            <wp:positionH relativeFrom="column">
              <wp:posOffset>-514350</wp:posOffset>
            </wp:positionH>
            <wp:positionV relativeFrom="paragraph">
              <wp:posOffset>243840</wp:posOffset>
            </wp:positionV>
            <wp:extent cx="2162175" cy="897832"/>
            <wp:effectExtent l="0" t="0" r="0" b="0"/>
            <wp:wrapSquare wrapText="bothSides"/>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8978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A794D" w14:textId="2AAA40D2" w:rsidR="002D1AED" w:rsidRDefault="002D1AED" w:rsidP="3CB87E8B">
      <w:pPr>
        <w:spacing w:after="0" w:line="240" w:lineRule="auto"/>
        <w:jc w:val="center"/>
        <w:rPr>
          <w:rFonts w:eastAsiaTheme="minorEastAsia"/>
          <w:sz w:val="24"/>
          <w:szCs w:val="24"/>
        </w:rPr>
      </w:pPr>
    </w:p>
    <w:p w14:paraId="7DCA90CA" w14:textId="17392CD3" w:rsidR="002D1AED" w:rsidRDefault="002D1AED" w:rsidP="3CB87E8B">
      <w:pPr>
        <w:spacing w:after="0" w:line="240" w:lineRule="auto"/>
        <w:jc w:val="center"/>
        <w:rPr>
          <w:rFonts w:eastAsiaTheme="minorEastAsia"/>
          <w:sz w:val="24"/>
          <w:szCs w:val="24"/>
        </w:rPr>
      </w:pPr>
      <w:r>
        <w:rPr>
          <w:rFonts w:eastAsiaTheme="minorEastAsia"/>
          <w:sz w:val="24"/>
          <w:szCs w:val="24"/>
        </w:rPr>
        <w:t xml:space="preserve"> </w:t>
      </w:r>
    </w:p>
    <w:p w14:paraId="25D65447" w14:textId="52456DA8" w:rsidR="002D1AED" w:rsidRDefault="002D1AED" w:rsidP="3CB87E8B">
      <w:pPr>
        <w:spacing w:after="0" w:line="240" w:lineRule="auto"/>
        <w:jc w:val="center"/>
        <w:rPr>
          <w:rFonts w:eastAsiaTheme="minorEastAsia"/>
          <w:sz w:val="24"/>
          <w:szCs w:val="24"/>
        </w:rPr>
      </w:pPr>
    </w:p>
    <w:p w14:paraId="2A6BFDAA" w14:textId="2CDAD4D1" w:rsidR="002D1AED" w:rsidRDefault="002D1AED" w:rsidP="3CB87E8B">
      <w:pPr>
        <w:spacing w:after="0" w:line="240" w:lineRule="auto"/>
        <w:jc w:val="center"/>
        <w:rPr>
          <w:rFonts w:eastAsiaTheme="minorEastAsia"/>
          <w:sz w:val="24"/>
          <w:szCs w:val="24"/>
        </w:rPr>
      </w:pPr>
    </w:p>
    <w:p w14:paraId="0BEF1C62" w14:textId="5E9FFF24" w:rsidR="002D1AED" w:rsidRDefault="002D1AED" w:rsidP="3CB87E8B">
      <w:pPr>
        <w:spacing w:after="0" w:line="240" w:lineRule="auto"/>
        <w:jc w:val="center"/>
        <w:rPr>
          <w:rFonts w:eastAsiaTheme="minorEastAsia"/>
          <w:sz w:val="24"/>
          <w:szCs w:val="24"/>
        </w:rPr>
      </w:pPr>
    </w:p>
    <w:p w14:paraId="357F75D0" w14:textId="1341DBB1" w:rsidR="002D1AED" w:rsidRDefault="00C211AB" w:rsidP="3CB87E8B">
      <w:pPr>
        <w:spacing w:after="0" w:line="240" w:lineRule="auto"/>
        <w:jc w:val="center"/>
        <w:rPr>
          <w:rFonts w:eastAsiaTheme="minorEastAsia"/>
          <w:sz w:val="24"/>
          <w:szCs w:val="24"/>
        </w:rPr>
      </w:pPr>
      <w:r w:rsidRPr="00F060DD">
        <w:rPr>
          <w:noProof/>
          <w:lang w:val="es-MX" w:eastAsia="es-MX"/>
        </w:rPr>
        <w:drawing>
          <wp:anchor distT="0" distB="0" distL="114300" distR="114300" simplePos="0" relativeHeight="251663360" behindDoc="0" locked="0" layoutInCell="1" allowOverlap="1" wp14:anchorId="27BC6430" wp14:editId="6F21767F">
            <wp:simplePos x="0" y="0"/>
            <wp:positionH relativeFrom="column">
              <wp:posOffset>4394835</wp:posOffset>
            </wp:positionH>
            <wp:positionV relativeFrom="paragraph">
              <wp:posOffset>137160</wp:posOffset>
            </wp:positionV>
            <wp:extent cx="1996440" cy="1228725"/>
            <wp:effectExtent l="0" t="0" r="3810" b="0"/>
            <wp:wrapSquare wrapText="bothSides"/>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644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772C4" w14:textId="765FF46A" w:rsidR="002D1AED" w:rsidRDefault="00D26737" w:rsidP="3CB87E8B">
      <w:pPr>
        <w:spacing w:after="0" w:line="240" w:lineRule="auto"/>
        <w:jc w:val="center"/>
        <w:rPr>
          <w:rFonts w:eastAsiaTheme="minorEastAsia"/>
          <w:sz w:val="24"/>
          <w:szCs w:val="24"/>
        </w:rPr>
      </w:pPr>
      <w:r>
        <w:rPr>
          <w:b/>
          <w:noProof/>
          <w:lang w:val="es-MX" w:eastAsia="es-MX"/>
        </w:rPr>
        <w:drawing>
          <wp:anchor distT="0" distB="0" distL="114300" distR="114300" simplePos="0" relativeHeight="251666432" behindDoc="0" locked="0" layoutInCell="1" allowOverlap="1" wp14:anchorId="6A8703E2" wp14:editId="698293FA">
            <wp:simplePos x="0" y="0"/>
            <wp:positionH relativeFrom="column">
              <wp:posOffset>2124075</wp:posOffset>
            </wp:positionH>
            <wp:positionV relativeFrom="paragraph">
              <wp:posOffset>83820</wp:posOffset>
            </wp:positionV>
            <wp:extent cx="1809750" cy="1019175"/>
            <wp:effectExtent l="0" t="0" r="0" b="9525"/>
            <wp:wrapSquare wrapText="bothSides"/>
            <wp:docPr id="5" name="image1.png" descr="C:\Users\user\Desktop\PREFCON TECHNOLOGIES\OneDrive\WAFE\WAFE ARTWORK\WAFE ARTWORK\Logo\JPEG (Picture) Format\Colour\WAFE Logo (with background)-01.jpg"/>
            <wp:cNvGraphicFramePr/>
            <a:graphic xmlns:a="http://schemas.openxmlformats.org/drawingml/2006/main">
              <a:graphicData uri="http://schemas.openxmlformats.org/drawingml/2006/picture">
                <pic:pic xmlns:pic="http://schemas.openxmlformats.org/drawingml/2006/picture">
                  <pic:nvPicPr>
                    <pic:cNvPr id="0" name="image1.png" descr="C:\Users\user\Desktop\PREFCON TECHNOLOGIES\OneDrive\WAFE\WAFE ARTWORK\WAFE ARTWORK\Logo\JPEG (Picture) Format\Colour\WAFE Logo (with background)-01.jp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809750" cy="1019175"/>
                    </a:xfrm>
                    <a:prstGeom prst="rect">
                      <a:avLst/>
                    </a:prstGeom>
                    <a:ln/>
                  </pic:spPr>
                </pic:pic>
              </a:graphicData>
            </a:graphic>
            <wp14:sizeRelH relativeFrom="page">
              <wp14:pctWidth>0</wp14:pctWidth>
            </wp14:sizeRelH>
            <wp14:sizeRelV relativeFrom="page">
              <wp14:pctHeight>0</wp14:pctHeight>
            </wp14:sizeRelV>
          </wp:anchor>
        </w:drawing>
      </w:r>
      <w:r w:rsidRPr="002D1AED">
        <w:rPr>
          <w:rFonts w:ascii="Calibri" w:eastAsia="Calibri" w:hAnsi="Calibri" w:cs="Times New Roman"/>
          <w:noProof/>
          <w:lang w:val="es-MX" w:eastAsia="es-MX"/>
        </w:rPr>
        <w:drawing>
          <wp:anchor distT="0" distB="0" distL="114300" distR="114300" simplePos="0" relativeHeight="251665408" behindDoc="0" locked="0" layoutInCell="1" allowOverlap="1" wp14:anchorId="04A49C97" wp14:editId="7749B487">
            <wp:simplePos x="0" y="0"/>
            <wp:positionH relativeFrom="column">
              <wp:posOffset>-399415</wp:posOffset>
            </wp:positionH>
            <wp:positionV relativeFrom="paragraph">
              <wp:posOffset>360680</wp:posOffset>
            </wp:positionV>
            <wp:extent cx="2047240" cy="51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24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AD0F9" w14:textId="12F905CB" w:rsidR="002D1AED" w:rsidRDefault="002D1AED" w:rsidP="3CB87E8B">
      <w:pPr>
        <w:spacing w:after="0" w:line="240" w:lineRule="auto"/>
        <w:jc w:val="center"/>
        <w:rPr>
          <w:rFonts w:eastAsiaTheme="minorEastAsia"/>
          <w:sz w:val="24"/>
          <w:szCs w:val="24"/>
        </w:rPr>
      </w:pPr>
    </w:p>
    <w:p w14:paraId="6F2082DD" w14:textId="74FF0B96" w:rsidR="002D1AED" w:rsidRDefault="002D1AED" w:rsidP="3CB87E8B">
      <w:pPr>
        <w:spacing w:after="0" w:line="240" w:lineRule="auto"/>
        <w:jc w:val="center"/>
        <w:rPr>
          <w:rFonts w:eastAsiaTheme="minorEastAsia"/>
          <w:sz w:val="24"/>
          <w:szCs w:val="24"/>
        </w:rPr>
      </w:pPr>
    </w:p>
    <w:p w14:paraId="4D493904" w14:textId="1B045ACA" w:rsidR="002D1AED" w:rsidRDefault="002D1AED" w:rsidP="3CB87E8B">
      <w:pPr>
        <w:spacing w:after="0" w:line="240" w:lineRule="auto"/>
        <w:jc w:val="center"/>
        <w:rPr>
          <w:rFonts w:eastAsiaTheme="minorEastAsia"/>
          <w:sz w:val="24"/>
          <w:szCs w:val="24"/>
        </w:rPr>
      </w:pPr>
    </w:p>
    <w:p w14:paraId="0D1D3B7A" w14:textId="34E13650" w:rsidR="002D1AED" w:rsidRDefault="002D1AED" w:rsidP="3CB87E8B">
      <w:pPr>
        <w:spacing w:after="0" w:line="240" w:lineRule="auto"/>
        <w:jc w:val="center"/>
        <w:rPr>
          <w:rFonts w:eastAsiaTheme="minorEastAsia"/>
          <w:sz w:val="24"/>
          <w:szCs w:val="24"/>
        </w:rPr>
      </w:pPr>
    </w:p>
    <w:p w14:paraId="1E18F7AD" w14:textId="52C18709" w:rsidR="00643196" w:rsidRPr="002D1AED" w:rsidRDefault="00643196" w:rsidP="002D1AED">
      <w:pPr>
        <w:spacing w:after="0" w:line="240" w:lineRule="auto"/>
        <w:jc w:val="center"/>
        <w:rPr>
          <w:rFonts w:eastAsiaTheme="minorEastAsia"/>
          <w:sz w:val="24"/>
          <w:szCs w:val="24"/>
        </w:rPr>
      </w:pPr>
    </w:p>
    <w:p w14:paraId="60677ACE" w14:textId="2E70E478" w:rsidR="002D1AED" w:rsidRDefault="002E198D" w:rsidP="3CB87E8B">
      <w:pPr>
        <w:jc w:val="both"/>
        <w:rPr>
          <w:rFonts w:eastAsiaTheme="minorEastAsia"/>
          <w:b/>
          <w:bCs/>
          <w:sz w:val="28"/>
          <w:szCs w:val="28"/>
        </w:rPr>
      </w:pPr>
      <w:r>
        <w:rPr>
          <w:noProof/>
          <w:lang w:val="es-MX" w:eastAsia="es-MX"/>
        </w:rPr>
        <w:drawing>
          <wp:anchor distT="0" distB="0" distL="114300" distR="114300" simplePos="0" relativeHeight="251664384" behindDoc="0" locked="0" layoutInCell="1" allowOverlap="1" wp14:anchorId="68FA501C" wp14:editId="117CEAAB">
            <wp:simplePos x="0" y="0"/>
            <wp:positionH relativeFrom="column">
              <wp:posOffset>1163955</wp:posOffset>
            </wp:positionH>
            <wp:positionV relativeFrom="paragraph">
              <wp:posOffset>250190</wp:posOffset>
            </wp:positionV>
            <wp:extent cx="5303520" cy="828675"/>
            <wp:effectExtent l="0" t="0" r="0" b="9525"/>
            <wp:wrapSquare wrapText="bothSides"/>
            <wp:docPr id="368041698" name="Imagen 36804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03520" cy="828675"/>
                    </a:xfrm>
                    <a:prstGeom prst="rect">
                      <a:avLst/>
                    </a:prstGeom>
                  </pic:spPr>
                </pic:pic>
              </a:graphicData>
            </a:graphic>
            <wp14:sizeRelH relativeFrom="page">
              <wp14:pctWidth>0</wp14:pctWidth>
            </wp14:sizeRelH>
            <wp14:sizeRelV relativeFrom="page">
              <wp14:pctHeight>0</wp14:pctHeight>
            </wp14:sizeRelV>
          </wp:anchor>
        </w:drawing>
      </w:r>
    </w:p>
    <w:p w14:paraId="7CDF1B4E" w14:textId="5F02D999" w:rsidR="002D1AED" w:rsidRDefault="002D1AED" w:rsidP="3CB87E8B">
      <w:pPr>
        <w:jc w:val="both"/>
        <w:rPr>
          <w:rFonts w:eastAsiaTheme="minorEastAsia"/>
          <w:b/>
          <w:bCs/>
          <w:sz w:val="28"/>
          <w:szCs w:val="28"/>
        </w:rPr>
      </w:pPr>
    </w:p>
    <w:p w14:paraId="29D04678" w14:textId="77777777" w:rsidR="00020973" w:rsidRPr="00342109" w:rsidRDefault="00020973" w:rsidP="00342109">
      <w:pPr>
        <w:jc w:val="both"/>
        <w:rPr>
          <w:rFonts w:eastAsiaTheme="minorEastAsia" w:cstheme="minorHAnsi"/>
          <w:b/>
          <w:bCs/>
          <w:sz w:val="28"/>
          <w:szCs w:val="28"/>
        </w:rPr>
      </w:pPr>
    </w:p>
    <w:p w14:paraId="3F21FE44" w14:textId="1145ACF2" w:rsidR="00643196" w:rsidRPr="00342109" w:rsidRDefault="16C0FC85" w:rsidP="00342109">
      <w:pPr>
        <w:jc w:val="both"/>
        <w:rPr>
          <w:rFonts w:eastAsiaTheme="minorEastAsia" w:cstheme="minorHAnsi"/>
          <w:color w:val="000000" w:themeColor="text1"/>
          <w:sz w:val="28"/>
          <w:szCs w:val="28"/>
        </w:rPr>
      </w:pPr>
      <w:r w:rsidRPr="00342109">
        <w:rPr>
          <w:rFonts w:eastAsiaTheme="minorEastAsia" w:cstheme="minorHAnsi"/>
          <w:b/>
          <w:bCs/>
          <w:sz w:val="28"/>
          <w:szCs w:val="28"/>
        </w:rPr>
        <w:lastRenderedPageBreak/>
        <w:t>Executive summary</w:t>
      </w:r>
    </w:p>
    <w:p w14:paraId="09F7A4C0" w14:textId="1E8798BA" w:rsidR="00643196" w:rsidRPr="00342109" w:rsidRDefault="16C0FC85" w:rsidP="31B5B968">
      <w:pPr>
        <w:spacing w:before="120" w:after="240"/>
        <w:jc w:val="both"/>
        <w:rPr>
          <w:rFonts w:eastAsiaTheme="minorEastAsia"/>
          <w:color w:val="000000" w:themeColor="text1"/>
          <w:sz w:val="24"/>
          <w:szCs w:val="24"/>
          <w:lang w:val="en-US"/>
        </w:rPr>
      </w:pPr>
      <w:r w:rsidRPr="31B5B968">
        <w:rPr>
          <w:rFonts w:eastAsiaTheme="minorEastAsia"/>
          <w:sz w:val="24"/>
          <w:szCs w:val="24"/>
        </w:rPr>
        <w:t xml:space="preserve">This </w:t>
      </w:r>
      <w:r w:rsidR="0C6E044F" w:rsidRPr="31B5B968">
        <w:rPr>
          <w:rFonts w:eastAsiaTheme="minorEastAsia"/>
          <w:sz w:val="24"/>
          <w:szCs w:val="24"/>
        </w:rPr>
        <w:t xml:space="preserve">joint </w:t>
      </w:r>
      <w:r w:rsidRPr="31B5B968">
        <w:rPr>
          <w:rFonts w:eastAsiaTheme="minorEastAsia"/>
          <w:sz w:val="24"/>
          <w:szCs w:val="24"/>
        </w:rPr>
        <w:t>submission has been prepared by the International Lesbian, Gay, Bisexual, Trans, and Intersex Association (ILGA World)</w:t>
      </w:r>
      <w:r w:rsidR="00987B7D" w:rsidRPr="31B5B968">
        <w:rPr>
          <w:rFonts w:eastAsiaTheme="minorEastAsia"/>
          <w:sz w:val="24"/>
          <w:szCs w:val="24"/>
        </w:rPr>
        <w:t xml:space="preserve"> in collaboration with organisations from Armenia, Chile, Kenya, Peru, Sri Lanka, Sudan</w:t>
      </w:r>
      <w:r w:rsidR="3AF4E7F6" w:rsidRPr="31B5B968">
        <w:rPr>
          <w:rFonts w:eastAsiaTheme="minorEastAsia"/>
          <w:sz w:val="24"/>
          <w:szCs w:val="24"/>
        </w:rPr>
        <w:t xml:space="preserve">, </w:t>
      </w:r>
      <w:r w:rsidR="00987B7D" w:rsidRPr="31B5B968">
        <w:rPr>
          <w:rFonts w:eastAsiaTheme="minorEastAsia"/>
          <w:sz w:val="24"/>
          <w:szCs w:val="24"/>
        </w:rPr>
        <w:t>and Zambia</w:t>
      </w:r>
      <w:r w:rsidR="0369DB89" w:rsidRPr="31B5B968">
        <w:rPr>
          <w:rFonts w:eastAsiaTheme="minorEastAsia"/>
          <w:sz w:val="24"/>
          <w:szCs w:val="24"/>
        </w:rPr>
        <w:t>,</w:t>
      </w:r>
      <w:r w:rsidR="3E540980" w:rsidRPr="31B5B968">
        <w:rPr>
          <w:rFonts w:eastAsiaTheme="minorEastAsia"/>
          <w:sz w:val="24"/>
          <w:szCs w:val="24"/>
        </w:rPr>
        <w:t xml:space="preserve"> </w:t>
      </w:r>
      <w:r w:rsidRPr="31B5B968">
        <w:rPr>
          <w:rFonts w:eastAsiaTheme="minorEastAsia"/>
          <w:sz w:val="24"/>
          <w:szCs w:val="24"/>
        </w:rPr>
        <w:t xml:space="preserve">as a response to the </w:t>
      </w:r>
      <w:hyperlink r:id="rId16">
        <w:r w:rsidR="6630FC90" w:rsidRPr="31B5B968">
          <w:rPr>
            <w:rStyle w:val="Hipervnculo"/>
            <w:rFonts w:eastAsiaTheme="minorEastAsia"/>
            <w:sz w:val="24"/>
            <w:szCs w:val="24"/>
          </w:rPr>
          <w:t>call</w:t>
        </w:r>
      </w:hyperlink>
      <w:r w:rsidR="6630FC90" w:rsidRPr="31B5B968">
        <w:rPr>
          <w:rFonts w:eastAsiaTheme="minorEastAsia"/>
          <w:sz w:val="24"/>
          <w:szCs w:val="24"/>
        </w:rPr>
        <w:t xml:space="preserve"> </w:t>
      </w:r>
      <w:r w:rsidRPr="31B5B968">
        <w:rPr>
          <w:rFonts w:eastAsiaTheme="minorEastAsia"/>
          <w:sz w:val="24"/>
          <w:szCs w:val="24"/>
        </w:rPr>
        <w:t>published by UN</w:t>
      </w:r>
      <w:r w:rsidR="4C7EE673" w:rsidRPr="31B5B968">
        <w:rPr>
          <w:rFonts w:eastAsiaTheme="minorEastAsia"/>
          <w:sz w:val="24"/>
          <w:szCs w:val="24"/>
        </w:rPr>
        <w:t xml:space="preserve"> Independent Expert on Sexual Orientation and Gender Identity </w:t>
      </w:r>
      <w:r w:rsidR="0ECB8C92" w:rsidRPr="31B5B968">
        <w:rPr>
          <w:rFonts w:eastAsiaTheme="minorEastAsia"/>
          <w:sz w:val="24"/>
          <w:szCs w:val="24"/>
        </w:rPr>
        <w:t xml:space="preserve">for his upcoming report </w:t>
      </w:r>
      <w:r w:rsidR="01860096" w:rsidRPr="31B5B968">
        <w:rPr>
          <w:rFonts w:eastAsiaTheme="minorEastAsia"/>
          <w:sz w:val="24"/>
          <w:szCs w:val="24"/>
        </w:rPr>
        <w:t xml:space="preserve">on </w:t>
      </w:r>
      <w:r w:rsidR="0ECB8C92" w:rsidRPr="31B5B968">
        <w:rPr>
          <w:rFonts w:eastAsiaTheme="minorEastAsia"/>
          <w:sz w:val="24"/>
          <w:szCs w:val="24"/>
        </w:rPr>
        <w:t xml:space="preserve">the right to freedom of religion or belief (FoRB) in relation to sexual orientation and gender identity (SOGI).  </w:t>
      </w:r>
    </w:p>
    <w:p w14:paraId="1AE250BB" w14:textId="29EF1E32" w:rsidR="00837C47" w:rsidRDefault="16C0FC85" w:rsidP="31B5B968">
      <w:pPr>
        <w:jc w:val="both"/>
        <w:rPr>
          <w:rFonts w:eastAsiaTheme="minorEastAsia"/>
          <w:color w:val="000000" w:themeColor="text1"/>
          <w:sz w:val="24"/>
          <w:szCs w:val="24"/>
        </w:rPr>
      </w:pPr>
      <w:r w:rsidRPr="31B5B968">
        <w:rPr>
          <w:rFonts w:eastAsiaTheme="minorEastAsia"/>
          <w:sz w:val="24"/>
          <w:szCs w:val="24"/>
        </w:rPr>
        <w:t>The present submission</w:t>
      </w:r>
      <w:r w:rsidR="7422C7FC" w:rsidRPr="31B5B968">
        <w:rPr>
          <w:rFonts w:eastAsiaTheme="minorEastAsia"/>
          <w:sz w:val="24"/>
          <w:szCs w:val="24"/>
        </w:rPr>
        <w:t xml:space="preserve"> will discuss </w:t>
      </w:r>
      <w:r w:rsidR="2DF70009" w:rsidRPr="31B5B968">
        <w:rPr>
          <w:rFonts w:eastAsiaTheme="minorEastAsia"/>
          <w:sz w:val="24"/>
          <w:szCs w:val="24"/>
        </w:rPr>
        <w:t xml:space="preserve">the </w:t>
      </w:r>
      <w:r w:rsidR="7422C7FC" w:rsidRPr="31B5B968">
        <w:rPr>
          <w:rFonts w:eastAsiaTheme="minorEastAsia"/>
          <w:sz w:val="24"/>
          <w:szCs w:val="24"/>
        </w:rPr>
        <w:t>interplay between the rights of LGBTI</w:t>
      </w:r>
      <w:r w:rsidR="004B70CE" w:rsidRPr="31B5B968">
        <w:rPr>
          <w:rFonts w:eastAsiaTheme="minorEastAsia"/>
          <w:sz w:val="24"/>
          <w:szCs w:val="24"/>
        </w:rPr>
        <w:t>+</w:t>
      </w:r>
      <w:r w:rsidR="00837C47" w:rsidRPr="31B5B968">
        <w:rPr>
          <w:rStyle w:val="Refdenotaalfinal"/>
          <w:rFonts w:eastAsiaTheme="minorEastAsia"/>
          <w:sz w:val="24"/>
          <w:szCs w:val="24"/>
        </w:rPr>
        <w:endnoteReference w:id="1"/>
      </w:r>
      <w:r w:rsidR="00837C47" w:rsidRPr="31B5B968">
        <w:rPr>
          <w:rFonts w:eastAsiaTheme="minorEastAsia"/>
          <w:sz w:val="24"/>
          <w:szCs w:val="24"/>
        </w:rPr>
        <w:t xml:space="preserve"> persons and the right to FoRB. It will outline how, despite the narrative of “clashing rights” often pushed by anti-LGBTI+ actors, these rights are mutually reinforcing and indivisible. It will present examples of laws, policies, and practices that perpetuate human rights abuses against LGBTI+ persons in the name of religion, including those that undermine religious freedom. In particular, there will be a focus on same-sex marriage, the criminalisation of same-sex relationships, and so-called “conversion therapies.”  Lastly, the submission will consider pro-LGBTI+ religious actors and the right of LGBTI+ persons to manifest their religious identity. </w:t>
      </w:r>
    </w:p>
    <w:p w14:paraId="5CA8E8D8" w14:textId="77777777" w:rsidR="00837C47" w:rsidRPr="00342109" w:rsidRDefault="00837C47" w:rsidP="00342109">
      <w:pPr>
        <w:jc w:val="both"/>
        <w:rPr>
          <w:rFonts w:eastAsiaTheme="minorEastAsia" w:cstheme="minorHAnsi"/>
          <w:color w:val="000000" w:themeColor="text1"/>
          <w:sz w:val="24"/>
          <w:szCs w:val="24"/>
        </w:rPr>
      </w:pPr>
    </w:p>
    <w:p w14:paraId="2AB095F9" w14:textId="14E2A60B" w:rsidR="00837C47" w:rsidRPr="00342109" w:rsidRDefault="00837C47" w:rsidP="00342109">
      <w:pPr>
        <w:jc w:val="both"/>
        <w:rPr>
          <w:rFonts w:eastAsiaTheme="minorEastAsia" w:cstheme="minorHAnsi"/>
          <w:b/>
          <w:bCs/>
          <w:color w:val="000000" w:themeColor="text1"/>
          <w:sz w:val="28"/>
          <w:szCs w:val="28"/>
          <w:lang w:val="en-US"/>
        </w:rPr>
      </w:pPr>
      <w:r w:rsidRPr="00342109">
        <w:rPr>
          <w:rFonts w:eastAsiaTheme="minorEastAsia" w:cstheme="minorHAnsi"/>
          <w:b/>
          <w:bCs/>
          <w:sz w:val="28"/>
          <w:szCs w:val="28"/>
        </w:rPr>
        <w:t xml:space="preserve">Perceived tension </w:t>
      </w:r>
      <w:r>
        <w:rPr>
          <w:rFonts w:eastAsiaTheme="minorEastAsia" w:cstheme="minorHAnsi"/>
          <w:b/>
          <w:bCs/>
          <w:sz w:val="28"/>
          <w:szCs w:val="28"/>
        </w:rPr>
        <w:t>between Fo</w:t>
      </w:r>
      <w:r w:rsidRPr="00342109">
        <w:rPr>
          <w:rFonts w:eastAsiaTheme="minorEastAsia" w:cstheme="minorHAnsi"/>
          <w:b/>
          <w:bCs/>
          <w:sz w:val="28"/>
          <w:szCs w:val="28"/>
        </w:rPr>
        <w:t xml:space="preserve">RB and LGBTI rights </w:t>
      </w:r>
    </w:p>
    <w:p w14:paraId="3DA28BDD" w14:textId="125BD8FB" w:rsidR="00837C47" w:rsidRPr="00342109" w:rsidRDefault="00837C47" w:rsidP="31B5B968">
      <w:pPr>
        <w:jc w:val="both"/>
        <w:rPr>
          <w:rFonts w:eastAsiaTheme="minorEastAsia"/>
          <w:sz w:val="24"/>
          <w:szCs w:val="24"/>
        </w:rPr>
      </w:pPr>
      <w:r w:rsidRPr="31B5B968">
        <w:rPr>
          <w:rFonts w:eastAsiaTheme="minorEastAsia"/>
          <w:sz w:val="24"/>
          <w:szCs w:val="24"/>
        </w:rPr>
        <w:t>Any analysis of the relationship between religious freedom and LGBTI+ rights must begin from the understanding that the two are mutually enriching. FoRB does not cover acts of violence and other harmful practices targeted at LGBTI persons</w:t>
      </w:r>
      <w:r w:rsidRPr="31B5B968">
        <w:rPr>
          <w:rStyle w:val="Refdenotaalfinal"/>
          <w:rFonts w:eastAsiaTheme="minorEastAsia"/>
          <w:sz w:val="24"/>
          <w:szCs w:val="24"/>
        </w:rPr>
        <w:endnoteReference w:id="2"/>
      </w:r>
      <w:r w:rsidRPr="31B5B968">
        <w:rPr>
          <w:rFonts w:eastAsiaTheme="minorEastAsia"/>
          <w:sz w:val="24"/>
          <w:szCs w:val="24"/>
        </w:rPr>
        <w:t xml:space="preserve"> and, as is made clear in Article 5 of the ICCPR</w:t>
      </w:r>
      <w:r w:rsidRPr="31B5B968">
        <w:rPr>
          <w:rStyle w:val="Refdenotaalfinal"/>
          <w:rFonts w:eastAsiaTheme="minorEastAsia"/>
          <w:sz w:val="24"/>
          <w:szCs w:val="24"/>
        </w:rPr>
        <w:endnoteReference w:id="3"/>
      </w:r>
      <w:r w:rsidRPr="31B5B968">
        <w:rPr>
          <w:rFonts w:eastAsiaTheme="minorEastAsia"/>
          <w:sz w:val="24"/>
          <w:szCs w:val="24"/>
        </w:rPr>
        <w:t>, no right can be used to extinguish or violate another right. The increasing use of religious justification for anti-LGBTI+ discrimination</w:t>
      </w:r>
      <w:r w:rsidRPr="31B5B968">
        <w:rPr>
          <w:rStyle w:val="Refdenotaalfinal"/>
          <w:rFonts w:eastAsiaTheme="minorEastAsia"/>
          <w:sz w:val="24"/>
          <w:szCs w:val="24"/>
        </w:rPr>
        <w:endnoteReference w:id="4"/>
      </w:r>
      <w:r w:rsidRPr="31B5B968">
        <w:rPr>
          <w:rFonts w:eastAsiaTheme="minorEastAsia"/>
          <w:sz w:val="24"/>
          <w:szCs w:val="24"/>
        </w:rPr>
        <w:t xml:space="preserve"> does not necessarily indicate a rift between FoRB and LGBTI rights but rather often reflects a misapplication of the concept of FoRB to cases that fall outside of its scope. </w:t>
      </w:r>
    </w:p>
    <w:p w14:paraId="14DB52EB" w14:textId="7737D88D" w:rsidR="00837C47" w:rsidRPr="00342109" w:rsidRDefault="00837C47" w:rsidP="31B5B968">
      <w:pPr>
        <w:jc w:val="both"/>
        <w:rPr>
          <w:rFonts w:eastAsiaTheme="minorEastAsia"/>
          <w:color w:val="808080" w:themeColor="background1" w:themeShade="80"/>
          <w:sz w:val="24"/>
          <w:szCs w:val="24"/>
          <w:lang w:val="en-US"/>
        </w:rPr>
      </w:pPr>
      <w:r w:rsidRPr="31B5B968">
        <w:rPr>
          <w:rFonts w:eastAsiaTheme="minorEastAsia"/>
          <w:sz w:val="24"/>
          <w:szCs w:val="24"/>
        </w:rPr>
        <w:t>It is important to emphasize that FoRB is a right of individuals and not of states or religions</w:t>
      </w:r>
      <w:r w:rsidRPr="31B5B968">
        <w:rPr>
          <w:rStyle w:val="Refdenotaalfinal"/>
          <w:rFonts w:eastAsiaTheme="minorEastAsia"/>
          <w:sz w:val="24"/>
          <w:szCs w:val="24"/>
        </w:rPr>
        <w:endnoteReference w:id="5"/>
      </w:r>
      <w:r w:rsidRPr="31B5B968">
        <w:rPr>
          <w:rFonts w:eastAsiaTheme="minorEastAsia"/>
          <w:sz w:val="24"/>
          <w:szCs w:val="24"/>
        </w:rPr>
        <w:t>. As will be highlighted throughout this submission, there have been attempts by both state and non-state actors to enforce the dominance of particular religious beliefs, often to the detriment of the human rights of LGBTI+ persons, among others, while using the language of FoRB to justify their actions. However, the right to FoRB does not exist to uphold certain norms or traditions nor support legal expectations placed on others to express a particular religious status</w:t>
      </w:r>
      <w:r w:rsidRPr="31B5B968">
        <w:rPr>
          <w:rStyle w:val="Refdenotaalfinal"/>
          <w:rFonts w:eastAsiaTheme="minorEastAsia"/>
          <w:sz w:val="24"/>
          <w:szCs w:val="24"/>
        </w:rPr>
        <w:endnoteReference w:id="6"/>
      </w:r>
      <w:r w:rsidRPr="31B5B968">
        <w:rPr>
          <w:rFonts w:eastAsiaTheme="minorEastAsia"/>
          <w:sz w:val="24"/>
          <w:szCs w:val="24"/>
        </w:rPr>
        <w:t>. In this sense, a clash between dominant religious norms and LGBTI+ rights does not inherently amount to a clash between religious freedom and LGBTI+ rights. The obligation of states to protect the FoRB of citizens is entirely distinct from actions carried out by the state in the name of a particular religion. Moreover, laws and practices intended to force adherence to one set of religious interpretations undermine the essence of FoRB, that is, the right of individuals to freely develop an understanding of their own religion and manifest their religious practice as such</w:t>
      </w:r>
      <w:r w:rsidRPr="31B5B968">
        <w:rPr>
          <w:rStyle w:val="Refdenotaalfinal"/>
          <w:rFonts w:eastAsiaTheme="minorEastAsia"/>
          <w:sz w:val="24"/>
          <w:szCs w:val="24"/>
        </w:rPr>
        <w:endnoteReference w:id="7"/>
      </w:r>
      <w:r w:rsidRPr="31B5B968">
        <w:rPr>
          <w:rFonts w:eastAsiaTheme="minorEastAsia"/>
          <w:sz w:val="24"/>
          <w:szCs w:val="24"/>
        </w:rPr>
        <w:t xml:space="preserve">. </w:t>
      </w:r>
    </w:p>
    <w:p w14:paraId="0A396C3B" w14:textId="55663BFB" w:rsidR="00837C47" w:rsidRDefault="00837C47" w:rsidP="00342109">
      <w:pPr>
        <w:jc w:val="both"/>
        <w:rPr>
          <w:rFonts w:eastAsiaTheme="minorEastAsia"/>
          <w:sz w:val="24"/>
          <w:szCs w:val="24"/>
        </w:rPr>
      </w:pPr>
      <w:r w:rsidRPr="31B5B968">
        <w:rPr>
          <w:rFonts w:eastAsiaTheme="minorEastAsia"/>
          <w:sz w:val="24"/>
          <w:szCs w:val="24"/>
        </w:rPr>
        <w:lastRenderedPageBreak/>
        <w:t>Each person’s right to their own religious interpretations is one of the key areas of synergy between FoRB and LGBTI+ rights. Religiously motivated violence and discrimination based on SOGI can be understood as an attempt to impose dominant moral and political understandings of religion onto others.</w:t>
      </w:r>
      <w:r w:rsidRPr="31B5B968">
        <w:rPr>
          <w:rStyle w:val="Refdenotaalfinal"/>
          <w:rFonts w:eastAsiaTheme="minorEastAsia"/>
          <w:sz w:val="24"/>
          <w:szCs w:val="24"/>
        </w:rPr>
        <w:endnoteReference w:id="8"/>
      </w:r>
      <w:r w:rsidRPr="31B5B968">
        <w:rPr>
          <w:rFonts w:eastAsiaTheme="minorEastAsia"/>
          <w:sz w:val="24"/>
          <w:szCs w:val="24"/>
        </w:rPr>
        <w:t xml:space="preserve"> When states impose legislation or policies in the name of religion that discriminates against LGBTI+ persons, this privileges certain religious beliefs in law and therefore undermines both freedom of religion and the right of non-discrimination based on SOGI. None of this is to say that instances cannot arise in which there is a clash between the right to FoRB and the right to freedom from discrimination and violence based on SOGI. Rather it is to reiterate that in a fundamental sense, these rights, as with all rights, are mutually reinforcing. Where religious freedom and non-discrimination appear to be at odds</w:t>
      </w:r>
      <w:r w:rsidRPr="31B5B968">
        <w:rPr>
          <w:rStyle w:val="Refdenotaalfinal"/>
          <w:rFonts w:eastAsiaTheme="minorEastAsia"/>
          <w:sz w:val="24"/>
          <w:szCs w:val="24"/>
        </w:rPr>
        <w:endnoteReference w:id="9"/>
      </w:r>
      <w:r w:rsidRPr="31B5B968">
        <w:rPr>
          <w:rFonts w:eastAsiaTheme="minorEastAsia"/>
          <w:sz w:val="24"/>
          <w:szCs w:val="24"/>
        </w:rPr>
        <w:t>, this should be addressed on a case-by-case basis</w:t>
      </w:r>
      <w:r w:rsidRPr="31B5B968">
        <w:rPr>
          <w:rStyle w:val="Refdenotaalfinal"/>
          <w:rFonts w:eastAsiaTheme="minorEastAsia"/>
          <w:sz w:val="24"/>
          <w:szCs w:val="24"/>
        </w:rPr>
        <w:endnoteReference w:id="10"/>
      </w:r>
      <w:r w:rsidRPr="31B5B968">
        <w:rPr>
          <w:rFonts w:eastAsiaTheme="minorEastAsia"/>
          <w:sz w:val="24"/>
          <w:szCs w:val="24"/>
        </w:rPr>
        <w:t xml:space="preserve"> wherein every effort is made to ensure that all rights concerned are brought into practical concordance and protected</w:t>
      </w:r>
      <w:r w:rsidRPr="31B5B968">
        <w:rPr>
          <w:rStyle w:val="Refdenotaalfinal"/>
          <w:rFonts w:eastAsiaTheme="minorEastAsia"/>
          <w:sz w:val="24"/>
          <w:szCs w:val="24"/>
        </w:rPr>
        <w:endnoteReference w:id="11"/>
      </w:r>
      <w:r w:rsidRPr="31B5B968">
        <w:rPr>
          <w:rFonts w:eastAsiaTheme="minorEastAsia"/>
          <w:sz w:val="24"/>
          <w:szCs w:val="24"/>
        </w:rPr>
        <w:t xml:space="preserve">. </w:t>
      </w:r>
    </w:p>
    <w:p w14:paraId="4E17E187" w14:textId="77777777" w:rsidR="00837C47" w:rsidRPr="00837C47" w:rsidRDefault="00837C47" w:rsidP="00342109">
      <w:pPr>
        <w:jc w:val="both"/>
        <w:rPr>
          <w:rFonts w:eastAsiaTheme="minorEastAsia"/>
          <w:sz w:val="24"/>
          <w:szCs w:val="24"/>
        </w:rPr>
      </w:pPr>
    </w:p>
    <w:p w14:paraId="0B49E9C5" w14:textId="213E198E" w:rsidR="00837C47" w:rsidRPr="00342109" w:rsidRDefault="00837C47" w:rsidP="00342109">
      <w:pPr>
        <w:jc w:val="both"/>
        <w:rPr>
          <w:rFonts w:eastAsiaTheme="minorEastAsia" w:cstheme="minorHAnsi"/>
          <w:b/>
          <w:bCs/>
          <w:sz w:val="28"/>
          <w:szCs w:val="28"/>
        </w:rPr>
      </w:pPr>
      <w:r w:rsidRPr="00342109">
        <w:rPr>
          <w:rFonts w:eastAsiaTheme="minorEastAsia" w:cstheme="minorHAnsi"/>
          <w:b/>
          <w:bCs/>
          <w:sz w:val="28"/>
          <w:szCs w:val="28"/>
        </w:rPr>
        <w:t>Religious narratives in anti-LGBTI campaigns:</w:t>
      </w:r>
    </w:p>
    <w:p w14:paraId="6195D7D2" w14:textId="505795CB" w:rsidR="00837C47" w:rsidRPr="00342109" w:rsidRDefault="00837C47" w:rsidP="31B5B968">
      <w:pPr>
        <w:jc w:val="both"/>
        <w:rPr>
          <w:rStyle w:val="normaltextrun"/>
          <w:sz w:val="24"/>
          <w:szCs w:val="24"/>
          <w:shd w:val="clear" w:color="auto" w:fill="FFFFFF"/>
        </w:rPr>
      </w:pPr>
      <w:r w:rsidRPr="31B5B968">
        <w:rPr>
          <w:rFonts w:eastAsiaTheme="minorEastAsia"/>
          <w:sz w:val="24"/>
          <w:szCs w:val="24"/>
        </w:rPr>
        <w:t>The perceived tension between the rights of people of diverse SOGI and religious freedom is often fuelled by the persistent use of religious rhetoric in narratives and campaigns which seek to undermine the equal rights of LGBTI+ persons and, at times, incite violence against this group. Such narratives can often be understood in the context of anti-gender backlash,</w:t>
      </w:r>
      <w:r w:rsidRPr="31B5B968">
        <w:rPr>
          <w:rStyle w:val="Refdenotaalfinal"/>
          <w:rFonts w:eastAsiaTheme="minorEastAsia"/>
          <w:sz w:val="24"/>
          <w:szCs w:val="24"/>
        </w:rPr>
        <w:endnoteReference w:id="12"/>
      </w:r>
      <w:r w:rsidRPr="31B5B968">
        <w:rPr>
          <w:rFonts w:eastAsiaTheme="minorEastAsia"/>
          <w:sz w:val="24"/>
          <w:szCs w:val="24"/>
        </w:rPr>
        <w:t xml:space="preserve"> an international movement which frames feminism and LGBTI rights as an affront to a “natural, religious order” and charges human rights defenders with promoting so-called “gender ideology”</w:t>
      </w:r>
      <w:r w:rsidRPr="31B5B968">
        <w:rPr>
          <w:rStyle w:val="Refdenotaalfinal"/>
          <w:rFonts w:eastAsiaTheme="minorEastAsia"/>
          <w:sz w:val="24"/>
          <w:szCs w:val="24"/>
        </w:rPr>
        <w:endnoteReference w:id="13"/>
      </w:r>
      <w:r w:rsidRPr="31B5B968">
        <w:rPr>
          <w:rFonts w:eastAsiaTheme="minorEastAsia"/>
          <w:sz w:val="24"/>
          <w:szCs w:val="24"/>
        </w:rPr>
        <w:t>. The</w:t>
      </w:r>
      <w:r w:rsidRPr="31B5B968">
        <w:rPr>
          <w:rFonts w:eastAsiaTheme="minorEastAsia"/>
          <w:color w:val="808080" w:themeColor="background1" w:themeShade="80"/>
          <w:sz w:val="24"/>
          <w:szCs w:val="24"/>
        </w:rPr>
        <w:t xml:space="preserve"> </w:t>
      </w:r>
      <w:r w:rsidRPr="31B5B968">
        <w:rPr>
          <w:rFonts w:eastAsiaTheme="minorEastAsia"/>
          <w:sz w:val="24"/>
          <w:szCs w:val="24"/>
        </w:rPr>
        <w:t xml:space="preserve">main pillars of these narratives are also based on patriarchal power dynamics, which have historically shaped and dominated all organic relationships, such as the nuclear family and extended family, especially in fragile global-south state systems. </w:t>
      </w:r>
      <w:r w:rsidRPr="31B5B968">
        <w:rPr>
          <w:rStyle w:val="Refdenotaalfinal"/>
          <w:rFonts w:eastAsiaTheme="minorEastAsia"/>
          <w:sz w:val="24"/>
          <w:szCs w:val="24"/>
        </w:rPr>
        <w:endnoteReference w:id="14"/>
      </w:r>
      <w:r w:rsidRPr="31B5B968">
        <w:rPr>
          <w:rFonts w:eastAsiaTheme="minorEastAsia"/>
          <w:sz w:val="24"/>
          <w:szCs w:val="24"/>
        </w:rPr>
        <w:t xml:space="preserve"> For example, in Chile, </w:t>
      </w:r>
      <w:r w:rsidRPr="31B5B968">
        <w:rPr>
          <w:sz w:val="24"/>
          <w:szCs w:val="24"/>
        </w:rPr>
        <w:t>the articulation of the "gender ideology" idea is used in many Christian communities to state that SOGI concepts are a sort of "global political project" promoted by "communism,” gaining political significance for religious sectors.</w:t>
      </w:r>
      <w:r w:rsidRPr="31B5B968">
        <w:rPr>
          <w:rStyle w:val="Refdenotaalfinal"/>
          <w:sz w:val="24"/>
          <w:szCs w:val="24"/>
        </w:rPr>
        <w:endnoteReference w:id="15"/>
      </w:r>
      <w:r w:rsidRPr="31B5B968">
        <w:rPr>
          <w:sz w:val="24"/>
          <w:szCs w:val="24"/>
        </w:rPr>
        <w:t xml:space="preserve"> Moreover, in Kenya, the </w:t>
      </w:r>
      <w:r w:rsidRPr="31B5B968">
        <w:rPr>
          <w:rStyle w:val="normaltextrun"/>
          <w:sz w:val="24"/>
          <w:szCs w:val="24"/>
          <w:shd w:val="clear" w:color="auto" w:fill="FFFFFF"/>
        </w:rPr>
        <w:t xml:space="preserve">Government has granted privileges to Christian religious actors, making gender roles </w:t>
      </w:r>
      <w:r>
        <w:rPr>
          <w:rStyle w:val="normaltextrun"/>
          <w:sz w:val="24"/>
          <w:szCs w:val="24"/>
          <w:shd w:val="clear" w:color="auto" w:fill="FFFFFF"/>
        </w:rPr>
        <w:t>(</w:t>
      </w:r>
      <w:r w:rsidRPr="31B5B968">
        <w:rPr>
          <w:rStyle w:val="normaltextrun"/>
          <w:sz w:val="24"/>
          <w:szCs w:val="24"/>
          <w:shd w:val="clear" w:color="auto" w:fill="FFFFFF"/>
        </w:rPr>
        <w:t>and norms rooted in the traditional Christian discourse that associates “femininity” with service to family and church</w:t>
      </w:r>
      <w:r>
        <w:rPr>
          <w:rStyle w:val="normaltextrun"/>
          <w:sz w:val="24"/>
          <w:szCs w:val="24"/>
          <w:shd w:val="clear" w:color="auto" w:fill="FFFFFF"/>
        </w:rPr>
        <w:t>)</w:t>
      </w:r>
      <w:r w:rsidRPr="31B5B968">
        <w:rPr>
          <w:rStyle w:val="normaltextrun"/>
          <w:sz w:val="24"/>
          <w:szCs w:val="24"/>
          <w:shd w:val="clear" w:color="auto" w:fill="FFFFFF"/>
        </w:rPr>
        <w:t xml:space="preserve"> vehicles for religious intolerance and discrimination towards women in all their diversities (including LBT women).</w:t>
      </w:r>
      <w:r w:rsidRPr="31B5B968">
        <w:rPr>
          <w:rStyle w:val="Refdenotaalfinal"/>
          <w:sz w:val="24"/>
          <w:szCs w:val="24"/>
          <w:shd w:val="clear" w:color="auto" w:fill="FFFFFF"/>
        </w:rPr>
        <w:endnoteReference w:id="16"/>
      </w:r>
    </w:p>
    <w:p w14:paraId="6199F1C8" w14:textId="7BEEDD1D" w:rsidR="00837C47" w:rsidRPr="00342109" w:rsidRDefault="00837C47" w:rsidP="31B5B968">
      <w:pPr>
        <w:jc w:val="both"/>
        <w:rPr>
          <w:rFonts w:eastAsiaTheme="minorEastAsia"/>
          <w:color w:val="000000" w:themeColor="text1"/>
          <w:sz w:val="24"/>
          <w:szCs w:val="24"/>
        </w:rPr>
      </w:pPr>
      <w:r w:rsidRPr="31B5B968">
        <w:rPr>
          <w:rStyle w:val="normaltextrun"/>
          <w:sz w:val="24"/>
          <w:szCs w:val="24"/>
          <w:shd w:val="clear" w:color="auto" w:fill="FFFFFF"/>
        </w:rPr>
        <w:t xml:space="preserve">Another example of these tensions is Zambia, </w:t>
      </w:r>
      <w:r w:rsidRPr="31B5B968">
        <w:rPr>
          <w:rStyle w:val="normaltextrun"/>
          <w:color w:val="000000"/>
          <w:sz w:val="24"/>
          <w:szCs w:val="24"/>
          <w:shd w:val="clear" w:color="auto" w:fill="FFFFFF"/>
        </w:rPr>
        <w:t>which was declared a Christian nation in 1991 as enshrined in the national constitution. This declaration was reaffirmed at a recently held conference in December 2022 due to perceived “increasing levels of immorality”, which were directed to LGBTI+ groups based on religious assumptions. Hence, in Zambia, morality (predominantly from a Christian perspective) is the key point of argument in the anti-LGBTIQ+ narrative.</w:t>
      </w:r>
      <w:r w:rsidRPr="31B5B968">
        <w:rPr>
          <w:rStyle w:val="Refdenotaalfinal"/>
          <w:color w:val="000000"/>
          <w:sz w:val="24"/>
          <w:szCs w:val="24"/>
          <w:shd w:val="clear" w:color="auto" w:fill="FFFFFF"/>
        </w:rPr>
        <w:endnoteReference w:id="17"/>
      </w:r>
    </w:p>
    <w:p w14:paraId="18905C2C" w14:textId="7ACCE8E4" w:rsidR="00837C47" w:rsidRPr="00342109" w:rsidRDefault="00837C47" w:rsidP="31B5B968">
      <w:pPr>
        <w:jc w:val="both"/>
        <w:rPr>
          <w:rFonts w:eastAsiaTheme="minorEastAsia"/>
          <w:sz w:val="24"/>
          <w:szCs w:val="24"/>
        </w:rPr>
      </w:pPr>
      <w:r w:rsidRPr="31B5B968">
        <w:rPr>
          <w:rFonts w:eastAsiaTheme="minorEastAsia"/>
          <w:sz w:val="24"/>
          <w:szCs w:val="24"/>
        </w:rPr>
        <w:t xml:space="preserve">A key rhetorical tool of the anti-gender movement is the false notion of competing rights. Religious freedom is posed as being under attack by the right to non-discrimination of SOGI- diverse persons. This is often framed in relation to the right to deny goods and services, including </w:t>
      </w:r>
      <w:r w:rsidRPr="31B5B968">
        <w:rPr>
          <w:rFonts w:eastAsiaTheme="minorEastAsia"/>
          <w:sz w:val="24"/>
          <w:szCs w:val="24"/>
        </w:rPr>
        <w:lastRenderedPageBreak/>
        <w:t>healthcare, based on religious belief. Such claims are often based on a monolithic understanding of religion and aim to reinforce historical power structures perceived to be at risk.</w:t>
      </w:r>
      <w:r w:rsidRPr="31B5B968">
        <w:rPr>
          <w:rStyle w:val="Refdenotaalfinal"/>
          <w:rFonts w:eastAsiaTheme="minorEastAsia"/>
          <w:sz w:val="24"/>
          <w:szCs w:val="24"/>
        </w:rPr>
        <w:endnoteReference w:id="18"/>
      </w:r>
      <w:r w:rsidRPr="31B5B968">
        <w:rPr>
          <w:rFonts w:eastAsiaTheme="minorEastAsia"/>
          <w:sz w:val="24"/>
          <w:szCs w:val="24"/>
        </w:rPr>
        <w:t xml:space="preserve"> Where LGBTI+ rights are framed as opposing the right to FoRB, a hierarchy of rights is ultimately constructed, with the latter being presented as superior. This logic undermines the core human rights principles of universality and interdependence. </w:t>
      </w:r>
    </w:p>
    <w:p w14:paraId="19B129DA" w14:textId="520A28B9" w:rsidR="00837C47" w:rsidRPr="001270A1" w:rsidRDefault="00837C47" w:rsidP="31B5B968">
      <w:pPr>
        <w:jc w:val="both"/>
        <w:rPr>
          <w:rFonts w:eastAsiaTheme="minorEastAsia"/>
          <w:color w:val="000000" w:themeColor="text1"/>
          <w:sz w:val="24"/>
          <w:szCs w:val="24"/>
          <w:lang w:val="en-GB"/>
        </w:rPr>
      </w:pPr>
      <w:r w:rsidRPr="31B5B968">
        <w:rPr>
          <w:rFonts w:eastAsiaTheme="minorEastAsia"/>
          <w:sz w:val="24"/>
          <w:szCs w:val="24"/>
        </w:rPr>
        <w:t xml:space="preserve">As well as promoting anti-LGBTI+ rhetoric on the international stage, some religious actors also promote discrimination and violence based on SOGI within local and national contexts. Such cases can be seen across different religions and regions; however, they are united by their effort to construct SOGI-diverse persons and their rights as a threat to religious values. It is worth noting that some of these religious actors have significant cultural and economic influence, so the harm caused by their advocacy is compounded. </w:t>
      </w:r>
      <w:r w:rsidRPr="31B5B968">
        <w:rPr>
          <w:rFonts w:eastAsiaTheme="minorEastAsia"/>
          <w:color w:val="000000" w:themeColor="text1"/>
          <w:sz w:val="24"/>
          <w:szCs w:val="24"/>
          <w:lang w:val="en-GB"/>
        </w:rPr>
        <w:t>For example, the Armenian A</w:t>
      </w:r>
      <w:r w:rsidRPr="31B5B968">
        <w:rPr>
          <w:rFonts w:eastAsiaTheme="minorEastAsia"/>
          <w:color w:val="000000" w:themeColor="text1"/>
          <w:sz w:val="24"/>
          <w:szCs w:val="24"/>
          <w:lang w:val="en-US"/>
        </w:rPr>
        <w:t xml:space="preserve">postolic Church has presented SOGI diversity as something that has been imported to Armenia with the aim of destroying traditional morals and family values. The church plays a role in influencing public opinion, and church representatives spread their ideas regarding sexuality through different means, such as media interviews and discussions. Representatives of the Church are often the leading figures of anti-LGBTI+ campaigns and commonly refer to same-sex relationships as a “sodomy sin” and promulgate the idea that homosexuality should be condemned as “unnatural.” </w:t>
      </w:r>
      <w:r w:rsidRPr="31B5B968">
        <w:rPr>
          <w:rFonts w:eastAsiaTheme="minorEastAsia"/>
          <w:sz w:val="24"/>
          <w:szCs w:val="24"/>
        </w:rPr>
        <w:t xml:space="preserve">In 2018, the International Christian LGBT Forum was planned to be held in Armenia. This led to a wave of anti-LGBTI+ campaigning, including by the Armenian Apostolic Church. Demonstrations were held to protest the Forum taking place, and there were calls for the adoption of a law banning so-called </w:t>
      </w:r>
      <w:r w:rsidRPr="31B5B968">
        <w:rPr>
          <w:rFonts w:eastAsiaTheme="minorEastAsia"/>
          <w:color w:val="000000" w:themeColor="text1"/>
          <w:sz w:val="24"/>
          <w:szCs w:val="24"/>
          <w:lang w:val="en-US"/>
        </w:rPr>
        <w:t>“</w:t>
      </w:r>
      <w:r w:rsidRPr="31B5B968">
        <w:rPr>
          <w:rFonts w:eastAsiaTheme="minorEastAsia"/>
          <w:sz w:val="24"/>
          <w:szCs w:val="24"/>
        </w:rPr>
        <w:t>homosexual propaganda”</w:t>
      </w:r>
      <w:r w:rsidRPr="31B5B968">
        <w:rPr>
          <w:rStyle w:val="Refdenotaalfinal"/>
          <w:rFonts w:eastAsiaTheme="minorEastAsia"/>
          <w:sz w:val="24"/>
          <w:szCs w:val="24"/>
        </w:rPr>
        <w:endnoteReference w:id="19"/>
      </w:r>
      <w:r w:rsidRPr="31B5B968">
        <w:rPr>
          <w:rFonts w:eastAsiaTheme="minorEastAsia"/>
          <w:sz w:val="24"/>
          <w:szCs w:val="24"/>
        </w:rPr>
        <w:t>In 2019, trans activist Lilit Martirosyan addressed the National Assembly and raised the issue of transphobic crimes. In response, anti-LGBTI+ campaigners, including clergymen, began manifestation in front of the National Assembly building and spreading hateful speech towards LGBTI persons</w:t>
      </w:r>
      <w:r w:rsidRPr="31B5B968">
        <w:t>￼</w:t>
      </w:r>
      <w:r w:rsidRPr="00342109">
        <w:rPr>
          <w:rStyle w:val="Refdenotaalfinal"/>
          <w:rFonts w:eastAsiaTheme="minorEastAsia" w:cstheme="minorHAnsi"/>
          <w:sz w:val="24"/>
          <w:szCs w:val="24"/>
        </w:rPr>
        <w:endnoteReference w:id="20"/>
      </w:r>
      <w:r w:rsidRPr="00342109">
        <w:rPr>
          <w:rFonts w:eastAsiaTheme="minorEastAsia" w:cstheme="minorHAnsi"/>
          <w:sz w:val="24"/>
          <w:szCs w:val="24"/>
        </w:rPr>
        <w:t xml:space="preserve">. </w:t>
      </w:r>
    </w:p>
    <w:p w14:paraId="35488F50" w14:textId="1C6F45AD" w:rsidR="00837C47" w:rsidRPr="001270A1" w:rsidRDefault="00837C47" w:rsidP="31B5B968">
      <w:pPr>
        <w:jc w:val="both"/>
        <w:rPr>
          <w:rFonts w:eastAsiaTheme="minorEastAsia"/>
          <w:sz w:val="24"/>
          <w:szCs w:val="24"/>
        </w:rPr>
      </w:pPr>
      <w:r w:rsidRPr="31B5B968">
        <w:rPr>
          <w:rFonts w:eastAsiaTheme="minorEastAsia"/>
          <w:sz w:val="24"/>
          <w:szCs w:val="24"/>
        </w:rPr>
        <w:t>In some contexts, advocacy by religious actors goes beyond discriminatory comments to direct calls for violence against LGBTI</w:t>
      </w:r>
      <w:r>
        <w:rPr>
          <w:rFonts w:eastAsiaTheme="minorEastAsia"/>
          <w:sz w:val="24"/>
          <w:szCs w:val="24"/>
        </w:rPr>
        <w:t>+</w:t>
      </w:r>
      <w:r w:rsidRPr="31B5B968">
        <w:rPr>
          <w:rFonts w:eastAsiaTheme="minorEastAsia"/>
          <w:sz w:val="24"/>
          <w:szCs w:val="24"/>
        </w:rPr>
        <w:t xml:space="preserve"> persons. In Sudan in 2020, a well-known psychiatrist conducted a televised interview in which he argued that LGBTI+ persons should be treated as equal citizens and protected from discrimination and violence through state laws. However, two Muslim Sheikhs publicly attacked the psychiatrist, declared that his arguments were against Islamic teaching,</w:t>
      </w:r>
      <w:r>
        <w:rPr>
          <w:rFonts w:eastAsiaTheme="minorEastAsia"/>
          <w:sz w:val="24"/>
          <w:szCs w:val="24"/>
        </w:rPr>
        <w:t xml:space="preserve"> </w:t>
      </w:r>
      <w:r w:rsidRPr="31B5B968">
        <w:rPr>
          <w:rFonts w:eastAsiaTheme="minorEastAsia"/>
          <w:sz w:val="24"/>
          <w:szCs w:val="24"/>
        </w:rPr>
        <w:t>and stated that people who engage in same-sex relations should be killed</w:t>
      </w:r>
      <w:r w:rsidRPr="31B5B968">
        <w:rPr>
          <w:rStyle w:val="Refdenotaalfinal"/>
          <w:rFonts w:eastAsiaTheme="minorEastAsia"/>
          <w:sz w:val="24"/>
          <w:szCs w:val="24"/>
          <w:lang w:val="en"/>
        </w:rPr>
        <w:endnoteReference w:id="21"/>
      </w:r>
      <w:r w:rsidRPr="31B5B968">
        <w:rPr>
          <w:rFonts w:eastAsiaTheme="minorEastAsia"/>
          <w:sz w:val="24"/>
          <w:szCs w:val="24"/>
          <w:lang w:val="en"/>
        </w:rPr>
        <w:t xml:space="preserve">. </w:t>
      </w:r>
      <w:r w:rsidRPr="31B5B968">
        <w:rPr>
          <w:rFonts w:eastAsiaTheme="minorEastAsia"/>
          <w:sz w:val="24"/>
          <w:szCs w:val="24"/>
        </w:rPr>
        <w:t xml:space="preserve"> Such incitement to hatred is deeply harmful and increases the risk of discrimination and violence for LGBTI</w:t>
      </w:r>
      <w:r>
        <w:rPr>
          <w:rFonts w:eastAsiaTheme="minorEastAsia"/>
          <w:sz w:val="24"/>
          <w:szCs w:val="24"/>
        </w:rPr>
        <w:t>+</w:t>
      </w:r>
      <w:r w:rsidRPr="31B5B968">
        <w:rPr>
          <w:rFonts w:eastAsiaTheme="minorEastAsia"/>
          <w:sz w:val="24"/>
          <w:szCs w:val="24"/>
        </w:rPr>
        <w:t xml:space="preserve"> persons.  The use of anti-LGBTI</w:t>
      </w:r>
      <w:r>
        <w:rPr>
          <w:rFonts w:eastAsiaTheme="minorEastAsia"/>
          <w:sz w:val="24"/>
          <w:szCs w:val="24"/>
        </w:rPr>
        <w:t>+</w:t>
      </w:r>
      <w:r w:rsidRPr="31B5B968">
        <w:rPr>
          <w:rFonts w:eastAsiaTheme="minorEastAsia"/>
          <w:sz w:val="24"/>
          <w:szCs w:val="24"/>
        </w:rPr>
        <w:t xml:space="preserve"> religious narratives also entrenches the notion of SOGI diversity as being somehow contrary to religious freedom. </w:t>
      </w:r>
    </w:p>
    <w:p w14:paraId="5FE2B957" w14:textId="73D0BAE9" w:rsidR="00837C47" w:rsidRDefault="00837C47" w:rsidP="00342109">
      <w:pPr>
        <w:jc w:val="both"/>
        <w:rPr>
          <w:rFonts w:eastAsiaTheme="minorEastAsia"/>
          <w:sz w:val="24"/>
          <w:szCs w:val="24"/>
          <w:lang w:val="en-US"/>
        </w:rPr>
      </w:pPr>
      <w:r w:rsidRPr="31B5B968">
        <w:rPr>
          <w:rFonts w:eastAsiaTheme="minorEastAsia"/>
          <w:sz w:val="24"/>
          <w:szCs w:val="24"/>
          <w:lang w:val="en-US"/>
        </w:rPr>
        <w:t>In Peru, a concrete example of the use of religious narratives as a justification to deny rights to LGBTI+ people derive from the approval of Legislative Decree 1323, published in January 2017</w:t>
      </w:r>
      <w:r w:rsidRPr="31B5B968">
        <w:rPr>
          <w:rStyle w:val="Refdenotaalfinal"/>
          <w:rFonts w:eastAsiaTheme="minorEastAsia"/>
          <w:sz w:val="24"/>
          <w:szCs w:val="24"/>
          <w:lang w:val="en-US"/>
        </w:rPr>
        <w:endnoteReference w:id="22"/>
      </w:r>
      <w:r w:rsidRPr="31B5B968">
        <w:rPr>
          <w:rFonts w:eastAsiaTheme="minorEastAsia"/>
          <w:sz w:val="24"/>
          <w:szCs w:val="24"/>
          <w:lang w:val="en-US"/>
        </w:rPr>
        <w:t xml:space="preserve">. The publication of the Decree, came as a surprise to anti-LGBTI+ rights sectors, who immediately began a campaign for its repeal, calling it a "gag rule”, because, according to these groups, it infringed on the freedom of opinion and religion of pastors and religious preachers. </w:t>
      </w:r>
      <w:r w:rsidRPr="31B5B968">
        <w:rPr>
          <w:rStyle w:val="Refdenotaalfinal"/>
          <w:rFonts w:eastAsiaTheme="minorEastAsia"/>
          <w:sz w:val="24"/>
          <w:szCs w:val="24"/>
          <w:lang w:val="en-US"/>
        </w:rPr>
        <w:endnoteReference w:id="23"/>
      </w:r>
      <w:r w:rsidRPr="31B5B968">
        <w:rPr>
          <w:rFonts w:eastAsiaTheme="minorEastAsia"/>
          <w:sz w:val="24"/>
          <w:szCs w:val="24"/>
          <w:lang w:val="en-US"/>
        </w:rPr>
        <w:t xml:space="preserve"> The Decree sought to be repealed during the 2016-2019 Congress of the Republic. Despite the efforts </w:t>
      </w:r>
      <w:r w:rsidRPr="31B5B968">
        <w:rPr>
          <w:rFonts w:eastAsiaTheme="minorEastAsia"/>
          <w:sz w:val="24"/>
          <w:szCs w:val="24"/>
          <w:lang w:val="en-US"/>
        </w:rPr>
        <w:lastRenderedPageBreak/>
        <w:t>deployed by conservative sectors, it remains in force. Currently, an evangelical congressman has restarted efforts to eliminate this legislative decree, through the presentation of a bill for its repeal.</w:t>
      </w:r>
      <w:r w:rsidRPr="31B5B968">
        <w:rPr>
          <w:rStyle w:val="Refdenotaalfinal"/>
          <w:rFonts w:eastAsiaTheme="minorEastAsia"/>
          <w:sz w:val="24"/>
          <w:szCs w:val="24"/>
          <w:lang w:val="en-US"/>
        </w:rPr>
        <w:endnoteReference w:id="24"/>
      </w:r>
    </w:p>
    <w:p w14:paraId="299F7E46" w14:textId="77777777" w:rsidR="00837C47" w:rsidRPr="00E76659" w:rsidRDefault="00837C47" w:rsidP="00342109">
      <w:pPr>
        <w:jc w:val="both"/>
        <w:rPr>
          <w:rFonts w:eastAsiaTheme="minorEastAsia"/>
          <w:sz w:val="24"/>
          <w:szCs w:val="24"/>
          <w:lang w:val="en-US"/>
        </w:rPr>
      </w:pPr>
    </w:p>
    <w:p w14:paraId="4961B9EC" w14:textId="607DE1A2" w:rsidR="00837C47" w:rsidRPr="00342109" w:rsidRDefault="00837C47" w:rsidP="00342109">
      <w:pPr>
        <w:jc w:val="both"/>
        <w:rPr>
          <w:rFonts w:eastAsiaTheme="minorEastAsia" w:cstheme="minorHAnsi"/>
          <w:b/>
          <w:bCs/>
          <w:color w:val="808080" w:themeColor="background1" w:themeShade="80"/>
          <w:sz w:val="28"/>
          <w:szCs w:val="28"/>
        </w:rPr>
      </w:pPr>
      <w:r w:rsidRPr="00342109">
        <w:rPr>
          <w:rFonts w:eastAsiaTheme="minorEastAsia" w:cstheme="minorHAnsi"/>
          <w:b/>
          <w:bCs/>
          <w:sz w:val="28"/>
          <w:szCs w:val="28"/>
        </w:rPr>
        <w:t>Laws and policies relating to SOGI</w:t>
      </w:r>
    </w:p>
    <w:p w14:paraId="3D7F8C0B" w14:textId="6AE4A033" w:rsidR="00837C47" w:rsidRPr="00342109" w:rsidRDefault="00837C47" w:rsidP="00342109">
      <w:pPr>
        <w:jc w:val="both"/>
        <w:rPr>
          <w:rFonts w:eastAsiaTheme="minorEastAsia" w:cstheme="minorHAnsi"/>
          <w:sz w:val="24"/>
          <w:szCs w:val="24"/>
        </w:rPr>
      </w:pPr>
      <w:r w:rsidRPr="00342109">
        <w:rPr>
          <w:rFonts w:eastAsiaTheme="minorEastAsia" w:cstheme="minorHAnsi"/>
          <w:sz w:val="24"/>
          <w:szCs w:val="24"/>
        </w:rPr>
        <w:t>In many cases, religious actors with an anti-LGBTI</w:t>
      </w:r>
      <w:r>
        <w:rPr>
          <w:rFonts w:eastAsiaTheme="minorEastAsia" w:cstheme="minorHAnsi"/>
          <w:sz w:val="24"/>
          <w:szCs w:val="24"/>
        </w:rPr>
        <w:t>+</w:t>
      </w:r>
      <w:r w:rsidRPr="00342109">
        <w:rPr>
          <w:rFonts w:eastAsiaTheme="minorEastAsia" w:cstheme="minorHAnsi"/>
          <w:sz w:val="24"/>
          <w:szCs w:val="24"/>
        </w:rPr>
        <w:t xml:space="preserve"> agenda are well-funded, well-connected and highly influential</w:t>
      </w:r>
      <w:r w:rsidRPr="00342109">
        <w:rPr>
          <w:rStyle w:val="Refdenotaalfinal"/>
          <w:rFonts w:eastAsiaTheme="minorEastAsia" w:cstheme="minorHAnsi"/>
          <w:sz w:val="24"/>
          <w:szCs w:val="24"/>
        </w:rPr>
        <w:endnoteReference w:id="25"/>
      </w:r>
      <w:r w:rsidRPr="00342109">
        <w:rPr>
          <w:rFonts w:eastAsiaTheme="minorEastAsia" w:cstheme="minorHAnsi"/>
          <w:sz w:val="24"/>
          <w:szCs w:val="24"/>
        </w:rPr>
        <w:t>. Thus, such campaigns have, at times, contributed to the adoption of state laws and policies that</w:t>
      </w:r>
      <w:r>
        <w:rPr>
          <w:rFonts w:eastAsiaTheme="minorEastAsia" w:cstheme="minorHAnsi"/>
          <w:sz w:val="24"/>
          <w:szCs w:val="24"/>
        </w:rPr>
        <w:t xml:space="preserve"> undermine the rights of SOGI</w:t>
      </w:r>
      <w:r w:rsidRPr="00342109">
        <w:rPr>
          <w:rFonts w:eastAsiaTheme="minorEastAsia" w:cstheme="minorHAnsi"/>
          <w:sz w:val="24"/>
          <w:szCs w:val="24"/>
        </w:rPr>
        <w:t xml:space="preserve"> diverse persons. In other contexts, states may themselves be a driving force of religiously motivated discrimination against LGBTI</w:t>
      </w:r>
      <w:r>
        <w:rPr>
          <w:rFonts w:eastAsiaTheme="minorEastAsia" w:cstheme="minorHAnsi"/>
          <w:sz w:val="24"/>
          <w:szCs w:val="24"/>
        </w:rPr>
        <w:t>+</w:t>
      </w:r>
      <w:r w:rsidRPr="00342109">
        <w:rPr>
          <w:rFonts w:eastAsiaTheme="minorEastAsia" w:cstheme="minorHAnsi"/>
          <w:sz w:val="24"/>
          <w:szCs w:val="24"/>
        </w:rPr>
        <w:t xml:space="preserve"> people.  This section will explore cases where anti-LGBTI</w:t>
      </w:r>
      <w:r>
        <w:rPr>
          <w:rFonts w:eastAsiaTheme="minorEastAsia" w:cstheme="minorHAnsi"/>
          <w:sz w:val="24"/>
          <w:szCs w:val="24"/>
        </w:rPr>
        <w:t>+</w:t>
      </w:r>
      <w:r w:rsidRPr="00342109">
        <w:rPr>
          <w:rFonts w:eastAsiaTheme="minorEastAsia" w:cstheme="minorHAnsi"/>
          <w:sz w:val="24"/>
          <w:szCs w:val="24"/>
        </w:rPr>
        <w:t xml:space="preserve"> laws and policies are justified by explicit reference to religion and/or have been informed by particular religious values. </w:t>
      </w:r>
    </w:p>
    <w:p w14:paraId="2838FBE9" w14:textId="0433218D" w:rsidR="00837C47" w:rsidRPr="00342109" w:rsidRDefault="00837C47" w:rsidP="00342109">
      <w:pPr>
        <w:jc w:val="both"/>
        <w:rPr>
          <w:rFonts w:eastAsiaTheme="minorEastAsia" w:cstheme="minorHAnsi"/>
          <w:b/>
          <w:bCs/>
          <w:i/>
          <w:iCs/>
          <w:color w:val="808080" w:themeColor="background1" w:themeShade="80"/>
          <w:sz w:val="24"/>
          <w:szCs w:val="24"/>
        </w:rPr>
      </w:pPr>
      <w:r w:rsidRPr="00342109">
        <w:rPr>
          <w:rFonts w:eastAsiaTheme="minorEastAsia" w:cstheme="minorHAnsi"/>
          <w:b/>
          <w:bCs/>
          <w:i/>
          <w:iCs/>
          <w:sz w:val="24"/>
          <w:szCs w:val="24"/>
        </w:rPr>
        <w:t xml:space="preserve">Same-sex marriage: </w:t>
      </w:r>
    </w:p>
    <w:p w14:paraId="7618586F" w14:textId="6DB74018" w:rsidR="00837C47" w:rsidRPr="001270A1" w:rsidRDefault="00837C47" w:rsidP="31B5B968">
      <w:pPr>
        <w:jc w:val="both"/>
        <w:rPr>
          <w:rFonts w:eastAsiaTheme="minorEastAsia"/>
          <w:color w:val="000000" w:themeColor="text1"/>
          <w:sz w:val="24"/>
          <w:szCs w:val="24"/>
          <w:lang w:val="en-US"/>
        </w:rPr>
      </w:pPr>
      <w:r w:rsidRPr="31B5B968">
        <w:rPr>
          <w:rFonts w:eastAsiaTheme="minorEastAsia"/>
          <w:sz w:val="24"/>
          <w:szCs w:val="24"/>
        </w:rPr>
        <w:t>Bans on same-sex marriage violate the right to a private and family life of SOGI diverse persons</w:t>
      </w:r>
      <w:r w:rsidRPr="31B5B968">
        <w:rPr>
          <w:rStyle w:val="Refdenotaalfinal"/>
          <w:rFonts w:eastAsiaTheme="minorEastAsia"/>
          <w:sz w:val="24"/>
          <w:szCs w:val="24"/>
        </w:rPr>
        <w:endnoteReference w:id="26"/>
      </w:r>
      <w:r w:rsidRPr="31B5B968">
        <w:rPr>
          <w:rFonts w:eastAsiaTheme="minorEastAsia"/>
          <w:sz w:val="24"/>
          <w:szCs w:val="24"/>
        </w:rPr>
        <w:t xml:space="preserve"> and are often a priority of anti-LGBTI+ religious actors. </w:t>
      </w:r>
      <w:r w:rsidRPr="31B5B968">
        <w:rPr>
          <w:rFonts w:eastAsiaTheme="minorEastAsia"/>
          <w:color w:val="000000" w:themeColor="text1"/>
          <w:sz w:val="24"/>
          <w:szCs w:val="24"/>
          <w:lang w:val="en-GB"/>
        </w:rPr>
        <w:t>I</w:t>
      </w:r>
      <w:r w:rsidRPr="31B5B968">
        <w:rPr>
          <w:rFonts w:eastAsiaTheme="minorEastAsia"/>
          <w:sz w:val="24"/>
          <w:szCs w:val="24"/>
          <w:lang w:val="en-GB"/>
        </w:rPr>
        <w:t>n 2012</w:t>
      </w:r>
      <w:r w:rsidRPr="31B5B968">
        <w:rPr>
          <w:rFonts w:eastAsiaTheme="minorEastAsia"/>
          <w:color w:val="000000" w:themeColor="text1"/>
          <w:sz w:val="24"/>
          <w:szCs w:val="24"/>
          <w:lang w:val="en-GB"/>
        </w:rPr>
        <w:t xml:space="preserve"> a Cardinal in Sri Lanka argued in relation to gay marriage that the “Sri Lankan culture based on religious beliefs, particularly Buddhism, should not be exchanged for economic benefits.”</w:t>
      </w:r>
      <w:r w:rsidRPr="31B5B968">
        <w:rPr>
          <w:rStyle w:val="Refdenotaalfinal"/>
          <w:rFonts w:eastAsiaTheme="minorEastAsia"/>
          <w:color w:val="000000" w:themeColor="text1"/>
          <w:sz w:val="24"/>
          <w:szCs w:val="24"/>
          <w:lang w:val="en-GB"/>
        </w:rPr>
        <w:endnoteReference w:id="27"/>
      </w:r>
      <w:r w:rsidRPr="31B5B968">
        <w:rPr>
          <w:rFonts w:eastAsiaTheme="minorEastAsia"/>
          <w:color w:val="000000" w:themeColor="text1"/>
          <w:sz w:val="24"/>
          <w:szCs w:val="24"/>
          <w:lang w:val="en-GB"/>
        </w:rPr>
        <w:t xml:space="preserve"> </w:t>
      </w:r>
      <w:r w:rsidRPr="31B5B968">
        <w:rPr>
          <w:rFonts w:eastAsiaTheme="minorEastAsia"/>
          <w:color w:val="000000" w:themeColor="text1"/>
          <w:sz w:val="24"/>
          <w:szCs w:val="24"/>
          <w:lang w:val="en-US"/>
        </w:rPr>
        <w:t>He also argued, that “</w:t>
      </w:r>
      <w:r w:rsidRPr="31B5B968">
        <w:rPr>
          <w:rFonts w:eastAsiaTheme="minorEastAsia"/>
          <w:color w:val="000000" w:themeColor="text1"/>
          <w:sz w:val="24"/>
          <w:szCs w:val="24"/>
          <w:lang w:val="en-GB"/>
        </w:rPr>
        <w:t>marriage is a relationship between a man and a woman. God’s Word says that man and woman shall unite in marriage and procreate, which is also the natural order. In that light, lesbian and homosexual unions cannot be allowed.”</w:t>
      </w:r>
      <w:r w:rsidRPr="31B5B968">
        <w:rPr>
          <w:rStyle w:val="Refdenotaalfinal"/>
          <w:rFonts w:eastAsiaTheme="minorEastAsia"/>
          <w:color w:val="000000" w:themeColor="text1"/>
          <w:sz w:val="24"/>
          <w:szCs w:val="24"/>
          <w:lang w:val="en-GB"/>
        </w:rPr>
        <w:endnoteReference w:id="28"/>
      </w:r>
      <w:r w:rsidRPr="31B5B968">
        <w:rPr>
          <w:rFonts w:eastAsiaTheme="minorEastAsia"/>
          <w:color w:val="000000" w:themeColor="text1"/>
          <w:sz w:val="24"/>
          <w:szCs w:val="24"/>
          <w:lang w:val="en-GB"/>
        </w:rPr>
        <w:t xml:space="preserve"> Similarly, the Catholic Church in Kenya has opposed any form of acceptance of same-sex relationships, including same-sex marriages. Only opposite-sex marriages are permitted in Kenya and LGBTI+ family structures are marginalised and excluded in Kenyan society.</w:t>
      </w:r>
      <w:r w:rsidRPr="31B5B968">
        <w:rPr>
          <w:rStyle w:val="Refdenotaalfinal"/>
          <w:rFonts w:eastAsiaTheme="minorEastAsia"/>
          <w:color w:val="000000" w:themeColor="text1"/>
          <w:sz w:val="24"/>
          <w:szCs w:val="24"/>
          <w:lang w:val="en-GB"/>
        </w:rPr>
        <w:endnoteReference w:id="29"/>
      </w:r>
      <w:r w:rsidRPr="31B5B968">
        <w:rPr>
          <w:rFonts w:eastAsiaTheme="minorEastAsia"/>
          <w:color w:val="000000" w:themeColor="text1"/>
          <w:sz w:val="24"/>
          <w:szCs w:val="24"/>
          <w:lang w:val="en-GB"/>
        </w:rPr>
        <w:t xml:space="preserve"> </w:t>
      </w:r>
      <w:r>
        <w:rPr>
          <w:rFonts w:eastAsiaTheme="minorEastAsia"/>
          <w:sz w:val="24"/>
          <w:szCs w:val="24"/>
          <w:lang w:val="en-GB"/>
        </w:rPr>
        <w:t>On the other hand</w:t>
      </w:r>
      <w:r w:rsidRPr="31B5B968">
        <w:rPr>
          <w:rFonts w:eastAsiaTheme="minorEastAsia"/>
          <w:color w:val="000000" w:themeColor="text1"/>
          <w:sz w:val="24"/>
          <w:szCs w:val="24"/>
          <w:lang w:val="en-US"/>
        </w:rPr>
        <w:t>, states themselves have attempted to defend bans on same-sex unions by reference to religious values. In Oliari and Others v. Italy [2015], the ECtHR rejected the argument that Italy’s ban on same-sex civil unions was justified by ‘religious sentiment’ and ‘religious inspiration’ and concluded that there was an ‘absence of a prevailing community interest being put forward’</w:t>
      </w:r>
      <w:r w:rsidRPr="31B5B968">
        <w:rPr>
          <w:rStyle w:val="Refdenotaalfinal"/>
          <w:rFonts w:eastAsiaTheme="minorEastAsia"/>
          <w:color w:val="000000" w:themeColor="text1"/>
          <w:sz w:val="24"/>
          <w:szCs w:val="24"/>
          <w:lang w:val="en-US"/>
        </w:rPr>
        <w:endnoteReference w:id="30"/>
      </w:r>
      <w:r w:rsidRPr="31B5B968">
        <w:rPr>
          <w:rFonts w:eastAsiaTheme="minorEastAsia"/>
          <w:color w:val="000000" w:themeColor="text1"/>
          <w:sz w:val="24"/>
          <w:szCs w:val="24"/>
          <w:lang w:val="en-US"/>
        </w:rPr>
        <w:t xml:space="preserve">. </w:t>
      </w:r>
    </w:p>
    <w:p w14:paraId="090CC1C1" w14:textId="2A22D015" w:rsidR="00837C47" w:rsidRDefault="00837C47" w:rsidP="00342109">
      <w:pPr>
        <w:jc w:val="both"/>
        <w:rPr>
          <w:rFonts w:eastAsiaTheme="minorEastAsia" w:cstheme="minorHAnsi"/>
          <w:color w:val="000000" w:themeColor="text1"/>
          <w:sz w:val="24"/>
          <w:szCs w:val="24"/>
          <w:lang w:val="en-US"/>
        </w:rPr>
      </w:pPr>
      <w:r w:rsidRPr="00342109">
        <w:rPr>
          <w:rFonts w:eastAsiaTheme="minorEastAsia" w:cstheme="minorHAnsi"/>
          <w:color w:val="000000" w:themeColor="text1"/>
          <w:sz w:val="24"/>
          <w:szCs w:val="24"/>
          <w:lang w:val="en-US"/>
        </w:rPr>
        <w:t>As well as violating the right to equality and privacy of LGBTI</w:t>
      </w:r>
      <w:r>
        <w:rPr>
          <w:rFonts w:eastAsiaTheme="minorEastAsia" w:cstheme="minorHAnsi"/>
          <w:color w:val="000000" w:themeColor="text1"/>
          <w:sz w:val="24"/>
          <w:szCs w:val="24"/>
          <w:lang w:val="en-US"/>
        </w:rPr>
        <w:t>+</w:t>
      </w:r>
      <w:r w:rsidRPr="00342109">
        <w:rPr>
          <w:rFonts w:eastAsiaTheme="minorEastAsia" w:cstheme="minorHAnsi"/>
          <w:color w:val="000000" w:themeColor="text1"/>
          <w:sz w:val="24"/>
          <w:szCs w:val="24"/>
          <w:lang w:val="en-US"/>
        </w:rPr>
        <w:t xml:space="preserve"> persons, bans on same-sex marriage grounded in religious se</w:t>
      </w:r>
      <w:r>
        <w:rPr>
          <w:rFonts w:eastAsiaTheme="minorEastAsia" w:cstheme="minorHAnsi"/>
          <w:color w:val="000000" w:themeColor="text1"/>
          <w:sz w:val="24"/>
          <w:szCs w:val="24"/>
          <w:lang w:val="en-US"/>
        </w:rPr>
        <w:t>ntiment also pose a threat to Fo</w:t>
      </w:r>
      <w:r w:rsidRPr="00342109">
        <w:rPr>
          <w:rFonts w:eastAsiaTheme="minorEastAsia" w:cstheme="minorHAnsi"/>
          <w:color w:val="000000" w:themeColor="text1"/>
          <w:sz w:val="24"/>
          <w:szCs w:val="24"/>
          <w:lang w:val="en-US"/>
        </w:rPr>
        <w:t>RB. When states allow a particular religious value to form the basis of public institutions such as marriage and civil unions, this interferes with the freedom of religion of those who hold differing religious beliefs, including those without religious conviction</w:t>
      </w:r>
      <w:r w:rsidRPr="00342109">
        <w:rPr>
          <w:rStyle w:val="Refdenotaalfinal"/>
          <w:rFonts w:eastAsiaTheme="minorEastAsia" w:cstheme="minorHAnsi"/>
          <w:color w:val="000000" w:themeColor="text1"/>
          <w:sz w:val="24"/>
          <w:szCs w:val="24"/>
          <w:lang w:val="en-US"/>
        </w:rPr>
        <w:endnoteReference w:id="31"/>
      </w:r>
      <w:r w:rsidRPr="00342109">
        <w:rPr>
          <w:rFonts w:eastAsiaTheme="minorEastAsia" w:cstheme="minorHAnsi"/>
          <w:color w:val="000000" w:themeColor="text1"/>
          <w:sz w:val="24"/>
          <w:szCs w:val="24"/>
          <w:lang w:val="en-US"/>
        </w:rPr>
        <w:t>. This issue was addressed by the Supreme Court of Bermuda in Ferguson et al. v the Attorney-General (2018). The court held that the Parliament’s decision to replace same-sex marriage with domestic partnership threatened the rights of those who believe in same-sex marriage on religious grounds to manifest their beliefs by participating in legally recognised same-sex marriages</w:t>
      </w:r>
      <w:r w:rsidRPr="00342109">
        <w:rPr>
          <w:rStyle w:val="Refdenotaalfinal"/>
          <w:rFonts w:eastAsiaTheme="minorEastAsia" w:cstheme="minorHAnsi"/>
          <w:color w:val="000000" w:themeColor="text1"/>
          <w:sz w:val="24"/>
          <w:szCs w:val="24"/>
          <w:lang w:val="en-US"/>
        </w:rPr>
        <w:endnoteReference w:id="32"/>
      </w:r>
      <w:r w:rsidRPr="00342109">
        <w:rPr>
          <w:rFonts w:eastAsiaTheme="minorEastAsia" w:cstheme="minorHAnsi"/>
          <w:color w:val="000000" w:themeColor="text1"/>
          <w:sz w:val="24"/>
          <w:szCs w:val="24"/>
          <w:lang w:val="en-US"/>
        </w:rPr>
        <w:t xml:space="preserve">. </w:t>
      </w:r>
    </w:p>
    <w:p w14:paraId="2F63C425" w14:textId="77777777" w:rsidR="00837C47" w:rsidRPr="00342109" w:rsidRDefault="00837C47" w:rsidP="00342109">
      <w:pPr>
        <w:jc w:val="both"/>
        <w:rPr>
          <w:rFonts w:eastAsiaTheme="minorEastAsia" w:cstheme="minorHAnsi"/>
          <w:color w:val="000000" w:themeColor="text1"/>
          <w:sz w:val="24"/>
          <w:szCs w:val="24"/>
          <w:lang w:val="en-US"/>
        </w:rPr>
      </w:pPr>
    </w:p>
    <w:p w14:paraId="2C4D1834" w14:textId="492F3646" w:rsidR="00837C47" w:rsidRPr="00342109" w:rsidRDefault="00837C47" w:rsidP="00342109">
      <w:pPr>
        <w:jc w:val="both"/>
        <w:rPr>
          <w:rFonts w:eastAsiaTheme="minorEastAsia" w:cstheme="minorHAnsi"/>
          <w:b/>
          <w:bCs/>
          <w:i/>
          <w:iCs/>
          <w:color w:val="A6A6A6" w:themeColor="background1" w:themeShade="A6"/>
          <w:sz w:val="24"/>
          <w:szCs w:val="24"/>
          <w:lang w:val="en-US"/>
        </w:rPr>
      </w:pPr>
      <w:r w:rsidRPr="00342109">
        <w:rPr>
          <w:rFonts w:eastAsiaTheme="minorEastAsia" w:cstheme="minorHAnsi"/>
          <w:b/>
          <w:bCs/>
          <w:i/>
          <w:iCs/>
          <w:sz w:val="24"/>
          <w:szCs w:val="24"/>
        </w:rPr>
        <w:lastRenderedPageBreak/>
        <w:t>Criminalisation of same-sex relations:</w:t>
      </w:r>
    </w:p>
    <w:p w14:paraId="08B2A494" w14:textId="7264F29B" w:rsidR="00837C47" w:rsidRPr="00342109" w:rsidRDefault="00837C47" w:rsidP="00342109">
      <w:pPr>
        <w:jc w:val="both"/>
        <w:rPr>
          <w:rFonts w:eastAsiaTheme="minorEastAsia" w:cstheme="minorHAnsi"/>
          <w:sz w:val="24"/>
          <w:szCs w:val="24"/>
          <w:lang w:val="en-US"/>
        </w:rPr>
      </w:pPr>
      <w:r w:rsidRPr="00342109">
        <w:rPr>
          <w:rFonts w:eastAsiaTheme="minorEastAsia" w:cstheme="minorHAnsi"/>
          <w:color w:val="000000" w:themeColor="text1"/>
          <w:sz w:val="24"/>
          <w:szCs w:val="24"/>
          <w:lang w:val="en-US"/>
        </w:rPr>
        <w:t>Same-sex sexual relations between consenting adults are criminalized by law in 64 UN member States, and de facto in 2, including at least 38 countries that criminalize such relations between women</w:t>
      </w:r>
      <w:r w:rsidRPr="00342109">
        <w:rPr>
          <w:rStyle w:val="Refdenotaalfinal"/>
          <w:rFonts w:eastAsiaTheme="minorEastAsia" w:cstheme="minorHAnsi"/>
          <w:color w:val="000000" w:themeColor="text1"/>
          <w:sz w:val="24"/>
          <w:szCs w:val="24"/>
          <w:lang w:val="en-US"/>
        </w:rPr>
        <w:endnoteReference w:id="33"/>
      </w:r>
      <w:r w:rsidRPr="00342109">
        <w:rPr>
          <w:rFonts w:eastAsiaTheme="minorEastAsia" w:cstheme="minorHAnsi"/>
          <w:color w:val="000000" w:themeColor="text1"/>
          <w:sz w:val="24"/>
          <w:szCs w:val="24"/>
          <w:lang w:val="en-US"/>
        </w:rPr>
        <w:t xml:space="preserve">. </w:t>
      </w:r>
      <w:r w:rsidRPr="00342109">
        <w:rPr>
          <w:rFonts w:eastAsiaTheme="minorEastAsia" w:cstheme="minorHAnsi"/>
          <w:sz w:val="24"/>
          <w:szCs w:val="24"/>
          <w:lang w:val="en-US"/>
        </w:rPr>
        <w:t>Throughout the world, anti-LGBTI</w:t>
      </w:r>
      <w:r>
        <w:rPr>
          <w:rFonts w:eastAsiaTheme="minorEastAsia" w:cstheme="minorHAnsi"/>
          <w:sz w:val="24"/>
          <w:szCs w:val="24"/>
          <w:lang w:val="en-US"/>
        </w:rPr>
        <w:t>+</w:t>
      </w:r>
      <w:r w:rsidRPr="00342109">
        <w:rPr>
          <w:rFonts w:eastAsiaTheme="minorEastAsia" w:cstheme="minorHAnsi"/>
          <w:sz w:val="24"/>
          <w:szCs w:val="24"/>
          <w:lang w:val="en-US"/>
        </w:rPr>
        <w:t xml:space="preserve"> religious actors are often leading voices in support of criminalisation. </w:t>
      </w:r>
    </w:p>
    <w:p w14:paraId="74B7E7B2" w14:textId="5292ECDA" w:rsidR="00837C47" w:rsidRPr="00342109" w:rsidRDefault="00837C47" w:rsidP="00342109">
      <w:pPr>
        <w:jc w:val="both"/>
        <w:rPr>
          <w:rFonts w:eastAsiaTheme="minorEastAsia" w:cstheme="minorHAnsi"/>
          <w:sz w:val="24"/>
          <w:szCs w:val="24"/>
          <w:lang w:val="en-US"/>
        </w:rPr>
      </w:pPr>
      <w:r w:rsidRPr="00342109">
        <w:rPr>
          <w:rFonts w:eastAsiaTheme="minorEastAsia" w:cstheme="minorHAnsi"/>
          <w:sz w:val="24"/>
          <w:szCs w:val="24"/>
          <w:lang w:val="en-US"/>
        </w:rPr>
        <w:t>For instance, in Malawi in 2014 the Minister of Justice issued a moratorium on the criminal enforcement of the ban on same-sex relations, however backtracked after campaigning by conservative actors, including churches. In 2015 the moratorium was reinstated and in 2016 religious leaders made an application to the High Court to quash the decision, which made the continuation of arrests permissible. At the same time, the highest body of Catholic Bishops in the country issued a pastoral letter opposing the moratorium</w:t>
      </w:r>
      <w:r w:rsidRPr="00342109">
        <w:rPr>
          <w:rStyle w:val="Refdenotaalfinal"/>
          <w:rFonts w:eastAsiaTheme="minorEastAsia" w:cstheme="minorHAnsi"/>
          <w:sz w:val="24"/>
          <w:szCs w:val="24"/>
          <w:lang w:val="en-US"/>
        </w:rPr>
        <w:endnoteReference w:id="34"/>
      </w:r>
      <w:r w:rsidRPr="00342109">
        <w:rPr>
          <w:rFonts w:eastAsiaTheme="minorEastAsia" w:cstheme="minorHAnsi"/>
          <w:sz w:val="24"/>
          <w:szCs w:val="24"/>
          <w:lang w:val="en-US"/>
        </w:rPr>
        <w:t>. Similarly, in Belize in 2016, the Roman Catholic Church issued an appeal against a judicial decision that decriminalized same-sex acts, though this was later withdrawn, and the original decision was upheld</w:t>
      </w:r>
      <w:r w:rsidRPr="00342109">
        <w:rPr>
          <w:rStyle w:val="Refdenotaalfinal"/>
          <w:rFonts w:eastAsiaTheme="minorEastAsia" w:cstheme="minorHAnsi"/>
          <w:sz w:val="24"/>
          <w:szCs w:val="24"/>
          <w:lang w:val="en-US"/>
        </w:rPr>
        <w:endnoteReference w:id="35"/>
      </w:r>
      <w:r w:rsidRPr="00342109">
        <w:rPr>
          <w:rFonts w:eastAsiaTheme="minorEastAsia" w:cstheme="minorHAnsi"/>
          <w:sz w:val="24"/>
          <w:szCs w:val="24"/>
          <w:lang w:val="en-US"/>
        </w:rPr>
        <w:t>. More recently, in July 2020, the Conference of Bishops of Togo issued a statement by the Christian leaders in attendance lauding the government for pushing back against foreign pressure to decriminalize same-sex sexual activity and end discrimination based on SOGIE</w:t>
      </w:r>
      <w:r w:rsidRPr="00342109">
        <w:rPr>
          <w:rStyle w:val="Refdenotaalfinal"/>
          <w:rFonts w:eastAsiaTheme="minorEastAsia" w:cstheme="minorHAnsi"/>
          <w:sz w:val="24"/>
          <w:szCs w:val="24"/>
          <w:lang w:val="en-US"/>
        </w:rPr>
        <w:endnoteReference w:id="36"/>
      </w:r>
      <w:r w:rsidRPr="00342109">
        <w:rPr>
          <w:rFonts w:eastAsiaTheme="minorEastAsia" w:cstheme="minorHAnsi"/>
          <w:sz w:val="24"/>
          <w:szCs w:val="24"/>
          <w:lang w:val="en-US"/>
        </w:rPr>
        <w:t xml:space="preserve">. </w:t>
      </w:r>
    </w:p>
    <w:p w14:paraId="4617B732" w14:textId="7DD5C5F7" w:rsidR="00837C47" w:rsidRPr="00342109" w:rsidRDefault="00837C47" w:rsidP="31B5B968">
      <w:pPr>
        <w:jc w:val="both"/>
        <w:rPr>
          <w:rFonts w:eastAsiaTheme="minorEastAsia"/>
          <w:sz w:val="24"/>
          <w:szCs w:val="24"/>
          <w:lang w:val="en-US"/>
        </w:rPr>
      </w:pPr>
      <w:r w:rsidRPr="31B5B968">
        <w:rPr>
          <w:rFonts w:eastAsiaTheme="minorEastAsia"/>
          <w:sz w:val="24"/>
          <w:szCs w:val="24"/>
          <w:lang w:val="en-US"/>
        </w:rPr>
        <w:t>Even where criminalisation is not commonly applied, the existence of these laws in the books is harmful to the LGBTI+ community and contributes to broader discrimination. For example, in Kenya, the penal code criminalizes “carnal knowledge against the order of nature” with imprisonment of 5 to 21 years. The law conflates homosexuality with pedophilia and bestiality, though in practice, it is more commonly applied to the latter. While there is no official state religion in Kenya, the government tends to Christianity. The penal code is in line with the heteronormative scripts adopted by most monotheistic Abrahamic religions in Kenya. In this context, discrimination against LGBTI+ persons is widespread and exists at all levels of society.</w:t>
      </w:r>
      <w:r w:rsidRPr="31B5B968">
        <w:rPr>
          <w:rStyle w:val="Refdenotaalfinal"/>
          <w:rFonts w:eastAsiaTheme="minorEastAsia"/>
          <w:sz w:val="24"/>
          <w:szCs w:val="24"/>
          <w:lang w:val="en-US"/>
        </w:rPr>
        <w:endnoteReference w:id="37"/>
      </w:r>
    </w:p>
    <w:p w14:paraId="028BF7B3" w14:textId="68EBA7F9" w:rsidR="00837C47" w:rsidRPr="005B5662" w:rsidRDefault="00837C47" w:rsidP="31B5B968">
      <w:pPr>
        <w:spacing w:line="240" w:lineRule="auto"/>
        <w:jc w:val="both"/>
        <w:rPr>
          <w:rFonts w:eastAsia="Times New Roman"/>
          <w:sz w:val="24"/>
          <w:szCs w:val="24"/>
          <w:lang w:val="en"/>
        </w:rPr>
      </w:pPr>
      <w:r w:rsidRPr="31B5B968">
        <w:rPr>
          <w:rFonts w:eastAsiaTheme="minorEastAsia"/>
          <w:sz w:val="24"/>
          <w:szCs w:val="24"/>
          <w:lang w:val="en-US"/>
        </w:rPr>
        <w:t xml:space="preserve">It is also important to note that in many countries, criminalization is explicitly derived from religious law. </w:t>
      </w:r>
      <w:r w:rsidRPr="31B5B968">
        <w:rPr>
          <w:rFonts w:eastAsiaTheme="minorEastAsia"/>
          <w:color w:val="000000" w:themeColor="text1"/>
          <w:sz w:val="24"/>
          <w:szCs w:val="24"/>
          <w:lang w:val="en"/>
        </w:rPr>
        <w:t>For instance, Sudan’s legislation and judicial system is based on Sharia laws, and consequently, same-sex relations are illegal under Article 148 of the Criminal Code 1991</w:t>
      </w:r>
      <w:r w:rsidRPr="31B5B968">
        <w:rPr>
          <w:rStyle w:val="Refdenotaalfinal"/>
          <w:rFonts w:eastAsiaTheme="minorEastAsia"/>
          <w:color w:val="000000" w:themeColor="text1"/>
          <w:sz w:val="24"/>
          <w:szCs w:val="24"/>
          <w:lang w:val="en"/>
        </w:rPr>
        <w:endnoteReference w:id="38"/>
      </w:r>
      <w:r w:rsidRPr="31B5B968">
        <w:rPr>
          <w:rFonts w:eastAsiaTheme="minorEastAsia"/>
          <w:color w:val="000000" w:themeColor="text1"/>
          <w:sz w:val="24"/>
          <w:szCs w:val="24"/>
          <w:lang w:val="en"/>
        </w:rPr>
        <w:t>.  In July 2020, Sudan’s Sovereign Council abolished the death penalty and flogging for so-called “sodomy”, however, increased the potential imprisonment from five to seven years. Moreover, a legal gap regarding sentencing allows judges to issue corporal punishment in cases taken under Article 148.  O</w:t>
      </w:r>
      <w:r w:rsidRPr="31B5B968">
        <w:rPr>
          <w:rFonts w:eastAsia="Times New Roman"/>
          <w:sz w:val="24"/>
          <w:szCs w:val="24"/>
        </w:rPr>
        <w:t>ther common articles in Sudanese laws that are being implemented and used against the LGBTI+ community. Those are Articles 151,152, 153, and 156, also known as law on the “Public Order”</w:t>
      </w:r>
      <w:r w:rsidRPr="31B5B968">
        <w:rPr>
          <w:rStyle w:val="Refdenotaalfinal"/>
          <w:rFonts w:eastAsia="Times New Roman"/>
          <w:sz w:val="24"/>
          <w:szCs w:val="24"/>
        </w:rPr>
        <w:endnoteReference w:id="39"/>
      </w:r>
      <w:r w:rsidRPr="31B5B968">
        <w:rPr>
          <w:rFonts w:eastAsia="Times New Roman"/>
          <w:sz w:val="24"/>
          <w:szCs w:val="24"/>
        </w:rPr>
        <w:t>.</w:t>
      </w:r>
      <w:hyperlink r:id="rId17">
        <w:r w:rsidRPr="31B5B968">
          <w:rPr>
            <w:rFonts w:eastAsia="Times New Roman"/>
            <w:sz w:val="24"/>
            <w:szCs w:val="24"/>
            <w:shd w:val="clear" w:color="auto" w:fill="F9F9F9"/>
          </w:rPr>
          <w:t xml:space="preserve"> </w:t>
        </w:r>
      </w:hyperlink>
      <w:r w:rsidRPr="31B5B968">
        <w:rPr>
          <w:rFonts w:eastAsia="Times New Roman"/>
          <w:sz w:val="24"/>
          <w:szCs w:val="24"/>
          <w:u w:val="single"/>
          <w:shd w:val="clear" w:color="auto" w:fill="F9F9F9"/>
        </w:rPr>
        <w:t xml:space="preserve"> </w:t>
      </w:r>
      <w:r w:rsidRPr="31B5B968">
        <w:rPr>
          <w:rFonts w:eastAsia="Times New Roman"/>
          <w:sz w:val="24"/>
          <w:szCs w:val="24"/>
        </w:rPr>
        <w:t>Sudan’s Sovereign Council also approved new laws and passed a package of</w:t>
      </w:r>
      <w:r w:rsidRPr="31B5B968">
        <w:rPr>
          <w:rFonts w:eastAsia="Times New Roman"/>
          <w:sz w:val="24"/>
          <w:szCs w:val="24"/>
          <w:shd w:val="clear" w:color="auto" w:fill="F9F9F9"/>
        </w:rPr>
        <w:t xml:space="preserve"> </w:t>
      </w:r>
      <w:hyperlink r:id="rId18">
        <w:r w:rsidRPr="31B5B968">
          <w:rPr>
            <w:rFonts w:eastAsia="Times New Roman"/>
            <w:sz w:val="24"/>
            <w:szCs w:val="24"/>
          </w:rPr>
          <w:t>amendments</w:t>
        </w:r>
      </w:hyperlink>
      <w:r w:rsidRPr="31B5B968">
        <w:rPr>
          <w:rFonts w:eastAsia="Times New Roman"/>
          <w:sz w:val="24"/>
          <w:szCs w:val="24"/>
        </w:rPr>
        <w:t xml:space="preserve"> to those articles.</w:t>
      </w:r>
      <w:r w:rsidRPr="31B5B968">
        <w:rPr>
          <w:rFonts w:eastAsia="Times New Roman"/>
          <w:sz w:val="24"/>
          <w:szCs w:val="24"/>
          <w:lang w:val="en" w:eastAsia="es-MX"/>
        </w:rPr>
        <w:t xml:space="preserve"> </w:t>
      </w:r>
      <w:r w:rsidRPr="31B5B968">
        <w:rPr>
          <w:rFonts w:eastAsia="Times New Roman"/>
          <w:sz w:val="24"/>
          <w:szCs w:val="24"/>
          <w:lang w:val="en"/>
        </w:rPr>
        <w:t>For instance, Article 151</w:t>
      </w:r>
      <w:r w:rsidRPr="31B5B968">
        <w:rPr>
          <w:rStyle w:val="Refdenotaalfinal"/>
          <w:rFonts w:eastAsia="Times New Roman"/>
          <w:sz w:val="24"/>
          <w:szCs w:val="24"/>
          <w:lang w:val="en"/>
        </w:rPr>
        <w:endnoteReference w:id="40"/>
      </w:r>
      <w:r w:rsidRPr="31B5B968">
        <w:rPr>
          <w:rFonts w:eastAsia="Times New Roman"/>
          <w:sz w:val="24"/>
          <w:szCs w:val="24"/>
          <w:lang w:val="en"/>
        </w:rPr>
        <w:t xml:space="preserve"> “Gross Indecency,” criminalizes any sexual act in both public and private spaces. Article 152 ‘Indecent and Immoral Acts’ criminalizes ‘indecent’ dressing, and consequently, the article is used to persecute non-binary and trans* identities and an obstacle in front of freedom of expression for the LGBTI+. Article 153“Materials and displays contrary to public morality,” criminalizes any possessing materials contrary to public morals. The article has been used against gay men and transwomen possessing what the Sudanese society considers “feminine materials.” All articles-imposed punishments varying from </w:t>
      </w:r>
      <w:r w:rsidRPr="31B5B968">
        <w:rPr>
          <w:rFonts w:eastAsia="Times New Roman"/>
          <w:sz w:val="24"/>
          <w:szCs w:val="24"/>
          <w:lang w:val="en"/>
        </w:rPr>
        <w:lastRenderedPageBreak/>
        <w:t>flogging, imprisonment, and fines. The amendments removed flogging punishments and left criminal charges up to the judges’ arbitrary decisions in all the articles.</w:t>
      </w:r>
      <w:r w:rsidRPr="31B5B968">
        <w:rPr>
          <w:rStyle w:val="Refdenotaalfinal"/>
          <w:rFonts w:eastAsia="Times New Roman"/>
          <w:sz w:val="24"/>
          <w:szCs w:val="24"/>
          <w:lang w:val="en"/>
        </w:rPr>
        <w:endnoteReference w:id="41"/>
      </w:r>
      <w:r w:rsidRPr="31B5B968">
        <w:rPr>
          <w:rFonts w:eastAsia="Times New Roman"/>
          <w:sz w:val="24"/>
          <w:szCs w:val="24"/>
          <w:lang w:val="en"/>
        </w:rPr>
        <w:t xml:space="preserve"> Despite the amendments, t</w:t>
      </w:r>
      <w:r w:rsidRPr="31B5B968">
        <w:rPr>
          <w:sz w:val="24"/>
          <w:szCs w:val="24"/>
          <w:lang w:val="en-US"/>
        </w:rPr>
        <w:t>he LGBTI+ community in Sudan is still subjected to a direct discriminatory legal framework. The removal of the death penalty from articles 148 and 151 is a positive change. However, the criminalization of homosexuality and the stigma due to religious discourse is still there.</w:t>
      </w:r>
      <w:r w:rsidRPr="31B5B968">
        <w:rPr>
          <w:rStyle w:val="Refdenotaalfinal"/>
          <w:sz w:val="24"/>
          <w:szCs w:val="24"/>
          <w:lang w:val="en-US"/>
        </w:rPr>
        <w:endnoteReference w:id="42"/>
      </w:r>
      <w:r w:rsidRPr="31B5B968">
        <w:rPr>
          <w:rFonts w:eastAsia="Times New Roman"/>
          <w:sz w:val="24"/>
          <w:szCs w:val="24"/>
          <w:lang w:val="en"/>
        </w:rPr>
        <w:t xml:space="preserve"> </w:t>
      </w:r>
      <w:r w:rsidRPr="31B5B968">
        <w:rPr>
          <w:rFonts w:eastAsiaTheme="minorEastAsia"/>
          <w:color w:val="000000" w:themeColor="text1"/>
          <w:sz w:val="24"/>
          <w:szCs w:val="24"/>
          <w:lang w:val="en"/>
        </w:rPr>
        <w:t>91 percent of Sudan’s population is Muslim, meaning that core Islamic values and beliefs dominate public discourse.  The right to freedom of religion is commonly misused to promote homophobia and encourage hate speech in Sudan. The Islamic concept of the Promotion of Virtue and the Prevention of Vice is the root of non-state violence against LGBTI+ groups in Islamic societies like Sudan. This concept has the ambiguity to be interpreted that if good Muslims forbid any acts against Islam's core beliefs committed by others, this will elevate their position as exemplary followers of their religion.</w:t>
      </w:r>
      <w:r w:rsidRPr="31B5B968">
        <w:rPr>
          <w:rStyle w:val="Refdenotaalfinal"/>
          <w:rFonts w:eastAsiaTheme="minorEastAsia"/>
          <w:color w:val="000000" w:themeColor="text1"/>
          <w:sz w:val="24"/>
          <w:szCs w:val="24"/>
          <w:lang w:val="en"/>
        </w:rPr>
        <w:endnoteReference w:id="43"/>
      </w:r>
      <w:r w:rsidRPr="31B5B968">
        <w:rPr>
          <w:rFonts w:eastAsiaTheme="minorEastAsia"/>
          <w:color w:val="000000" w:themeColor="text1"/>
          <w:sz w:val="24"/>
          <w:szCs w:val="24"/>
          <w:lang w:val="en"/>
        </w:rPr>
        <w:t xml:space="preserve"> In addition, discrimination by service providers is embedded in the law and the religious-cultural codes. Criminalization of same-sex relations in the country means most LGBTQI individuals are subjected to discrimination and sometimes violence from service providers.</w:t>
      </w:r>
      <w:r w:rsidRPr="31B5B968">
        <w:rPr>
          <w:rStyle w:val="Refdenotaalfinal"/>
          <w:rFonts w:eastAsiaTheme="minorEastAsia"/>
          <w:color w:val="000000" w:themeColor="text1"/>
          <w:sz w:val="24"/>
          <w:szCs w:val="24"/>
          <w:lang w:val="en"/>
        </w:rPr>
        <w:endnoteReference w:id="44"/>
      </w:r>
      <w:r w:rsidRPr="31B5B968">
        <w:rPr>
          <w:rFonts w:eastAsiaTheme="minorEastAsia"/>
          <w:color w:val="000000" w:themeColor="text1"/>
          <w:sz w:val="24"/>
          <w:szCs w:val="24"/>
          <w:lang w:val="en"/>
        </w:rPr>
        <w:t xml:space="preserve"> </w:t>
      </w:r>
    </w:p>
    <w:p w14:paraId="6BEFA3FA" w14:textId="7537E698" w:rsidR="00837C47" w:rsidRPr="00342109" w:rsidRDefault="00837C47" w:rsidP="00342109">
      <w:pPr>
        <w:jc w:val="both"/>
        <w:rPr>
          <w:rFonts w:eastAsiaTheme="minorEastAsia" w:cstheme="minorHAnsi"/>
          <w:b/>
          <w:bCs/>
          <w:i/>
          <w:iCs/>
          <w:color w:val="000000" w:themeColor="text1"/>
          <w:sz w:val="24"/>
          <w:szCs w:val="24"/>
          <w:lang w:val="en-US"/>
        </w:rPr>
      </w:pPr>
      <w:r w:rsidRPr="00342109">
        <w:rPr>
          <w:rFonts w:eastAsiaTheme="minorEastAsia" w:cstheme="minorHAnsi"/>
          <w:b/>
          <w:bCs/>
          <w:i/>
          <w:iCs/>
          <w:color w:val="000000" w:themeColor="text1"/>
          <w:sz w:val="24"/>
          <w:szCs w:val="24"/>
          <w:lang w:val="en-US"/>
        </w:rPr>
        <w:t>SOGIE Change Efforts</w:t>
      </w:r>
      <w:r>
        <w:rPr>
          <w:rFonts w:eastAsiaTheme="minorEastAsia" w:cstheme="minorHAnsi"/>
          <w:b/>
          <w:bCs/>
          <w:i/>
          <w:iCs/>
          <w:color w:val="000000" w:themeColor="text1"/>
          <w:sz w:val="24"/>
          <w:szCs w:val="24"/>
          <w:lang w:val="en-US"/>
        </w:rPr>
        <w:t xml:space="preserve"> (SOGIECE)</w:t>
      </w:r>
      <w:r w:rsidRPr="00342109">
        <w:rPr>
          <w:rFonts w:eastAsiaTheme="minorEastAsia" w:cstheme="minorHAnsi"/>
          <w:b/>
          <w:bCs/>
          <w:i/>
          <w:iCs/>
          <w:color w:val="000000" w:themeColor="text1"/>
          <w:sz w:val="24"/>
          <w:szCs w:val="24"/>
          <w:lang w:val="en-US"/>
        </w:rPr>
        <w:t xml:space="preserve">: </w:t>
      </w:r>
    </w:p>
    <w:p w14:paraId="3D3526CB" w14:textId="7CDADE4B" w:rsidR="00837C47" w:rsidRPr="00342109" w:rsidRDefault="00837C47" w:rsidP="00342109">
      <w:pPr>
        <w:jc w:val="both"/>
        <w:rPr>
          <w:rFonts w:eastAsiaTheme="minorEastAsia" w:cstheme="minorHAnsi"/>
          <w:color w:val="000000" w:themeColor="text1"/>
          <w:sz w:val="24"/>
          <w:szCs w:val="24"/>
          <w:lang w:val="en-US"/>
        </w:rPr>
      </w:pPr>
      <w:r w:rsidRPr="00342109">
        <w:rPr>
          <w:rFonts w:eastAsiaTheme="minorEastAsia" w:cstheme="minorHAnsi"/>
          <w:color w:val="000000" w:themeColor="text1"/>
          <w:sz w:val="24"/>
          <w:szCs w:val="24"/>
          <w:lang w:val="en-US"/>
        </w:rPr>
        <w:t>So-called “conversion therapies”</w:t>
      </w:r>
      <w:r w:rsidRPr="00342109">
        <w:rPr>
          <w:rStyle w:val="Refdenotaalfinal"/>
          <w:rFonts w:eastAsiaTheme="minorEastAsia" w:cstheme="minorHAnsi"/>
          <w:color w:val="000000" w:themeColor="text1"/>
          <w:sz w:val="24"/>
          <w:szCs w:val="24"/>
          <w:lang w:val="en-US"/>
        </w:rPr>
        <w:endnoteReference w:id="45"/>
      </w:r>
      <w:r w:rsidRPr="00342109">
        <w:rPr>
          <w:rFonts w:eastAsiaTheme="minorEastAsia" w:cstheme="minorHAnsi"/>
          <w:color w:val="000000" w:themeColor="text1"/>
          <w:sz w:val="24"/>
          <w:szCs w:val="24"/>
          <w:lang w:val="en-US"/>
        </w:rPr>
        <w:t xml:space="preserve"> or SOGIE change efforts are based on discrimination and often amount to cruel, inhumane, and degrading treatment or torture. Though there is an absence of sufficient research, evidence shows</w:t>
      </w:r>
      <w:r>
        <w:rPr>
          <w:rFonts w:eastAsiaTheme="minorEastAsia" w:cstheme="minorHAnsi"/>
          <w:color w:val="000000" w:themeColor="text1"/>
          <w:sz w:val="24"/>
          <w:szCs w:val="24"/>
          <w:lang w:val="en-US"/>
        </w:rPr>
        <w:t xml:space="preserve"> that between 7 and 16% of LGBTI+</w:t>
      </w:r>
      <w:r w:rsidRPr="00342109">
        <w:rPr>
          <w:rFonts w:eastAsiaTheme="minorEastAsia" w:cstheme="minorHAnsi"/>
          <w:color w:val="000000" w:themeColor="text1"/>
          <w:sz w:val="24"/>
          <w:szCs w:val="24"/>
          <w:lang w:val="en-US"/>
        </w:rPr>
        <w:t xml:space="preserve"> persons have been exposed to SOGIE</w:t>
      </w:r>
      <w:r>
        <w:rPr>
          <w:rFonts w:eastAsiaTheme="minorEastAsia" w:cstheme="minorHAnsi"/>
          <w:color w:val="000000" w:themeColor="text1"/>
          <w:sz w:val="24"/>
          <w:szCs w:val="24"/>
          <w:lang w:val="en-US"/>
        </w:rPr>
        <w:t>CE</w:t>
      </w:r>
      <w:r w:rsidRPr="00342109">
        <w:rPr>
          <w:rFonts w:eastAsiaTheme="minorEastAsia" w:cstheme="minorHAnsi"/>
          <w:color w:val="000000" w:themeColor="text1"/>
          <w:sz w:val="24"/>
          <w:szCs w:val="24"/>
          <w:lang w:val="en-US"/>
        </w:rPr>
        <w:t xml:space="preserve"> depending on</w:t>
      </w:r>
      <w:r>
        <w:rPr>
          <w:rFonts w:eastAsiaTheme="minorEastAsia" w:cstheme="minorHAnsi"/>
          <w:color w:val="000000" w:themeColor="text1"/>
          <w:sz w:val="24"/>
          <w:szCs w:val="24"/>
          <w:lang w:val="en-US"/>
        </w:rPr>
        <w:t xml:space="preserve"> the</w:t>
      </w:r>
      <w:r w:rsidRPr="00342109">
        <w:rPr>
          <w:rFonts w:eastAsiaTheme="minorEastAsia" w:cstheme="minorHAnsi"/>
          <w:color w:val="000000" w:themeColor="text1"/>
          <w:sz w:val="24"/>
          <w:szCs w:val="24"/>
          <w:lang w:val="en-US"/>
        </w:rPr>
        <w:t xml:space="preserve"> country, with the highest figures being reported in Iran and South Korea</w:t>
      </w:r>
      <w:r w:rsidRPr="00342109">
        <w:rPr>
          <w:rStyle w:val="Refdenotaalfinal"/>
          <w:rFonts w:eastAsiaTheme="minorEastAsia" w:cstheme="minorHAnsi"/>
          <w:color w:val="000000" w:themeColor="text1"/>
          <w:sz w:val="24"/>
          <w:szCs w:val="24"/>
          <w:lang w:val="en-US"/>
        </w:rPr>
        <w:endnoteReference w:id="46"/>
      </w:r>
      <w:r w:rsidRPr="00342109">
        <w:rPr>
          <w:rFonts w:eastAsiaTheme="minorEastAsia" w:cstheme="minorHAnsi"/>
          <w:color w:val="000000" w:themeColor="text1"/>
          <w:sz w:val="24"/>
          <w:szCs w:val="24"/>
          <w:lang w:val="en-US"/>
        </w:rPr>
        <w:t xml:space="preserve">. </w:t>
      </w:r>
    </w:p>
    <w:p w14:paraId="1D9DA848" w14:textId="44B4DFB1" w:rsidR="00837C47" w:rsidRPr="00342109" w:rsidRDefault="00837C47" w:rsidP="00342109">
      <w:pPr>
        <w:jc w:val="both"/>
        <w:rPr>
          <w:rFonts w:eastAsiaTheme="minorEastAsia" w:cstheme="minorHAnsi"/>
          <w:color w:val="000000" w:themeColor="text1"/>
          <w:sz w:val="24"/>
          <w:szCs w:val="24"/>
          <w:lang w:val="en-US"/>
        </w:rPr>
      </w:pPr>
      <w:r w:rsidRPr="00342109">
        <w:rPr>
          <w:rFonts w:eastAsiaTheme="minorEastAsia" w:cstheme="minorHAnsi"/>
          <w:color w:val="000000" w:themeColor="text1"/>
          <w:sz w:val="24"/>
          <w:szCs w:val="24"/>
          <w:lang w:val="en-US"/>
        </w:rPr>
        <w:t>Religious leaders are one of the most vocal proponents of conversion therapy, claiming this practice is related to the manifestation of religion. Religious affiliated media outlets and lobby groups play an important role in presenting</w:t>
      </w:r>
      <w:r>
        <w:rPr>
          <w:rFonts w:eastAsiaTheme="minorEastAsia" w:cstheme="minorHAnsi"/>
          <w:color w:val="000000" w:themeColor="text1"/>
          <w:sz w:val="24"/>
          <w:szCs w:val="24"/>
          <w:lang w:val="en-US"/>
        </w:rPr>
        <w:t xml:space="preserve"> SOGIECE</w:t>
      </w:r>
      <w:r w:rsidRPr="00342109">
        <w:rPr>
          <w:rFonts w:eastAsiaTheme="minorEastAsia" w:cstheme="minorHAnsi"/>
          <w:color w:val="000000" w:themeColor="text1"/>
          <w:sz w:val="24"/>
          <w:szCs w:val="24"/>
          <w:lang w:val="en-US"/>
        </w:rPr>
        <w:t xml:space="preserve"> as being intimately related to religious practice. Accounts of survivors reveal that religious leaders, religious schools, and other religious institutions refer people to so-called conversion therapy, at times as a matter of policy</w:t>
      </w:r>
      <w:r w:rsidRPr="00342109">
        <w:rPr>
          <w:rStyle w:val="Refdenotaalfinal"/>
          <w:rFonts w:eastAsiaTheme="minorEastAsia" w:cstheme="minorHAnsi"/>
          <w:color w:val="000000" w:themeColor="text1"/>
          <w:sz w:val="24"/>
          <w:szCs w:val="24"/>
          <w:lang w:val="en-US"/>
        </w:rPr>
        <w:endnoteReference w:id="47"/>
      </w:r>
      <w:r w:rsidRPr="00342109">
        <w:rPr>
          <w:rFonts w:eastAsiaTheme="minorEastAsia" w:cstheme="minorHAnsi"/>
          <w:color w:val="000000" w:themeColor="text1"/>
          <w:sz w:val="24"/>
          <w:szCs w:val="24"/>
          <w:lang w:val="en-US"/>
        </w:rPr>
        <w:t xml:space="preserve">. </w:t>
      </w:r>
    </w:p>
    <w:p w14:paraId="5AA60013" w14:textId="20FAB4FC" w:rsidR="00837C47" w:rsidRPr="00342109" w:rsidRDefault="00837C47" w:rsidP="31B5B968">
      <w:pPr>
        <w:jc w:val="both"/>
        <w:rPr>
          <w:rFonts w:eastAsiaTheme="minorEastAsia"/>
          <w:color w:val="000000" w:themeColor="text1"/>
          <w:sz w:val="24"/>
          <w:szCs w:val="24"/>
          <w:lang w:val="en"/>
        </w:rPr>
      </w:pPr>
      <w:r w:rsidRPr="31B5B968">
        <w:rPr>
          <w:rFonts w:eastAsiaTheme="minorEastAsia"/>
          <w:color w:val="000000" w:themeColor="text1"/>
          <w:sz w:val="24"/>
          <w:szCs w:val="24"/>
          <w:lang w:val="en-US"/>
        </w:rPr>
        <w:t xml:space="preserve">For example, in </w:t>
      </w:r>
      <w:r w:rsidRPr="31B5B968">
        <w:rPr>
          <w:rFonts w:eastAsiaTheme="minorEastAsia"/>
          <w:b/>
          <w:bCs/>
          <w:color w:val="000000" w:themeColor="text1"/>
          <w:sz w:val="24"/>
          <w:szCs w:val="24"/>
          <w:lang w:val="en-US"/>
        </w:rPr>
        <w:t>Ghana</w:t>
      </w:r>
      <w:r w:rsidRPr="31B5B968">
        <w:rPr>
          <w:rFonts w:eastAsiaTheme="minorEastAsia"/>
          <w:color w:val="000000" w:themeColor="text1"/>
          <w:sz w:val="24"/>
          <w:szCs w:val="24"/>
          <w:lang w:val="en-US"/>
        </w:rPr>
        <w:t>, anti-gay narratives promoted by religious leaders have allegedly played a significant role in promoting shame and guilt in relation to SOGI among members of religious communities. In 2018, 400 people voluntarily signed up for conversion therapies provided by an interreligious organization called the National Coalition for Proper Human Sexual Rights and Family Values. The coalition's leader revealed a plan to propose a bill to make conversion therapy mandatory for gay men</w:t>
      </w:r>
      <w:r w:rsidRPr="31B5B968">
        <w:rPr>
          <w:rStyle w:val="Refdenotaalfinal"/>
          <w:rFonts w:eastAsiaTheme="minorEastAsia"/>
          <w:color w:val="000000" w:themeColor="text1"/>
          <w:sz w:val="24"/>
          <w:szCs w:val="24"/>
          <w:lang w:val="en-US"/>
        </w:rPr>
        <w:endnoteReference w:id="48"/>
      </w:r>
      <w:r w:rsidRPr="31B5B968">
        <w:rPr>
          <w:rFonts w:eastAsiaTheme="minorEastAsia"/>
          <w:color w:val="000000" w:themeColor="text1"/>
          <w:sz w:val="24"/>
          <w:szCs w:val="24"/>
          <w:lang w:val="en-US"/>
        </w:rPr>
        <w:t xml:space="preserve"> and in 2021 the Ghana</w:t>
      </w:r>
      <w:r w:rsidRPr="31B5B968">
        <w:rPr>
          <w:color w:val="000000"/>
          <w:sz w:val="24"/>
          <w:szCs w:val="24"/>
          <w:lang w:val="en-US"/>
        </w:rPr>
        <w:t xml:space="preserve"> Catholic Bishop’s Conference issued a declaration based on biblical passages to condemn the practice of homosexuality in Ghana and called on the Government to close a LGBTI+ office space that was recently opened in Accra, firmly opposing to legalize the rights of LGBTI+ groups in the country. </w:t>
      </w:r>
      <w:r w:rsidRPr="31B5B968">
        <w:rPr>
          <w:rStyle w:val="Refdenotaalfinal"/>
          <w:color w:val="000000"/>
          <w:sz w:val="24"/>
          <w:szCs w:val="24"/>
          <w:lang w:val="en-US"/>
        </w:rPr>
        <w:endnoteReference w:id="49"/>
      </w:r>
      <w:r w:rsidRPr="31B5B968">
        <w:rPr>
          <w:rFonts w:eastAsiaTheme="minorEastAsia"/>
          <w:color w:val="000000" w:themeColor="text1"/>
          <w:sz w:val="24"/>
          <w:szCs w:val="24"/>
          <w:lang w:val="en-US"/>
        </w:rPr>
        <w:t xml:space="preserve"> Similarly, evidence from Armenia suggests that SOGIECE are a widespread practice in the country. In some cases, parents of LGBTI+ children may initiate this practice, isolating their children at home and forcibly taking them to clergymen</w:t>
      </w:r>
      <w:r w:rsidRPr="31B5B968">
        <w:rPr>
          <w:rStyle w:val="Refdenotaalfinal"/>
          <w:rFonts w:eastAsiaTheme="minorEastAsia"/>
          <w:color w:val="000000" w:themeColor="text1"/>
          <w:sz w:val="24"/>
          <w:szCs w:val="24"/>
          <w:lang w:val="en-US"/>
        </w:rPr>
        <w:endnoteReference w:id="50"/>
      </w:r>
      <w:r w:rsidRPr="31B5B968">
        <w:rPr>
          <w:rFonts w:eastAsiaTheme="minorEastAsia"/>
          <w:color w:val="000000" w:themeColor="text1"/>
          <w:sz w:val="24"/>
          <w:szCs w:val="24"/>
          <w:lang w:val="en-US"/>
        </w:rPr>
        <w:t>. In Kenya, there has been heightening stigma and discrimination towards LBQTI+ women by religious leaders, including those who attempt to change SOGIE by conducting non-affirming religious and spiritual guidance.</w:t>
      </w:r>
      <w:r w:rsidRPr="31B5B968">
        <w:rPr>
          <w:rStyle w:val="Refdenotaalfinal"/>
          <w:rFonts w:eastAsiaTheme="minorEastAsia"/>
          <w:color w:val="000000" w:themeColor="text1"/>
          <w:sz w:val="24"/>
          <w:szCs w:val="24"/>
          <w:lang w:val="en-US"/>
        </w:rPr>
        <w:endnoteReference w:id="51"/>
      </w:r>
      <w:r w:rsidRPr="31B5B968">
        <w:rPr>
          <w:rFonts w:eastAsiaTheme="minorEastAsia"/>
          <w:color w:val="000000" w:themeColor="text1"/>
          <w:sz w:val="24"/>
          <w:szCs w:val="24"/>
          <w:lang w:val="en-US"/>
        </w:rPr>
        <w:t xml:space="preserve"> </w:t>
      </w:r>
      <w:r w:rsidRPr="31B5B968">
        <w:rPr>
          <w:rFonts w:eastAsiaTheme="minorEastAsia"/>
          <w:color w:val="000000" w:themeColor="text1"/>
          <w:sz w:val="24"/>
          <w:szCs w:val="24"/>
          <w:lang w:val="en"/>
        </w:rPr>
        <w:t xml:space="preserve">In Sudan, certain Islamic concepts have been </w:t>
      </w:r>
      <w:r w:rsidRPr="31B5B968">
        <w:rPr>
          <w:rFonts w:eastAsiaTheme="minorEastAsia"/>
          <w:color w:val="000000" w:themeColor="text1"/>
          <w:sz w:val="24"/>
          <w:szCs w:val="24"/>
          <w:lang w:val="en"/>
        </w:rPr>
        <w:lastRenderedPageBreak/>
        <w:t>used by several health-care providers with a conversion therapy approach to propel guilt and shame in their LGBTI+ patients. For instance, the concept of curse in Islam, which means “being expelled and removed from goodness” has been used to justify this practice, as well as to justify violent behaviors targeted to persons who do not fit the heteronormativity standards.</w:t>
      </w:r>
      <w:r w:rsidRPr="31B5B968">
        <w:rPr>
          <w:rStyle w:val="Refdenotaalfinal"/>
          <w:rFonts w:eastAsiaTheme="minorEastAsia"/>
          <w:color w:val="000000" w:themeColor="text1"/>
          <w:sz w:val="24"/>
          <w:szCs w:val="24"/>
          <w:lang w:val="en"/>
        </w:rPr>
        <w:endnoteReference w:id="52"/>
      </w:r>
    </w:p>
    <w:p w14:paraId="54FC83FC" w14:textId="427D5EB4" w:rsidR="00837C47" w:rsidRPr="00342109" w:rsidRDefault="00837C47" w:rsidP="00342109">
      <w:pPr>
        <w:jc w:val="both"/>
        <w:rPr>
          <w:rFonts w:cstheme="minorHAnsi"/>
          <w:sz w:val="24"/>
          <w:szCs w:val="24"/>
        </w:rPr>
      </w:pPr>
      <w:r w:rsidRPr="00342109">
        <w:rPr>
          <w:rFonts w:cstheme="minorHAnsi"/>
          <w:sz w:val="24"/>
          <w:szCs w:val="24"/>
        </w:rPr>
        <w:t>In Zambia, medical personnel have been reported to discriminate against patients perceived to be LGBT</w:t>
      </w:r>
      <w:r>
        <w:rPr>
          <w:rFonts w:cstheme="minorHAnsi"/>
          <w:sz w:val="24"/>
          <w:szCs w:val="24"/>
        </w:rPr>
        <w:t xml:space="preserve">I+, </w:t>
      </w:r>
      <w:r w:rsidRPr="00342109">
        <w:rPr>
          <w:rFonts w:cstheme="minorHAnsi"/>
          <w:sz w:val="24"/>
          <w:szCs w:val="24"/>
        </w:rPr>
        <w:t xml:space="preserve">based on their religious beliefs. Many health-care providers have not only outed the patients and reported them to the Police. They have also attempted to “convert” patients from homosexuality, and outright refusal to provide services. </w:t>
      </w:r>
      <w:r w:rsidRPr="00342109">
        <w:rPr>
          <w:rStyle w:val="Refdenotaalfinal"/>
          <w:rFonts w:cstheme="minorHAnsi"/>
          <w:sz w:val="24"/>
          <w:szCs w:val="24"/>
        </w:rPr>
        <w:endnoteReference w:id="53"/>
      </w:r>
    </w:p>
    <w:p w14:paraId="60E6868C" w14:textId="34394F08" w:rsidR="00837C47" w:rsidRPr="00342109" w:rsidRDefault="00837C47" w:rsidP="00342109">
      <w:pPr>
        <w:jc w:val="both"/>
        <w:rPr>
          <w:rFonts w:eastAsiaTheme="minorEastAsia" w:cstheme="minorHAnsi"/>
          <w:color w:val="000000" w:themeColor="text1"/>
          <w:sz w:val="24"/>
          <w:szCs w:val="24"/>
          <w:lang w:val="en"/>
        </w:rPr>
      </w:pPr>
      <w:r w:rsidRPr="00342109">
        <w:rPr>
          <w:rFonts w:eastAsiaTheme="minorEastAsia" w:cstheme="minorHAnsi"/>
          <w:color w:val="000000" w:themeColor="text1"/>
          <w:sz w:val="24"/>
          <w:szCs w:val="24"/>
          <w:lang w:val="en"/>
        </w:rPr>
        <w:t>Similarly, in Peru, evidence has shown that SOGIE</w:t>
      </w:r>
      <w:r>
        <w:rPr>
          <w:rFonts w:eastAsiaTheme="minorEastAsia" w:cstheme="minorHAnsi"/>
          <w:color w:val="000000" w:themeColor="text1"/>
          <w:sz w:val="24"/>
          <w:szCs w:val="24"/>
          <w:lang w:val="en"/>
        </w:rPr>
        <w:t>CE</w:t>
      </w:r>
      <w:r w:rsidRPr="00342109">
        <w:rPr>
          <w:rFonts w:eastAsiaTheme="minorEastAsia" w:cstheme="minorHAnsi"/>
          <w:color w:val="000000" w:themeColor="text1"/>
          <w:sz w:val="24"/>
          <w:szCs w:val="24"/>
          <w:lang w:val="en"/>
        </w:rPr>
        <w:t xml:space="preserve"> are widely dispersed by relying on the validation of Christian psychological centers</w:t>
      </w:r>
      <w:r w:rsidRPr="00342109">
        <w:rPr>
          <w:rStyle w:val="Refdenotaalfinal"/>
          <w:rFonts w:eastAsiaTheme="minorEastAsia" w:cstheme="minorHAnsi"/>
          <w:color w:val="000000" w:themeColor="text1"/>
          <w:sz w:val="24"/>
          <w:szCs w:val="24"/>
          <w:lang w:val="en"/>
        </w:rPr>
        <w:endnoteReference w:id="54"/>
      </w:r>
      <w:r w:rsidRPr="00342109">
        <w:rPr>
          <w:rFonts w:eastAsiaTheme="minorEastAsia" w:cstheme="minorHAnsi"/>
          <w:color w:val="000000" w:themeColor="text1"/>
          <w:sz w:val="24"/>
          <w:szCs w:val="24"/>
          <w:lang w:val="en"/>
        </w:rPr>
        <w:t>. A study by the Peruvian LGBT organisation Más Igualdad Perú found that 40% of LGBT people who responded to their survey had been subject to SOGIE</w:t>
      </w:r>
      <w:r>
        <w:rPr>
          <w:rFonts w:eastAsiaTheme="minorEastAsia" w:cstheme="minorHAnsi"/>
          <w:color w:val="000000" w:themeColor="text1"/>
          <w:sz w:val="24"/>
          <w:szCs w:val="24"/>
          <w:lang w:val="en"/>
        </w:rPr>
        <w:t>CE</w:t>
      </w:r>
      <w:r w:rsidRPr="00342109">
        <w:rPr>
          <w:rFonts w:eastAsiaTheme="minorEastAsia" w:cstheme="minorHAnsi"/>
          <w:color w:val="000000" w:themeColor="text1"/>
          <w:sz w:val="24"/>
          <w:szCs w:val="24"/>
          <w:lang w:val="en"/>
        </w:rPr>
        <w:t>. Of this group, over 60% were subject to these practices as minors and half of all practices were carried out in religious institutions or by people who subscribe to Christian religions</w:t>
      </w:r>
      <w:r w:rsidRPr="00342109">
        <w:rPr>
          <w:rStyle w:val="Refdenotaalfinal"/>
          <w:rFonts w:eastAsiaTheme="minorEastAsia" w:cstheme="minorHAnsi"/>
          <w:color w:val="000000" w:themeColor="text1"/>
          <w:sz w:val="24"/>
          <w:szCs w:val="24"/>
          <w:lang w:val="en"/>
        </w:rPr>
        <w:endnoteReference w:id="55"/>
      </w:r>
      <w:r w:rsidRPr="00342109">
        <w:rPr>
          <w:rFonts w:eastAsiaTheme="minorEastAsia" w:cstheme="minorHAnsi"/>
          <w:color w:val="000000" w:themeColor="text1"/>
          <w:sz w:val="24"/>
          <w:szCs w:val="24"/>
          <w:lang w:val="en"/>
        </w:rPr>
        <w:t>. It should be noted that these practices are validated in the public sphere by political actors linked to evangelical churches. In 2015, a then congressman and evangelical pastor argued that “many homosexuals have come and have had an encounter with God and have been healed... it is not an irreversible condition”. Similarly, in the municipal elections of 2018, an evangelical candidate for m</w:t>
      </w:r>
      <w:r>
        <w:rPr>
          <w:rFonts w:eastAsiaTheme="minorEastAsia" w:cstheme="minorHAnsi"/>
          <w:color w:val="000000" w:themeColor="text1"/>
          <w:sz w:val="24"/>
          <w:szCs w:val="24"/>
          <w:lang w:val="en"/>
        </w:rPr>
        <w:t>ayor raised the realization of “</w:t>
      </w:r>
      <w:r w:rsidRPr="00342109">
        <w:rPr>
          <w:rFonts w:eastAsiaTheme="minorEastAsia" w:cstheme="minorHAnsi"/>
          <w:color w:val="000000" w:themeColor="text1"/>
          <w:sz w:val="24"/>
          <w:szCs w:val="24"/>
          <w:lang w:val="en"/>
        </w:rPr>
        <w:t>conversion therapies” for LGBT</w:t>
      </w:r>
      <w:r>
        <w:rPr>
          <w:rFonts w:eastAsiaTheme="minorEastAsia" w:cstheme="minorHAnsi"/>
          <w:color w:val="000000" w:themeColor="text1"/>
          <w:sz w:val="24"/>
          <w:szCs w:val="24"/>
          <w:lang w:val="en"/>
        </w:rPr>
        <w:t>+</w:t>
      </w:r>
      <w:r w:rsidRPr="00342109">
        <w:rPr>
          <w:rFonts w:eastAsiaTheme="minorEastAsia" w:cstheme="minorHAnsi"/>
          <w:color w:val="000000" w:themeColor="text1"/>
          <w:sz w:val="24"/>
          <w:szCs w:val="24"/>
          <w:lang w:val="en"/>
        </w:rPr>
        <w:t xml:space="preserve"> people as a campaign proposal. In 2021, following the presentation of a bill that sought </w:t>
      </w:r>
      <w:r>
        <w:rPr>
          <w:rFonts w:eastAsiaTheme="minorEastAsia" w:cstheme="minorHAnsi"/>
          <w:color w:val="000000" w:themeColor="text1"/>
          <w:sz w:val="24"/>
          <w:szCs w:val="24"/>
          <w:lang w:val="en"/>
        </w:rPr>
        <w:t>to prohibit SOGIECE</w:t>
      </w:r>
      <w:r w:rsidRPr="00342109">
        <w:rPr>
          <w:rFonts w:eastAsiaTheme="minorEastAsia" w:cstheme="minorHAnsi"/>
          <w:color w:val="000000" w:themeColor="text1"/>
          <w:sz w:val="24"/>
          <w:szCs w:val="24"/>
          <w:lang w:val="en"/>
        </w:rPr>
        <w:t>, a Christian lawyer and congressional candidate argued on Facebook that “banning conversion therapies... is an attack on the individual freedom of those who voluntarily do not wish to maintain an emotional attraction that causes them distress”</w:t>
      </w:r>
      <w:r w:rsidRPr="00342109">
        <w:rPr>
          <w:rStyle w:val="Refdenotaalfinal"/>
          <w:rFonts w:eastAsiaTheme="minorEastAsia" w:cstheme="minorHAnsi"/>
          <w:color w:val="000000" w:themeColor="text1"/>
          <w:sz w:val="24"/>
          <w:szCs w:val="24"/>
          <w:lang w:val="en"/>
        </w:rPr>
        <w:endnoteReference w:id="56"/>
      </w:r>
      <w:r w:rsidRPr="00342109">
        <w:rPr>
          <w:rFonts w:eastAsiaTheme="minorEastAsia" w:cstheme="minorHAnsi"/>
          <w:color w:val="000000" w:themeColor="text1"/>
          <w:sz w:val="24"/>
          <w:szCs w:val="24"/>
          <w:lang w:val="en"/>
        </w:rPr>
        <w:t xml:space="preserve">. </w:t>
      </w:r>
    </w:p>
    <w:p w14:paraId="32419445" w14:textId="467698AA" w:rsidR="00837C47" w:rsidRPr="00342109" w:rsidRDefault="00837C47" w:rsidP="00342109">
      <w:pPr>
        <w:jc w:val="both"/>
        <w:rPr>
          <w:rFonts w:eastAsiaTheme="minorEastAsia" w:cstheme="minorHAnsi"/>
          <w:color w:val="000000" w:themeColor="text1"/>
          <w:sz w:val="24"/>
          <w:szCs w:val="24"/>
          <w:lang w:val="en-US"/>
        </w:rPr>
      </w:pPr>
      <w:r w:rsidRPr="00342109">
        <w:rPr>
          <w:rFonts w:eastAsiaTheme="minorEastAsia" w:cstheme="minorHAnsi"/>
          <w:color w:val="000000" w:themeColor="text1"/>
          <w:sz w:val="24"/>
          <w:szCs w:val="24"/>
          <w:lang w:val="en-US"/>
        </w:rPr>
        <w:t>It has been well established in international human rights law that states have a responsibility to int</w:t>
      </w:r>
      <w:r>
        <w:rPr>
          <w:rFonts w:eastAsiaTheme="minorEastAsia" w:cstheme="minorHAnsi"/>
          <w:color w:val="000000" w:themeColor="text1"/>
          <w:sz w:val="24"/>
          <w:szCs w:val="24"/>
          <w:lang w:val="en-US"/>
        </w:rPr>
        <w:t>ervene in the practice of SOGIECE</w:t>
      </w:r>
      <w:r w:rsidRPr="00342109">
        <w:rPr>
          <w:rFonts w:eastAsiaTheme="minorEastAsia" w:cstheme="minorHAnsi"/>
          <w:color w:val="000000" w:themeColor="text1"/>
          <w:sz w:val="24"/>
          <w:szCs w:val="24"/>
          <w:lang w:val="en-US"/>
        </w:rPr>
        <w:t>. The Committee against Torture, the Committee on the Rights of Persons with Disabilities, and the Committee on the Elimination of Discrimination against Women have all made recommendations to states to end the practice of so-called conversion therapy. However, only a small number of states have nationwide bans on the practice</w:t>
      </w:r>
      <w:r w:rsidRPr="00342109">
        <w:rPr>
          <w:rStyle w:val="Refdenotaalfinal"/>
          <w:rFonts w:eastAsiaTheme="minorEastAsia" w:cstheme="minorHAnsi"/>
          <w:color w:val="000000" w:themeColor="text1"/>
          <w:sz w:val="24"/>
          <w:szCs w:val="24"/>
          <w:lang w:val="en-US"/>
        </w:rPr>
        <w:endnoteReference w:id="57"/>
      </w:r>
      <w:r w:rsidRPr="00342109">
        <w:rPr>
          <w:rFonts w:eastAsiaTheme="minorEastAsia" w:cstheme="minorHAnsi"/>
          <w:color w:val="000000" w:themeColor="text1"/>
          <w:sz w:val="24"/>
          <w:szCs w:val="24"/>
          <w:lang w:val="en-US"/>
        </w:rPr>
        <w:t xml:space="preserve"> and r</w:t>
      </w:r>
      <w:r>
        <w:rPr>
          <w:rFonts w:eastAsiaTheme="minorEastAsia" w:cstheme="minorHAnsi"/>
          <w:color w:val="000000" w:themeColor="text1"/>
          <w:sz w:val="24"/>
          <w:szCs w:val="24"/>
          <w:lang w:val="en-US"/>
        </w:rPr>
        <w:t>eference to Fo</w:t>
      </w:r>
      <w:r w:rsidRPr="00342109">
        <w:rPr>
          <w:rFonts w:eastAsiaTheme="minorEastAsia" w:cstheme="minorHAnsi"/>
          <w:color w:val="000000" w:themeColor="text1"/>
          <w:sz w:val="24"/>
          <w:szCs w:val="24"/>
          <w:lang w:val="en-US"/>
        </w:rPr>
        <w:t>RB is at times used to justify state inaction on SOGIE</w:t>
      </w:r>
      <w:r>
        <w:rPr>
          <w:rFonts w:eastAsiaTheme="minorEastAsia" w:cstheme="minorHAnsi"/>
          <w:color w:val="000000" w:themeColor="text1"/>
          <w:sz w:val="24"/>
          <w:szCs w:val="24"/>
          <w:lang w:val="en-US"/>
        </w:rPr>
        <w:t>CE</w:t>
      </w:r>
      <w:r w:rsidRPr="00342109">
        <w:rPr>
          <w:rFonts w:eastAsiaTheme="minorEastAsia" w:cstheme="minorHAnsi"/>
          <w:color w:val="000000" w:themeColor="text1"/>
          <w:sz w:val="24"/>
          <w:szCs w:val="24"/>
          <w:lang w:val="en-US"/>
        </w:rPr>
        <w:t xml:space="preserve">. </w:t>
      </w:r>
    </w:p>
    <w:p w14:paraId="2688DBC9" w14:textId="40846B41" w:rsidR="00837C47" w:rsidRPr="00342109" w:rsidRDefault="00837C47" w:rsidP="00342109">
      <w:pPr>
        <w:jc w:val="both"/>
        <w:rPr>
          <w:rFonts w:eastAsiaTheme="minorEastAsia" w:cstheme="minorHAnsi"/>
          <w:color w:val="000000" w:themeColor="text1"/>
          <w:sz w:val="24"/>
          <w:szCs w:val="24"/>
          <w:lang w:val="en-US"/>
        </w:rPr>
      </w:pPr>
      <w:r w:rsidRPr="00342109">
        <w:rPr>
          <w:rFonts w:eastAsiaTheme="minorEastAsia" w:cstheme="minorHAnsi"/>
          <w:color w:val="000000" w:themeColor="text1"/>
          <w:sz w:val="24"/>
          <w:szCs w:val="24"/>
          <w:lang w:val="en-US"/>
        </w:rPr>
        <w:t xml:space="preserve">An example of this can be seen in the 2022 Inter-American Court of Human Rights case, </w:t>
      </w:r>
      <w:r w:rsidRPr="00342109">
        <w:rPr>
          <w:rFonts w:eastAsiaTheme="minorEastAsia" w:cstheme="minorHAnsi"/>
          <w:i/>
          <w:iCs/>
          <w:color w:val="000000" w:themeColor="text1"/>
          <w:sz w:val="24"/>
          <w:szCs w:val="24"/>
          <w:lang w:val="en-US"/>
        </w:rPr>
        <w:t>Pavez v Chile</w:t>
      </w:r>
      <w:r w:rsidRPr="00342109">
        <w:rPr>
          <w:rFonts w:eastAsiaTheme="minorEastAsia" w:cstheme="minorHAnsi"/>
          <w:color w:val="000000" w:themeColor="text1"/>
          <w:sz w:val="24"/>
          <w:szCs w:val="24"/>
          <w:lang w:val="en-US"/>
        </w:rPr>
        <w:t>. In this case this case, a Chilean lesbian woman was dismissed from her teaching post at a Catholic school when it was found she was living with a woman. Her return to work was allegedly made conditional on her seeking “psychiatric therapy” to change her sexual orientation, and when she refused to do this, the documentation she required to work was revoked. The Chilean state defended this with reference to religious freedom, specifically the right of parents to ensure their children receive education in keeping with their own convictions. However, the court ruled in favour of Pavez and held that “there cannot be decisions that affect human rights that are outside the legal control of the State authorities”</w:t>
      </w:r>
      <w:r w:rsidRPr="00342109">
        <w:rPr>
          <w:rStyle w:val="Refdenotaalfinal"/>
          <w:rFonts w:eastAsiaTheme="minorEastAsia" w:cstheme="minorHAnsi"/>
          <w:color w:val="000000" w:themeColor="text1"/>
          <w:sz w:val="24"/>
          <w:szCs w:val="24"/>
          <w:lang w:val="en-US"/>
        </w:rPr>
        <w:endnoteReference w:id="58"/>
      </w:r>
      <w:r w:rsidRPr="00342109">
        <w:rPr>
          <w:rFonts w:eastAsiaTheme="minorEastAsia" w:cstheme="minorHAnsi"/>
          <w:color w:val="000000" w:themeColor="text1"/>
          <w:sz w:val="24"/>
          <w:szCs w:val="24"/>
          <w:lang w:val="en-US"/>
        </w:rPr>
        <w:t>.  This case illustrates that states sometimes fail to address tensions between religious actors and LGBTI</w:t>
      </w:r>
      <w:r>
        <w:rPr>
          <w:rFonts w:eastAsiaTheme="minorEastAsia" w:cstheme="minorHAnsi"/>
          <w:color w:val="000000" w:themeColor="text1"/>
          <w:sz w:val="24"/>
          <w:szCs w:val="24"/>
          <w:lang w:val="en-US"/>
        </w:rPr>
        <w:t>+</w:t>
      </w:r>
      <w:r w:rsidRPr="00342109">
        <w:rPr>
          <w:rFonts w:eastAsiaTheme="minorEastAsia" w:cstheme="minorHAnsi"/>
          <w:color w:val="000000" w:themeColor="text1"/>
          <w:sz w:val="24"/>
          <w:szCs w:val="24"/>
          <w:lang w:val="en-US"/>
        </w:rPr>
        <w:t xml:space="preserve"> citizens in a way that protects the human rights of all involved. </w:t>
      </w:r>
    </w:p>
    <w:p w14:paraId="0616FA72" w14:textId="3C71795A" w:rsidR="00837C47" w:rsidRPr="00342109" w:rsidRDefault="00837C47" w:rsidP="31B5B968">
      <w:pPr>
        <w:autoSpaceDE w:val="0"/>
        <w:autoSpaceDN w:val="0"/>
        <w:adjustRightInd w:val="0"/>
        <w:spacing w:after="0" w:line="240" w:lineRule="auto"/>
        <w:jc w:val="both"/>
        <w:rPr>
          <w:sz w:val="24"/>
          <w:szCs w:val="24"/>
          <w:lang w:val="en-US"/>
        </w:rPr>
      </w:pPr>
      <w:r w:rsidRPr="31B5B968">
        <w:rPr>
          <w:rFonts w:eastAsiaTheme="minorEastAsia"/>
          <w:color w:val="000000" w:themeColor="text1"/>
          <w:sz w:val="24"/>
          <w:szCs w:val="24"/>
          <w:lang w:val="en-US"/>
        </w:rPr>
        <w:lastRenderedPageBreak/>
        <w:t xml:space="preserve">Lastly, is important to highlight that survivors of SOGIECE do not necessarily stop practicing their faith or belief. However, finding affirming allies and networks to both their SOGIE and their belief is challenging in certain contexts. For instance, a study in Australia indicates that </w:t>
      </w:r>
      <w:r w:rsidRPr="31B5B968">
        <w:rPr>
          <w:sz w:val="24"/>
          <w:szCs w:val="24"/>
          <w:lang w:val="en-US"/>
        </w:rPr>
        <w:t>Post conversion supports that are broadly religion-friendly are important given that survivors of conversion practices often retained religious affiliations.</w:t>
      </w:r>
      <w:r w:rsidRPr="31B5B968">
        <w:rPr>
          <w:rStyle w:val="Refdenotaalfinal"/>
          <w:sz w:val="24"/>
          <w:szCs w:val="24"/>
          <w:lang w:val="en-US"/>
        </w:rPr>
        <w:endnoteReference w:id="59"/>
      </w:r>
      <w:r w:rsidRPr="31B5B968">
        <w:rPr>
          <w:rFonts w:eastAsiaTheme="minorEastAsia"/>
          <w:color w:val="000000" w:themeColor="text1"/>
          <w:sz w:val="24"/>
          <w:szCs w:val="24"/>
          <w:lang w:val="en-US"/>
        </w:rPr>
        <w:t xml:space="preserve"> Some survivors of SOGIECE have a </w:t>
      </w:r>
      <w:r w:rsidRPr="31B5B968">
        <w:rPr>
          <w:sz w:val="24"/>
          <w:szCs w:val="24"/>
          <w:lang w:val="en-US"/>
        </w:rPr>
        <w:t>recovery approach that involves seeking support from professionals or survivor support groups who allow them to explore their faith in more relational ways through safe and affirming spaces. For others, SOGIECE recovery processes include maintaining only</w:t>
      </w:r>
      <w:r w:rsidRPr="31B5B968">
        <w:rPr>
          <w:i/>
          <w:iCs/>
          <w:sz w:val="24"/>
          <w:szCs w:val="24"/>
          <w:lang w:val="en-US"/>
        </w:rPr>
        <w:t xml:space="preserve"> </w:t>
      </w:r>
      <w:r w:rsidRPr="31B5B968">
        <w:rPr>
          <w:sz w:val="24"/>
          <w:szCs w:val="24"/>
          <w:lang w:val="en-US"/>
        </w:rPr>
        <w:t>affirming social contacts and removing all others. This could mean completely ‘leaving the church’ or keeping their faith but stopping attending church.</w:t>
      </w:r>
      <w:r w:rsidRPr="31B5B968">
        <w:rPr>
          <w:rStyle w:val="Refdenotaalfinal"/>
          <w:sz w:val="24"/>
          <w:szCs w:val="24"/>
          <w:lang w:val="es-MX"/>
        </w:rPr>
        <w:endnoteReference w:id="60"/>
      </w:r>
    </w:p>
    <w:p w14:paraId="0F885871" w14:textId="77777777" w:rsidR="00837C47" w:rsidRPr="00342109" w:rsidRDefault="00837C47" w:rsidP="00342109">
      <w:pPr>
        <w:jc w:val="both"/>
        <w:rPr>
          <w:rFonts w:eastAsiaTheme="minorEastAsia" w:cstheme="minorHAnsi"/>
          <w:b/>
          <w:color w:val="000000" w:themeColor="text1"/>
          <w:sz w:val="24"/>
          <w:szCs w:val="24"/>
        </w:rPr>
      </w:pPr>
    </w:p>
    <w:p w14:paraId="7D335CAA" w14:textId="1200D534" w:rsidR="00837C47" w:rsidRPr="00342109" w:rsidRDefault="00837C47" w:rsidP="00342109">
      <w:pPr>
        <w:jc w:val="both"/>
        <w:rPr>
          <w:rFonts w:eastAsiaTheme="minorEastAsia" w:cstheme="minorHAnsi"/>
          <w:b/>
          <w:bCs/>
          <w:color w:val="808080" w:themeColor="background1" w:themeShade="80"/>
          <w:sz w:val="24"/>
          <w:szCs w:val="24"/>
          <w:lang w:val="en-US"/>
        </w:rPr>
      </w:pPr>
      <w:r w:rsidRPr="00342109">
        <w:rPr>
          <w:rFonts w:eastAsiaTheme="minorEastAsia" w:cstheme="minorHAnsi"/>
          <w:b/>
          <w:bCs/>
          <w:sz w:val="24"/>
          <w:szCs w:val="24"/>
        </w:rPr>
        <w:t>The right to religious freedom of LGBTI</w:t>
      </w:r>
      <w:r>
        <w:rPr>
          <w:rFonts w:eastAsiaTheme="minorEastAsia" w:cstheme="minorHAnsi"/>
          <w:b/>
          <w:bCs/>
          <w:sz w:val="24"/>
          <w:szCs w:val="24"/>
        </w:rPr>
        <w:t>+</w:t>
      </w:r>
      <w:r w:rsidRPr="00342109">
        <w:rPr>
          <w:rFonts w:eastAsiaTheme="minorEastAsia" w:cstheme="minorHAnsi"/>
          <w:b/>
          <w:bCs/>
          <w:sz w:val="24"/>
          <w:szCs w:val="24"/>
        </w:rPr>
        <w:t xml:space="preserve"> persons:</w:t>
      </w:r>
    </w:p>
    <w:p w14:paraId="5996798A" w14:textId="4083FF77" w:rsidR="00837C47" w:rsidRPr="00342109" w:rsidRDefault="00837C47" w:rsidP="31B5B968">
      <w:pPr>
        <w:spacing w:line="240" w:lineRule="auto"/>
        <w:jc w:val="both"/>
        <w:rPr>
          <w:rFonts w:eastAsiaTheme="minorEastAsia"/>
          <w:sz w:val="24"/>
          <w:szCs w:val="24"/>
        </w:rPr>
      </w:pPr>
      <w:r w:rsidRPr="31B5B968">
        <w:rPr>
          <w:rFonts w:eastAsiaTheme="minorEastAsia"/>
          <w:sz w:val="24"/>
          <w:szCs w:val="24"/>
        </w:rPr>
        <w:t>Lastly, it is also</w:t>
      </w:r>
      <w:r>
        <w:rPr>
          <w:rFonts w:eastAsiaTheme="minorEastAsia"/>
          <w:sz w:val="24"/>
          <w:szCs w:val="24"/>
        </w:rPr>
        <w:t xml:space="preserve"> important to emphasize</w:t>
      </w:r>
      <w:r w:rsidRPr="31B5B968">
        <w:rPr>
          <w:rFonts w:eastAsiaTheme="minorEastAsia"/>
          <w:sz w:val="24"/>
          <w:szCs w:val="24"/>
        </w:rPr>
        <w:t xml:space="preserve"> that, historically and in the present day, acceptance of SOGI diversity has formed part of some religious beliefs. Pro-LGBTI+ religious groups can be found among the followers of every major religion and, in some cases, may form an important element of an entire religious tradition</w:t>
      </w:r>
      <w:r w:rsidRPr="31B5B968">
        <w:rPr>
          <w:rStyle w:val="Refdenotaalfinal"/>
          <w:rFonts w:eastAsiaTheme="minorEastAsia"/>
          <w:sz w:val="24"/>
          <w:szCs w:val="24"/>
        </w:rPr>
        <w:endnoteReference w:id="61"/>
      </w:r>
      <w:r w:rsidRPr="31B5B968">
        <w:rPr>
          <w:rFonts w:eastAsiaTheme="minorEastAsia"/>
          <w:sz w:val="24"/>
          <w:szCs w:val="24"/>
        </w:rPr>
        <w:t>. SOGI diversity has often played an important role in the religious beliefs of many indigenous communities, such as the two spirits groups in North America. Those beliefs have been subject to violent repression in the context of colonialism</w:t>
      </w:r>
      <w:r w:rsidRPr="31B5B968">
        <w:rPr>
          <w:rStyle w:val="Refdenotaalfinal"/>
          <w:rFonts w:eastAsiaTheme="minorEastAsia"/>
          <w:sz w:val="24"/>
          <w:szCs w:val="24"/>
        </w:rPr>
        <w:endnoteReference w:id="62"/>
      </w:r>
      <w:r w:rsidRPr="31B5B968">
        <w:rPr>
          <w:rFonts w:eastAsiaTheme="minorEastAsia"/>
          <w:sz w:val="24"/>
          <w:szCs w:val="24"/>
        </w:rPr>
        <w:t xml:space="preserve">. </w:t>
      </w:r>
    </w:p>
    <w:p w14:paraId="524E8F95" w14:textId="4EF28F67" w:rsidR="00837C47" w:rsidRPr="00342109" w:rsidRDefault="00837C47" w:rsidP="00342109">
      <w:pPr>
        <w:spacing w:line="240" w:lineRule="auto"/>
        <w:jc w:val="both"/>
        <w:rPr>
          <w:rFonts w:eastAsiaTheme="minorEastAsia" w:cstheme="minorHAnsi"/>
          <w:color w:val="000000" w:themeColor="text1"/>
          <w:sz w:val="24"/>
          <w:szCs w:val="24"/>
          <w:lang w:val="en"/>
        </w:rPr>
      </w:pPr>
      <w:r w:rsidRPr="00342109">
        <w:rPr>
          <w:rFonts w:eastAsiaTheme="minorEastAsia" w:cstheme="minorHAnsi"/>
          <w:sz w:val="24"/>
          <w:szCs w:val="24"/>
        </w:rPr>
        <w:t>We can also find examples of these pro-LGBTI</w:t>
      </w:r>
      <w:r>
        <w:rPr>
          <w:rFonts w:eastAsiaTheme="minorEastAsia" w:cstheme="minorHAnsi"/>
          <w:sz w:val="24"/>
          <w:szCs w:val="24"/>
        </w:rPr>
        <w:t>+</w:t>
      </w:r>
      <w:r w:rsidRPr="00342109">
        <w:rPr>
          <w:rFonts w:eastAsiaTheme="minorEastAsia" w:cstheme="minorHAnsi"/>
          <w:sz w:val="24"/>
          <w:szCs w:val="24"/>
        </w:rPr>
        <w:t xml:space="preserve"> religious groups even within hegemonic religions in a country. In Sudan, for instance, </w:t>
      </w:r>
      <w:r w:rsidRPr="00342109">
        <w:rPr>
          <w:rFonts w:eastAsiaTheme="minorEastAsia" w:cstheme="minorHAnsi"/>
          <w:color w:val="000000" w:themeColor="text1"/>
          <w:sz w:val="24"/>
          <w:szCs w:val="24"/>
          <w:lang w:val="en"/>
        </w:rPr>
        <w:t>Islam has different forms and practices. Sufi Islam adopts core values of  acceptance and kindness; they usually don't lead any discourse based on hate and discrimination publicly or within their physical spaces. However, it must be noted that while referring to religious and cultural systems being supportive or positive towards queer community, one has to be careful not to generalize and within some contexts there is an information gap in these areas.</w:t>
      </w:r>
      <w:r w:rsidRPr="00342109">
        <w:rPr>
          <w:rStyle w:val="Refdenotaalfinal"/>
          <w:rFonts w:eastAsiaTheme="minorEastAsia" w:cstheme="minorHAnsi"/>
          <w:color w:val="000000" w:themeColor="text1"/>
          <w:sz w:val="24"/>
          <w:szCs w:val="24"/>
          <w:lang w:val="en"/>
        </w:rPr>
        <w:endnoteReference w:id="63"/>
      </w:r>
      <w:r w:rsidRPr="00342109">
        <w:rPr>
          <w:rFonts w:eastAsiaTheme="minorEastAsia" w:cstheme="minorHAnsi"/>
          <w:color w:val="000000" w:themeColor="text1"/>
          <w:sz w:val="24"/>
          <w:szCs w:val="24"/>
          <w:lang w:val="en"/>
        </w:rPr>
        <w:t xml:space="preserve"> Similarly, research from Sri Lanka have indicated that the Hindu community generally exhibits more positive attitudes towards LGBT</w:t>
      </w:r>
      <w:r>
        <w:rPr>
          <w:rFonts w:eastAsiaTheme="minorEastAsia" w:cstheme="minorHAnsi"/>
          <w:color w:val="000000" w:themeColor="text1"/>
          <w:sz w:val="24"/>
          <w:szCs w:val="24"/>
          <w:lang w:val="en"/>
        </w:rPr>
        <w:t>I+</w:t>
      </w:r>
      <w:r w:rsidRPr="00342109">
        <w:rPr>
          <w:rFonts w:eastAsiaTheme="minorEastAsia" w:cstheme="minorHAnsi"/>
          <w:color w:val="000000" w:themeColor="text1"/>
          <w:sz w:val="24"/>
          <w:szCs w:val="24"/>
          <w:lang w:val="en"/>
        </w:rPr>
        <w:t xml:space="preserve"> people and that Tamil, Upcountry Tamil and Muslim communities clearly exhibited positive attitudes towards transgender persons</w:t>
      </w:r>
      <w:r w:rsidRPr="00342109">
        <w:rPr>
          <w:rStyle w:val="Refdenotaalfinal"/>
          <w:rFonts w:eastAsiaTheme="minorEastAsia" w:cstheme="minorHAnsi"/>
          <w:color w:val="000000" w:themeColor="text1"/>
          <w:sz w:val="24"/>
          <w:szCs w:val="24"/>
          <w:lang w:val="en"/>
        </w:rPr>
        <w:endnoteReference w:id="64"/>
      </w:r>
      <w:r w:rsidRPr="00342109">
        <w:rPr>
          <w:rFonts w:eastAsiaTheme="minorEastAsia" w:cstheme="minorHAnsi"/>
          <w:color w:val="000000" w:themeColor="text1"/>
          <w:sz w:val="24"/>
          <w:szCs w:val="24"/>
          <w:lang w:val="en"/>
        </w:rPr>
        <w:t>. In some cases, religious actors have taken active measures to</w:t>
      </w:r>
      <w:r>
        <w:rPr>
          <w:rFonts w:eastAsiaTheme="minorEastAsia" w:cstheme="minorHAnsi"/>
          <w:color w:val="000000" w:themeColor="text1"/>
          <w:sz w:val="24"/>
          <w:szCs w:val="24"/>
          <w:lang w:val="en"/>
        </w:rPr>
        <w:t xml:space="preserve"> promote the Fo</w:t>
      </w:r>
      <w:r w:rsidRPr="00342109">
        <w:rPr>
          <w:rFonts w:eastAsiaTheme="minorEastAsia" w:cstheme="minorHAnsi"/>
          <w:color w:val="000000" w:themeColor="text1"/>
          <w:sz w:val="24"/>
          <w:szCs w:val="24"/>
          <w:lang w:val="en"/>
        </w:rPr>
        <w:t>RB of LGBTI</w:t>
      </w:r>
      <w:r>
        <w:rPr>
          <w:rFonts w:eastAsiaTheme="minorEastAsia" w:cstheme="minorHAnsi"/>
          <w:color w:val="000000" w:themeColor="text1"/>
          <w:sz w:val="24"/>
          <w:szCs w:val="24"/>
          <w:lang w:val="en"/>
        </w:rPr>
        <w:t>+</w:t>
      </w:r>
      <w:r w:rsidRPr="00342109">
        <w:rPr>
          <w:rFonts w:eastAsiaTheme="minorEastAsia" w:cstheme="minorHAnsi"/>
          <w:color w:val="000000" w:themeColor="text1"/>
          <w:sz w:val="24"/>
          <w:szCs w:val="24"/>
          <w:lang w:val="en"/>
        </w:rPr>
        <w:t xml:space="preserve"> persons. For example, the Christian chaplaincies of La Moneda in Chile ho</w:t>
      </w:r>
      <w:r>
        <w:rPr>
          <w:rFonts w:eastAsiaTheme="minorEastAsia" w:cstheme="minorHAnsi"/>
          <w:color w:val="000000" w:themeColor="text1"/>
          <w:sz w:val="24"/>
          <w:szCs w:val="24"/>
          <w:lang w:val="en"/>
        </w:rPr>
        <w:t>st believers groups for sexually</w:t>
      </w:r>
      <w:r w:rsidRPr="00342109">
        <w:rPr>
          <w:rFonts w:eastAsiaTheme="minorEastAsia" w:cstheme="minorHAnsi"/>
          <w:color w:val="000000" w:themeColor="text1"/>
          <w:sz w:val="24"/>
          <w:szCs w:val="24"/>
          <w:lang w:val="en"/>
        </w:rPr>
        <w:t xml:space="preserve"> diverse persons. Furthermore, the Coalition "Religions, Beliefs and Spiritualities in Dialogue with Civil Society", which is part of the Dialogue with Civil Society of the OAS, works together with organizations that defend the rights of sexual</w:t>
      </w:r>
      <w:r>
        <w:rPr>
          <w:rFonts w:eastAsiaTheme="minorEastAsia" w:cstheme="minorHAnsi"/>
          <w:color w:val="000000" w:themeColor="text1"/>
          <w:sz w:val="24"/>
          <w:szCs w:val="24"/>
          <w:lang w:val="en"/>
        </w:rPr>
        <w:t xml:space="preserve"> and gender</w:t>
      </w:r>
      <w:r w:rsidRPr="00342109">
        <w:rPr>
          <w:rFonts w:eastAsiaTheme="minorEastAsia" w:cstheme="minorHAnsi"/>
          <w:color w:val="000000" w:themeColor="text1"/>
          <w:sz w:val="24"/>
          <w:szCs w:val="24"/>
          <w:lang w:val="en"/>
        </w:rPr>
        <w:t xml:space="preserve"> minorities and seeks to use religious freedom to defend the spirituality of LGBTI</w:t>
      </w:r>
      <w:r>
        <w:rPr>
          <w:rFonts w:eastAsiaTheme="minorEastAsia" w:cstheme="minorHAnsi"/>
          <w:color w:val="000000" w:themeColor="text1"/>
          <w:sz w:val="24"/>
          <w:szCs w:val="24"/>
          <w:lang w:val="en"/>
        </w:rPr>
        <w:t>+</w:t>
      </w:r>
      <w:r w:rsidRPr="00342109">
        <w:rPr>
          <w:rFonts w:eastAsiaTheme="minorEastAsia" w:cstheme="minorHAnsi"/>
          <w:color w:val="000000" w:themeColor="text1"/>
          <w:sz w:val="24"/>
          <w:szCs w:val="24"/>
          <w:lang w:val="en"/>
        </w:rPr>
        <w:t xml:space="preserve"> people. Another example is the </w:t>
      </w:r>
      <w:r w:rsidRPr="00342109">
        <w:rPr>
          <w:rFonts w:eastAsia="Calibri" w:cstheme="minorHAnsi"/>
          <w:sz w:val="24"/>
          <w:szCs w:val="24"/>
          <w:lang w:val="en"/>
        </w:rPr>
        <w:t>Alliance for Secularism, Religious Freedom and Human Rights in Latin America, which articulates eight civil society organizations to raise the link between secularism, religious freedom and the defense of th</w:t>
      </w:r>
      <w:r>
        <w:rPr>
          <w:rFonts w:eastAsia="Calibri" w:cstheme="minorHAnsi"/>
          <w:sz w:val="24"/>
          <w:szCs w:val="24"/>
          <w:lang w:val="en"/>
        </w:rPr>
        <w:t>e rights of women and the LGBTI+</w:t>
      </w:r>
      <w:r w:rsidRPr="00342109">
        <w:rPr>
          <w:rFonts w:eastAsia="Calibri" w:cstheme="minorHAnsi"/>
          <w:sz w:val="24"/>
          <w:szCs w:val="24"/>
          <w:lang w:val="en"/>
        </w:rPr>
        <w:t xml:space="preserve"> community.</w:t>
      </w:r>
      <w:r w:rsidRPr="00342109">
        <w:rPr>
          <w:rStyle w:val="Refdenotaalfinal"/>
          <w:rFonts w:eastAsiaTheme="minorEastAsia" w:cstheme="minorHAnsi"/>
          <w:color w:val="000000" w:themeColor="text1"/>
          <w:sz w:val="24"/>
          <w:szCs w:val="24"/>
          <w:lang w:val="en"/>
        </w:rPr>
        <w:endnoteReference w:id="65"/>
      </w:r>
    </w:p>
    <w:p w14:paraId="1190AE84" w14:textId="421E869F" w:rsidR="00837C47" w:rsidRPr="00342109" w:rsidRDefault="00837C47" w:rsidP="00342109">
      <w:pPr>
        <w:jc w:val="both"/>
        <w:rPr>
          <w:rFonts w:eastAsiaTheme="minorEastAsia" w:cstheme="minorHAnsi"/>
          <w:sz w:val="24"/>
          <w:szCs w:val="24"/>
        </w:rPr>
      </w:pPr>
    </w:p>
    <w:p w14:paraId="3033C5DF" w14:textId="2121DB13" w:rsidR="00837C47" w:rsidRPr="000C179A" w:rsidRDefault="00837C47" w:rsidP="00342109">
      <w:pPr>
        <w:jc w:val="both"/>
        <w:rPr>
          <w:rFonts w:eastAsiaTheme="minorEastAsia" w:cstheme="minorHAnsi"/>
          <w:b/>
          <w:bCs/>
          <w:sz w:val="24"/>
          <w:szCs w:val="24"/>
        </w:rPr>
      </w:pPr>
      <w:r w:rsidRPr="00342109">
        <w:rPr>
          <w:rFonts w:eastAsiaTheme="minorEastAsia" w:cstheme="minorHAnsi"/>
          <w:b/>
          <w:bCs/>
          <w:sz w:val="24"/>
          <w:szCs w:val="24"/>
        </w:rPr>
        <w:t>Recommendations:</w:t>
      </w:r>
    </w:p>
    <w:p w14:paraId="10A6E858" w14:textId="4453A814" w:rsidR="00837C47" w:rsidRDefault="00837C47" w:rsidP="31B5B968">
      <w:pPr>
        <w:pStyle w:val="Prrafodelista"/>
        <w:numPr>
          <w:ilvl w:val="0"/>
          <w:numId w:val="8"/>
        </w:numPr>
        <w:jc w:val="both"/>
        <w:rPr>
          <w:rFonts w:eastAsiaTheme="minorEastAsia"/>
          <w:color w:val="000000" w:themeColor="text1"/>
          <w:sz w:val="24"/>
          <w:szCs w:val="24"/>
          <w:lang w:val="en-US"/>
        </w:rPr>
      </w:pPr>
      <w:r w:rsidRPr="31B5B968">
        <w:rPr>
          <w:rFonts w:eastAsiaTheme="minorEastAsia"/>
          <w:color w:val="000000" w:themeColor="text1"/>
          <w:sz w:val="24"/>
          <w:szCs w:val="24"/>
          <w:lang w:val="en-US"/>
        </w:rPr>
        <w:t xml:space="preserve">Encourage States to adopt a human right’s-based approach when creating laws and policies that underpinned FoRB, and including SOGIE perspectives. </w:t>
      </w:r>
    </w:p>
    <w:p w14:paraId="0F0AFC82" w14:textId="67109FD1" w:rsidR="00837C47" w:rsidRDefault="00837C47" w:rsidP="000C179A">
      <w:pPr>
        <w:pStyle w:val="Prrafodelista"/>
        <w:numPr>
          <w:ilvl w:val="0"/>
          <w:numId w:val="8"/>
        </w:numPr>
        <w:jc w:val="both"/>
        <w:rPr>
          <w:rFonts w:eastAsiaTheme="minorEastAsia" w:cstheme="minorHAnsi"/>
          <w:color w:val="000000" w:themeColor="text1"/>
          <w:sz w:val="24"/>
          <w:szCs w:val="24"/>
          <w:lang w:val="en-US"/>
        </w:rPr>
      </w:pPr>
      <w:r w:rsidRPr="000C179A">
        <w:rPr>
          <w:rFonts w:eastAsiaTheme="minorEastAsia" w:cstheme="minorHAnsi"/>
          <w:color w:val="000000" w:themeColor="text1"/>
          <w:sz w:val="24"/>
          <w:szCs w:val="24"/>
          <w:lang w:val="en-US"/>
        </w:rPr>
        <w:lastRenderedPageBreak/>
        <w:t xml:space="preserve">Condemn hateful speech </w:t>
      </w:r>
      <w:r>
        <w:rPr>
          <w:rFonts w:eastAsiaTheme="minorEastAsia" w:cstheme="minorHAnsi"/>
          <w:color w:val="000000" w:themeColor="text1"/>
          <w:sz w:val="24"/>
          <w:szCs w:val="24"/>
          <w:lang w:val="en-US"/>
        </w:rPr>
        <w:t xml:space="preserve">and discrimination </w:t>
      </w:r>
      <w:r w:rsidRPr="000C179A">
        <w:rPr>
          <w:rFonts w:eastAsiaTheme="minorEastAsia" w:cstheme="minorHAnsi"/>
          <w:color w:val="000000" w:themeColor="text1"/>
          <w:sz w:val="24"/>
          <w:szCs w:val="24"/>
          <w:lang w:val="en-US"/>
        </w:rPr>
        <w:t xml:space="preserve">which spreads intolerance and bias towards </w:t>
      </w:r>
      <w:r>
        <w:rPr>
          <w:rFonts w:eastAsiaTheme="minorEastAsia" w:cstheme="minorHAnsi"/>
          <w:color w:val="000000" w:themeColor="text1"/>
          <w:sz w:val="24"/>
          <w:szCs w:val="24"/>
          <w:lang w:val="en-US"/>
        </w:rPr>
        <w:t>LGBTI</w:t>
      </w:r>
      <w:r w:rsidRPr="000C179A">
        <w:rPr>
          <w:rFonts w:eastAsiaTheme="minorEastAsia" w:cstheme="minorHAnsi"/>
          <w:color w:val="000000" w:themeColor="text1"/>
          <w:sz w:val="24"/>
          <w:szCs w:val="24"/>
          <w:lang w:val="en-US"/>
        </w:rPr>
        <w:t>+ people even if su</w:t>
      </w:r>
      <w:r>
        <w:rPr>
          <w:rFonts w:eastAsiaTheme="minorEastAsia" w:cstheme="minorHAnsi"/>
          <w:color w:val="000000" w:themeColor="text1"/>
          <w:sz w:val="24"/>
          <w:szCs w:val="24"/>
          <w:lang w:val="en-US"/>
        </w:rPr>
        <w:t>ch speech is displayed by religious</w:t>
      </w:r>
      <w:r w:rsidRPr="000C179A">
        <w:rPr>
          <w:rFonts w:eastAsiaTheme="minorEastAsia" w:cstheme="minorHAnsi"/>
          <w:color w:val="000000" w:themeColor="text1"/>
          <w:sz w:val="24"/>
          <w:szCs w:val="24"/>
          <w:lang w:val="en-US"/>
        </w:rPr>
        <w:t xml:space="preserve"> representatives</w:t>
      </w:r>
      <w:r w:rsidRPr="00342109">
        <w:rPr>
          <w:rStyle w:val="Refdenotaalfinal"/>
          <w:rFonts w:eastAsiaTheme="minorEastAsia" w:cstheme="minorHAnsi"/>
          <w:color w:val="000000" w:themeColor="text1"/>
          <w:sz w:val="24"/>
          <w:szCs w:val="24"/>
          <w:lang w:val="en-US"/>
        </w:rPr>
        <w:endnoteReference w:id="66"/>
      </w:r>
      <w:r w:rsidRPr="000C179A">
        <w:rPr>
          <w:rFonts w:eastAsiaTheme="minorEastAsia" w:cstheme="minorHAnsi"/>
          <w:color w:val="000000" w:themeColor="text1"/>
          <w:sz w:val="24"/>
          <w:szCs w:val="24"/>
          <w:lang w:val="en-US"/>
        </w:rPr>
        <w:t xml:space="preserve">. </w:t>
      </w:r>
    </w:p>
    <w:p w14:paraId="10CD14D1" w14:textId="2BFEDAC2" w:rsidR="00837C47" w:rsidRPr="000C179A" w:rsidRDefault="00837C47" w:rsidP="000C179A">
      <w:pPr>
        <w:pStyle w:val="Prrafodelista"/>
        <w:numPr>
          <w:ilvl w:val="0"/>
          <w:numId w:val="8"/>
        </w:numPr>
        <w:jc w:val="both"/>
        <w:rPr>
          <w:rFonts w:eastAsiaTheme="minorEastAsia" w:cstheme="minorHAnsi"/>
          <w:color w:val="000000" w:themeColor="text1"/>
          <w:sz w:val="24"/>
          <w:szCs w:val="24"/>
          <w:lang w:val="en-US"/>
        </w:rPr>
      </w:pPr>
      <w:r>
        <w:rPr>
          <w:rFonts w:eastAsiaTheme="minorEastAsia" w:cstheme="minorHAnsi"/>
          <w:color w:val="000000" w:themeColor="text1"/>
          <w:sz w:val="24"/>
          <w:szCs w:val="24"/>
          <w:lang w:val="en-US"/>
        </w:rPr>
        <w:t>Urge the States that still persecute same-sex relations by law to adopt legal reforms to decriminalize those and other identities under the LGBTI+ umbrella.</w:t>
      </w:r>
    </w:p>
    <w:p w14:paraId="70550FE6" w14:textId="30835386" w:rsidR="00837C47" w:rsidRPr="000C179A" w:rsidRDefault="00837C47" w:rsidP="000C179A">
      <w:pPr>
        <w:pStyle w:val="Prrafodelista"/>
        <w:numPr>
          <w:ilvl w:val="0"/>
          <w:numId w:val="8"/>
        </w:numPr>
        <w:jc w:val="both"/>
        <w:rPr>
          <w:rFonts w:eastAsiaTheme="minorEastAsia" w:cstheme="minorHAnsi"/>
          <w:color w:val="000000" w:themeColor="text1"/>
          <w:sz w:val="24"/>
          <w:szCs w:val="24"/>
          <w:lang w:val="en-US"/>
        </w:rPr>
      </w:pPr>
      <w:r>
        <w:rPr>
          <w:rFonts w:eastAsiaTheme="minorEastAsia" w:cstheme="minorHAnsi"/>
          <w:color w:val="000000" w:themeColor="text1"/>
          <w:sz w:val="24"/>
          <w:szCs w:val="24"/>
          <w:lang w:val="en-US"/>
        </w:rPr>
        <w:t>Investigate SOGIECE</w:t>
      </w:r>
      <w:r w:rsidRPr="000C179A">
        <w:rPr>
          <w:rFonts w:eastAsiaTheme="minorEastAsia" w:cstheme="minorHAnsi"/>
          <w:color w:val="000000" w:themeColor="text1"/>
          <w:sz w:val="24"/>
          <w:szCs w:val="24"/>
          <w:lang w:val="en-US"/>
        </w:rPr>
        <w:t xml:space="preserve"> practices as a fraud and as a threat to </w:t>
      </w:r>
      <w:r>
        <w:rPr>
          <w:rFonts w:eastAsiaTheme="minorEastAsia" w:cstheme="minorHAnsi"/>
          <w:color w:val="000000" w:themeColor="text1"/>
          <w:sz w:val="24"/>
          <w:szCs w:val="24"/>
          <w:lang w:val="en-US"/>
        </w:rPr>
        <w:t xml:space="preserve">the </w:t>
      </w:r>
      <w:r w:rsidRPr="000C179A">
        <w:rPr>
          <w:rFonts w:eastAsiaTheme="minorEastAsia" w:cstheme="minorHAnsi"/>
          <w:color w:val="000000" w:themeColor="text1"/>
          <w:sz w:val="24"/>
          <w:szCs w:val="24"/>
          <w:lang w:val="en-US"/>
        </w:rPr>
        <w:t>life and health of LGBTI+ people</w:t>
      </w:r>
      <w:r w:rsidRPr="00342109">
        <w:rPr>
          <w:rStyle w:val="Refdenotaalfinal"/>
          <w:rFonts w:eastAsiaTheme="minorEastAsia" w:cstheme="minorHAnsi"/>
          <w:color w:val="000000" w:themeColor="text1"/>
          <w:sz w:val="24"/>
          <w:szCs w:val="24"/>
          <w:lang w:val="en-US"/>
        </w:rPr>
        <w:endnoteReference w:id="67"/>
      </w:r>
      <w:r w:rsidRPr="000C179A">
        <w:rPr>
          <w:rFonts w:eastAsiaTheme="minorEastAsia" w:cstheme="minorHAnsi"/>
          <w:color w:val="000000" w:themeColor="text1"/>
          <w:sz w:val="24"/>
          <w:szCs w:val="24"/>
          <w:lang w:val="en-US"/>
        </w:rPr>
        <w:t xml:space="preserve">.  </w:t>
      </w:r>
    </w:p>
    <w:p w14:paraId="253926A1" w14:textId="055E4F67" w:rsidR="00837C47" w:rsidRDefault="00837C47" w:rsidP="000C179A">
      <w:pPr>
        <w:pStyle w:val="Prrafodelista"/>
        <w:numPr>
          <w:ilvl w:val="0"/>
          <w:numId w:val="8"/>
        </w:numPr>
        <w:autoSpaceDE w:val="0"/>
        <w:autoSpaceDN w:val="0"/>
        <w:adjustRightInd w:val="0"/>
        <w:spacing w:after="0" w:line="240" w:lineRule="auto"/>
        <w:jc w:val="both"/>
        <w:rPr>
          <w:rFonts w:cstheme="minorHAnsi"/>
          <w:color w:val="000000"/>
          <w:sz w:val="24"/>
          <w:szCs w:val="24"/>
          <w:lang w:val="en-US"/>
        </w:rPr>
      </w:pPr>
      <w:r w:rsidRPr="000C179A">
        <w:rPr>
          <w:rFonts w:cstheme="minorHAnsi"/>
          <w:color w:val="000000"/>
          <w:sz w:val="24"/>
          <w:szCs w:val="24"/>
          <w:lang w:val="en-US"/>
        </w:rPr>
        <w:t>Banning conversion practices is not enough. There is a need for in-person (as well as text/web chat and phone-based) crisis care and general counselling services for SOGIECE survivor</w:t>
      </w:r>
      <w:r>
        <w:rPr>
          <w:rFonts w:cstheme="minorHAnsi"/>
          <w:color w:val="000000"/>
          <w:sz w:val="24"/>
          <w:szCs w:val="24"/>
          <w:lang w:val="en-US"/>
        </w:rPr>
        <w:t>s</w:t>
      </w:r>
      <w:r w:rsidRPr="000C179A">
        <w:rPr>
          <w:rFonts w:cstheme="minorHAnsi"/>
          <w:color w:val="000000"/>
          <w:sz w:val="24"/>
          <w:szCs w:val="24"/>
          <w:lang w:val="en-US"/>
        </w:rPr>
        <w:t xml:space="preserve"> </w:t>
      </w:r>
      <w:r>
        <w:rPr>
          <w:rFonts w:cstheme="minorHAnsi"/>
          <w:color w:val="000000"/>
          <w:sz w:val="24"/>
          <w:szCs w:val="24"/>
          <w:lang w:val="en-US"/>
        </w:rPr>
        <w:t>that are</w:t>
      </w:r>
      <w:r w:rsidRPr="000C179A">
        <w:rPr>
          <w:rFonts w:cstheme="minorHAnsi"/>
          <w:color w:val="000000"/>
          <w:sz w:val="24"/>
          <w:szCs w:val="24"/>
          <w:lang w:val="en-US"/>
        </w:rPr>
        <w:t xml:space="preserve"> both LGBTI+ inclusive and religion-friendly.</w:t>
      </w:r>
      <w:r>
        <w:rPr>
          <w:rStyle w:val="Refdenotaalfinal"/>
          <w:rFonts w:cstheme="minorHAnsi"/>
          <w:color w:val="000000"/>
          <w:sz w:val="24"/>
          <w:szCs w:val="24"/>
          <w:lang w:val="en-US"/>
        </w:rPr>
        <w:endnoteReference w:id="68"/>
      </w:r>
    </w:p>
    <w:p w14:paraId="74F8C242" w14:textId="7FAC01B9" w:rsidR="00837C47" w:rsidRDefault="00837C47" w:rsidP="31B5B968">
      <w:pPr>
        <w:pStyle w:val="Prrafodelista"/>
        <w:numPr>
          <w:ilvl w:val="0"/>
          <w:numId w:val="8"/>
        </w:numPr>
        <w:autoSpaceDE w:val="0"/>
        <w:autoSpaceDN w:val="0"/>
        <w:adjustRightInd w:val="0"/>
        <w:spacing w:after="0" w:line="240" w:lineRule="auto"/>
        <w:jc w:val="both"/>
        <w:rPr>
          <w:color w:val="000000"/>
          <w:sz w:val="24"/>
          <w:szCs w:val="24"/>
          <w:lang w:val="en-US"/>
        </w:rPr>
      </w:pPr>
      <w:r w:rsidRPr="31B5B968">
        <w:rPr>
          <w:color w:val="000000"/>
          <w:sz w:val="24"/>
          <w:szCs w:val="24"/>
          <w:lang w:val="en-US"/>
        </w:rPr>
        <w:t>It is imperative to support LGBTI + and religious identities coexisting in more affirming frameworks and socio-behavioral/institutional re-engagements in efforts to break potential cycles of exclusion.</w:t>
      </w:r>
      <w:r w:rsidRPr="31B5B968">
        <w:rPr>
          <w:rStyle w:val="Refdenotaalfinal"/>
          <w:color w:val="000000"/>
          <w:sz w:val="24"/>
          <w:szCs w:val="24"/>
          <w:lang w:val="en-US"/>
        </w:rPr>
        <w:endnoteReference w:id="69"/>
      </w:r>
    </w:p>
    <w:p w14:paraId="3AF30C29" w14:textId="67AE4FD2" w:rsidR="008054D5" w:rsidRPr="008054D5" w:rsidRDefault="000C179A" w:rsidP="3CB87E8B">
      <w:pPr>
        <w:pStyle w:val="Prrafodelista"/>
        <w:numPr>
          <w:ilvl w:val="0"/>
          <w:numId w:val="8"/>
        </w:numPr>
        <w:autoSpaceDE w:val="0"/>
        <w:autoSpaceDN w:val="0"/>
        <w:adjustRightInd w:val="0"/>
        <w:spacing w:after="0" w:line="240" w:lineRule="auto"/>
        <w:jc w:val="both"/>
        <w:rPr>
          <w:rFonts w:cstheme="minorHAnsi"/>
          <w:color w:val="000000"/>
          <w:sz w:val="24"/>
          <w:szCs w:val="24"/>
          <w:lang w:val="en-US"/>
        </w:rPr>
      </w:pPr>
      <w:r>
        <w:rPr>
          <w:rFonts w:cstheme="minorHAnsi"/>
          <w:color w:val="000000"/>
          <w:sz w:val="24"/>
          <w:szCs w:val="24"/>
          <w:lang w:val="en-US"/>
        </w:rPr>
        <w:t>Support and encourage pro-LGBTI religious actors to get more involved with the UN and the international human rights law framework to visibilize their struggles and spread their</w:t>
      </w:r>
      <w:r w:rsidR="002E198D">
        <w:rPr>
          <w:rFonts w:cstheme="minorHAnsi"/>
          <w:color w:val="000000"/>
          <w:sz w:val="24"/>
          <w:szCs w:val="24"/>
          <w:lang w:val="en-US"/>
        </w:rPr>
        <w:t xml:space="preserve"> views on religion and SOGIE</w:t>
      </w:r>
      <w:r>
        <w:rPr>
          <w:rFonts w:cstheme="minorHAnsi"/>
          <w:color w:val="000000"/>
          <w:sz w:val="24"/>
          <w:szCs w:val="24"/>
          <w:lang w:val="en-US"/>
        </w:rPr>
        <w:t>.</w:t>
      </w:r>
      <w:r w:rsidR="008054D5" w:rsidRPr="008054D5">
        <w:rPr>
          <w:rFonts w:ascii="Segoe UI" w:hAnsi="Segoe UI" w:cs="Segoe UI"/>
          <w:color w:val="000000"/>
          <w:sz w:val="20"/>
          <w:szCs w:val="20"/>
          <w:lang w:val="en-US"/>
        </w:rPr>
        <w:t xml:space="preserve"> </w:t>
      </w:r>
    </w:p>
    <w:p w14:paraId="6B1B1639" w14:textId="34BFCF45" w:rsidR="008054D5" w:rsidRDefault="008054D5" w:rsidP="00194514">
      <w:pPr>
        <w:pStyle w:val="Prrafodelista"/>
        <w:numPr>
          <w:ilvl w:val="0"/>
          <w:numId w:val="8"/>
        </w:numPr>
        <w:autoSpaceDE w:val="0"/>
        <w:autoSpaceDN w:val="0"/>
        <w:adjustRightInd w:val="0"/>
        <w:spacing w:after="0" w:line="240" w:lineRule="auto"/>
        <w:jc w:val="both"/>
        <w:rPr>
          <w:rFonts w:cstheme="minorHAnsi"/>
          <w:color w:val="000000"/>
          <w:sz w:val="24"/>
          <w:szCs w:val="24"/>
          <w:lang w:val="en-US"/>
        </w:rPr>
      </w:pPr>
      <w:r w:rsidRPr="008054D5">
        <w:rPr>
          <w:rFonts w:cstheme="minorHAnsi"/>
          <w:color w:val="000000"/>
          <w:sz w:val="24"/>
          <w:szCs w:val="24"/>
          <w:lang w:val="en-US"/>
        </w:rPr>
        <w:t xml:space="preserve">Highlight the systemic influences rooted in converging colonial, patriarchal and religious influences that continue to impact the lives of LGBTI+ people </w:t>
      </w:r>
      <w:r>
        <w:rPr>
          <w:rFonts w:cstheme="minorHAnsi"/>
          <w:color w:val="000000"/>
          <w:sz w:val="24"/>
          <w:szCs w:val="24"/>
          <w:lang w:val="en-US"/>
        </w:rPr>
        <w:t xml:space="preserve">globally, particularly in the Global South and around indigenous communities. </w:t>
      </w:r>
    </w:p>
    <w:p w14:paraId="18C0093C" w14:textId="261A83C6" w:rsidR="008054D5" w:rsidRPr="008054D5" w:rsidRDefault="008054D5" w:rsidP="00194514">
      <w:pPr>
        <w:pStyle w:val="Prrafodelista"/>
        <w:numPr>
          <w:ilvl w:val="0"/>
          <w:numId w:val="8"/>
        </w:numPr>
        <w:autoSpaceDE w:val="0"/>
        <w:autoSpaceDN w:val="0"/>
        <w:adjustRightInd w:val="0"/>
        <w:spacing w:after="0" w:line="240" w:lineRule="auto"/>
        <w:jc w:val="both"/>
        <w:rPr>
          <w:rFonts w:cstheme="minorHAnsi"/>
          <w:color w:val="000000"/>
          <w:sz w:val="24"/>
          <w:szCs w:val="24"/>
          <w:lang w:val="en-US"/>
        </w:rPr>
      </w:pPr>
      <w:r w:rsidRPr="008054D5">
        <w:rPr>
          <w:rFonts w:cstheme="minorHAnsi"/>
          <w:color w:val="000000"/>
          <w:sz w:val="24"/>
          <w:szCs w:val="24"/>
        </w:rPr>
        <w:t xml:space="preserve">Apply the principles of inclusion and intersectionality and challenge </w:t>
      </w:r>
      <w:r w:rsidRPr="008054D5">
        <w:rPr>
          <w:rFonts w:cstheme="minorHAnsi"/>
          <w:sz w:val="24"/>
          <w:szCs w:val="24"/>
        </w:rPr>
        <w:t>the notion of “natural families”, “gender ideology”, and other essentialist conceptions around sexual and gender identities</w:t>
      </w:r>
      <w:r>
        <w:rPr>
          <w:rFonts w:cstheme="minorHAnsi"/>
          <w:sz w:val="24"/>
          <w:szCs w:val="24"/>
        </w:rPr>
        <w:t xml:space="preserve"> under both FoRB and SOGI frameworks</w:t>
      </w:r>
      <w:r w:rsidRPr="008054D5">
        <w:rPr>
          <w:rFonts w:cstheme="minorHAnsi"/>
          <w:sz w:val="24"/>
          <w:szCs w:val="24"/>
        </w:rPr>
        <w:t>, in collaboration with fe</w:t>
      </w:r>
      <w:r w:rsidR="002E198D">
        <w:rPr>
          <w:rFonts w:cstheme="minorHAnsi"/>
          <w:sz w:val="24"/>
          <w:szCs w:val="24"/>
        </w:rPr>
        <w:t>minist and LGBTI civil society (</w:t>
      </w:r>
      <w:r w:rsidRPr="008054D5">
        <w:rPr>
          <w:rFonts w:cstheme="minorHAnsi"/>
          <w:sz w:val="24"/>
          <w:szCs w:val="24"/>
        </w:rPr>
        <w:t>including</w:t>
      </w:r>
      <w:r w:rsidR="002E198D">
        <w:rPr>
          <w:rFonts w:cstheme="minorHAnsi"/>
          <w:sz w:val="24"/>
          <w:szCs w:val="24"/>
        </w:rPr>
        <w:t xml:space="preserve"> pro-LGBTI religious groups)</w:t>
      </w:r>
    </w:p>
    <w:p w14:paraId="3D7F603C" w14:textId="4FA89C72" w:rsidR="008054D5" w:rsidRPr="008054D5" w:rsidRDefault="008054D5" w:rsidP="008054D5">
      <w:pPr>
        <w:pStyle w:val="Prrafodelista"/>
        <w:autoSpaceDE w:val="0"/>
        <w:autoSpaceDN w:val="0"/>
        <w:adjustRightInd w:val="0"/>
        <w:spacing w:after="0" w:line="240" w:lineRule="auto"/>
        <w:jc w:val="both"/>
        <w:rPr>
          <w:rFonts w:cstheme="minorHAnsi"/>
          <w:color w:val="000000"/>
          <w:sz w:val="24"/>
          <w:szCs w:val="24"/>
          <w:lang w:val="en-US"/>
        </w:rPr>
      </w:pPr>
    </w:p>
    <w:sectPr w:rsidR="008054D5" w:rsidRPr="008054D5">
      <w:endnotePr>
        <w:numFmt w:val="decimal"/>
      </w:endnotePr>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5A5B6C" w16cex:dateUtc="2023-01-09T15:48:38.639Z"/>
  <w16cex:commentExtensible w16cex:durableId="7542056A" w16cex:dateUtc="2023-01-09T15:52:07.76Z"/>
  <w16cex:commentExtensible w16cex:durableId="6AB96402" w16cex:dateUtc="2023-01-10T15:21:03.894Z"/>
  <w16cex:commentExtensible w16cex:durableId="76C61C51" w16cex:dateUtc="2023-01-09T15:58:52.99Z"/>
  <w16cex:commentExtensible w16cex:durableId="2C370251" w16cex:dateUtc="2023-01-09T16:00:09.171Z"/>
  <w16cex:commentExtensible w16cex:durableId="6041C3B3" w16cex:dateUtc="2023-01-09T17:56:08.192Z"/>
  <w16cex:commentExtensible w16cex:durableId="047029E7" w16cex:dateUtc="2023-01-09T20:15:38.177Z"/>
  <w16cex:commentExtensible w16cex:durableId="6C826390" w16cex:dateUtc="2023-01-11T10:28:33.125Z"/>
  <w16cex:commentExtensible w16cex:durableId="1FB1CB66" w16cex:dateUtc="2023-01-11T13:21:10.103Z"/>
  <w16cex:commentExtensible w16cex:durableId="79668F7E" w16cex:dateUtc="2023-01-11T13:29:03.387Z"/>
  <w16cex:commentExtensible w16cex:durableId="348A8C38" w16cex:dateUtc="2023-01-11T13:30:47.811Z"/>
  <w16cex:commentExtensible w16cex:durableId="2B663484" w16cex:dateUtc="2023-01-11T13:35:48.151Z"/>
  <w16cex:commentExtensible w16cex:durableId="4AFC14DA" w16cex:dateUtc="2023-01-11T14:00:37.66Z"/>
  <w16cex:commentExtensible w16cex:durableId="21AFCB82" w16cex:dateUtc="2023-01-11T14:04:03.642Z"/>
  <w16cex:commentExtensible w16cex:durableId="2AD376AB" w16cex:dateUtc="2023-01-11T18:15:03.173Z"/>
  <w16cex:commentExtensible w16cex:durableId="7C962DC6" w16cex:dateUtc="2023-01-11T18:34:27.344Z"/>
  <w16cex:commentExtensible w16cex:durableId="6179346F" w16cex:dateUtc="2023-01-11T18:48:20.84Z"/>
  <w16cex:commentExtensible w16cex:durableId="5243BE4D" w16cex:dateUtc="2023-01-11T19:22:15.772Z"/>
  <w16cex:commentExtensible w16cex:durableId="63E11DE5" w16cex:dateUtc="2023-01-11T19:26:15.464Z"/>
  <w16cex:commentExtensible w16cex:durableId="73DCBE5D" w16cex:dateUtc="2023-01-11T19:52:03.776Z"/>
  <w16cex:commentExtensible w16cex:durableId="59998902" w16cex:dateUtc="2023-01-11T19:52:46.158Z"/>
  <w16cex:commentExtensible w16cex:durableId="15C6BBC6" w16cex:dateUtc="2023-01-11T14:04:03.642Z"/>
  <w16cex:commentExtensible w16cex:durableId="3CFC5401" w16cex:dateUtc="2023-01-11T20:32:46.801Z"/>
  <w16cex:commentExtensible w16cex:durableId="6C80907E" w16cex:dateUtc="2023-01-12T16:24:13.372Z"/>
</w16cex:commentsExtensible>
</file>

<file path=word/commentsIds.xml><?xml version="1.0" encoding="utf-8"?>
<w16cid:commentsIds xmlns:mc="http://schemas.openxmlformats.org/markup-compatibility/2006" xmlns:w16cid="http://schemas.microsoft.com/office/word/2016/wordml/cid" mc:Ignorable="w16cid">
  <w16cid:commentId w16cid:paraId="0BA170A1" w16cid:durableId="415A5B6C"/>
  <w16cid:commentId w16cid:paraId="76C9278F" w16cid:durableId="7542056A"/>
  <w16cid:commentId w16cid:paraId="0EF5E232" w16cid:durableId="76C61C51"/>
  <w16cid:commentId w16cid:paraId="6F1F4717" w16cid:durableId="2C370251"/>
  <w16cid:commentId w16cid:paraId="5247F131" w16cid:durableId="6041C3B3"/>
  <w16cid:commentId w16cid:paraId="24D90478" w16cid:durableId="047029E7"/>
  <w16cid:commentId w16cid:paraId="4CF9C79F" w16cid:durableId="6AB96402"/>
  <w16cid:commentId w16cid:paraId="554264E7" w16cid:durableId="6C826390"/>
  <w16cid:commentId w16cid:paraId="190BAE9E" w16cid:durableId="1FB1CB66"/>
  <w16cid:commentId w16cid:paraId="102DF88D" w16cid:durableId="79668F7E"/>
  <w16cid:commentId w16cid:paraId="26820BB3" w16cid:durableId="348A8C38"/>
  <w16cid:commentId w16cid:paraId="3BCDA64F" w16cid:durableId="2B663484"/>
  <w16cid:commentId w16cid:paraId="244E0F7B" w16cid:durableId="4AFC14DA"/>
  <w16cid:commentId w16cid:paraId="7D222F10" w16cid:durableId="21AFCB82"/>
  <w16cid:commentId w16cid:paraId="3389E702" w16cid:durableId="2AD376AB"/>
  <w16cid:commentId w16cid:paraId="509A43DA" w16cid:durableId="7C962DC6"/>
  <w16cid:commentId w16cid:paraId="7F52DF4C" w16cid:durableId="6179346F"/>
  <w16cid:commentId w16cid:paraId="1B7B30FF" w16cid:durableId="5243BE4D"/>
  <w16cid:commentId w16cid:paraId="582B87B5" w16cid:durableId="63E11DE5"/>
  <w16cid:commentId w16cid:paraId="421B8152" w16cid:durableId="73DCBE5D"/>
  <w16cid:commentId w16cid:paraId="67AF7F16" w16cid:durableId="59998902"/>
  <w16cid:commentId w16cid:paraId="4B58ABC8" w16cid:durableId="15C6BBC6"/>
  <w16cid:commentId w16cid:paraId="669AF03A" w16cid:durableId="3CFC5401"/>
  <w16cid:commentId w16cid:paraId="735C6857" w16cid:durableId="6C8090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FB4C8" w14:textId="77777777" w:rsidR="009A414F" w:rsidRDefault="009A414F">
      <w:pPr>
        <w:spacing w:after="0" w:line="240" w:lineRule="auto"/>
      </w:pPr>
      <w:r>
        <w:separator/>
      </w:r>
    </w:p>
  </w:endnote>
  <w:endnote w:type="continuationSeparator" w:id="0">
    <w:p w14:paraId="0FB84C6F" w14:textId="77777777" w:rsidR="009A414F" w:rsidRDefault="009A414F">
      <w:pPr>
        <w:spacing w:after="0" w:line="240" w:lineRule="auto"/>
      </w:pPr>
      <w:r>
        <w:continuationSeparator/>
      </w:r>
    </w:p>
  </w:endnote>
  <w:endnote w:id="1">
    <w:p w14:paraId="6571DC7F" w14:textId="4A15C701" w:rsidR="00837C47" w:rsidRPr="006B7205" w:rsidRDefault="00837C47" w:rsidP="006B7205">
      <w:pPr>
        <w:pStyle w:val="Textonotaalfinal"/>
        <w:jc w:val="both"/>
        <w:rPr>
          <w:rFonts w:ascii="Times New Roman" w:hAnsi="Times New Roman" w:cs="Times New Roman"/>
        </w:rPr>
      </w:pPr>
      <w:r>
        <w:rPr>
          <w:rStyle w:val="Refdenotaalfinal"/>
        </w:rPr>
        <w:endnoteRef/>
      </w:r>
      <w:r w:rsidRPr="006B7205">
        <w:rPr>
          <w:rFonts w:cstheme="minorHAnsi"/>
          <w:sz w:val="18"/>
          <w:szCs w:val="18"/>
        </w:rPr>
        <w:t>Throughout this document we will use the abbreviation LGBTI+ which stands for lesbian, gay, bisexual, trans, intersex,and other identities. However, when a source of information uses another acronym for these groups or for referring to a specific composition of populations, we use the abbreviations employed on those sources. E.g. LGBT (lesbian, gay, bisexual and trans), LGBTI (lesbian, gay, bisexual, trans and intersex), LGBT+ (lesbian, gay, bisexual, trans and other), LGBTQ (lesbian, gay, bisexual, trans and queer), LGBTIQ (lesbian, gay, bisexual, trans, intersex and queer), LGBTIQ+ (lesbian, gay, bisexual, trans, intersex, queer and other), LBTQ (lesbian, bisexual, trans and queer), 2SLBTQI+( Two-Spirit, lesbian, bisexual, trans, queer, intersex and other).</w:t>
      </w:r>
    </w:p>
  </w:endnote>
  <w:endnote w:id="2">
    <w:p w14:paraId="21BFBBCF" w14:textId="609CF544" w:rsidR="00837C47" w:rsidRPr="00342109" w:rsidRDefault="00837C47" w:rsidP="00A2327F">
      <w:pPr>
        <w:spacing w:line="257" w:lineRule="auto"/>
        <w:jc w:val="both"/>
        <w:rPr>
          <w:rFonts w:eastAsiaTheme="minorEastAsia" w:cstheme="minorHAnsi"/>
          <w:sz w:val="18"/>
          <w:szCs w:val="18"/>
        </w:rPr>
      </w:pPr>
      <w:r w:rsidRPr="00342109">
        <w:rPr>
          <w:rStyle w:val="Refdenotaalfinal"/>
          <w:rFonts w:cstheme="minorHAnsi"/>
          <w:sz w:val="18"/>
          <w:szCs w:val="18"/>
        </w:rPr>
        <w:endnoteRef/>
      </w:r>
      <w:r w:rsidRPr="00342109">
        <w:rPr>
          <w:rFonts w:eastAsiaTheme="minorEastAsia" w:cstheme="minorHAnsi"/>
          <w:sz w:val="18"/>
          <w:szCs w:val="18"/>
          <w:lang w:val="en-US"/>
        </w:rPr>
        <w:t xml:space="preserve"> “</w:t>
      </w:r>
      <w:r w:rsidRPr="00342109">
        <w:rPr>
          <w:rFonts w:eastAsiaTheme="minorEastAsia" w:cstheme="minorHAnsi"/>
          <w:sz w:val="18"/>
          <w:szCs w:val="18"/>
        </w:rPr>
        <w:t xml:space="preserve">LGBT persons deserve that promise fulfilled: Statement by human rights experts on the International Day against Homophobia, Transphobia and Biphobia (to be held on 17 May 2021)” Available at: </w:t>
      </w:r>
      <w:hyperlink r:id="rId1">
        <w:r w:rsidRPr="00342109">
          <w:rPr>
            <w:rStyle w:val="Hipervnculo"/>
            <w:rFonts w:eastAsiaTheme="minorEastAsia" w:cstheme="minorHAnsi"/>
            <w:sz w:val="18"/>
            <w:szCs w:val="18"/>
          </w:rPr>
          <w:t>https://www.ohchr.org/en/2021/05/right-freedom-religion-or-belief-and-right-live-free-violence-and-discrimination-based-sogi</w:t>
        </w:r>
      </w:hyperlink>
      <w:r w:rsidRPr="00342109">
        <w:rPr>
          <w:rFonts w:eastAsiaTheme="minorEastAsia" w:cstheme="minorHAnsi"/>
          <w:sz w:val="18"/>
          <w:szCs w:val="18"/>
        </w:rPr>
        <w:t xml:space="preserve"> </w:t>
      </w:r>
    </w:p>
  </w:endnote>
  <w:endnote w:id="3">
    <w:p w14:paraId="336657AC" w14:textId="7338A4DD" w:rsidR="00837C47" w:rsidRPr="00987B7D" w:rsidRDefault="00837C47" w:rsidP="00A2327F">
      <w:pPr>
        <w:pStyle w:val="Textonotaalfinal"/>
        <w:jc w:val="both"/>
      </w:pPr>
      <w:r>
        <w:rPr>
          <w:rStyle w:val="Refdenotaalfinal"/>
        </w:rPr>
        <w:endnoteRef/>
      </w:r>
      <w:r>
        <w:t xml:space="preserve"> </w:t>
      </w:r>
      <w:r w:rsidRPr="00987B7D">
        <w:rPr>
          <w:rFonts w:eastAsiaTheme="minorEastAsia" w:cstheme="minorHAnsi"/>
          <w:sz w:val="18"/>
          <w:szCs w:val="18"/>
        </w:rPr>
        <w:t>International Covenant on Civil and Political Rights</w:t>
      </w:r>
    </w:p>
  </w:endnote>
  <w:endnote w:id="4">
    <w:p w14:paraId="1090804B" w14:textId="0BB781F6" w:rsidR="00837C47" w:rsidRPr="00342109" w:rsidRDefault="00837C47" w:rsidP="00A2327F">
      <w:pPr>
        <w:spacing w:line="257" w:lineRule="auto"/>
        <w:jc w:val="both"/>
        <w:rPr>
          <w:rFonts w:eastAsiaTheme="minorEastAsia" w:cstheme="minorHAnsi"/>
          <w:sz w:val="18"/>
          <w:szCs w:val="18"/>
          <w:lang w:val="en-US"/>
        </w:rPr>
      </w:pPr>
      <w:r w:rsidRPr="00342109">
        <w:rPr>
          <w:rStyle w:val="Refdenotaalfinal"/>
          <w:rFonts w:cstheme="minorHAnsi"/>
          <w:sz w:val="18"/>
          <w:szCs w:val="18"/>
        </w:rPr>
        <w:endnoteRef/>
      </w:r>
      <w:r w:rsidRPr="00342109">
        <w:rPr>
          <w:rFonts w:cstheme="minorHAnsi"/>
          <w:sz w:val="18"/>
          <w:szCs w:val="18"/>
        </w:rPr>
        <w:t xml:space="preserve"> </w:t>
      </w:r>
      <w:r w:rsidRPr="00342109">
        <w:rPr>
          <w:rFonts w:eastAsiaTheme="minorEastAsia" w:cstheme="minorHAnsi"/>
          <w:sz w:val="18"/>
          <w:szCs w:val="18"/>
          <w:lang w:val="en-US"/>
        </w:rPr>
        <w:t>Report of the Special Rapporteur on Freedom of Religion or Belief on “</w:t>
      </w:r>
      <w:r w:rsidRPr="00342109">
        <w:rPr>
          <w:rFonts w:eastAsia="Calibri" w:cstheme="minorHAnsi"/>
          <w:sz w:val="18"/>
          <w:szCs w:val="18"/>
          <w:lang w:val="en-US"/>
        </w:rPr>
        <w:t xml:space="preserve">Gender-based violence and discrimination in the name of religion or belief” 2020. </w:t>
      </w:r>
      <w:hyperlink r:id="rId2">
        <w:r w:rsidRPr="00342109">
          <w:rPr>
            <w:rStyle w:val="Hipervnculo"/>
            <w:rFonts w:eastAsiaTheme="minorEastAsia" w:cstheme="minorHAnsi"/>
            <w:sz w:val="18"/>
            <w:szCs w:val="18"/>
            <w:lang w:val="en-US"/>
          </w:rPr>
          <w:t>A/HRC/43/48</w:t>
        </w:r>
      </w:hyperlink>
    </w:p>
  </w:endnote>
  <w:endnote w:id="5">
    <w:p w14:paraId="21F576E6" w14:textId="6338ED3C" w:rsidR="00837C47" w:rsidRPr="00342109" w:rsidRDefault="00837C47" w:rsidP="00A2327F">
      <w:pPr>
        <w:spacing w:line="257" w:lineRule="auto"/>
        <w:jc w:val="both"/>
        <w:rPr>
          <w:rFonts w:eastAsiaTheme="minorEastAsia" w:cstheme="minorHAnsi"/>
          <w:sz w:val="18"/>
          <w:szCs w:val="18"/>
          <w:lang w:val="en-US"/>
        </w:rPr>
      </w:pPr>
      <w:r w:rsidRPr="00342109">
        <w:rPr>
          <w:rStyle w:val="Refdenotaalfinal"/>
          <w:rFonts w:cstheme="minorHAnsi"/>
          <w:sz w:val="18"/>
          <w:szCs w:val="18"/>
        </w:rPr>
        <w:endnoteRef/>
      </w:r>
      <w:r w:rsidRPr="00342109">
        <w:rPr>
          <w:rFonts w:eastAsiaTheme="minorEastAsia" w:cstheme="minorHAnsi"/>
          <w:sz w:val="18"/>
          <w:szCs w:val="18"/>
          <w:lang w:val="en-US"/>
        </w:rPr>
        <w:t xml:space="preserve"> Ibid.</w:t>
      </w:r>
    </w:p>
  </w:endnote>
  <w:endnote w:id="6">
    <w:p w14:paraId="4A3D0554" w14:textId="472C804F"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Nazila Ghanea, “Back to Basics in Evaluating Belief” 36 Emory Int'l L.</w:t>
      </w:r>
      <w:r>
        <w:rPr>
          <w:rFonts w:cstheme="minorHAnsi"/>
          <w:sz w:val="18"/>
          <w:szCs w:val="18"/>
        </w:rPr>
        <w:t xml:space="preserve"> Rev. 661 (2022). Available at: </w:t>
      </w:r>
      <w:hyperlink r:id="rId3" w:history="1">
        <w:r w:rsidRPr="00CD3B21">
          <w:rPr>
            <w:rStyle w:val="Hipervnculo"/>
            <w:rFonts w:cstheme="minorHAnsi"/>
            <w:sz w:val="18"/>
            <w:szCs w:val="18"/>
          </w:rPr>
          <w:t>https://scholarlycommons.law.emory.edu/eilr/vol36/iss4/4</w:t>
        </w:r>
      </w:hyperlink>
    </w:p>
  </w:endnote>
  <w:endnote w:id="7">
    <w:p w14:paraId="05C8082E" w14:textId="5658FE46" w:rsidR="00837C47" w:rsidRPr="00987B7D" w:rsidRDefault="00837C47" w:rsidP="00A2327F">
      <w:pPr>
        <w:jc w:val="both"/>
        <w:rPr>
          <w:rFonts w:eastAsiaTheme="minorEastAsia" w:cstheme="minorHAnsi"/>
          <w:color w:val="000000" w:themeColor="text1"/>
          <w:sz w:val="18"/>
          <w:szCs w:val="18"/>
          <w:lang w:val="en-US"/>
        </w:rPr>
      </w:pPr>
      <w:r w:rsidRPr="00342109">
        <w:rPr>
          <w:rStyle w:val="Refdenotaalfinal"/>
          <w:rFonts w:cstheme="minorHAnsi"/>
          <w:sz w:val="18"/>
          <w:szCs w:val="18"/>
        </w:rPr>
        <w:endnoteRef/>
      </w:r>
      <w:r w:rsidRPr="00342109">
        <w:rPr>
          <w:rFonts w:eastAsiaTheme="minorEastAsia" w:cstheme="minorHAnsi"/>
          <w:sz w:val="18"/>
          <w:szCs w:val="18"/>
        </w:rPr>
        <w:t xml:space="preserve"> </w:t>
      </w:r>
      <w:r w:rsidRPr="00342109">
        <w:rPr>
          <w:rFonts w:eastAsiaTheme="minorEastAsia" w:cstheme="minorHAnsi"/>
          <w:color w:val="000000" w:themeColor="text1"/>
          <w:sz w:val="18"/>
          <w:szCs w:val="18"/>
          <w:lang w:val="en-US"/>
        </w:rPr>
        <w:t>Nazila Ghanea (2022) Piecing the Puzzle—Women and Freedom of Religion or Belief, The Review of Faith &amp; International Affairs, 20:3, 4-18, DOI: 10.1080/15570274.2022.2111804</w:t>
      </w:r>
    </w:p>
  </w:endnote>
  <w:endnote w:id="8">
    <w:p w14:paraId="1653D9BE" w14:textId="210C8791" w:rsidR="00837C47" w:rsidRPr="00342109" w:rsidRDefault="00837C47" w:rsidP="00A2327F">
      <w:pPr>
        <w:pStyle w:val="Textonotaalfinal"/>
        <w:jc w:val="both"/>
        <w:rPr>
          <w:rFonts w:eastAsia="Calibri" w:cstheme="minorHAnsi"/>
          <w:color w:val="808080" w:themeColor="background1" w:themeShade="80"/>
          <w:sz w:val="18"/>
          <w:szCs w:val="18"/>
          <w:lang w:val="en-US"/>
        </w:rPr>
      </w:pPr>
      <w:r w:rsidRPr="00342109">
        <w:rPr>
          <w:rStyle w:val="Refdenotaalfinal"/>
          <w:rFonts w:cstheme="minorHAnsi"/>
          <w:sz w:val="18"/>
          <w:szCs w:val="18"/>
        </w:rPr>
        <w:endnoteRef/>
      </w:r>
      <w:r w:rsidRPr="00342109">
        <w:rPr>
          <w:rFonts w:cstheme="minorHAnsi"/>
          <w:sz w:val="18"/>
          <w:szCs w:val="18"/>
        </w:rPr>
        <w:t xml:space="preserve"> </w:t>
      </w:r>
      <w:r w:rsidRPr="00342109">
        <w:rPr>
          <w:rFonts w:eastAsiaTheme="minorEastAsia" w:cstheme="minorHAnsi"/>
          <w:sz w:val="18"/>
          <w:szCs w:val="18"/>
        </w:rPr>
        <w:t>In relation to this, the Human Rights Committee has noted that restrictions on peaceful assembly imposed for the protection of morals cannot be based on opposition to LGBTI identities, nor any “… understandings of morality deriving exclusively from a single social, philosophical or religious tradition.”</w:t>
      </w:r>
      <w:r w:rsidRPr="00342109">
        <w:rPr>
          <w:rFonts w:eastAsia="Calibri" w:cstheme="minorHAnsi"/>
          <w:sz w:val="18"/>
          <w:szCs w:val="18"/>
        </w:rPr>
        <w:t xml:space="preserve">  See General comment No. 37 (2020) on the right of peaceful assembly (article 21), CCPR/C/GC/37, Para. 46.</w:t>
      </w:r>
    </w:p>
  </w:endnote>
  <w:endnote w:id="9">
    <w:p w14:paraId="2D2EFA53" w14:textId="1A016A53" w:rsidR="00837C47" w:rsidRPr="00342109" w:rsidRDefault="00837C47" w:rsidP="00A2327F">
      <w:pPr>
        <w:jc w:val="both"/>
        <w:rPr>
          <w:rFonts w:eastAsiaTheme="minorEastAsia" w:cstheme="minorHAnsi"/>
          <w:sz w:val="18"/>
          <w:szCs w:val="18"/>
          <w:lang w:val="en-US"/>
        </w:rPr>
      </w:pPr>
      <w:r w:rsidRPr="00342109">
        <w:rPr>
          <w:rStyle w:val="Refdenotaalfinal"/>
          <w:rFonts w:cstheme="minorHAnsi"/>
          <w:sz w:val="18"/>
          <w:szCs w:val="18"/>
        </w:rPr>
        <w:endnoteRef/>
      </w:r>
      <w:r w:rsidRPr="00342109">
        <w:rPr>
          <w:rFonts w:cstheme="minorHAnsi"/>
          <w:sz w:val="18"/>
          <w:szCs w:val="18"/>
        </w:rPr>
        <w:t xml:space="preserve"> </w:t>
      </w:r>
      <w:r w:rsidRPr="00342109">
        <w:rPr>
          <w:rFonts w:eastAsiaTheme="minorEastAsia" w:cstheme="minorHAnsi"/>
          <w:sz w:val="18"/>
          <w:szCs w:val="18"/>
        </w:rPr>
        <w:t>In such circumstances, it is also useful to consider that the Special Rapporteur on Freedom of Religion has held that “the universal right to equality is unqualified in a way that the right to manifest freedom of religion or belief, which can be subject to limitation where necessary to protect the rights of other, is not.”</w:t>
      </w:r>
      <w:r w:rsidRPr="00342109">
        <w:rPr>
          <w:rFonts w:eastAsiaTheme="minorEastAsia" w:cstheme="minorHAnsi"/>
          <w:sz w:val="18"/>
          <w:szCs w:val="18"/>
          <w:vertAlign w:val="superscript"/>
        </w:rPr>
        <w:t xml:space="preserve"> </w:t>
      </w:r>
      <w:r w:rsidRPr="00342109">
        <w:rPr>
          <w:rFonts w:eastAsiaTheme="minorEastAsia" w:cstheme="minorHAnsi"/>
          <w:sz w:val="18"/>
          <w:szCs w:val="18"/>
        </w:rPr>
        <w:t>See r</w:t>
      </w:r>
      <w:r w:rsidRPr="00342109">
        <w:rPr>
          <w:rFonts w:eastAsiaTheme="minorEastAsia" w:cstheme="minorHAnsi"/>
          <w:sz w:val="18"/>
          <w:szCs w:val="18"/>
          <w:lang w:val="en-US"/>
        </w:rPr>
        <w:t>eport of the Special Rapporteur on Freedom of Religion or Belief on “</w:t>
      </w:r>
      <w:r w:rsidRPr="00342109">
        <w:rPr>
          <w:rFonts w:eastAsia="Calibri" w:cstheme="minorHAnsi"/>
          <w:sz w:val="18"/>
          <w:szCs w:val="18"/>
          <w:lang w:val="en-US"/>
        </w:rPr>
        <w:t xml:space="preserve">Gender-based violence and discrimination in the name of religion or belief” 2020. </w:t>
      </w:r>
      <w:hyperlink r:id="rId4">
        <w:r w:rsidRPr="00342109">
          <w:rPr>
            <w:rStyle w:val="Hipervnculo"/>
            <w:rFonts w:eastAsiaTheme="minorEastAsia" w:cstheme="minorHAnsi"/>
            <w:sz w:val="18"/>
            <w:szCs w:val="18"/>
            <w:lang w:val="en-US"/>
          </w:rPr>
          <w:t>A/HRC/43/48</w:t>
        </w:r>
      </w:hyperlink>
    </w:p>
  </w:endnote>
  <w:endnote w:id="10">
    <w:p w14:paraId="608EBC6A" w14:textId="75CE1F2A"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“Interview: Nazila Ghanea on Religious Freedom and Gender Equality as Non-Clashing Rights” 2022, International Centre for Law and Religion Studies. Available at: </w:t>
      </w:r>
      <w:hyperlink r:id="rId5">
        <w:r w:rsidRPr="00342109">
          <w:rPr>
            <w:rStyle w:val="Hipervnculo"/>
            <w:rFonts w:cstheme="minorHAnsi"/>
            <w:sz w:val="18"/>
            <w:szCs w:val="18"/>
          </w:rPr>
          <w:t>https://talkabout.iclrs.org/2022/12/19/interview-nazila-ghanea/</w:t>
        </w:r>
      </w:hyperlink>
      <w:r w:rsidRPr="00342109">
        <w:rPr>
          <w:rFonts w:cstheme="minorHAnsi"/>
          <w:sz w:val="18"/>
          <w:szCs w:val="18"/>
        </w:rPr>
        <w:t xml:space="preserve"> </w:t>
      </w:r>
    </w:p>
  </w:endnote>
  <w:endnote w:id="11">
    <w:p w14:paraId="698AC31C" w14:textId="7F8E7581" w:rsidR="00837C47" w:rsidRPr="00342109" w:rsidRDefault="00837C47" w:rsidP="00A2327F">
      <w:pPr>
        <w:spacing w:line="257" w:lineRule="auto"/>
        <w:jc w:val="both"/>
        <w:rPr>
          <w:rFonts w:cstheme="minorHAnsi"/>
          <w:sz w:val="18"/>
          <w:szCs w:val="18"/>
          <w:lang w:val="en-US"/>
        </w:rPr>
      </w:pPr>
      <w:r w:rsidRPr="00342109">
        <w:rPr>
          <w:rStyle w:val="Refdenotaalfinal"/>
          <w:rFonts w:cstheme="minorHAnsi"/>
          <w:sz w:val="18"/>
          <w:szCs w:val="18"/>
        </w:rPr>
        <w:endnoteRef/>
      </w:r>
      <w:r w:rsidRPr="00342109">
        <w:rPr>
          <w:rFonts w:cstheme="minorHAnsi"/>
          <w:sz w:val="18"/>
          <w:szCs w:val="18"/>
        </w:rPr>
        <w:t xml:space="preserve"> Report of the Special Rapporteur on Freedom of Religion on </w:t>
      </w:r>
      <w:r w:rsidRPr="00342109">
        <w:rPr>
          <w:rFonts w:eastAsiaTheme="minorEastAsia" w:cstheme="minorHAnsi"/>
          <w:sz w:val="18"/>
          <w:szCs w:val="18"/>
          <w:lang w:val="en-US"/>
        </w:rPr>
        <w:t xml:space="preserve">State-religion relationships and their impact on freedom of religion or belief (2018) </w:t>
      </w:r>
      <w:hyperlink r:id="rId6">
        <w:r w:rsidRPr="00342109">
          <w:rPr>
            <w:rStyle w:val="Hipervnculo"/>
            <w:rFonts w:eastAsiaTheme="minorEastAsia" w:cstheme="minorHAnsi"/>
            <w:sz w:val="18"/>
            <w:szCs w:val="18"/>
            <w:lang w:val="en-US"/>
          </w:rPr>
          <w:t>A/HRC/37/49</w:t>
        </w:r>
      </w:hyperlink>
    </w:p>
  </w:endnote>
  <w:endnote w:id="12">
    <w:p w14:paraId="38AAAFE8" w14:textId="0A56687B" w:rsidR="00837C47" w:rsidRPr="00342109" w:rsidRDefault="00837C47" w:rsidP="00A2327F">
      <w:pPr>
        <w:jc w:val="both"/>
        <w:rPr>
          <w:rFonts w:eastAsiaTheme="minorEastAsia"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w:t>
      </w:r>
      <w:r w:rsidRPr="00342109">
        <w:rPr>
          <w:rFonts w:eastAsiaTheme="minorEastAsia" w:cstheme="minorHAnsi"/>
          <w:sz w:val="18"/>
          <w:szCs w:val="18"/>
        </w:rPr>
        <w:t>This international movement represents a coordinated effort to undermine and restrict the human rights of women and LGBTI</w:t>
      </w:r>
      <w:r>
        <w:rPr>
          <w:rFonts w:eastAsiaTheme="minorEastAsia" w:cstheme="minorHAnsi"/>
          <w:sz w:val="18"/>
          <w:szCs w:val="18"/>
        </w:rPr>
        <w:t>+</w:t>
      </w:r>
      <w:r w:rsidRPr="00342109">
        <w:rPr>
          <w:rFonts w:eastAsiaTheme="minorEastAsia" w:cstheme="minorHAnsi"/>
          <w:sz w:val="18"/>
          <w:szCs w:val="18"/>
        </w:rPr>
        <w:t xml:space="preserve"> persons and promote an essentialist, cis-heteronormative understanding of gender and sex, based on hegemonic religious fundaments. One of the primary narratives of the anti-gender movement is that men and women are designed by God to be different, unequal and complimentary. Marriage is seen as existing to bring man and woman together, including as father and mother of children.</w:t>
      </w:r>
      <w:r w:rsidRPr="00342109">
        <w:rPr>
          <w:rFonts w:eastAsiaTheme="minorEastAsia" w:cstheme="minorHAnsi"/>
          <w:sz w:val="18"/>
          <w:szCs w:val="18"/>
          <w:lang w:val="en-US"/>
        </w:rPr>
        <w:t xml:space="preserve"> For more information, see Damjan Denkovski, Nina Bernarding, and Kristina Lunz “Power Over Rights: Understanding and countering the transnational anti-gender movement Volume I” Centre for Feminist Foreign Policy (2021)</w:t>
      </w:r>
    </w:p>
  </w:endnote>
  <w:endnote w:id="13">
    <w:p w14:paraId="6B20AA66" w14:textId="7D3C3B83" w:rsidR="00837C47" w:rsidRPr="00342109" w:rsidRDefault="00837C47" w:rsidP="00A2327F">
      <w:pPr>
        <w:jc w:val="both"/>
        <w:rPr>
          <w:rFonts w:eastAsiaTheme="minorEastAsia" w:cstheme="minorHAnsi"/>
          <w:color w:val="000000" w:themeColor="text1"/>
          <w:sz w:val="18"/>
          <w:szCs w:val="18"/>
          <w:lang w:val="de-DE"/>
        </w:rPr>
      </w:pPr>
      <w:r w:rsidRPr="00342109">
        <w:rPr>
          <w:rStyle w:val="Refdenotaalfinal"/>
          <w:rFonts w:cstheme="minorHAnsi"/>
          <w:sz w:val="18"/>
          <w:szCs w:val="18"/>
        </w:rPr>
        <w:endnoteRef/>
      </w:r>
      <w:r w:rsidRPr="00342109">
        <w:rPr>
          <w:rFonts w:cstheme="minorHAnsi"/>
          <w:sz w:val="18"/>
          <w:szCs w:val="18"/>
          <w:lang w:val="de-DE"/>
        </w:rPr>
        <w:t xml:space="preserve"> </w:t>
      </w:r>
      <w:r w:rsidRPr="00342109">
        <w:rPr>
          <w:rFonts w:eastAsiaTheme="minorEastAsia" w:cstheme="minorHAnsi"/>
          <w:color w:val="000000" w:themeColor="text1"/>
          <w:sz w:val="18"/>
          <w:szCs w:val="18"/>
          <w:lang w:val="de-DE"/>
        </w:rPr>
        <w:t>Damjan Denkovski, Nina Bernarding, and Kristina Lunz  (2021) Ibid.</w:t>
      </w:r>
    </w:p>
  </w:endnote>
  <w:endnote w:id="14">
    <w:p w14:paraId="3662C330" w14:textId="64ABAB20" w:rsidR="00837C47" w:rsidRPr="00342109" w:rsidRDefault="00837C47" w:rsidP="00A2327F">
      <w:pPr>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Information submitted by a LGBTI</w:t>
      </w:r>
      <w:r>
        <w:rPr>
          <w:rFonts w:cstheme="minorHAnsi"/>
          <w:sz w:val="18"/>
          <w:szCs w:val="18"/>
        </w:rPr>
        <w:t>+</w:t>
      </w:r>
      <w:r w:rsidRPr="00342109">
        <w:rPr>
          <w:rFonts w:cstheme="minorHAnsi"/>
          <w:sz w:val="18"/>
          <w:szCs w:val="18"/>
        </w:rPr>
        <w:t xml:space="preserve"> grassroots organisation in Sudan. The name is withheld for safety reasons.</w:t>
      </w:r>
    </w:p>
  </w:endnote>
  <w:endnote w:id="15">
    <w:p w14:paraId="3B191B08" w14:textId="4972D02F"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Inputs from Otros Cruces</w:t>
      </w:r>
    </w:p>
  </w:endnote>
  <w:endnote w:id="16">
    <w:p w14:paraId="57EA1D30" w14:textId="3CEC2CEB"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Inputs from Western Kenya LBQT Feminist Forum</w:t>
      </w:r>
    </w:p>
  </w:endnote>
  <w:endnote w:id="17">
    <w:p w14:paraId="4CC21367" w14:textId="4670A7DD" w:rsidR="00837C47" w:rsidRPr="00342109" w:rsidRDefault="00837C47" w:rsidP="006B7205">
      <w:pPr>
        <w:pStyle w:val="Textonotaalfinal"/>
        <w:rPr>
          <w:rFonts w:cstheme="minorHAnsi"/>
          <w:sz w:val="18"/>
          <w:szCs w:val="18"/>
        </w:rPr>
      </w:pPr>
      <w:r w:rsidRPr="00342109">
        <w:rPr>
          <w:rStyle w:val="Refdenotaalfinal"/>
          <w:rFonts w:cstheme="minorHAnsi"/>
          <w:sz w:val="18"/>
          <w:szCs w:val="18"/>
        </w:rPr>
        <w:endnoteRef/>
      </w:r>
      <w:r>
        <w:rPr>
          <w:rFonts w:cstheme="minorHAnsi"/>
          <w:sz w:val="18"/>
          <w:szCs w:val="18"/>
        </w:rPr>
        <w:t xml:space="preserve"> </w:t>
      </w:r>
      <w:r w:rsidRPr="00342109">
        <w:rPr>
          <w:rFonts w:cstheme="minorHAnsi"/>
          <w:sz w:val="18"/>
          <w:szCs w:val="18"/>
        </w:rPr>
        <w:t>See</w:t>
      </w:r>
      <w:r>
        <w:rPr>
          <w:rFonts w:cstheme="minorHAnsi"/>
          <w:sz w:val="18"/>
          <w:szCs w:val="18"/>
        </w:rPr>
        <w:t xml:space="preserve"> </w:t>
      </w:r>
      <w:hyperlink r:id="rId7" w:history="1">
        <w:r w:rsidRPr="00342109">
          <w:rPr>
            <w:rStyle w:val="Hipervnculo"/>
            <w:rFonts w:cstheme="minorHAnsi"/>
            <w:sz w:val="18"/>
            <w:szCs w:val="18"/>
          </w:rPr>
          <w:t>https://melomediazambia.com/2022/09/20/statement-by-the-minister-of-information-and-media-and-chief-government-spokesperson-hon-chushi-kasanda-mp-on-lesbian-gay-bisexual-and-transgender-lgbt-in-zambia/</w:t>
        </w:r>
      </w:hyperlink>
    </w:p>
    <w:p w14:paraId="681DEDC0" w14:textId="2570D4A3" w:rsidR="00837C47" w:rsidRPr="007C5EFC" w:rsidRDefault="00837C47" w:rsidP="00A2327F">
      <w:pPr>
        <w:pStyle w:val="Textonotaalfinal"/>
        <w:jc w:val="both"/>
      </w:pPr>
      <w:r w:rsidRPr="00342109">
        <w:rPr>
          <w:rFonts w:cstheme="minorHAnsi"/>
          <w:sz w:val="18"/>
          <w:szCs w:val="18"/>
        </w:rPr>
        <w:t>Information provided by Women’s Alliance for Equality Limited (WAFE)</w:t>
      </w:r>
    </w:p>
  </w:endnote>
  <w:endnote w:id="18">
    <w:p w14:paraId="295FB93C" w14:textId="3D1F3A1C" w:rsidR="00837C47" w:rsidRPr="00342109" w:rsidRDefault="00837C47" w:rsidP="00A2327F">
      <w:pPr>
        <w:jc w:val="both"/>
        <w:rPr>
          <w:rFonts w:cstheme="minorHAnsi"/>
          <w:sz w:val="18"/>
          <w:szCs w:val="18"/>
          <w:lang w:val="en-US"/>
        </w:rPr>
      </w:pPr>
      <w:r w:rsidRPr="00342109">
        <w:rPr>
          <w:rStyle w:val="Refdenotaalfinal"/>
          <w:rFonts w:cstheme="minorHAnsi"/>
          <w:sz w:val="18"/>
          <w:szCs w:val="18"/>
        </w:rPr>
        <w:endnoteRef/>
      </w:r>
      <w:r w:rsidRPr="00342109">
        <w:rPr>
          <w:rFonts w:cstheme="minorHAnsi"/>
          <w:sz w:val="18"/>
          <w:szCs w:val="18"/>
        </w:rPr>
        <w:t xml:space="preserve"> Damjan Denkovski, Nina Bernarding, and Kristina Lunz “Power Over Rights: Understanding and countering the transnational anti-gender movement Volume I” Centre for Feminist Foreign Policy (2021)  </w:t>
      </w:r>
    </w:p>
  </w:endnote>
  <w:endnote w:id="19">
    <w:p w14:paraId="579654E3" w14:textId="5059CB57" w:rsidR="00837C47" w:rsidRDefault="00837C47" w:rsidP="00A2327F">
      <w:pPr>
        <w:pStyle w:val="Textonotaalfinal"/>
        <w:jc w:val="both"/>
      </w:pPr>
      <w:r w:rsidRPr="00342109">
        <w:rPr>
          <w:rStyle w:val="Refdenotaalfinal"/>
          <w:rFonts w:cstheme="minorHAnsi"/>
          <w:sz w:val="18"/>
          <w:szCs w:val="18"/>
        </w:rPr>
        <w:endnoteRef/>
      </w:r>
      <w:r w:rsidRPr="00342109">
        <w:rPr>
          <w:rFonts w:cstheme="minorHAnsi"/>
          <w:sz w:val="18"/>
          <w:szCs w:val="18"/>
        </w:rPr>
        <w:t xml:space="preserve"> Inputs from Pink Armenia</w:t>
      </w:r>
    </w:p>
  </w:endnote>
  <w:endnote w:id="20">
    <w:p w14:paraId="657E51C9" w14:textId="433D56FA" w:rsidR="00837C47" w:rsidRDefault="00837C47" w:rsidP="00A2327F">
      <w:pPr>
        <w:pStyle w:val="Textonotaalfinal"/>
        <w:jc w:val="both"/>
      </w:pPr>
      <w:r w:rsidRPr="3CB87E8B">
        <w:rPr>
          <w:rStyle w:val="Refdenotaalfinal"/>
        </w:rPr>
        <w:endnoteRef/>
      </w:r>
      <w:r>
        <w:t xml:space="preserve"> Inputs from Pink Armenia.</w:t>
      </w:r>
    </w:p>
  </w:endnote>
  <w:endnote w:id="21">
    <w:p w14:paraId="2657DBFF" w14:textId="7A55363D" w:rsidR="00837C47" w:rsidRDefault="00837C47" w:rsidP="00A2327F">
      <w:pPr>
        <w:pStyle w:val="Textonotaalfinal"/>
        <w:jc w:val="both"/>
      </w:pPr>
      <w:r w:rsidRPr="1A481DEB">
        <w:rPr>
          <w:rStyle w:val="Refdenotaalfinal"/>
        </w:rPr>
        <w:endnoteRef/>
      </w:r>
      <w:r>
        <w:t xml:space="preserve"> Information submitted by a LGBTI+ grassroots organisation in Sudan. The name is withheld for safety reasons. </w:t>
      </w:r>
    </w:p>
  </w:endnote>
  <w:endnote w:id="22">
    <w:p w14:paraId="4ED16448" w14:textId="23FFDCDF" w:rsidR="00837C47" w:rsidRPr="00A2327F" w:rsidRDefault="00837C47" w:rsidP="00A2327F">
      <w:pPr>
        <w:pStyle w:val="Textonotaalfinal"/>
        <w:jc w:val="both"/>
      </w:pPr>
      <w:r>
        <w:rPr>
          <w:rStyle w:val="Refdenotaalfinal"/>
        </w:rPr>
        <w:endnoteRef/>
      </w:r>
      <w:r>
        <w:t xml:space="preserve"> </w:t>
      </w:r>
      <w:r w:rsidRPr="00A2327F">
        <w:rPr>
          <w:rFonts w:eastAsiaTheme="minorEastAsia" w:cstheme="minorHAnsi"/>
          <w:sz w:val="18"/>
          <w:szCs w:val="18"/>
          <w:lang w:val="en-US"/>
        </w:rPr>
        <w:t>This Decree added to the Criminal Code the crime of discrimination based on SOGI explicitly. Before</w:t>
      </w:r>
      <w:r>
        <w:rPr>
          <w:rFonts w:eastAsiaTheme="minorEastAsia" w:cstheme="minorHAnsi"/>
          <w:sz w:val="18"/>
          <w:szCs w:val="18"/>
          <w:lang w:val="en-US"/>
        </w:rPr>
        <w:t xml:space="preserve">, the crime of </w:t>
      </w:r>
      <w:r w:rsidRPr="00A2327F">
        <w:rPr>
          <w:rFonts w:eastAsiaTheme="minorEastAsia" w:cstheme="minorHAnsi"/>
          <w:sz w:val="18"/>
          <w:szCs w:val="18"/>
          <w:lang w:val="en-US"/>
        </w:rPr>
        <w:t>discrimination had some assumptions (race, sex, language, among others) and a general category which was "and any other nature". The issue with this category was that</w:t>
      </w:r>
      <w:r w:rsidRPr="00342109">
        <w:rPr>
          <w:rFonts w:eastAsiaTheme="minorEastAsia" w:cstheme="minorHAnsi"/>
          <w:sz w:val="24"/>
          <w:szCs w:val="24"/>
          <w:lang w:val="en-US"/>
        </w:rPr>
        <w:t xml:space="preserve"> </w:t>
      </w:r>
      <w:r w:rsidRPr="00A2327F">
        <w:rPr>
          <w:rFonts w:eastAsiaTheme="minorEastAsia" w:cstheme="minorHAnsi"/>
          <w:sz w:val="18"/>
          <w:szCs w:val="18"/>
          <w:lang w:val="en-US"/>
        </w:rPr>
        <w:t>it left to the discretion of justice actors whether or not the</w:t>
      </w:r>
      <w:r w:rsidRPr="00342109">
        <w:rPr>
          <w:rFonts w:eastAsiaTheme="minorEastAsia" w:cstheme="minorHAnsi"/>
          <w:sz w:val="24"/>
          <w:szCs w:val="24"/>
          <w:lang w:val="en-US"/>
        </w:rPr>
        <w:t xml:space="preserve"> </w:t>
      </w:r>
      <w:r w:rsidRPr="00A2327F">
        <w:rPr>
          <w:rFonts w:eastAsiaTheme="minorEastAsia" w:cstheme="minorHAnsi"/>
          <w:sz w:val="18"/>
          <w:szCs w:val="18"/>
          <w:lang w:val="en-US"/>
        </w:rPr>
        <w:t>LGBT</w:t>
      </w:r>
      <w:r>
        <w:rPr>
          <w:rFonts w:eastAsiaTheme="minorEastAsia" w:cstheme="minorHAnsi"/>
          <w:sz w:val="18"/>
          <w:szCs w:val="18"/>
          <w:lang w:val="en-US"/>
        </w:rPr>
        <w:t>I</w:t>
      </w:r>
      <w:r w:rsidRPr="00A2327F">
        <w:rPr>
          <w:rFonts w:eastAsiaTheme="minorEastAsia" w:cstheme="minorHAnsi"/>
          <w:sz w:val="18"/>
          <w:szCs w:val="18"/>
          <w:lang w:val="en-US"/>
        </w:rPr>
        <w:t>+ community</w:t>
      </w:r>
      <w:r w:rsidRPr="00342109">
        <w:rPr>
          <w:rFonts w:eastAsiaTheme="minorEastAsia" w:cstheme="minorHAnsi"/>
          <w:sz w:val="24"/>
          <w:szCs w:val="24"/>
          <w:lang w:val="en-US"/>
        </w:rPr>
        <w:t xml:space="preserve"> </w:t>
      </w:r>
      <w:r w:rsidRPr="00A2327F">
        <w:rPr>
          <w:rFonts w:eastAsiaTheme="minorEastAsia" w:cstheme="minorHAnsi"/>
          <w:sz w:val="18"/>
          <w:szCs w:val="18"/>
          <w:lang w:val="en-US"/>
        </w:rPr>
        <w:t>could be included in this category. In a country like Peru, where there is still a lot of homolesbotransphobia, this did not provide the minimum guarantees of protection for the LGBTI</w:t>
      </w:r>
      <w:r>
        <w:rPr>
          <w:rFonts w:eastAsiaTheme="minorEastAsia" w:cstheme="minorHAnsi"/>
          <w:sz w:val="18"/>
          <w:szCs w:val="18"/>
          <w:lang w:val="en-US"/>
        </w:rPr>
        <w:t>+</w:t>
      </w:r>
      <w:r w:rsidRPr="00A2327F">
        <w:rPr>
          <w:rFonts w:eastAsiaTheme="minorEastAsia" w:cstheme="minorHAnsi"/>
          <w:sz w:val="18"/>
          <w:szCs w:val="18"/>
          <w:lang w:val="en-US"/>
        </w:rPr>
        <w:t xml:space="preserve"> population. With the legal change, any possible controversy was eliminated</w:t>
      </w:r>
      <w:r>
        <w:rPr>
          <w:rFonts w:eastAsiaTheme="minorEastAsia" w:cstheme="minorHAnsi"/>
          <w:sz w:val="18"/>
          <w:szCs w:val="18"/>
          <w:lang w:val="en-US"/>
        </w:rPr>
        <w:t>. Information provided by PROMSEX</w:t>
      </w:r>
    </w:p>
  </w:endnote>
  <w:endnote w:id="23">
    <w:p w14:paraId="2C404E3E" w14:textId="0DC5A6FE" w:rsidR="00837C47" w:rsidRPr="00342109" w:rsidRDefault="00837C47" w:rsidP="00A2327F">
      <w:pPr>
        <w:pStyle w:val="Default"/>
        <w:jc w:val="both"/>
        <w:rPr>
          <w:rFonts w:asciiTheme="minorHAnsi" w:hAnsiTheme="minorHAnsi" w:cstheme="minorHAnsi"/>
          <w:sz w:val="18"/>
          <w:szCs w:val="18"/>
          <w:lang w:val="en-IE"/>
        </w:rPr>
      </w:pPr>
      <w:r w:rsidRPr="00342109">
        <w:rPr>
          <w:rStyle w:val="Refdenotaalfinal"/>
          <w:rFonts w:asciiTheme="minorHAnsi" w:hAnsiTheme="minorHAnsi" w:cstheme="minorHAnsi"/>
          <w:sz w:val="18"/>
          <w:szCs w:val="18"/>
        </w:rPr>
        <w:endnoteRef/>
      </w:r>
      <w:r w:rsidRPr="00342109">
        <w:rPr>
          <w:rFonts w:asciiTheme="minorHAnsi" w:hAnsiTheme="minorHAnsi" w:cstheme="minorHAnsi"/>
          <w:sz w:val="18"/>
          <w:szCs w:val="18"/>
          <w:lang w:val="en-IE"/>
        </w:rPr>
        <w:t xml:space="preserve">  Note of diario Perú (2017): </w:t>
      </w:r>
      <w:r w:rsidRPr="00342109">
        <w:rPr>
          <w:rFonts w:asciiTheme="minorHAnsi" w:hAnsiTheme="minorHAnsi" w:cstheme="minorHAnsi"/>
          <w:color w:val="0000FF"/>
          <w:sz w:val="18"/>
          <w:szCs w:val="18"/>
          <w:lang w:val="en-IE"/>
        </w:rPr>
        <w:t xml:space="preserve">https://peru21.pe/lima/mis-hijos-metas-marcha-d-l-1323-califican-ley-mordaza-fotos-80986-noticia/ </w:t>
      </w:r>
      <w:r w:rsidRPr="00342109">
        <w:rPr>
          <w:rFonts w:asciiTheme="minorHAnsi" w:hAnsiTheme="minorHAnsi" w:cstheme="minorHAnsi"/>
          <w:sz w:val="18"/>
          <w:szCs w:val="18"/>
          <w:lang w:val="en-IE"/>
        </w:rPr>
        <w:t xml:space="preserve">  Information provided by PROMSEX. </w:t>
      </w:r>
    </w:p>
  </w:endnote>
  <w:endnote w:id="24">
    <w:p w14:paraId="08C830FA" w14:textId="364A988F" w:rsidR="00837C47" w:rsidRPr="006B7205" w:rsidRDefault="00837C47" w:rsidP="00A2327F">
      <w:pPr>
        <w:pStyle w:val="Textonotaalfinal"/>
        <w:jc w:val="both"/>
        <w:rPr>
          <w:sz w:val="18"/>
          <w:szCs w:val="18"/>
        </w:rPr>
      </w:pPr>
      <w:r>
        <w:rPr>
          <w:rStyle w:val="Refdenotaalfinal"/>
        </w:rPr>
        <w:endnoteRef/>
      </w:r>
      <w:r>
        <w:t xml:space="preserve"> </w:t>
      </w:r>
      <w:r>
        <w:rPr>
          <w:sz w:val="18"/>
          <w:szCs w:val="18"/>
        </w:rPr>
        <w:t>In this article, a</w:t>
      </w:r>
      <w:r w:rsidRPr="006B7205">
        <w:rPr>
          <w:sz w:val="18"/>
          <w:szCs w:val="18"/>
        </w:rPr>
        <w:t xml:space="preserve"> congressman develops the idea of the "gag rule" and communicates the renewed efforts to achieve its repeal: </w:t>
      </w:r>
      <w:hyperlink r:id="rId8" w:history="1">
        <w:r w:rsidRPr="006B7205">
          <w:rPr>
            <w:rStyle w:val="Hipervnculo"/>
            <w:sz w:val="18"/>
            <w:szCs w:val="18"/>
          </w:rPr>
          <w:t>https://xn--alejandromuante-8qb.com/la-historia-de-la-ley-mordaza-o-decreto-legislativo-1323/</w:t>
        </w:r>
      </w:hyperlink>
    </w:p>
    <w:p w14:paraId="39051D9B" w14:textId="6FD7B18A" w:rsidR="00837C47" w:rsidRPr="00FA3641" w:rsidRDefault="00837C47" w:rsidP="00A2327F">
      <w:pPr>
        <w:pStyle w:val="Textonotaalfinal"/>
        <w:jc w:val="both"/>
        <w:rPr>
          <w:lang w:val="en-US"/>
        </w:rPr>
      </w:pPr>
      <w:r w:rsidRPr="006B7205">
        <w:rPr>
          <w:sz w:val="18"/>
          <w:szCs w:val="18"/>
        </w:rPr>
        <w:t>Information provided by PROMSEX.</w:t>
      </w:r>
    </w:p>
  </w:endnote>
  <w:endnote w:id="25">
    <w:p w14:paraId="613A3C23" w14:textId="31D0EF9A" w:rsidR="00837C47" w:rsidRPr="00342109" w:rsidRDefault="00837C47" w:rsidP="00A2327F">
      <w:pPr>
        <w:jc w:val="both"/>
        <w:rPr>
          <w:rFonts w:cstheme="minorHAnsi"/>
          <w:sz w:val="18"/>
          <w:szCs w:val="18"/>
          <w:lang w:val="en-US"/>
        </w:rPr>
      </w:pPr>
      <w:r w:rsidRPr="00342109">
        <w:rPr>
          <w:rStyle w:val="Refdenotaalfinal"/>
          <w:rFonts w:cstheme="minorHAnsi"/>
          <w:sz w:val="18"/>
          <w:szCs w:val="18"/>
        </w:rPr>
        <w:endnoteRef/>
      </w:r>
      <w:r w:rsidRPr="00342109">
        <w:rPr>
          <w:rStyle w:val="Refdenotaalfinal"/>
          <w:rFonts w:eastAsiaTheme="minorEastAsia" w:cstheme="minorHAnsi"/>
          <w:sz w:val="18"/>
          <w:szCs w:val="18"/>
        </w:rPr>
        <w:t xml:space="preserve"> </w:t>
      </w:r>
      <w:r w:rsidRPr="00342109">
        <w:rPr>
          <w:rFonts w:cstheme="minorHAnsi"/>
          <w:sz w:val="18"/>
          <w:szCs w:val="18"/>
        </w:rPr>
        <w:t xml:space="preserve">Damjan Denkovski, Nina Bernarding, and Kristina Lunz “Power Over Rights: Understanding and countering the transnational anti-gender movement Volume I” Centre for Feminist Foreign Policy (2021)  </w:t>
      </w:r>
    </w:p>
  </w:endnote>
  <w:endnote w:id="26">
    <w:p w14:paraId="1B5E7770" w14:textId="44797A16" w:rsidR="00837C47" w:rsidRPr="00342109" w:rsidRDefault="00837C47" w:rsidP="00A2327F">
      <w:pPr>
        <w:pStyle w:val="Textonotaalfinal"/>
        <w:jc w:val="both"/>
        <w:rPr>
          <w:rFonts w:eastAsiaTheme="minorEastAsia" w:cstheme="minorHAnsi"/>
          <w:color w:val="000000" w:themeColor="text1"/>
          <w:sz w:val="18"/>
          <w:szCs w:val="18"/>
          <w:lang w:val="en-US"/>
        </w:rPr>
      </w:pPr>
      <w:r w:rsidRPr="00342109">
        <w:rPr>
          <w:rStyle w:val="Refdenotaalfinal"/>
          <w:rFonts w:cstheme="minorHAnsi"/>
          <w:sz w:val="18"/>
          <w:szCs w:val="18"/>
        </w:rPr>
        <w:endnoteRef/>
      </w:r>
      <w:r w:rsidRPr="00342109">
        <w:rPr>
          <w:rFonts w:cstheme="minorHAnsi"/>
          <w:sz w:val="18"/>
          <w:szCs w:val="18"/>
        </w:rPr>
        <w:t xml:space="preserve"> Upheld by the ECtHR in </w:t>
      </w:r>
      <w:r w:rsidRPr="00342109">
        <w:rPr>
          <w:rFonts w:eastAsiaTheme="minorEastAsia" w:cstheme="minorHAnsi"/>
          <w:color w:val="000000" w:themeColor="text1"/>
          <w:sz w:val="18"/>
          <w:szCs w:val="18"/>
          <w:lang w:val="en-US"/>
        </w:rPr>
        <w:t>Oliari and Others v. Italy [2015]</w:t>
      </w:r>
    </w:p>
  </w:endnote>
  <w:endnote w:id="27">
    <w:p w14:paraId="0C6719B9" w14:textId="77777777"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Inputs from EQUAL GROUND Sri Lanka. Source: </w:t>
      </w:r>
      <w:hyperlink r:id="rId9">
        <w:r w:rsidRPr="00342109">
          <w:rPr>
            <w:rStyle w:val="Hipervnculo"/>
            <w:rFonts w:cstheme="minorHAnsi"/>
            <w:sz w:val="18"/>
            <w:szCs w:val="18"/>
          </w:rPr>
          <w:t>https://www.pressreader.com/sri-lanka/daily-mirror-sri-lanka/20121005/281732676707190</w:t>
        </w:r>
      </w:hyperlink>
      <w:r w:rsidRPr="00342109">
        <w:rPr>
          <w:rFonts w:cstheme="minorHAnsi"/>
          <w:sz w:val="18"/>
          <w:szCs w:val="18"/>
        </w:rPr>
        <w:t xml:space="preserve"> </w:t>
      </w:r>
    </w:p>
  </w:endnote>
  <w:endnote w:id="28">
    <w:p w14:paraId="33434BA1" w14:textId="5CA321CF"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Inputs from Equal Ground Sri Lanka</w:t>
      </w:r>
    </w:p>
  </w:endnote>
  <w:endnote w:id="29">
    <w:p w14:paraId="7295BC7D" w14:textId="5E3ED8F6" w:rsidR="00837C47" w:rsidRPr="00342109" w:rsidRDefault="00837C47" w:rsidP="004B70CE">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Inputs from Western Kenya LBQT Feminist Forum</w:t>
      </w:r>
    </w:p>
  </w:endnote>
  <w:endnote w:id="30">
    <w:p w14:paraId="2CD6E8B0" w14:textId="2E795ABE" w:rsidR="00837C47" w:rsidRPr="00342109" w:rsidRDefault="00837C47" w:rsidP="00A2327F">
      <w:pPr>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w:t>
      </w:r>
      <w:r w:rsidRPr="00342109">
        <w:rPr>
          <w:rFonts w:eastAsiaTheme="minorEastAsia" w:cstheme="minorHAnsi"/>
          <w:color w:val="000000" w:themeColor="text1"/>
          <w:sz w:val="18"/>
          <w:szCs w:val="18"/>
          <w:lang w:val="en-US"/>
        </w:rPr>
        <w:t xml:space="preserve">Endsjo, “The other way around? How freedom of religion may protect LGBT rights” The International Journal of Human Rights, 2020. </w:t>
      </w:r>
      <w:hyperlink r:id="rId10">
        <w:r w:rsidRPr="00342109">
          <w:rPr>
            <w:rStyle w:val="Hipervnculo"/>
            <w:rFonts w:eastAsiaTheme="minorEastAsia" w:cstheme="minorHAnsi"/>
            <w:sz w:val="18"/>
            <w:szCs w:val="18"/>
            <w:lang w:val="en-US"/>
          </w:rPr>
          <w:t>https://doi.org/10.1080/13642987.2020.1763961</w:t>
        </w:r>
      </w:hyperlink>
      <w:r w:rsidRPr="00342109">
        <w:rPr>
          <w:rFonts w:eastAsiaTheme="minorEastAsia" w:cstheme="minorHAnsi"/>
          <w:color w:val="000000" w:themeColor="text1"/>
          <w:sz w:val="18"/>
          <w:szCs w:val="18"/>
          <w:lang w:val="en-US"/>
        </w:rPr>
        <w:t xml:space="preserve"> </w:t>
      </w:r>
      <w:r w:rsidRPr="00342109">
        <w:rPr>
          <w:rFonts w:eastAsiaTheme="minorEastAsia" w:cstheme="minorHAnsi"/>
          <w:sz w:val="18"/>
          <w:szCs w:val="18"/>
        </w:rPr>
        <w:t xml:space="preserve"> </w:t>
      </w:r>
    </w:p>
  </w:endnote>
  <w:endnote w:id="31">
    <w:p w14:paraId="1C47CB99" w14:textId="058E3AC1" w:rsidR="00837C47" w:rsidRPr="00342109" w:rsidRDefault="00837C47" w:rsidP="00A2327F">
      <w:pPr>
        <w:jc w:val="both"/>
        <w:rPr>
          <w:rFonts w:eastAsiaTheme="minorEastAsia" w:cstheme="minorHAnsi"/>
          <w:color w:val="000000" w:themeColor="text1"/>
          <w:sz w:val="18"/>
          <w:szCs w:val="18"/>
          <w:lang w:val="en-US"/>
        </w:rPr>
      </w:pPr>
      <w:r w:rsidRPr="00342109">
        <w:rPr>
          <w:rStyle w:val="Refdenotaalfinal"/>
          <w:rFonts w:cstheme="minorHAnsi"/>
          <w:sz w:val="18"/>
          <w:szCs w:val="18"/>
        </w:rPr>
        <w:endnoteRef/>
      </w:r>
      <w:r w:rsidRPr="00342109">
        <w:rPr>
          <w:rFonts w:cstheme="minorHAnsi"/>
          <w:sz w:val="18"/>
          <w:szCs w:val="18"/>
        </w:rPr>
        <w:t xml:space="preserve"> Ibid. </w:t>
      </w:r>
    </w:p>
  </w:endnote>
  <w:endnote w:id="32">
    <w:p w14:paraId="1197B5E3" w14:textId="1B0C2A80" w:rsidR="00837C47" w:rsidRPr="00342109" w:rsidRDefault="00837C47" w:rsidP="00A2327F">
      <w:pPr>
        <w:jc w:val="both"/>
        <w:rPr>
          <w:rFonts w:eastAsia="Calibri" w:cstheme="minorHAnsi"/>
          <w:color w:val="808080" w:themeColor="background1" w:themeShade="80"/>
          <w:sz w:val="18"/>
          <w:szCs w:val="18"/>
        </w:rPr>
      </w:pPr>
      <w:r w:rsidRPr="00342109">
        <w:rPr>
          <w:rStyle w:val="Refdenotaalfinal"/>
          <w:rFonts w:cstheme="minorHAnsi"/>
          <w:sz w:val="18"/>
          <w:szCs w:val="18"/>
        </w:rPr>
        <w:endnoteRef/>
      </w:r>
      <w:r w:rsidRPr="00342109">
        <w:rPr>
          <w:rFonts w:cstheme="minorHAnsi"/>
          <w:sz w:val="18"/>
          <w:szCs w:val="18"/>
        </w:rPr>
        <w:t xml:space="preserve"> Ibid. </w:t>
      </w:r>
      <w:r w:rsidRPr="00342109">
        <w:rPr>
          <w:rFonts w:eastAsia="Calibri" w:cstheme="minorHAnsi"/>
          <w:sz w:val="18"/>
          <w:szCs w:val="18"/>
          <w:lang w:val="en-US"/>
        </w:rPr>
        <w:t xml:space="preserve"> </w:t>
      </w:r>
    </w:p>
  </w:endnote>
  <w:endnote w:id="33">
    <w:p w14:paraId="60DB0C27" w14:textId="71A7EC8F"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Human Rights Watch, ”#Outlawed: The love that dare not speak its name” (2022). Available at: </w:t>
      </w:r>
    </w:p>
    <w:p w14:paraId="66CB6796" w14:textId="2CBA0B66" w:rsidR="00837C47" w:rsidRPr="00342109" w:rsidRDefault="00837C47" w:rsidP="00A2327F">
      <w:pPr>
        <w:pStyle w:val="Textonotaalfinal"/>
        <w:jc w:val="both"/>
        <w:rPr>
          <w:rFonts w:cstheme="minorHAnsi"/>
          <w:sz w:val="18"/>
          <w:szCs w:val="18"/>
        </w:rPr>
      </w:pPr>
      <w:hyperlink r:id="rId11" w:history="1">
        <w:r w:rsidRPr="00CD3B21">
          <w:rPr>
            <w:rStyle w:val="Hipervnculo"/>
            <w:rFonts w:cstheme="minorHAnsi"/>
            <w:sz w:val="18"/>
            <w:szCs w:val="18"/>
          </w:rPr>
          <w:t>http://internap.hrw.org/features/features/lgbt_laws/</w:t>
        </w:r>
      </w:hyperlink>
    </w:p>
  </w:endnote>
  <w:endnote w:id="34">
    <w:p w14:paraId="0FC00F73" w14:textId="6A13CAE3"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ILGA World: Kellyn Botha, Our identities under arrest: A global overview on the enforcement of laws criminalising consensual same-sex sexual acts between adults and diverse gender expressions (Geneva: ILGA, December 2021). https://ilga.org/downloads/Our_Identities_Under_Arrest_2021.pdf   </w:t>
      </w:r>
    </w:p>
  </w:endnote>
  <w:endnote w:id="35">
    <w:p w14:paraId="668E83D9" w14:textId="3CC724BA" w:rsidR="00837C47" w:rsidRPr="00342109" w:rsidRDefault="00837C47" w:rsidP="00A2327F">
      <w:pPr>
        <w:jc w:val="both"/>
        <w:rPr>
          <w:rFonts w:eastAsiaTheme="minorEastAsia" w:cstheme="minorHAnsi"/>
          <w:color w:val="000000" w:themeColor="text1"/>
          <w:sz w:val="18"/>
          <w:szCs w:val="18"/>
          <w:lang w:val="en-US"/>
        </w:rPr>
      </w:pPr>
      <w:r w:rsidRPr="00342109">
        <w:rPr>
          <w:rStyle w:val="Refdenotaalfinal"/>
          <w:rFonts w:cstheme="minorHAnsi"/>
          <w:sz w:val="18"/>
          <w:szCs w:val="18"/>
        </w:rPr>
        <w:endnoteRef/>
      </w:r>
      <w:r w:rsidRPr="00342109">
        <w:rPr>
          <w:rFonts w:cstheme="minorHAnsi"/>
          <w:sz w:val="18"/>
          <w:szCs w:val="18"/>
        </w:rPr>
        <w:t xml:space="preserve"> </w:t>
      </w:r>
      <w:r w:rsidRPr="00342109">
        <w:rPr>
          <w:rFonts w:eastAsiaTheme="minorEastAsia" w:cstheme="minorHAnsi"/>
          <w:color w:val="000000" w:themeColor="text1"/>
          <w:sz w:val="18"/>
          <w:szCs w:val="18"/>
          <w:lang w:val="en-US"/>
        </w:rPr>
        <w:t xml:space="preserve">ILGA World: Lucas Ramon Mendos, State-Sponsored Homophobia 2019: Global Legislation Overview Update (Geneva; ILGA, December 2019). </w:t>
      </w:r>
      <w:hyperlink r:id="rId12">
        <w:r w:rsidRPr="00342109">
          <w:rPr>
            <w:rStyle w:val="Hipervnculo"/>
            <w:rFonts w:eastAsiaTheme="minorEastAsia" w:cstheme="minorHAnsi"/>
            <w:sz w:val="18"/>
            <w:szCs w:val="18"/>
            <w:lang w:val="en-US"/>
          </w:rPr>
          <w:t>https://ilga.org/downloads/ILGA_World_State_Sponsored_Homophobia_report_global_legislation_overview_update_December_2019.pdf</w:t>
        </w:r>
      </w:hyperlink>
    </w:p>
  </w:endnote>
  <w:endnote w:id="36">
    <w:p w14:paraId="3B7C8CFC" w14:textId="638A126D" w:rsidR="00837C47" w:rsidRDefault="00837C47" w:rsidP="00A2327F">
      <w:pPr>
        <w:pStyle w:val="Textonotaalfinal"/>
        <w:jc w:val="both"/>
      </w:pPr>
      <w:r w:rsidRPr="00342109">
        <w:rPr>
          <w:rStyle w:val="Refdenotaalfinal"/>
          <w:rFonts w:cstheme="minorHAnsi"/>
          <w:sz w:val="18"/>
          <w:szCs w:val="18"/>
        </w:rPr>
        <w:endnoteRef/>
      </w:r>
      <w:r w:rsidRPr="00342109">
        <w:rPr>
          <w:rFonts w:cstheme="minorHAnsi"/>
          <w:sz w:val="18"/>
          <w:szCs w:val="18"/>
        </w:rPr>
        <w:t xml:space="preserve"> ILGA World: Kellyn Botha, Our identities under arrest: A global overview on the enforcement of laws criminalising consensual same-sex sexual acts between adults and diverse gender expressions (Geneva: ILGA, December 2021). https://ilga.org/downloads/Our_Identities_Under_Arrest_2021.pdf</w:t>
      </w:r>
      <w:r w:rsidRPr="3CB87E8B">
        <w:t xml:space="preserve">   </w:t>
      </w:r>
    </w:p>
  </w:endnote>
  <w:endnote w:id="37">
    <w:p w14:paraId="2CA3A1EE" w14:textId="784722BE"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Inputs from Western Kenyan LBQT Feminist Forum.</w:t>
      </w:r>
    </w:p>
  </w:endnote>
  <w:endnote w:id="38">
    <w:p w14:paraId="7F4391D4" w14:textId="54D2D086" w:rsidR="00837C47" w:rsidRPr="00063370" w:rsidRDefault="00837C47" w:rsidP="00063370">
      <w:pPr>
        <w:pStyle w:val="Textonotaalfinal"/>
        <w:rPr>
          <w:lang w:val="en-US"/>
        </w:rPr>
      </w:pPr>
      <w:r>
        <w:rPr>
          <w:rStyle w:val="Refdenotaalfinal"/>
        </w:rPr>
        <w:endnoteRef/>
      </w:r>
      <w:r>
        <w:t xml:space="preserve">  </w:t>
      </w:r>
      <w:r w:rsidRPr="00063370">
        <w:rPr>
          <w:lang w:val="en-US"/>
        </w:rPr>
        <w:t>For the past decade Sudan had a legal framework where sodomy w</w:t>
      </w:r>
      <w:r>
        <w:rPr>
          <w:lang w:val="en-US"/>
        </w:rPr>
        <w:t xml:space="preserve">as a crime worth death penalty. </w:t>
      </w:r>
      <w:r w:rsidRPr="00063370">
        <w:rPr>
          <w:sz w:val="18"/>
          <w:szCs w:val="18"/>
          <w:lang w:val="en-US"/>
        </w:rPr>
        <w:t>Article 148 of the penal code 1991 forbids sodomy. Sodomy is defined in the text as “anal</w:t>
      </w:r>
      <w:r>
        <w:rPr>
          <w:lang w:val="en-US"/>
        </w:rPr>
        <w:t xml:space="preserve"> </w:t>
      </w:r>
      <w:r w:rsidRPr="00063370">
        <w:rPr>
          <w:sz w:val="18"/>
          <w:szCs w:val="18"/>
          <w:lang w:val="en-US"/>
        </w:rPr>
        <w:t>penetration” between two men or a man and a woman. The sentence for such an act is a hundred lashes or/and five years in prison for the first time. If the person is caught for a second time, they might face both penalties and for a third time they might face lifetime imprisonment or a death sentence</w:t>
      </w:r>
      <w:r>
        <w:rPr>
          <w:sz w:val="18"/>
          <w:szCs w:val="18"/>
          <w:lang w:val="en-US"/>
        </w:rPr>
        <w:t xml:space="preserve">. See </w:t>
      </w:r>
      <w:r w:rsidRPr="00342109">
        <w:rPr>
          <w:rFonts w:cstheme="minorHAnsi"/>
          <w:sz w:val="18"/>
          <w:szCs w:val="18"/>
        </w:rPr>
        <w:t xml:space="preserve">BEDAYAA (2020) </w:t>
      </w:r>
      <w:hyperlink r:id="rId13" w:history="1">
        <w:r w:rsidRPr="00342109">
          <w:rPr>
            <w:rStyle w:val="Hipervnculo"/>
            <w:rFonts w:cstheme="minorHAnsi"/>
            <w:sz w:val="18"/>
            <w:szCs w:val="18"/>
          </w:rPr>
          <w:t>Needs Assessment Report 2020. LGBTQI+ in Sudan.</w:t>
        </w:r>
      </w:hyperlink>
    </w:p>
  </w:endnote>
  <w:endnote w:id="39">
    <w:p w14:paraId="3DAA985E" w14:textId="5EB20ECF" w:rsidR="00837C47" w:rsidRPr="00342109" w:rsidRDefault="00837C47" w:rsidP="00A2327F">
      <w:pPr>
        <w:autoSpaceDE w:val="0"/>
        <w:autoSpaceDN w:val="0"/>
        <w:adjustRightInd w:val="0"/>
        <w:spacing w:after="0" w:line="240" w:lineRule="auto"/>
        <w:jc w:val="both"/>
        <w:rPr>
          <w:rFonts w:cstheme="minorHAnsi"/>
          <w:bCs/>
          <w:sz w:val="18"/>
          <w:szCs w:val="18"/>
          <w:lang w:val="en-US"/>
        </w:rPr>
      </w:pPr>
      <w:r w:rsidRPr="00342109">
        <w:rPr>
          <w:rStyle w:val="Refdenotaalfinal"/>
          <w:rFonts w:cstheme="minorHAnsi"/>
          <w:sz w:val="18"/>
          <w:szCs w:val="18"/>
        </w:rPr>
        <w:endnoteRef/>
      </w:r>
      <w:r w:rsidRPr="00342109">
        <w:rPr>
          <w:rFonts w:cstheme="minorHAnsi"/>
          <w:sz w:val="18"/>
          <w:szCs w:val="18"/>
        </w:rPr>
        <w:t xml:space="preserve"> </w:t>
      </w:r>
      <w:hyperlink r:id="rId14" w:history="1">
        <w:r w:rsidRPr="00342109">
          <w:rPr>
            <w:rStyle w:val="Hipervnculo"/>
            <w:rFonts w:cstheme="minorHAnsi"/>
            <w:bCs/>
            <w:sz w:val="18"/>
            <w:szCs w:val="18"/>
            <w:lang w:val="en-US"/>
          </w:rPr>
          <w:t>Shadow report for the third Universal Periodic Review of the Republic of Sudan Human rights violations based on SOGIESC in Sudan by Sudan SOGI Coalition (SSC).</w:t>
        </w:r>
      </w:hyperlink>
      <w:r w:rsidRPr="00342109">
        <w:rPr>
          <w:rFonts w:cstheme="minorHAnsi"/>
          <w:bCs/>
          <w:sz w:val="18"/>
          <w:szCs w:val="18"/>
          <w:lang w:val="en-US"/>
        </w:rPr>
        <w:t xml:space="preserve"> Information provided by LGBTI</w:t>
      </w:r>
      <w:r>
        <w:rPr>
          <w:rFonts w:cstheme="minorHAnsi"/>
          <w:bCs/>
          <w:sz w:val="18"/>
          <w:szCs w:val="18"/>
          <w:lang w:val="en-US"/>
        </w:rPr>
        <w:t>+</w:t>
      </w:r>
      <w:r w:rsidRPr="00342109">
        <w:rPr>
          <w:rFonts w:cstheme="minorHAnsi"/>
          <w:bCs/>
          <w:sz w:val="18"/>
          <w:szCs w:val="18"/>
          <w:lang w:val="en-US"/>
        </w:rPr>
        <w:t xml:space="preserve"> </w:t>
      </w:r>
      <w:r w:rsidRPr="00342109">
        <w:rPr>
          <w:rFonts w:cstheme="minorHAnsi"/>
          <w:sz w:val="18"/>
          <w:szCs w:val="18"/>
        </w:rPr>
        <w:t>grassroots organisation in Sudan. The name is withheld for safety reasons.</w:t>
      </w:r>
    </w:p>
  </w:endnote>
  <w:endnote w:id="40">
    <w:p w14:paraId="37B5AD37" w14:textId="64C81BC7" w:rsidR="00837C47" w:rsidRPr="00063370" w:rsidRDefault="00837C47">
      <w:pPr>
        <w:pStyle w:val="Textonotaalfinal"/>
      </w:pPr>
      <w:r>
        <w:rPr>
          <w:rStyle w:val="Refdenotaalfinal"/>
        </w:rPr>
        <w:endnoteRef/>
      </w:r>
      <w:r>
        <w:t xml:space="preserve"> </w:t>
      </w:r>
      <w:r w:rsidRPr="00063370">
        <w:rPr>
          <w:sz w:val="18"/>
          <w:szCs w:val="18"/>
        </w:rPr>
        <w:t>T</w:t>
      </w:r>
      <w:r w:rsidRPr="00063370">
        <w:rPr>
          <w:sz w:val="18"/>
          <w:szCs w:val="18"/>
          <w:lang w:val="en-US"/>
        </w:rPr>
        <w:t>he penal code in article 151 speaks about public ‘indecency’ which is translated to any act that could offend the public and disturb the order. This act as mentioned in the legal framework is anything that stands against society’s norms and religion. Indecency is not a standard measure; it rather depends on subjective standards of law enforcement</w:t>
      </w:r>
      <w:r>
        <w:rPr>
          <w:sz w:val="18"/>
          <w:szCs w:val="18"/>
          <w:lang w:val="en-US"/>
        </w:rPr>
        <w:t xml:space="preserve">. See </w:t>
      </w:r>
      <w:r w:rsidRPr="00342109">
        <w:rPr>
          <w:rFonts w:cstheme="minorHAnsi"/>
          <w:sz w:val="18"/>
          <w:szCs w:val="18"/>
        </w:rPr>
        <w:t xml:space="preserve">BEDAYAA (2020) </w:t>
      </w:r>
      <w:hyperlink r:id="rId15" w:history="1">
        <w:r w:rsidRPr="00342109">
          <w:rPr>
            <w:rStyle w:val="Hipervnculo"/>
            <w:rFonts w:cstheme="minorHAnsi"/>
            <w:sz w:val="18"/>
            <w:szCs w:val="18"/>
          </w:rPr>
          <w:t>Needs Assessment Report 2020. LGBTQI+ in Sudan.</w:t>
        </w:r>
      </w:hyperlink>
    </w:p>
  </w:endnote>
  <w:endnote w:id="41">
    <w:p w14:paraId="1DE4477A" w14:textId="45504ADB" w:rsidR="00837C47" w:rsidRPr="00342109" w:rsidRDefault="00837C47" w:rsidP="00A2327F">
      <w:pPr>
        <w:pStyle w:val="Textonotaalfinal"/>
        <w:jc w:val="both"/>
        <w:rPr>
          <w:rFonts w:cstheme="minorHAnsi"/>
          <w:sz w:val="18"/>
          <w:szCs w:val="18"/>
          <w:lang w:val="en-US"/>
        </w:rPr>
      </w:pPr>
      <w:r w:rsidRPr="00342109">
        <w:rPr>
          <w:rStyle w:val="Refdenotaalfinal"/>
          <w:rFonts w:cstheme="minorHAnsi"/>
          <w:sz w:val="18"/>
          <w:szCs w:val="18"/>
        </w:rPr>
        <w:endnoteRef/>
      </w:r>
      <w:r w:rsidRPr="00342109">
        <w:rPr>
          <w:rFonts w:cstheme="minorHAnsi"/>
          <w:sz w:val="18"/>
          <w:szCs w:val="18"/>
        </w:rPr>
        <w:t xml:space="preserve"> HRW (2020) </w:t>
      </w:r>
      <w:hyperlink r:id="rId16" w:history="1">
        <w:r w:rsidRPr="00342109">
          <w:rPr>
            <w:rStyle w:val="Hipervnculo"/>
            <w:rFonts w:cstheme="minorHAnsi"/>
            <w:sz w:val="18"/>
            <w:szCs w:val="18"/>
            <w:lang w:val="en-US"/>
          </w:rPr>
          <w:t>Sudan’s Law Reforms a Positive First Step</w:t>
        </w:r>
      </w:hyperlink>
      <w:r w:rsidRPr="00342109">
        <w:rPr>
          <w:rFonts w:cstheme="minorHAnsi"/>
          <w:sz w:val="18"/>
          <w:szCs w:val="18"/>
          <w:lang w:val="en-US"/>
        </w:rPr>
        <w:t>.</w:t>
      </w:r>
    </w:p>
  </w:endnote>
  <w:endnote w:id="42">
    <w:p w14:paraId="4EFAF060" w14:textId="0AA33558" w:rsidR="00837C47" w:rsidRPr="007C5966" w:rsidRDefault="00837C47" w:rsidP="00A2327F">
      <w:pPr>
        <w:pStyle w:val="Textonotaalfinal"/>
        <w:jc w:val="both"/>
      </w:pPr>
      <w:r w:rsidRPr="00342109">
        <w:rPr>
          <w:rStyle w:val="Refdenotaalfinal"/>
          <w:rFonts w:cstheme="minorHAnsi"/>
          <w:sz w:val="18"/>
          <w:szCs w:val="18"/>
        </w:rPr>
        <w:endnoteRef/>
      </w:r>
      <w:r w:rsidRPr="00342109">
        <w:rPr>
          <w:rFonts w:cstheme="minorHAnsi"/>
          <w:sz w:val="18"/>
          <w:szCs w:val="18"/>
        </w:rPr>
        <w:t xml:space="preserve"> BEDAYAA (2020) </w:t>
      </w:r>
      <w:hyperlink r:id="rId17" w:history="1">
        <w:r w:rsidRPr="00342109">
          <w:rPr>
            <w:rStyle w:val="Hipervnculo"/>
            <w:rFonts w:cstheme="minorHAnsi"/>
            <w:sz w:val="18"/>
            <w:szCs w:val="18"/>
          </w:rPr>
          <w:t>Needs Assessment Report 2020. LGBTQI+ in Sudan.</w:t>
        </w:r>
      </w:hyperlink>
      <w:r>
        <w:t xml:space="preserve"> </w:t>
      </w:r>
    </w:p>
  </w:endnote>
  <w:endnote w:id="43">
    <w:p w14:paraId="1A13AA19" w14:textId="6D4606D7" w:rsidR="00837C47" w:rsidRPr="00342109" w:rsidRDefault="00837C47" w:rsidP="005B5662">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Information submitted by an LGBTI</w:t>
      </w:r>
      <w:r>
        <w:rPr>
          <w:rFonts w:cstheme="minorHAnsi"/>
          <w:sz w:val="18"/>
          <w:szCs w:val="18"/>
        </w:rPr>
        <w:t>+</w:t>
      </w:r>
      <w:r w:rsidRPr="00342109">
        <w:rPr>
          <w:rFonts w:cstheme="minorHAnsi"/>
          <w:sz w:val="18"/>
          <w:szCs w:val="18"/>
        </w:rPr>
        <w:t xml:space="preserve"> grassroots organisation in Sudan. The name is withheld for safety reasons.</w:t>
      </w:r>
    </w:p>
  </w:endnote>
  <w:endnote w:id="44">
    <w:p w14:paraId="5D393402" w14:textId="4F34D965" w:rsidR="00837C47" w:rsidRPr="005B5662" w:rsidRDefault="00837C47" w:rsidP="006B7205">
      <w:pPr>
        <w:pStyle w:val="Textonotaalfinal"/>
        <w:jc w:val="both"/>
      </w:pPr>
      <w:r>
        <w:rPr>
          <w:rStyle w:val="Refdenotaalfinal"/>
        </w:rPr>
        <w:endnoteRef/>
      </w:r>
      <w:r>
        <w:t xml:space="preserve"> </w:t>
      </w:r>
      <w:r w:rsidRPr="005B5662">
        <w:rPr>
          <w:sz w:val="18"/>
          <w:szCs w:val="18"/>
          <w:lang w:val="en"/>
        </w:rPr>
        <w:t>According to a needs assessment study conducted by an LGBTI+ sudanese organization in 2020, nearly half (49.2 %) of the surveyed LGBTI+ individuals reported not having good mental health. 28.1 % of LGBTI+</w:t>
      </w:r>
      <w:r>
        <w:rPr>
          <w:sz w:val="18"/>
          <w:szCs w:val="18"/>
          <w:lang w:val="en"/>
        </w:rPr>
        <w:t xml:space="preserve"> individuals reported facing </w:t>
      </w:r>
      <w:r w:rsidRPr="005B5662">
        <w:rPr>
          <w:sz w:val="18"/>
          <w:szCs w:val="18"/>
          <w:lang w:val="en"/>
        </w:rPr>
        <w:t>discrimination in seeking healthcare services. The form of discrimination reported was verbal abuse, bullying, physical assaults, sexual abuse, and sexual harassment. 35.5 % faced either rejection or delay in health service provision</w:t>
      </w:r>
      <w:r>
        <w:rPr>
          <w:sz w:val="18"/>
          <w:szCs w:val="18"/>
          <w:lang w:val="en"/>
        </w:rPr>
        <w:t xml:space="preserve">. </w:t>
      </w:r>
      <w:r w:rsidRPr="00342109">
        <w:rPr>
          <w:rFonts w:cstheme="minorHAnsi"/>
          <w:sz w:val="18"/>
          <w:szCs w:val="18"/>
        </w:rPr>
        <w:t>Information submitted by an LGBTI</w:t>
      </w:r>
      <w:r>
        <w:rPr>
          <w:rFonts w:cstheme="minorHAnsi"/>
          <w:sz w:val="18"/>
          <w:szCs w:val="18"/>
        </w:rPr>
        <w:t>+</w:t>
      </w:r>
      <w:r w:rsidRPr="00342109">
        <w:rPr>
          <w:rFonts w:cstheme="minorHAnsi"/>
          <w:sz w:val="18"/>
          <w:szCs w:val="18"/>
        </w:rPr>
        <w:t xml:space="preserve"> grassroots organisation in Sudan. The name is withheld for safety reasons.</w:t>
      </w:r>
    </w:p>
  </w:endnote>
  <w:endnote w:id="45">
    <w:p w14:paraId="14228A1C" w14:textId="29312E1B" w:rsidR="00837C47" w:rsidRPr="00342109" w:rsidRDefault="00837C47" w:rsidP="006B7205">
      <w:pPr>
        <w:pStyle w:val="Textonotaalfinal"/>
        <w:jc w:val="both"/>
        <w:rPr>
          <w:rFonts w:cstheme="minorHAnsi"/>
          <w:sz w:val="18"/>
          <w:szCs w:val="18"/>
          <w:lang w:val="en-US"/>
        </w:rPr>
      </w:pPr>
      <w:r w:rsidRPr="00342109">
        <w:rPr>
          <w:rStyle w:val="Refdenotaalfinal"/>
          <w:rFonts w:cstheme="minorHAnsi"/>
          <w:sz w:val="18"/>
          <w:szCs w:val="18"/>
        </w:rPr>
        <w:endnoteRef/>
      </w:r>
      <w:r w:rsidRPr="00342109">
        <w:rPr>
          <w:rFonts w:cstheme="minorHAnsi"/>
          <w:sz w:val="18"/>
          <w:szCs w:val="18"/>
        </w:rPr>
        <w:t xml:space="preserve"> </w:t>
      </w:r>
      <w:r w:rsidRPr="00342109">
        <w:rPr>
          <w:rFonts w:cstheme="minorHAnsi"/>
          <w:sz w:val="18"/>
          <w:szCs w:val="18"/>
          <w:lang w:val="en-US"/>
        </w:rPr>
        <w:t xml:space="preserve">Conversion practices’ comprises of processes engaged in </w:t>
      </w:r>
      <w:r w:rsidRPr="00342109">
        <w:rPr>
          <w:rFonts w:cstheme="minorHAnsi"/>
          <w:i/>
          <w:iCs/>
          <w:sz w:val="18"/>
          <w:szCs w:val="18"/>
          <w:lang w:val="en-US"/>
        </w:rPr>
        <w:t xml:space="preserve">towards </w:t>
      </w:r>
      <w:r w:rsidRPr="00342109">
        <w:rPr>
          <w:rFonts w:cstheme="minorHAnsi"/>
          <w:sz w:val="18"/>
          <w:szCs w:val="18"/>
          <w:lang w:val="en-US"/>
        </w:rPr>
        <w:t xml:space="preserve">desired changes in gender and/or sexuality </w:t>
      </w:r>
      <w:r w:rsidRPr="00342109">
        <w:rPr>
          <w:rFonts w:cstheme="minorHAnsi"/>
          <w:i/>
          <w:iCs/>
          <w:sz w:val="18"/>
          <w:szCs w:val="18"/>
          <w:lang w:val="en-US"/>
        </w:rPr>
        <w:t>based in conversion ideology</w:t>
      </w:r>
      <w:r w:rsidRPr="00342109">
        <w:rPr>
          <w:rFonts w:cstheme="minorHAnsi"/>
          <w:sz w:val="18"/>
          <w:szCs w:val="18"/>
          <w:lang w:val="en-US"/>
        </w:rPr>
        <w:t>. Conversion practices may include (but are not limit</w:t>
      </w:r>
      <w:r>
        <w:rPr>
          <w:rFonts w:cstheme="minorHAnsi"/>
          <w:sz w:val="18"/>
          <w:szCs w:val="18"/>
          <w:lang w:val="en-US"/>
        </w:rPr>
        <w:t xml:space="preserve">ed to) counselling, group work, </w:t>
      </w:r>
      <w:r w:rsidRPr="00342109">
        <w:rPr>
          <w:rFonts w:cstheme="minorHAnsi"/>
          <w:sz w:val="18"/>
          <w:szCs w:val="18"/>
          <w:lang w:val="en-US"/>
        </w:rPr>
        <w:t xml:space="preserve">programs or interventions (perhaps therapeutic/corrective prayer, performing celibacy or endorsed sexual relationships, personal or group behavioural suppression, etc.). These practices can be formal or informal, and regionally variable. For more info see Jones. T., et al. (2021) Religious Conversion Practices and LGBTQA + Youth. Sexuality Research and Social Policy </w:t>
      </w:r>
      <w:hyperlink r:id="rId18" w:history="1">
        <w:r w:rsidRPr="00342109">
          <w:rPr>
            <w:rStyle w:val="Hipervnculo"/>
            <w:rFonts w:cstheme="minorHAnsi"/>
            <w:sz w:val="18"/>
            <w:szCs w:val="18"/>
            <w:lang w:val="en-US"/>
          </w:rPr>
          <w:t>https://doi.org/10.1007/s13178-021-00615-5</w:t>
        </w:r>
      </w:hyperlink>
    </w:p>
  </w:endnote>
  <w:endnote w:id="46">
    <w:p w14:paraId="53464D8B" w14:textId="07B53C65"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Jones et al </w:t>
      </w:r>
      <w:r w:rsidRPr="00342109">
        <w:rPr>
          <w:rFonts w:eastAsiaTheme="minorEastAsia" w:cstheme="minorHAnsi"/>
          <w:color w:val="000000" w:themeColor="text1"/>
          <w:sz w:val="18"/>
          <w:szCs w:val="18"/>
          <w:lang w:val="en-US"/>
        </w:rPr>
        <w:t>“</w:t>
      </w:r>
      <w:r w:rsidRPr="00342109">
        <w:rPr>
          <w:rFonts w:cstheme="minorHAnsi"/>
          <w:sz w:val="18"/>
          <w:szCs w:val="18"/>
        </w:rPr>
        <w:t xml:space="preserve">Religious Conversion Practices and LGBTQA+ Youth” (2021) Sexuality Research and Social Policy. Available at: </w:t>
      </w:r>
      <w:hyperlink r:id="rId19">
        <w:r w:rsidRPr="00342109">
          <w:rPr>
            <w:rStyle w:val="Hipervnculo"/>
            <w:rFonts w:cstheme="minorHAnsi"/>
            <w:sz w:val="18"/>
            <w:szCs w:val="18"/>
          </w:rPr>
          <w:t>https://doi.org/10.1007/s13178-021-00615-5</w:t>
        </w:r>
      </w:hyperlink>
      <w:r w:rsidRPr="00342109">
        <w:rPr>
          <w:rFonts w:cstheme="minorHAnsi"/>
          <w:sz w:val="18"/>
          <w:szCs w:val="18"/>
        </w:rPr>
        <w:t xml:space="preserve">  </w:t>
      </w:r>
    </w:p>
  </w:endnote>
  <w:endnote w:id="47">
    <w:p w14:paraId="2341E124" w14:textId="0E404D8F"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ILGA World: Lucas Ramon Mendos, Curbing Deception: A world survey on legal regulation of so-called “conversion therapies” (Geneva: ILGA World, 2020) https://ilga.org/downloads/ILGA_World_Curbing_Deception_world_survey_legal_restrictions_conversion_therapy.pdf    </w:t>
      </w:r>
    </w:p>
  </w:endnote>
  <w:endnote w:id="48">
    <w:p w14:paraId="7F89EA9E" w14:textId="724D5EA7"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Ibid. </w:t>
      </w:r>
    </w:p>
  </w:endnote>
  <w:endnote w:id="49">
    <w:p w14:paraId="45E8497E" w14:textId="7F45B989"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w:t>
      </w:r>
      <w:hyperlink r:id="rId20" w:history="1">
        <w:r w:rsidRPr="00342109">
          <w:rPr>
            <w:rStyle w:val="Hipervnculo"/>
            <w:rFonts w:cstheme="minorHAnsi"/>
            <w:sz w:val="18"/>
            <w:szCs w:val="18"/>
          </w:rPr>
          <w:t>The Ghana Catholic Bishops’ Conference (Gcbc) Issues a Declaration on Recent LGBTQI Activities in Ghana</w:t>
        </w:r>
      </w:hyperlink>
      <w:r w:rsidRPr="00342109">
        <w:rPr>
          <w:rFonts w:cstheme="minorHAnsi"/>
          <w:sz w:val="18"/>
          <w:szCs w:val="18"/>
        </w:rPr>
        <w:t xml:space="preserve">. 2021. Information obtained through the </w:t>
      </w:r>
      <w:hyperlink r:id="rId21" w:history="1">
        <w:r w:rsidRPr="00342109">
          <w:rPr>
            <w:rStyle w:val="Hipervnculo"/>
            <w:rFonts w:cstheme="minorHAnsi"/>
            <w:sz w:val="18"/>
            <w:szCs w:val="18"/>
          </w:rPr>
          <w:t>ILGA World Monitor</w:t>
        </w:r>
      </w:hyperlink>
      <w:r w:rsidRPr="00342109">
        <w:rPr>
          <w:rFonts w:cstheme="minorHAnsi"/>
          <w:sz w:val="18"/>
          <w:szCs w:val="18"/>
        </w:rPr>
        <w:t xml:space="preserve">. </w:t>
      </w:r>
    </w:p>
  </w:endnote>
  <w:endnote w:id="50">
    <w:p w14:paraId="76E39F08" w14:textId="046C0ADB"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Inputs from Pink Armenia</w:t>
      </w:r>
    </w:p>
  </w:endnote>
  <w:endnote w:id="51">
    <w:p w14:paraId="06888315" w14:textId="59C56461"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Inputs from Western Kenya LBQT Feminist Forum. </w:t>
      </w:r>
    </w:p>
  </w:endnote>
  <w:endnote w:id="52">
    <w:p w14:paraId="7B93BCD3" w14:textId="60047644"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Information submitted by an LGBTI grassroots organisation in Sudan. The name is withheld for safety reasons.</w:t>
      </w:r>
    </w:p>
  </w:endnote>
  <w:endnote w:id="53">
    <w:p w14:paraId="63198562" w14:textId="6D8811BE" w:rsidR="00837C47" w:rsidRPr="007C5EFC" w:rsidRDefault="00837C47" w:rsidP="00A2327F">
      <w:pPr>
        <w:pStyle w:val="Textonotaalfinal"/>
        <w:jc w:val="both"/>
      </w:pPr>
      <w:r w:rsidRPr="00342109">
        <w:rPr>
          <w:rStyle w:val="Refdenotaalfinal"/>
          <w:rFonts w:cstheme="minorHAnsi"/>
          <w:sz w:val="18"/>
          <w:szCs w:val="18"/>
        </w:rPr>
        <w:endnoteRef/>
      </w:r>
      <w:r w:rsidRPr="00342109">
        <w:rPr>
          <w:rFonts w:cstheme="minorHAnsi"/>
          <w:sz w:val="18"/>
          <w:szCs w:val="18"/>
        </w:rPr>
        <w:t xml:space="preserve"> Information provided by Women’s Alliance for Equality Limited (WAFE)</w:t>
      </w:r>
    </w:p>
  </w:endnote>
  <w:endnote w:id="54">
    <w:p w14:paraId="5778155B" w14:textId="5EC29354"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Report “Las terapias de la tortura”, published in La República (2019) </w:t>
      </w:r>
      <w:hyperlink r:id="rId22" w:history="1">
        <w:r w:rsidRPr="00342109">
          <w:rPr>
            <w:rStyle w:val="Hipervnculo"/>
            <w:rFonts w:cstheme="minorHAnsi"/>
            <w:sz w:val="18"/>
            <w:szCs w:val="18"/>
          </w:rPr>
          <w:t>https://larepublica.pe/politica/2019/08/12/las-terapias-de-la-tortura/</w:t>
        </w:r>
      </w:hyperlink>
      <w:r w:rsidRPr="00342109">
        <w:rPr>
          <w:rFonts w:cstheme="minorHAnsi"/>
          <w:sz w:val="18"/>
          <w:szCs w:val="18"/>
        </w:rPr>
        <w:t xml:space="preserve">  Information provided by PROMSEX.</w:t>
      </w:r>
    </w:p>
  </w:endnote>
  <w:endnote w:id="55">
    <w:p w14:paraId="374D9FBD" w14:textId="486454DC"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Pr>
          <w:rFonts w:cstheme="minorHAnsi"/>
          <w:sz w:val="18"/>
          <w:szCs w:val="18"/>
        </w:rPr>
        <w:t xml:space="preserve"> Más Igualdad Perú</w:t>
      </w:r>
      <w:r w:rsidRPr="00342109">
        <w:rPr>
          <w:rFonts w:cstheme="minorHAnsi"/>
          <w:sz w:val="18"/>
          <w:szCs w:val="18"/>
        </w:rPr>
        <w:t xml:space="preserve"> ”Mental health problems, access to public and private mental health services and conversion practices in LGBTQ+ people” Lima, November, 2019. Available at: </w:t>
      </w:r>
      <w:hyperlink r:id="rId23">
        <w:r w:rsidRPr="00342109">
          <w:rPr>
            <w:rStyle w:val="Hipervnculo"/>
            <w:rFonts w:cstheme="minorHAnsi"/>
            <w:sz w:val="18"/>
            <w:szCs w:val="18"/>
          </w:rPr>
          <w:t>https://www.masigualdad.pe/_files/ugd/4aec54_828d1b98b2104571998801b398c0844f.pdf?index=true</w:t>
        </w:r>
      </w:hyperlink>
      <w:r w:rsidRPr="00342109">
        <w:rPr>
          <w:rFonts w:cstheme="minorHAnsi"/>
          <w:sz w:val="18"/>
          <w:szCs w:val="18"/>
        </w:rPr>
        <w:t xml:space="preserve"> </w:t>
      </w:r>
    </w:p>
  </w:endnote>
  <w:endnote w:id="56">
    <w:p w14:paraId="535C89BB" w14:textId="050B4085" w:rsidR="00837C47" w:rsidRPr="00342109" w:rsidRDefault="00837C47" w:rsidP="00A2327F">
      <w:pPr>
        <w:pStyle w:val="Textonotaalfinal"/>
        <w:jc w:val="both"/>
        <w:rPr>
          <w:rFonts w:cstheme="minorHAnsi"/>
          <w:sz w:val="18"/>
          <w:szCs w:val="18"/>
          <w:lang w:val="es-MX"/>
        </w:rPr>
      </w:pPr>
      <w:r w:rsidRPr="00342109">
        <w:rPr>
          <w:rStyle w:val="Refdenotaalfinal"/>
          <w:rFonts w:cstheme="minorHAnsi"/>
          <w:sz w:val="18"/>
          <w:szCs w:val="18"/>
        </w:rPr>
        <w:endnoteRef/>
      </w:r>
      <w:r w:rsidRPr="00342109">
        <w:rPr>
          <w:rFonts w:cstheme="minorHAnsi"/>
          <w:sz w:val="18"/>
          <w:szCs w:val="18"/>
          <w:lang w:val="es-MX"/>
        </w:rPr>
        <w:t xml:space="preserve"> Inputs from Centro de Promoción y Defensa de los Derechos Sexuales y Reproductivos-PROMSEX</w:t>
      </w:r>
    </w:p>
  </w:endnote>
  <w:endnote w:id="57">
    <w:p w14:paraId="4396D58D" w14:textId="77777777" w:rsidR="00837C47" w:rsidRDefault="00837C47" w:rsidP="00A2327F">
      <w:pPr>
        <w:pStyle w:val="Textonotaalfinal"/>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ILGA World: Lucas Ramon Mendos, Curbing Deception: A world survey on legal regulation of so-called “conversion therapies” (Geneva: </w:t>
      </w:r>
      <w:r>
        <w:rPr>
          <w:rFonts w:cstheme="minorHAnsi"/>
          <w:sz w:val="18"/>
          <w:szCs w:val="18"/>
        </w:rPr>
        <w:t>ILGA World, 2020)</w:t>
      </w:r>
    </w:p>
    <w:p w14:paraId="7C26BE31" w14:textId="0C8B6249" w:rsidR="00837C47" w:rsidRPr="00342109" w:rsidRDefault="00837C47" w:rsidP="00A2327F">
      <w:pPr>
        <w:pStyle w:val="Textonotaalfinal"/>
        <w:rPr>
          <w:rFonts w:cstheme="minorHAnsi"/>
          <w:sz w:val="18"/>
          <w:szCs w:val="18"/>
        </w:rPr>
      </w:pPr>
      <w:r w:rsidRPr="00342109">
        <w:rPr>
          <w:rFonts w:cstheme="minorHAnsi"/>
          <w:sz w:val="18"/>
          <w:szCs w:val="18"/>
        </w:rPr>
        <w:t xml:space="preserve">https://ilga.org/downloads/ILGA_World_Curbing_Deception_world_survey_legal_restrictions_conversion_therapy.pdf      </w:t>
      </w:r>
    </w:p>
  </w:endnote>
  <w:endnote w:id="58">
    <w:p w14:paraId="2B9ED7DE" w14:textId="4B34976C" w:rsidR="00837C47" w:rsidRDefault="00837C47" w:rsidP="00A2327F">
      <w:pPr>
        <w:pStyle w:val="Textonotaalfinal"/>
        <w:jc w:val="both"/>
      </w:pPr>
      <w:r w:rsidRPr="00342109">
        <w:rPr>
          <w:rStyle w:val="Refdenotaalfinal"/>
          <w:rFonts w:cstheme="minorHAnsi"/>
          <w:sz w:val="18"/>
          <w:szCs w:val="18"/>
        </w:rPr>
        <w:endnoteRef/>
      </w:r>
      <w:r w:rsidRPr="00342109">
        <w:rPr>
          <w:rFonts w:cstheme="minorHAnsi"/>
          <w:sz w:val="18"/>
          <w:szCs w:val="18"/>
        </w:rPr>
        <w:t xml:space="preserve"> Inter-American Court of Human Rights, Case of Pavez v. Chile, judgment of February 4 2022 https://www.corteidh.or.cr/docs/casos/articulos/seriec_449_ing.pdf   Information provided by Otros Cruces.</w:t>
      </w:r>
    </w:p>
  </w:endnote>
  <w:endnote w:id="59">
    <w:p w14:paraId="127442C9" w14:textId="6FE953A6"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Jones et al </w:t>
      </w:r>
      <w:r w:rsidRPr="00342109">
        <w:rPr>
          <w:rFonts w:eastAsiaTheme="minorEastAsia" w:cstheme="minorHAnsi"/>
          <w:color w:val="000000" w:themeColor="text1"/>
          <w:sz w:val="18"/>
          <w:szCs w:val="18"/>
          <w:lang w:val="en-US"/>
        </w:rPr>
        <w:t>“</w:t>
      </w:r>
      <w:r w:rsidRPr="00342109">
        <w:rPr>
          <w:rFonts w:cstheme="minorHAnsi"/>
          <w:sz w:val="18"/>
          <w:szCs w:val="18"/>
        </w:rPr>
        <w:t xml:space="preserve">Religious Conversion Practices and LGBTQA+ Youth” (2021) Sexuality Research and Social Policy. Available at: </w:t>
      </w:r>
      <w:hyperlink r:id="rId24">
        <w:r w:rsidRPr="00342109">
          <w:rPr>
            <w:rStyle w:val="Hipervnculo"/>
            <w:rFonts w:cstheme="minorHAnsi"/>
            <w:sz w:val="18"/>
            <w:szCs w:val="18"/>
          </w:rPr>
          <w:t>https://doi.org/10.1007/s13178-021-00615-5</w:t>
        </w:r>
      </w:hyperlink>
      <w:r w:rsidRPr="00342109">
        <w:rPr>
          <w:rFonts w:cstheme="minorHAnsi"/>
          <w:sz w:val="18"/>
          <w:szCs w:val="18"/>
        </w:rPr>
        <w:t xml:space="preserve">  </w:t>
      </w:r>
    </w:p>
  </w:endnote>
  <w:endnote w:id="60">
    <w:p w14:paraId="2DD89A43" w14:textId="7A9515BB" w:rsidR="00837C47" w:rsidRPr="00342109" w:rsidRDefault="00837C47" w:rsidP="00A2327F">
      <w:pPr>
        <w:autoSpaceDE w:val="0"/>
        <w:autoSpaceDN w:val="0"/>
        <w:adjustRightInd w:val="0"/>
        <w:spacing w:after="0" w:line="240" w:lineRule="auto"/>
        <w:jc w:val="both"/>
        <w:rPr>
          <w:rFonts w:cstheme="minorHAnsi"/>
          <w:sz w:val="18"/>
          <w:szCs w:val="18"/>
          <w:lang w:val="en-US"/>
        </w:rPr>
      </w:pPr>
      <w:r w:rsidRPr="00342109">
        <w:rPr>
          <w:rStyle w:val="Refdenotaalfinal"/>
          <w:rFonts w:cstheme="minorHAnsi"/>
          <w:sz w:val="18"/>
          <w:szCs w:val="18"/>
        </w:rPr>
        <w:endnoteRef/>
      </w:r>
      <w:r w:rsidRPr="00342109">
        <w:rPr>
          <w:rFonts w:cstheme="minorHAnsi"/>
          <w:sz w:val="18"/>
          <w:szCs w:val="18"/>
        </w:rPr>
        <w:t xml:space="preserve"> </w:t>
      </w:r>
      <w:r w:rsidRPr="00342109">
        <w:rPr>
          <w:rFonts w:cstheme="minorHAnsi"/>
          <w:sz w:val="18"/>
          <w:szCs w:val="18"/>
          <w:lang w:val="en-US"/>
        </w:rPr>
        <w:t>Tiffany Jones, Jennifer Power, Timothy Willem Jones, Maria Pallotta-Chiarolli &amp; Nathan Despott (2022) Supporting LGBTQA+ peoples’ recovery from sexual orientation and gender identity and expression change efforts, Australian Psychologist, 57:6, 359-372, DOI: 10.1080/00050067.2022.2093623</w:t>
      </w:r>
    </w:p>
  </w:endnote>
  <w:endnote w:id="61">
    <w:p w14:paraId="3FBA401B" w14:textId="7A711B98" w:rsidR="00837C47" w:rsidRPr="00342109" w:rsidRDefault="00837C47" w:rsidP="00A2327F">
      <w:pPr>
        <w:jc w:val="both"/>
        <w:rPr>
          <w:rFonts w:eastAsiaTheme="minorEastAsia" w:cstheme="minorHAnsi"/>
          <w:sz w:val="18"/>
          <w:szCs w:val="18"/>
        </w:rPr>
      </w:pPr>
      <w:r w:rsidRPr="00342109">
        <w:rPr>
          <w:rStyle w:val="Refdenotaalfinal"/>
          <w:rFonts w:cstheme="minorHAnsi"/>
          <w:sz w:val="18"/>
          <w:szCs w:val="18"/>
        </w:rPr>
        <w:endnoteRef/>
      </w:r>
      <w:r w:rsidRPr="00342109">
        <w:rPr>
          <w:rFonts w:eastAsiaTheme="minorEastAsia" w:cstheme="minorHAnsi"/>
          <w:sz w:val="18"/>
          <w:szCs w:val="18"/>
        </w:rPr>
        <w:t xml:space="preserve"> </w:t>
      </w:r>
      <w:r w:rsidRPr="00342109">
        <w:rPr>
          <w:rFonts w:eastAsiaTheme="minorEastAsia" w:cstheme="minorHAnsi"/>
          <w:color w:val="000000" w:themeColor="text1"/>
          <w:sz w:val="18"/>
          <w:szCs w:val="18"/>
          <w:lang w:val="en-US"/>
        </w:rPr>
        <w:t xml:space="preserve">Endsjo, “The other way around? How freedom of religion may protect LGBT rights” The International Journal of Human Rights, 2020. </w:t>
      </w:r>
      <w:hyperlink r:id="rId25">
        <w:r w:rsidRPr="00342109">
          <w:rPr>
            <w:rStyle w:val="Hipervnculo"/>
            <w:rFonts w:eastAsiaTheme="minorEastAsia" w:cstheme="minorHAnsi"/>
            <w:sz w:val="18"/>
            <w:szCs w:val="18"/>
            <w:lang w:val="en-US"/>
          </w:rPr>
          <w:t>https://doi.org/10.1080/13642987.2020.1763961</w:t>
        </w:r>
      </w:hyperlink>
      <w:r w:rsidRPr="00342109">
        <w:rPr>
          <w:rFonts w:eastAsiaTheme="minorEastAsia" w:cstheme="minorHAnsi"/>
          <w:color w:val="000000" w:themeColor="text1"/>
          <w:sz w:val="18"/>
          <w:szCs w:val="18"/>
          <w:lang w:val="en-US"/>
        </w:rPr>
        <w:t xml:space="preserve"> </w:t>
      </w:r>
      <w:r w:rsidRPr="00342109">
        <w:rPr>
          <w:rFonts w:eastAsiaTheme="minorEastAsia" w:cstheme="minorHAnsi"/>
          <w:sz w:val="18"/>
          <w:szCs w:val="18"/>
        </w:rPr>
        <w:t xml:space="preserve"> </w:t>
      </w:r>
    </w:p>
  </w:endnote>
  <w:endnote w:id="62">
    <w:p w14:paraId="7F585405" w14:textId="5F96DE18" w:rsidR="00837C47" w:rsidRPr="000E495C" w:rsidRDefault="00837C47" w:rsidP="00A2327F">
      <w:pPr>
        <w:jc w:val="both"/>
        <w:rPr>
          <w:rFonts w:eastAsiaTheme="minorEastAsia" w:cstheme="minorHAnsi"/>
          <w:sz w:val="18"/>
          <w:szCs w:val="18"/>
        </w:rPr>
      </w:pPr>
      <w:r w:rsidRPr="00342109">
        <w:rPr>
          <w:rStyle w:val="Refdenotaalfinal"/>
          <w:rFonts w:cstheme="minorHAnsi"/>
          <w:sz w:val="18"/>
          <w:szCs w:val="18"/>
        </w:rPr>
        <w:endnoteRef/>
      </w:r>
      <w:r w:rsidRPr="00342109">
        <w:rPr>
          <w:rFonts w:eastAsiaTheme="minorEastAsia" w:cstheme="minorHAnsi"/>
          <w:sz w:val="18"/>
          <w:szCs w:val="18"/>
        </w:rPr>
        <w:t xml:space="preserve"> </w:t>
      </w:r>
      <w:r w:rsidRPr="000E495C">
        <w:rPr>
          <w:rFonts w:eastAsiaTheme="minorEastAsia" w:cstheme="minorHAnsi"/>
          <w:sz w:val="18"/>
          <w:szCs w:val="18"/>
        </w:rPr>
        <w:t>For example,</w:t>
      </w:r>
      <w:r>
        <w:rPr>
          <w:rFonts w:eastAsiaTheme="minorEastAsia" w:cstheme="minorHAnsi"/>
          <w:sz w:val="18"/>
          <w:szCs w:val="18"/>
        </w:rPr>
        <w:t xml:space="preserve"> North American</w:t>
      </w:r>
      <w:r w:rsidRPr="000E495C">
        <w:rPr>
          <w:rFonts w:eastAsiaTheme="minorEastAsia" w:cstheme="minorHAnsi"/>
          <w:sz w:val="18"/>
          <w:szCs w:val="18"/>
        </w:rPr>
        <w:t xml:space="preserve"> religious and government forces strived to erode sexual and religious ideas among indigenous persons that ran counter to Western Judeo-Christian values of heterosexuality. In the 1890s, the Bureau of Indian Affairs in the United States imprisoned transfeminine indigenous persons, including spiritual leaders, and forced them to conform to male gender expression in prison.</w:t>
      </w:r>
      <w:r>
        <w:rPr>
          <w:rFonts w:eastAsiaTheme="minorEastAsia" w:cstheme="minorHAnsi"/>
          <w:sz w:val="18"/>
          <w:szCs w:val="18"/>
        </w:rPr>
        <w:t xml:space="preserve"> For more information see: </w:t>
      </w:r>
      <w:r w:rsidRPr="00342109">
        <w:rPr>
          <w:rFonts w:eastAsiaTheme="minorEastAsia" w:cstheme="minorHAnsi"/>
          <w:color w:val="000000" w:themeColor="text1"/>
          <w:sz w:val="18"/>
          <w:szCs w:val="18"/>
          <w:lang w:val="en-US"/>
        </w:rPr>
        <w:t>Flores-Ortiz, Eric F., and Cherry L. Bennet. "Berdache, Two-Spirits, and LGBT in Indian Country: A Short Introduction to Gender-Variant History and Issues in North American Indigenous Societies." (2017).</w:t>
      </w:r>
    </w:p>
  </w:endnote>
  <w:endnote w:id="63">
    <w:p w14:paraId="5468BF27" w14:textId="0CDD9162" w:rsidR="00837C47" w:rsidRPr="00342109" w:rsidRDefault="00837C47" w:rsidP="00A2327F">
      <w:pPr>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Information submitted by an LGBTI</w:t>
      </w:r>
      <w:r>
        <w:rPr>
          <w:rFonts w:cstheme="minorHAnsi"/>
          <w:sz w:val="18"/>
          <w:szCs w:val="18"/>
        </w:rPr>
        <w:t>+</w:t>
      </w:r>
      <w:r w:rsidRPr="00342109">
        <w:rPr>
          <w:rFonts w:cstheme="minorHAnsi"/>
          <w:sz w:val="18"/>
          <w:szCs w:val="18"/>
        </w:rPr>
        <w:t xml:space="preserve"> grassroots organisation in Sudan. The name is withheld for safety reasons.</w:t>
      </w:r>
    </w:p>
  </w:endnote>
  <w:endnote w:id="64">
    <w:p w14:paraId="7FB78130" w14:textId="4196777E"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Pradeep Peiris, ”Knowledge, attitudes and perceptions survey report” (2021) Social Scientists Association. Available at: </w:t>
      </w:r>
      <w:hyperlink r:id="rId26" w:history="1">
        <w:r w:rsidRPr="00342109">
          <w:rPr>
            <w:rStyle w:val="Hipervnculo"/>
            <w:rFonts w:cstheme="minorHAnsi"/>
            <w:sz w:val="18"/>
            <w:szCs w:val="18"/>
          </w:rPr>
          <w:t>https://www.wfd.org/sites/default/files/2022-03/Final%20Report%20-%2012th%20Jan%202022.pdf</w:t>
        </w:r>
      </w:hyperlink>
      <w:r w:rsidRPr="00342109">
        <w:rPr>
          <w:rFonts w:cstheme="minorHAnsi"/>
          <w:sz w:val="18"/>
          <w:szCs w:val="18"/>
        </w:rPr>
        <w:t xml:space="preserve"> . Info provided by EQUAL GROUND</w:t>
      </w:r>
    </w:p>
  </w:endnote>
  <w:endnote w:id="65">
    <w:p w14:paraId="6A603479" w14:textId="6EF6918A"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Inputs from Otros Cruces</w:t>
      </w:r>
    </w:p>
  </w:endnote>
  <w:endnote w:id="66">
    <w:p w14:paraId="5FFE3EB1" w14:textId="2ACB1ADE"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Input from Pink Armenia</w:t>
      </w:r>
    </w:p>
  </w:endnote>
  <w:endnote w:id="67">
    <w:p w14:paraId="5FB2604C" w14:textId="1E3E710D" w:rsidR="00837C47" w:rsidRPr="00342109" w:rsidRDefault="00837C47" w:rsidP="00A2327F">
      <w:pPr>
        <w:pStyle w:val="Textonotaalfinal"/>
        <w:jc w:val="both"/>
        <w:rPr>
          <w:rFonts w:cstheme="minorHAnsi"/>
          <w:sz w:val="18"/>
          <w:szCs w:val="18"/>
        </w:rPr>
      </w:pPr>
      <w:r w:rsidRPr="00342109">
        <w:rPr>
          <w:rStyle w:val="Refdenotaalfinal"/>
          <w:rFonts w:cstheme="minorHAnsi"/>
          <w:sz w:val="18"/>
          <w:szCs w:val="18"/>
        </w:rPr>
        <w:endnoteRef/>
      </w:r>
      <w:r w:rsidRPr="00342109">
        <w:rPr>
          <w:rFonts w:cstheme="minorHAnsi"/>
          <w:sz w:val="18"/>
          <w:szCs w:val="18"/>
        </w:rPr>
        <w:t xml:space="preserve"> Input from Pink Armenia</w:t>
      </w:r>
    </w:p>
  </w:endnote>
  <w:endnote w:id="68">
    <w:p w14:paraId="0E18CF61" w14:textId="13536927" w:rsidR="00837C47" w:rsidRPr="000C179A" w:rsidRDefault="00837C47">
      <w:pPr>
        <w:pStyle w:val="Textonotaalfinal"/>
      </w:pPr>
      <w:r>
        <w:rPr>
          <w:rStyle w:val="Refdenotaalfinal"/>
        </w:rPr>
        <w:endnoteRef/>
      </w:r>
      <w:r>
        <w:t xml:space="preserve"> </w:t>
      </w:r>
      <w:r>
        <w:rPr>
          <w:rFonts w:cstheme="minorHAnsi"/>
          <w:sz w:val="18"/>
          <w:szCs w:val="18"/>
        </w:rPr>
        <w:t xml:space="preserve">Recommendation based on study made by </w:t>
      </w:r>
      <w:r w:rsidRPr="00342109">
        <w:rPr>
          <w:rFonts w:cstheme="minorHAnsi"/>
          <w:sz w:val="18"/>
          <w:szCs w:val="18"/>
        </w:rPr>
        <w:t xml:space="preserve">Jones et al </w:t>
      </w:r>
      <w:r w:rsidRPr="00342109">
        <w:rPr>
          <w:rFonts w:eastAsiaTheme="minorEastAsia" w:cstheme="minorHAnsi"/>
          <w:color w:val="000000" w:themeColor="text1"/>
          <w:sz w:val="18"/>
          <w:szCs w:val="18"/>
          <w:lang w:val="en-US"/>
        </w:rPr>
        <w:t>“</w:t>
      </w:r>
      <w:r w:rsidRPr="00342109">
        <w:rPr>
          <w:rFonts w:cstheme="minorHAnsi"/>
          <w:sz w:val="18"/>
          <w:szCs w:val="18"/>
        </w:rPr>
        <w:t xml:space="preserve">Religious Conversion Practices and LGBTQA+ Youth” (2021) Sexuality Research and Social Policy. Available at: </w:t>
      </w:r>
      <w:hyperlink r:id="rId27">
        <w:r w:rsidRPr="00342109">
          <w:rPr>
            <w:rStyle w:val="Hipervnculo"/>
            <w:rFonts w:cstheme="minorHAnsi"/>
            <w:sz w:val="18"/>
            <w:szCs w:val="18"/>
          </w:rPr>
          <w:t>https://doi.org/10.1007/s13178-021-00615-5</w:t>
        </w:r>
      </w:hyperlink>
      <w:r w:rsidRPr="3CB87E8B">
        <w:t xml:space="preserve">  </w:t>
      </w:r>
    </w:p>
  </w:endnote>
  <w:endnote w:id="69">
    <w:p w14:paraId="15E64F87" w14:textId="03197243" w:rsidR="00837C47" w:rsidRPr="006C0EC5" w:rsidRDefault="00837C47" w:rsidP="00A2327F">
      <w:pPr>
        <w:pStyle w:val="Textonotaalfinal"/>
        <w:jc w:val="both"/>
        <w:rPr>
          <w:lang w:val="en-US"/>
        </w:rPr>
      </w:pPr>
      <w:r w:rsidRPr="00342109">
        <w:rPr>
          <w:rStyle w:val="Refdenotaalfinal"/>
          <w:rFonts w:cstheme="minorHAnsi"/>
          <w:sz w:val="18"/>
          <w:szCs w:val="18"/>
        </w:rPr>
        <w:endnoteRef/>
      </w:r>
      <w:r w:rsidRPr="00342109">
        <w:rPr>
          <w:rFonts w:cstheme="minorHAnsi"/>
          <w:sz w:val="18"/>
          <w:szCs w:val="18"/>
        </w:rPr>
        <w:t xml:space="preserve"> </w:t>
      </w:r>
      <w:r>
        <w:rPr>
          <w:rFonts w:cstheme="minorHAnsi"/>
          <w:sz w:val="18"/>
          <w:szCs w:val="18"/>
        </w:rPr>
        <w:t xml:space="preserve">Recommendation based on study made by </w:t>
      </w:r>
      <w:r w:rsidRPr="00342109">
        <w:rPr>
          <w:rFonts w:cstheme="minorHAnsi"/>
          <w:sz w:val="18"/>
          <w:szCs w:val="18"/>
        </w:rPr>
        <w:t xml:space="preserve">Jones et al </w:t>
      </w:r>
      <w:r w:rsidRPr="00342109">
        <w:rPr>
          <w:rFonts w:eastAsiaTheme="minorEastAsia" w:cstheme="minorHAnsi"/>
          <w:color w:val="000000" w:themeColor="text1"/>
          <w:sz w:val="18"/>
          <w:szCs w:val="18"/>
          <w:lang w:val="en-US"/>
        </w:rPr>
        <w:t>“</w:t>
      </w:r>
      <w:r w:rsidRPr="00342109">
        <w:rPr>
          <w:rFonts w:cstheme="minorHAnsi"/>
          <w:sz w:val="18"/>
          <w:szCs w:val="18"/>
        </w:rPr>
        <w:t xml:space="preserve">Religious Conversion Practices and LGBTQA+ Youth” (2021) Sexuality Research and Social Policy. Available at: </w:t>
      </w:r>
      <w:hyperlink r:id="rId28">
        <w:r w:rsidRPr="00342109">
          <w:rPr>
            <w:rStyle w:val="Hipervnculo"/>
            <w:rFonts w:cstheme="minorHAnsi"/>
            <w:sz w:val="18"/>
            <w:szCs w:val="18"/>
          </w:rPr>
          <w:t>https://doi.org/10.1007/s13178-021-00615-5</w:t>
        </w:r>
      </w:hyperlink>
      <w:r w:rsidRPr="3CB87E8B">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18D7B" w14:textId="77777777" w:rsidR="009A414F" w:rsidRDefault="009A414F">
      <w:pPr>
        <w:spacing w:after="0" w:line="240" w:lineRule="auto"/>
      </w:pPr>
      <w:r>
        <w:separator/>
      </w:r>
    </w:p>
  </w:footnote>
  <w:footnote w:type="continuationSeparator" w:id="0">
    <w:p w14:paraId="03BC80F9" w14:textId="77777777" w:rsidR="009A414F" w:rsidRDefault="009A414F">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MAOO7Y7GdbTLGr" int2:id="ezOk7tNJ">
      <int2:state int2:type="LegacyProofing" int2:value="Rejected"/>
    </int2:textHash>
    <int2:textHash int2:hashCode="ni8UUdXdlt6RIo" int2:id="0n77y7PB">
      <int2:state int2:type="LegacyProofing"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892B"/>
    <w:multiLevelType w:val="hybridMultilevel"/>
    <w:tmpl w:val="145082C8"/>
    <w:lvl w:ilvl="0" w:tplc="CA64E9B0">
      <w:start w:val="1"/>
      <w:numFmt w:val="bullet"/>
      <w:lvlText w:val=""/>
      <w:lvlJc w:val="left"/>
      <w:pPr>
        <w:ind w:left="720" w:hanging="360"/>
      </w:pPr>
      <w:rPr>
        <w:rFonts w:ascii="Symbol" w:hAnsi="Symbol" w:hint="default"/>
      </w:rPr>
    </w:lvl>
    <w:lvl w:ilvl="1" w:tplc="C59CAADA">
      <w:start w:val="1"/>
      <w:numFmt w:val="bullet"/>
      <w:lvlText w:val="o"/>
      <w:lvlJc w:val="left"/>
      <w:pPr>
        <w:ind w:left="1440" w:hanging="360"/>
      </w:pPr>
      <w:rPr>
        <w:rFonts w:ascii="Courier New" w:hAnsi="Courier New" w:hint="default"/>
      </w:rPr>
    </w:lvl>
    <w:lvl w:ilvl="2" w:tplc="07DCC0C8">
      <w:start w:val="1"/>
      <w:numFmt w:val="bullet"/>
      <w:lvlText w:val=""/>
      <w:lvlJc w:val="left"/>
      <w:pPr>
        <w:ind w:left="2160" w:hanging="360"/>
      </w:pPr>
      <w:rPr>
        <w:rFonts w:ascii="Wingdings" w:hAnsi="Wingdings" w:hint="default"/>
      </w:rPr>
    </w:lvl>
    <w:lvl w:ilvl="3" w:tplc="65C84156">
      <w:start w:val="1"/>
      <w:numFmt w:val="bullet"/>
      <w:lvlText w:val=""/>
      <w:lvlJc w:val="left"/>
      <w:pPr>
        <w:ind w:left="2880" w:hanging="360"/>
      </w:pPr>
      <w:rPr>
        <w:rFonts w:ascii="Symbol" w:hAnsi="Symbol" w:hint="default"/>
      </w:rPr>
    </w:lvl>
    <w:lvl w:ilvl="4" w:tplc="F0301498">
      <w:start w:val="1"/>
      <w:numFmt w:val="bullet"/>
      <w:lvlText w:val="o"/>
      <w:lvlJc w:val="left"/>
      <w:pPr>
        <w:ind w:left="3600" w:hanging="360"/>
      </w:pPr>
      <w:rPr>
        <w:rFonts w:ascii="Courier New" w:hAnsi="Courier New" w:hint="default"/>
      </w:rPr>
    </w:lvl>
    <w:lvl w:ilvl="5" w:tplc="4D3C805E">
      <w:start w:val="1"/>
      <w:numFmt w:val="bullet"/>
      <w:lvlText w:val=""/>
      <w:lvlJc w:val="left"/>
      <w:pPr>
        <w:ind w:left="4320" w:hanging="360"/>
      </w:pPr>
      <w:rPr>
        <w:rFonts w:ascii="Wingdings" w:hAnsi="Wingdings" w:hint="default"/>
      </w:rPr>
    </w:lvl>
    <w:lvl w:ilvl="6" w:tplc="0CDEFD20">
      <w:start w:val="1"/>
      <w:numFmt w:val="bullet"/>
      <w:lvlText w:val=""/>
      <w:lvlJc w:val="left"/>
      <w:pPr>
        <w:ind w:left="5040" w:hanging="360"/>
      </w:pPr>
      <w:rPr>
        <w:rFonts w:ascii="Symbol" w:hAnsi="Symbol" w:hint="default"/>
      </w:rPr>
    </w:lvl>
    <w:lvl w:ilvl="7" w:tplc="3AB0C2E4">
      <w:start w:val="1"/>
      <w:numFmt w:val="bullet"/>
      <w:lvlText w:val="o"/>
      <w:lvlJc w:val="left"/>
      <w:pPr>
        <w:ind w:left="5760" w:hanging="360"/>
      </w:pPr>
      <w:rPr>
        <w:rFonts w:ascii="Courier New" w:hAnsi="Courier New" w:hint="default"/>
      </w:rPr>
    </w:lvl>
    <w:lvl w:ilvl="8" w:tplc="36C210DE">
      <w:start w:val="1"/>
      <w:numFmt w:val="bullet"/>
      <w:lvlText w:val=""/>
      <w:lvlJc w:val="left"/>
      <w:pPr>
        <w:ind w:left="6480" w:hanging="360"/>
      </w:pPr>
      <w:rPr>
        <w:rFonts w:ascii="Wingdings" w:hAnsi="Wingdings" w:hint="default"/>
      </w:rPr>
    </w:lvl>
  </w:abstractNum>
  <w:abstractNum w:abstractNumId="1">
    <w:nsid w:val="1357B03E"/>
    <w:multiLevelType w:val="hybridMultilevel"/>
    <w:tmpl w:val="62888D36"/>
    <w:lvl w:ilvl="0" w:tplc="FA16C9D0">
      <w:start w:val="1"/>
      <w:numFmt w:val="bullet"/>
      <w:lvlText w:val=""/>
      <w:lvlJc w:val="left"/>
      <w:pPr>
        <w:ind w:left="720" w:hanging="360"/>
      </w:pPr>
      <w:rPr>
        <w:rFonts w:ascii="Symbol" w:hAnsi="Symbol" w:hint="default"/>
      </w:rPr>
    </w:lvl>
    <w:lvl w:ilvl="1" w:tplc="B880ADBC">
      <w:start w:val="1"/>
      <w:numFmt w:val="bullet"/>
      <w:lvlText w:val="o"/>
      <w:lvlJc w:val="left"/>
      <w:pPr>
        <w:ind w:left="1440" w:hanging="360"/>
      </w:pPr>
      <w:rPr>
        <w:rFonts w:ascii="Courier New" w:hAnsi="Courier New" w:hint="default"/>
      </w:rPr>
    </w:lvl>
    <w:lvl w:ilvl="2" w:tplc="763A2714">
      <w:start w:val="1"/>
      <w:numFmt w:val="bullet"/>
      <w:lvlText w:val=""/>
      <w:lvlJc w:val="left"/>
      <w:pPr>
        <w:ind w:left="2160" w:hanging="360"/>
      </w:pPr>
      <w:rPr>
        <w:rFonts w:ascii="Wingdings" w:hAnsi="Wingdings" w:hint="default"/>
      </w:rPr>
    </w:lvl>
    <w:lvl w:ilvl="3" w:tplc="A69C1D1C">
      <w:start w:val="1"/>
      <w:numFmt w:val="bullet"/>
      <w:lvlText w:val=""/>
      <w:lvlJc w:val="left"/>
      <w:pPr>
        <w:ind w:left="2880" w:hanging="360"/>
      </w:pPr>
      <w:rPr>
        <w:rFonts w:ascii="Symbol" w:hAnsi="Symbol" w:hint="default"/>
      </w:rPr>
    </w:lvl>
    <w:lvl w:ilvl="4" w:tplc="37FACDE6">
      <w:start w:val="1"/>
      <w:numFmt w:val="bullet"/>
      <w:lvlText w:val="o"/>
      <w:lvlJc w:val="left"/>
      <w:pPr>
        <w:ind w:left="3600" w:hanging="360"/>
      </w:pPr>
      <w:rPr>
        <w:rFonts w:ascii="Courier New" w:hAnsi="Courier New" w:hint="default"/>
      </w:rPr>
    </w:lvl>
    <w:lvl w:ilvl="5" w:tplc="869ECC40">
      <w:start w:val="1"/>
      <w:numFmt w:val="bullet"/>
      <w:lvlText w:val=""/>
      <w:lvlJc w:val="left"/>
      <w:pPr>
        <w:ind w:left="4320" w:hanging="360"/>
      </w:pPr>
      <w:rPr>
        <w:rFonts w:ascii="Wingdings" w:hAnsi="Wingdings" w:hint="default"/>
      </w:rPr>
    </w:lvl>
    <w:lvl w:ilvl="6" w:tplc="540A7B2C">
      <w:start w:val="1"/>
      <w:numFmt w:val="bullet"/>
      <w:lvlText w:val=""/>
      <w:lvlJc w:val="left"/>
      <w:pPr>
        <w:ind w:left="5040" w:hanging="360"/>
      </w:pPr>
      <w:rPr>
        <w:rFonts w:ascii="Symbol" w:hAnsi="Symbol" w:hint="default"/>
      </w:rPr>
    </w:lvl>
    <w:lvl w:ilvl="7" w:tplc="D90AFC76">
      <w:start w:val="1"/>
      <w:numFmt w:val="bullet"/>
      <w:lvlText w:val="o"/>
      <w:lvlJc w:val="left"/>
      <w:pPr>
        <w:ind w:left="5760" w:hanging="360"/>
      </w:pPr>
      <w:rPr>
        <w:rFonts w:ascii="Courier New" w:hAnsi="Courier New" w:hint="default"/>
      </w:rPr>
    </w:lvl>
    <w:lvl w:ilvl="8" w:tplc="C48E01CC">
      <w:start w:val="1"/>
      <w:numFmt w:val="bullet"/>
      <w:lvlText w:val=""/>
      <w:lvlJc w:val="left"/>
      <w:pPr>
        <w:ind w:left="6480" w:hanging="360"/>
      </w:pPr>
      <w:rPr>
        <w:rFonts w:ascii="Wingdings" w:hAnsi="Wingdings" w:hint="default"/>
      </w:rPr>
    </w:lvl>
  </w:abstractNum>
  <w:abstractNum w:abstractNumId="2">
    <w:nsid w:val="29033FF6"/>
    <w:multiLevelType w:val="hybridMultilevel"/>
    <w:tmpl w:val="592414BC"/>
    <w:lvl w:ilvl="0" w:tplc="B088E3C6">
      <w:start w:val="1"/>
      <w:numFmt w:val="bullet"/>
      <w:lvlText w:val=""/>
      <w:lvlJc w:val="left"/>
      <w:pPr>
        <w:ind w:left="720" w:hanging="360"/>
      </w:pPr>
      <w:rPr>
        <w:rFonts w:ascii="Symbol" w:hAnsi="Symbol" w:hint="default"/>
      </w:rPr>
    </w:lvl>
    <w:lvl w:ilvl="1" w:tplc="BC7A0D3E">
      <w:start w:val="1"/>
      <w:numFmt w:val="bullet"/>
      <w:lvlText w:val="o"/>
      <w:lvlJc w:val="left"/>
      <w:pPr>
        <w:ind w:left="1440" w:hanging="360"/>
      </w:pPr>
      <w:rPr>
        <w:rFonts w:ascii="Courier New" w:hAnsi="Courier New" w:hint="default"/>
      </w:rPr>
    </w:lvl>
    <w:lvl w:ilvl="2" w:tplc="89786076">
      <w:start w:val="1"/>
      <w:numFmt w:val="bullet"/>
      <w:lvlText w:val=""/>
      <w:lvlJc w:val="left"/>
      <w:pPr>
        <w:ind w:left="2160" w:hanging="360"/>
      </w:pPr>
      <w:rPr>
        <w:rFonts w:ascii="Wingdings" w:hAnsi="Wingdings" w:hint="default"/>
      </w:rPr>
    </w:lvl>
    <w:lvl w:ilvl="3" w:tplc="1FFC7950">
      <w:start w:val="1"/>
      <w:numFmt w:val="bullet"/>
      <w:lvlText w:val=""/>
      <w:lvlJc w:val="left"/>
      <w:pPr>
        <w:ind w:left="2880" w:hanging="360"/>
      </w:pPr>
      <w:rPr>
        <w:rFonts w:ascii="Symbol" w:hAnsi="Symbol" w:hint="default"/>
      </w:rPr>
    </w:lvl>
    <w:lvl w:ilvl="4" w:tplc="63D4121C">
      <w:start w:val="1"/>
      <w:numFmt w:val="bullet"/>
      <w:lvlText w:val="o"/>
      <w:lvlJc w:val="left"/>
      <w:pPr>
        <w:ind w:left="3600" w:hanging="360"/>
      </w:pPr>
      <w:rPr>
        <w:rFonts w:ascii="Courier New" w:hAnsi="Courier New" w:hint="default"/>
      </w:rPr>
    </w:lvl>
    <w:lvl w:ilvl="5" w:tplc="1FAED0A0">
      <w:start w:val="1"/>
      <w:numFmt w:val="bullet"/>
      <w:lvlText w:val=""/>
      <w:lvlJc w:val="left"/>
      <w:pPr>
        <w:ind w:left="4320" w:hanging="360"/>
      </w:pPr>
      <w:rPr>
        <w:rFonts w:ascii="Wingdings" w:hAnsi="Wingdings" w:hint="default"/>
      </w:rPr>
    </w:lvl>
    <w:lvl w:ilvl="6" w:tplc="30B6375A">
      <w:start w:val="1"/>
      <w:numFmt w:val="bullet"/>
      <w:lvlText w:val=""/>
      <w:lvlJc w:val="left"/>
      <w:pPr>
        <w:ind w:left="5040" w:hanging="360"/>
      </w:pPr>
      <w:rPr>
        <w:rFonts w:ascii="Symbol" w:hAnsi="Symbol" w:hint="default"/>
      </w:rPr>
    </w:lvl>
    <w:lvl w:ilvl="7" w:tplc="E0F8250E">
      <w:start w:val="1"/>
      <w:numFmt w:val="bullet"/>
      <w:lvlText w:val="o"/>
      <w:lvlJc w:val="left"/>
      <w:pPr>
        <w:ind w:left="5760" w:hanging="360"/>
      </w:pPr>
      <w:rPr>
        <w:rFonts w:ascii="Courier New" w:hAnsi="Courier New" w:hint="default"/>
      </w:rPr>
    </w:lvl>
    <w:lvl w:ilvl="8" w:tplc="E2AC9BE6">
      <w:start w:val="1"/>
      <w:numFmt w:val="bullet"/>
      <w:lvlText w:val=""/>
      <w:lvlJc w:val="left"/>
      <w:pPr>
        <w:ind w:left="6480" w:hanging="360"/>
      </w:pPr>
      <w:rPr>
        <w:rFonts w:ascii="Wingdings" w:hAnsi="Wingdings" w:hint="default"/>
      </w:rPr>
    </w:lvl>
  </w:abstractNum>
  <w:abstractNum w:abstractNumId="3">
    <w:nsid w:val="2B744791"/>
    <w:multiLevelType w:val="hybridMultilevel"/>
    <w:tmpl w:val="CC521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C97F15"/>
    <w:multiLevelType w:val="hybridMultilevel"/>
    <w:tmpl w:val="4EC8D1FE"/>
    <w:lvl w:ilvl="0" w:tplc="B6C0940A">
      <w:start w:val="1"/>
      <w:numFmt w:val="bullet"/>
      <w:lvlText w:val=""/>
      <w:lvlJc w:val="left"/>
      <w:pPr>
        <w:ind w:left="720" w:hanging="360"/>
      </w:pPr>
      <w:rPr>
        <w:rFonts w:ascii="Symbol" w:hAnsi="Symbol" w:hint="default"/>
      </w:rPr>
    </w:lvl>
    <w:lvl w:ilvl="1" w:tplc="B55406DC">
      <w:start w:val="1"/>
      <w:numFmt w:val="bullet"/>
      <w:lvlText w:val="o"/>
      <w:lvlJc w:val="left"/>
      <w:pPr>
        <w:ind w:left="1440" w:hanging="360"/>
      </w:pPr>
      <w:rPr>
        <w:rFonts w:ascii="Courier New" w:hAnsi="Courier New" w:hint="default"/>
      </w:rPr>
    </w:lvl>
    <w:lvl w:ilvl="2" w:tplc="A836934A">
      <w:start w:val="1"/>
      <w:numFmt w:val="bullet"/>
      <w:lvlText w:val=""/>
      <w:lvlJc w:val="left"/>
      <w:pPr>
        <w:ind w:left="2160" w:hanging="360"/>
      </w:pPr>
      <w:rPr>
        <w:rFonts w:ascii="Wingdings" w:hAnsi="Wingdings" w:hint="default"/>
      </w:rPr>
    </w:lvl>
    <w:lvl w:ilvl="3" w:tplc="062E7484">
      <w:start w:val="1"/>
      <w:numFmt w:val="bullet"/>
      <w:lvlText w:val=""/>
      <w:lvlJc w:val="left"/>
      <w:pPr>
        <w:ind w:left="2880" w:hanging="360"/>
      </w:pPr>
      <w:rPr>
        <w:rFonts w:ascii="Symbol" w:hAnsi="Symbol" w:hint="default"/>
      </w:rPr>
    </w:lvl>
    <w:lvl w:ilvl="4" w:tplc="69A09B08">
      <w:start w:val="1"/>
      <w:numFmt w:val="bullet"/>
      <w:lvlText w:val="o"/>
      <w:lvlJc w:val="left"/>
      <w:pPr>
        <w:ind w:left="3600" w:hanging="360"/>
      </w:pPr>
      <w:rPr>
        <w:rFonts w:ascii="Courier New" w:hAnsi="Courier New" w:hint="default"/>
      </w:rPr>
    </w:lvl>
    <w:lvl w:ilvl="5" w:tplc="2E18B99E">
      <w:start w:val="1"/>
      <w:numFmt w:val="bullet"/>
      <w:lvlText w:val=""/>
      <w:lvlJc w:val="left"/>
      <w:pPr>
        <w:ind w:left="4320" w:hanging="360"/>
      </w:pPr>
      <w:rPr>
        <w:rFonts w:ascii="Wingdings" w:hAnsi="Wingdings" w:hint="default"/>
      </w:rPr>
    </w:lvl>
    <w:lvl w:ilvl="6" w:tplc="6F429DC6">
      <w:start w:val="1"/>
      <w:numFmt w:val="bullet"/>
      <w:lvlText w:val=""/>
      <w:lvlJc w:val="left"/>
      <w:pPr>
        <w:ind w:left="5040" w:hanging="360"/>
      </w:pPr>
      <w:rPr>
        <w:rFonts w:ascii="Symbol" w:hAnsi="Symbol" w:hint="default"/>
      </w:rPr>
    </w:lvl>
    <w:lvl w:ilvl="7" w:tplc="4832FA0C">
      <w:start w:val="1"/>
      <w:numFmt w:val="bullet"/>
      <w:lvlText w:val="o"/>
      <w:lvlJc w:val="left"/>
      <w:pPr>
        <w:ind w:left="5760" w:hanging="360"/>
      </w:pPr>
      <w:rPr>
        <w:rFonts w:ascii="Courier New" w:hAnsi="Courier New" w:hint="default"/>
      </w:rPr>
    </w:lvl>
    <w:lvl w:ilvl="8" w:tplc="26D4170A">
      <w:start w:val="1"/>
      <w:numFmt w:val="bullet"/>
      <w:lvlText w:val=""/>
      <w:lvlJc w:val="left"/>
      <w:pPr>
        <w:ind w:left="6480" w:hanging="360"/>
      </w:pPr>
      <w:rPr>
        <w:rFonts w:ascii="Wingdings" w:hAnsi="Wingdings" w:hint="default"/>
      </w:rPr>
    </w:lvl>
  </w:abstractNum>
  <w:abstractNum w:abstractNumId="5">
    <w:nsid w:val="3B444DB0"/>
    <w:multiLevelType w:val="multilevel"/>
    <w:tmpl w:val="1E9A7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9639579"/>
    <w:multiLevelType w:val="hybridMultilevel"/>
    <w:tmpl w:val="6944C37E"/>
    <w:lvl w:ilvl="0" w:tplc="2F4E4B0A">
      <w:start w:val="1"/>
      <w:numFmt w:val="bullet"/>
      <w:lvlText w:val=""/>
      <w:lvlJc w:val="left"/>
      <w:pPr>
        <w:ind w:left="720" w:hanging="360"/>
      </w:pPr>
      <w:rPr>
        <w:rFonts w:ascii="Symbol" w:hAnsi="Symbol" w:hint="default"/>
      </w:rPr>
    </w:lvl>
    <w:lvl w:ilvl="1" w:tplc="4F584D1E">
      <w:start w:val="1"/>
      <w:numFmt w:val="bullet"/>
      <w:lvlText w:val="o"/>
      <w:lvlJc w:val="left"/>
      <w:pPr>
        <w:ind w:left="1440" w:hanging="360"/>
      </w:pPr>
      <w:rPr>
        <w:rFonts w:ascii="Courier New" w:hAnsi="Courier New" w:hint="default"/>
      </w:rPr>
    </w:lvl>
    <w:lvl w:ilvl="2" w:tplc="DBE67FBE">
      <w:start w:val="1"/>
      <w:numFmt w:val="bullet"/>
      <w:lvlText w:val=""/>
      <w:lvlJc w:val="left"/>
      <w:pPr>
        <w:ind w:left="2160" w:hanging="360"/>
      </w:pPr>
      <w:rPr>
        <w:rFonts w:ascii="Wingdings" w:hAnsi="Wingdings" w:hint="default"/>
      </w:rPr>
    </w:lvl>
    <w:lvl w:ilvl="3" w:tplc="15BAE462">
      <w:start w:val="1"/>
      <w:numFmt w:val="bullet"/>
      <w:lvlText w:val=""/>
      <w:lvlJc w:val="left"/>
      <w:pPr>
        <w:ind w:left="2880" w:hanging="360"/>
      </w:pPr>
      <w:rPr>
        <w:rFonts w:ascii="Symbol" w:hAnsi="Symbol" w:hint="default"/>
      </w:rPr>
    </w:lvl>
    <w:lvl w:ilvl="4" w:tplc="0A081526">
      <w:start w:val="1"/>
      <w:numFmt w:val="bullet"/>
      <w:lvlText w:val="o"/>
      <w:lvlJc w:val="left"/>
      <w:pPr>
        <w:ind w:left="3600" w:hanging="360"/>
      </w:pPr>
      <w:rPr>
        <w:rFonts w:ascii="Courier New" w:hAnsi="Courier New" w:hint="default"/>
      </w:rPr>
    </w:lvl>
    <w:lvl w:ilvl="5" w:tplc="D1DED194">
      <w:start w:val="1"/>
      <w:numFmt w:val="bullet"/>
      <w:lvlText w:val=""/>
      <w:lvlJc w:val="left"/>
      <w:pPr>
        <w:ind w:left="4320" w:hanging="360"/>
      </w:pPr>
      <w:rPr>
        <w:rFonts w:ascii="Wingdings" w:hAnsi="Wingdings" w:hint="default"/>
      </w:rPr>
    </w:lvl>
    <w:lvl w:ilvl="6" w:tplc="C6C4D9D6">
      <w:start w:val="1"/>
      <w:numFmt w:val="bullet"/>
      <w:lvlText w:val=""/>
      <w:lvlJc w:val="left"/>
      <w:pPr>
        <w:ind w:left="5040" w:hanging="360"/>
      </w:pPr>
      <w:rPr>
        <w:rFonts w:ascii="Symbol" w:hAnsi="Symbol" w:hint="default"/>
      </w:rPr>
    </w:lvl>
    <w:lvl w:ilvl="7" w:tplc="A69C628E">
      <w:start w:val="1"/>
      <w:numFmt w:val="bullet"/>
      <w:lvlText w:val="o"/>
      <w:lvlJc w:val="left"/>
      <w:pPr>
        <w:ind w:left="5760" w:hanging="360"/>
      </w:pPr>
      <w:rPr>
        <w:rFonts w:ascii="Courier New" w:hAnsi="Courier New" w:hint="default"/>
      </w:rPr>
    </w:lvl>
    <w:lvl w:ilvl="8" w:tplc="3ABED81C">
      <w:start w:val="1"/>
      <w:numFmt w:val="bullet"/>
      <w:lvlText w:val=""/>
      <w:lvlJc w:val="left"/>
      <w:pPr>
        <w:ind w:left="6480" w:hanging="360"/>
      </w:pPr>
      <w:rPr>
        <w:rFonts w:ascii="Wingdings" w:hAnsi="Wingdings" w:hint="default"/>
      </w:rPr>
    </w:lvl>
  </w:abstractNum>
  <w:abstractNum w:abstractNumId="7">
    <w:nsid w:val="7B345ED1"/>
    <w:multiLevelType w:val="multilevel"/>
    <w:tmpl w:val="613C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752AF0"/>
    <w:rsid w:val="00020973"/>
    <w:rsid w:val="00040837"/>
    <w:rsid w:val="00063370"/>
    <w:rsid w:val="000C179A"/>
    <w:rsid w:val="000E495C"/>
    <w:rsid w:val="001270A1"/>
    <w:rsid w:val="0012BD67"/>
    <w:rsid w:val="002D1AED"/>
    <w:rsid w:val="002E198D"/>
    <w:rsid w:val="0031458C"/>
    <w:rsid w:val="00342109"/>
    <w:rsid w:val="00362D54"/>
    <w:rsid w:val="00365E3D"/>
    <w:rsid w:val="003B1D98"/>
    <w:rsid w:val="004086AE"/>
    <w:rsid w:val="0040AD50"/>
    <w:rsid w:val="00483454"/>
    <w:rsid w:val="004B70CE"/>
    <w:rsid w:val="004C2420"/>
    <w:rsid w:val="00567036"/>
    <w:rsid w:val="005A0F11"/>
    <w:rsid w:val="005A5318"/>
    <w:rsid w:val="005B5662"/>
    <w:rsid w:val="005C0FDF"/>
    <w:rsid w:val="005C35D2"/>
    <w:rsid w:val="00643196"/>
    <w:rsid w:val="0065B244"/>
    <w:rsid w:val="00664072"/>
    <w:rsid w:val="006B6D8D"/>
    <w:rsid w:val="006B7205"/>
    <w:rsid w:val="006C0EC5"/>
    <w:rsid w:val="006FE4C2"/>
    <w:rsid w:val="00753AE2"/>
    <w:rsid w:val="007C5966"/>
    <w:rsid w:val="007C5EFC"/>
    <w:rsid w:val="008054D5"/>
    <w:rsid w:val="008331BA"/>
    <w:rsid w:val="00837C47"/>
    <w:rsid w:val="00981E69"/>
    <w:rsid w:val="00987B7D"/>
    <w:rsid w:val="009A414F"/>
    <w:rsid w:val="009B791A"/>
    <w:rsid w:val="00A19F54"/>
    <w:rsid w:val="00A2327F"/>
    <w:rsid w:val="00B473BF"/>
    <w:rsid w:val="00B78935"/>
    <w:rsid w:val="00B9374A"/>
    <w:rsid w:val="00BA5FD1"/>
    <w:rsid w:val="00BF1487"/>
    <w:rsid w:val="00BF7C30"/>
    <w:rsid w:val="00C211AB"/>
    <w:rsid w:val="00D01D98"/>
    <w:rsid w:val="00D26737"/>
    <w:rsid w:val="00D74667"/>
    <w:rsid w:val="00DA7E47"/>
    <w:rsid w:val="00DD36F8"/>
    <w:rsid w:val="00E416C5"/>
    <w:rsid w:val="00E76659"/>
    <w:rsid w:val="00E7EDEF"/>
    <w:rsid w:val="00E864A7"/>
    <w:rsid w:val="00F29D01"/>
    <w:rsid w:val="00F3353A"/>
    <w:rsid w:val="00F4621E"/>
    <w:rsid w:val="00F51F64"/>
    <w:rsid w:val="00F54820"/>
    <w:rsid w:val="00FA3641"/>
    <w:rsid w:val="00FB7FCB"/>
    <w:rsid w:val="0118195D"/>
    <w:rsid w:val="011D0F10"/>
    <w:rsid w:val="01231EA2"/>
    <w:rsid w:val="0123A225"/>
    <w:rsid w:val="014190D5"/>
    <w:rsid w:val="0144F850"/>
    <w:rsid w:val="0150D695"/>
    <w:rsid w:val="015E5B9F"/>
    <w:rsid w:val="016123CF"/>
    <w:rsid w:val="0178B3B1"/>
    <w:rsid w:val="017C9818"/>
    <w:rsid w:val="01860096"/>
    <w:rsid w:val="0190B08A"/>
    <w:rsid w:val="019393B2"/>
    <w:rsid w:val="01C0DAA6"/>
    <w:rsid w:val="01EE1591"/>
    <w:rsid w:val="01F2DD65"/>
    <w:rsid w:val="01F695B7"/>
    <w:rsid w:val="02021E3F"/>
    <w:rsid w:val="02260747"/>
    <w:rsid w:val="022E6620"/>
    <w:rsid w:val="022F7220"/>
    <w:rsid w:val="023415C7"/>
    <w:rsid w:val="024F6586"/>
    <w:rsid w:val="026E92C4"/>
    <w:rsid w:val="0270AD3F"/>
    <w:rsid w:val="0271B64C"/>
    <w:rsid w:val="02847322"/>
    <w:rsid w:val="0295DFE3"/>
    <w:rsid w:val="02A51342"/>
    <w:rsid w:val="02A5D9EF"/>
    <w:rsid w:val="02AAA894"/>
    <w:rsid w:val="02B8922D"/>
    <w:rsid w:val="02CB0505"/>
    <w:rsid w:val="02CBFE26"/>
    <w:rsid w:val="02DE718F"/>
    <w:rsid w:val="02F25D6B"/>
    <w:rsid w:val="02FEE6C5"/>
    <w:rsid w:val="0305C9F8"/>
    <w:rsid w:val="0305D614"/>
    <w:rsid w:val="030C5A8E"/>
    <w:rsid w:val="0323DD4C"/>
    <w:rsid w:val="0339776C"/>
    <w:rsid w:val="033B04B5"/>
    <w:rsid w:val="03488335"/>
    <w:rsid w:val="03581C27"/>
    <w:rsid w:val="035E5371"/>
    <w:rsid w:val="035FAC5F"/>
    <w:rsid w:val="0369DB89"/>
    <w:rsid w:val="037F0AFF"/>
    <w:rsid w:val="038190AC"/>
    <w:rsid w:val="03A1E15B"/>
    <w:rsid w:val="03C23B9F"/>
    <w:rsid w:val="03C8A738"/>
    <w:rsid w:val="03CA7BCD"/>
    <w:rsid w:val="03CB4281"/>
    <w:rsid w:val="03CD2FBC"/>
    <w:rsid w:val="03CFE628"/>
    <w:rsid w:val="03D1B122"/>
    <w:rsid w:val="03DD239E"/>
    <w:rsid w:val="03DFD757"/>
    <w:rsid w:val="03EFCA48"/>
    <w:rsid w:val="040719F6"/>
    <w:rsid w:val="0417596C"/>
    <w:rsid w:val="041EC993"/>
    <w:rsid w:val="04253CF7"/>
    <w:rsid w:val="042CAEBB"/>
    <w:rsid w:val="042F6D6E"/>
    <w:rsid w:val="0446BC42"/>
    <w:rsid w:val="0457FD12"/>
    <w:rsid w:val="04656D6E"/>
    <w:rsid w:val="046AFD39"/>
    <w:rsid w:val="0474AB8C"/>
    <w:rsid w:val="04762DCC"/>
    <w:rsid w:val="0479C8F9"/>
    <w:rsid w:val="047A41F0"/>
    <w:rsid w:val="047C9912"/>
    <w:rsid w:val="04802E16"/>
    <w:rsid w:val="048237C9"/>
    <w:rsid w:val="0493FE65"/>
    <w:rsid w:val="04999493"/>
    <w:rsid w:val="049BD6AB"/>
    <w:rsid w:val="049D621A"/>
    <w:rsid w:val="04A1A675"/>
    <w:rsid w:val="04AD4CFA"/>
    <w:rsid w:val="04B01DFB"/>
    <w:rsid w:val="04B235A9"/>
    <w:rsid w:val="04B753C5"/>
    <w:rsid w:val="04B8F934"/>
    <w:rsid w:val="04D02A43"/>
    <w:rsid w:val="04D525C1"/>
    <w:rsid w:val="04E39D33"/>
    <w:rsid w:val="04E5C6B3"/>
    <w:rsid w:val="04E62E8A"/>
    <w:rsid w:val="04F78557"/>
    <w:rsid w:val="05093CAF"/>
    <w:rsid w:val="050ABEB0"/>
    <w:rsid w:val="050BF65C"/>
    <w:rsid w:val="051B83A8"/>
    <w:rsid w:val="051C1DB0"/>
    <w:rsid w:val="051E69D5"/>
    <w:rsid w:val="05227DA6"/>
    <w:rsid w:val="0535FB19"/>
    <w:rsid w:val="053EDEB0"/>
    <w:rsid w:val="0544CE5A"/>
    <w:rsid w:val="0591E067"/>
    <w:rsid w:val="059377EB"/>
    <w:rsid w:val="0594658D"/>
    <w:rsid w:val="05A8D70D"/>
    <w:rsid w:val="05C11CD0"/>
    <w:rsid w:val="05C92210"/>
    <w:rsid w:val="05D73B5F"/>
    <w:rsid w:val="05E36D58"/>
    <w:rsid w:val="05EBB693"/>
    <w:rsid w:val="05ED7E56"/>
    <w:rsid w:val="05F67935"/>
    <w:rsid w:val="05F8E1ED"/>
    <w:rsid w:val="0609CF60"/>
    <w:rsid w:val="060E9E53"/>
    <w:rsid w:val="061E082A"/>
    <w:rsid w:val="062447B8"/>
    <w:rsid w:val="0632912A"/>
    <w:rsid w:val="064E4CD5"/>
    <w:rsid w:val="0661D2B9"/>
    <w:rsid w:val="06752262"/>
    <w:rsid w:val="06820FD5"/>
    <w:rsid w:val="06A7C6BD"/>
    <w:rsid w:val="06B97EBF"/>
    <w:rsid w:val="06BB65A4"/>
    <w:rsid w:val="06BE4249"/>
    <w:rsid w:val="06C186B4"/>
    <w:rsid w:val="06F11D21"/>
    <w:rsid w:val="06F1EEDB"/>
    <w:rsid w:val="07037ABB"/>
    <w:rsid w:val="070786EA"/>
    <w:rsid w:val="070C7DAE"/>
    <w:rsid w:val="071A553F"/>
    <w:rsid w:val="071DD2A2"/>
    <w:rsid w:val="07495F17"/>
    <w:rsid w:val="07581CDD"/>
    <w:rsid w:val="075A3BEC"/>
    <w:rsid w:val="075B493E"/>
    <w:rsid w:val="076B8B17"/>
    <w:rsid w:val="07794B12"/>
    <w:rsid w:val="077F3DB9"/>
    <w:rsid w:val="07961B1A"/>
    <w:rsid w:val="07A1E9CF"/>
    <w:rsid w:val="07AA5BA3"/>
    <w:rsid w:val="07AD19E1"/>
    <w:rsid w:val="07AD70E9"/>
    <w:rsid w:val="07B1E2B2"/>
    <w:rsid w:val="07B35905"/>
    <w:rsid w:val="07B791DD"/>
    <w:rsid w:val="07B99EAD"/>
    <w:rsid w:val="07C01819"/>
    <w:rsid w:val="07D93B1B"/>
    <w:rsid w:val="07EFE000"/>
    <w:rsid w:val="07FA4BAA"/>
    <w:rsid w:val="07FC40B2"/>
    <w:rsid w:val="07FC6F89"/>
    <w:rsid w:val="0812D598"/>
    <w:rsid w:val="0841BA45"/>
    <w:rsid w:val="0851D048"/>
    <w:rsid w:val="08573605"/>
    <w:rsid w:val="0892C529"/>
    <w:rsid w:val="089483F1"/>
    <w:rsid w:val="0899EDDA"/>
    <w:rsid w:val="08CFC9DB"/>
    <w:rsid w:val="08FA3B50"/>
    <w:rsid w:val="08FF7353"/>
    <w:rsid w:val="0906418E"/>
    <w:rsid w:val="0918F63B"/>
    <w:rsid w:val="091E8CE0"/>
    <w:rsid w:val="093B3FAA"/>
    <w:rsid w:val="093BE0C4"/>
    <w:rsid w:val="0943DCBC"/>
    <w:rsid w:val="09459268"/>
    <w:rsid w:val="094CA5E1"/>
    <w:rsid w:val="094DB313"/>
    <w:rsid w:val="095014CD"/>
    <w:rsid w:val="09543581"/>
    <w:rsid w:val="0961574E"/>
    <w:rsid w:val="0963D469"/>
    <w:rsid w:val="0965777A"/>
    <w:rsid w:val="096A31EC"/>
    <w:rsid w:val="09980533"/>
    <w:rsid w:val="09C2B1C5"/>
    <w:rsid w:val="09C5059A"/>
    <w:rsid w:val="09D04B2B"/>
    <w:rsid w:val="09D55C3C"/>
    <w:rsid w:val="09DD8AA6"/>
    <w:rsid w:val="09FAD810"/>
    <w:rsid w:val="0A096382"/>
    <w:rsid w:val="0A14946D"/>
    <w:rsid w:val="0A20CE31"/>
    <w:rsid w:val="0A256946"/>
    <w:rsid w:val="0A361E69"/>
    <w:rsid w:val="0A4935CF"/>
    <w:rsid w:val="0A537E3B"/>
    <w:rsid w:val="0A664577"/>
    <w:rsid w:val="0A66FBBA"/>
    <w:rsid w:val="0A67D6B0"/>
    <w:rsid w:val="0A6889D3"/>
    <w:rsid w:val="0A6E4B55"/>
    <w:rsid w:val="0A9540C7"/>
    <w:rsid w:val="0A9B68D0"/>
    <w:rsid w:val="0AA87833"/>
    <w:rsid w:val="0AAED579"/>
    <w:rsid w:val="0AC06234"/>
    <w:rsid w:val="0AD7B125"/>
    <w:rsid w:val="0AD7E261"/>
    <w:rsid w:val="0AEF5083"/>
    <w:rsid w:val="0AF5A020"/>
    <w:rsid w:val="0AFDA964"/>
    <w:rsid w:val="0B0AEED8"/>
    <w:rsid w:val="0B2780C2"/>
    <w:rsid w:val="0B2AFD19"/>
    <w:rsid w:val="0B36B67F"/>
    <w:rsid w:val="0B3A1226"/>
    <w:rsid w:val="0B49D563"/>
    <w:rsid w:val="0B6047CC"/>
    <w:rsid w:val="0B681545"/>
    <w:rsid w:val="0B8ED6C7"/>
    <w:rsid w:val="0BA61045"/>
    <w:rsid w:val="0BAA310F"/>
    <w:rsid w:val="0BD38156"/>
    <w:rsid w:val="0BE307D5"/>
    <w:rsid w:val="0BF83B47"/>
    <w:rsid w:val="0C107181"/>
    <w:rsid w:val="0C1D0E3A"/>
    <w:rsid w:val="0C3D23F4"/>
    <w:rsid w:val="0C3EAFD3"/>
    <w:rsid w:val="0C513457"/>
    <w:rsid w:val="0C52AEDC"/>
    <w:rsid w:val="0C5476A7"/>
    <w:rsid w:val="0C5B0893"/>
    <w:rsid w:val="0C6B5764"/>
    <w:rsid w:val="0C6E044F"/>
    <w:rsid w:val="0C8446A3"/>
    <w:rsid w:val="0C84F5A9"/>
    <w:rsid w:val="0C95E2E9"/>
    <w:rsid w:val="0C97D1E2"/>
    <w:rsid w:val="0CACB85A"/>
    <w:rsid w:val="0CADCB7E"/>
    <w:rsid w:val="0CAF6C06"/>
    <w:rsid w:val="0CB376DF"/>
    <w:rsid w:val="0CB77AC1"/>
    <w:rsid w:val="0CBDEFF7"/>
    <w:rsid w:val="0CC6CD7A"/>
    <w:rsid w:val="0CCA1759"/>
    <w:rsid w:val="0CD0068B"/>
    <w:rsid w:val="0CD6FE2B"/>
    <w:rsid w:val="0CDFE5E3"/>
    <w:rsid w:val="0CFE44BE"/>
    <w:rsid w:val="0D0798C9"/>
    <w:rsid w:val="0D099567"/>
    <w:rsid w:val="0D2C166A"/>
    <w:rsid w:val="0D3BCDC5"/>
    <w:rsid w:val="0D406757"/>
    <w:rsid w:val="0D524A34"/>
    <w:rsid w:val="0D6D9140"/>
    <w:rsid w:val="0D770EDA"/>
    <w:rsid w:val="0D7E47FF"/>
    <w:rsid w:val="0D902E69"/>
    <w:rsid w:val="0DA07B4D"/>
    <w:rsid w:val="0DA33AFE"/>
    <w:rsid w:val="0DAF4800"/>
    <w:rsid w:val="0DB8DE9B"/>
    <w:rsid w:val="0DCD46AE"/>
    <w:rsid w:val="0DED04B8"/>
    <w:rsid w:val="0DF04708"/>
    <w:rsid w:val="0E0C2BB0"/>
    <w:rsid w:val="0E0F8323"/>
    <w:rsid w:val="0E19B038"/>
    <w:rsid w:val="0E201704"/>
    <w:rsid w:val="0E3C9C58"/>
    <w:rsid w:val="0E4322FE"/>
    <w:rsid w:val="0E5EC6FE"/>
    <w:rsid w:val="0E5EEAC8"/>
    <w:rsid w:val="0E60E20E"/>
    <w:rsid w:val="0E6305ED"/>
    <w:rsid w:val="0E6792E5"/>
    <w:rsid w:val="0E6B156E"/>
    <w:rsid w:val="0E82171C"/>
    <w:rsid w:val="0E962EDD"/>
    <w:rsid w:val="0E9997C2"/>
    <w:rsid w:val="0E9CF19E"/>
    <w:rsid w:val="0EA354D7"/>
    <w:rsid w:val="0EA39463"/>
    <w:rsid w:val="0EC67789"/>
    <w:rsid w:val="0EC809E7"/>
    <w:rsid w:val="0ECB8C92"/>
    <w:rsid w:val="0ECDF93D"/>
    <w:rsid w:val="0ECFF103"/>
    <w:rsid w:val="0EE3C1FA"/>
    <w:rsid w:val="0EE4176E"/>
    <w:rsid w:val="0EE5C0F6"/>
    <w:rsid w:val="0EF7A3D2"/>
    <w:rsid w:val="0F03C575"/>
    <w:rsid w:val="0F3AD0C8"/>
    <w:rsid w:val="0F4C2AF9"/>
    <w:rsid w:val="0F51F808"/>
    <w:rsid w:val="0F632EC2"/>
    <w:rsid w:val="0F6FFB0A"/>
    <w:rsid w:val="0F72D20F"/>
    <w:rsid w:val="0F752AF0"/>
    <w:rsid w:val="0F791792"/>
    <w:rsid w:val="0F7C5A1E"/>
    <w:rsid w:val="0F88D519"/>
    <w:rsid w:val="0F9D0084"/>
    <w:rsid w:val="0FBAAFEF"/>
    <w:rsid w:val="0FBC966B"/>
    <w:rsid w:val="0FBFFEE6"/>
    <w:rsid w:val="0FCB24A3"/>
    <w:rsid w:val="0FD51F78"/>
    <w:rsid w:val="0FF14050"/>
    <w:rsid w:val="0FFF1CD2"/>
    <w:rsid w:val="100578F1"/>
    <w:rsid w:val="100D7908"/>
    <w:rsid w:val="1012620B"/>
    <w:rsid w:val="102E20CF"/>
    <w:rsid w:val="102FCAE2"/>
    <w:rsid w:val="1033B4B0"/>
    <w:rsid w:val="103F2538"/>
    <w:rsid w:val="10431B95"/>
    <w:rsid w:val="1046621E"/>
    <w:rsid w:val="10869CD4"/>
    <w:rsid w:val="10894F39"/>
    <w:rsid w:val="10A6A131"/>
    <w:rsid w:val="10AC7C7D"/>
    <w:rsid w:val="10B3499E"/>
    <w:rsid w:val="10D400CA"/>
    <w:rsid w:val="10D586FB"/>
    <w:rsid w:val="10EBC2DB"/>
    <w:rsid w:val="10F26E98"/>
    <w:rsid w:val="10FB749F"/>
    <w:rsid w:val="11013213"/>
    <w:rsid w:val="110EA270"/>
    <w:rsid w:val="1123D6A1"/>
    <w:rsid w:val="112C39A5"/>
    <w:rsid w:val="113D063C"/>
    <w:rsid w:val="1153750B"/>
    <w:rsid w:val="1153E2F5"/>
    <w:rsid w:val="115866CC"/>
    <w:rsid w:val="1168B927"/>
    <w:rsid w:val="11709BBF"/>
    <w:rsid w:val="118F3492"/>
    <w:rsid w:val="11918B75"/>
    <w:rsid w:val="11B581DB"/>
    <w:rsid w:val="11B995BE"/>
    <w:rsid w:val="11BCFF24"/>
    <w:rsid w:val="11CC9F18"/>
    <w:rsid w:val="11EDC346"/>
    <w:rsid w:val="11F0D6AB"/>
    <w:rsid w:val="120D7391"/>
    <w:rsid w:val="1210EEB5"/>
    <w:rsid w:val="12410263"/>
    <w:rsid w:val="1242D6B2"/>
    <w:rsid w:val="1258DA01"/>
    <w:rsid w:val="125B33CA"/>
    <w:rsid w:val="12670051"/>
    <w:rsid w:val="12682972"/>
    <w:rsid w:val="12A68963"/>
    <w:rsid w:val="12AB6C68"/>
    <w:rsid w:val="12B509EF"/>
    <w:rsid w:val="12CA8501"/>
    <w:rsid w:val="12CBF782"/>
    <w:rsid w:val="12CE86FC"/>
    <w:rsid w:val="12DEC5F6"/>
    <w:rsid w:val="12DF04D4"/>
    <w:rsid w:val="12DFF3E6"/>
    <w:rsid w:val="13048988"/>
    <w:rsid w:val="13097A83"/>
    <w:rsid w:val="13260B9A"/>
    <w:rsid w:val="13360EFE"/>
    <w:rsid w:val="1345982A"/>
    <w:rsid w:val="1349E370"/>
    <w:rsid w:val="13650467"/>
    <w:rsid w:val="136F9BA3"/>
    <w:rsid w:val="138B0C65"/>
    <w:rsid w:val="139DE666"/>
    <w:rsid w:val="13A89F5C"/>
    <w:rsid w:val="13ACBF16"/>
    <w:rsid w:val="13B120BB"/>
    <w:rsid w:val="13B29F96"/>
    <w:rsid w:val="13CD4D48"/>
    <w:rsid w:val="13D8357E"/>
    <w:rsid w:val="13DA3B5A"/>
    <w:rsid w:val="13E1B32B"/>
    <w:rsid w:val="13E32D4D"/>
    <w:rsid w:val="13EAEA60"/>
    <w:rsid w:val="140508FB"/>
    <w:rsid w:val="14083217"/>
    <w:rsid w:val="140EB8F6"/>
    <w:rsid w:val="142119CB"/>
    <w:rsid w:val="142403E2"/>
    <w:rsid w:val="14435E29"/>
    <w:rsid w:val="14464332"/>
    <w:rsid w:val="14484F13"/>
    <w:rsid w:val="145F80D8"/>
    <w:rsid w:val="14667E53"/>
    <w:rsid w:val="14776DFB"/>
    <w:rsid w:val="147847B0"/>
    <w:rsid w:val="147AA6C9"/>
    <w:rsid w:val="147E936B"/>
    <w:rsid w:val="1486C1C2"/>
    <w:rsid w:val="148DD61D"/>
    <w:rsid w:val="1495BF7A"/>
    <w:rsid w:val="149DBD4E"/>
    <w:rsid w:val="14A54AE4"/>
    <w:rsid w:val="14B90AF2"/>
    <w:rsid w:val="14D1DF5F"/>
    <w:rsid w:val="14D56515"/>
    <w:rsid w:val="14DDE1FF"/>
    <w:rsid w:val="14DEB701"/>
    <w:rsid w:val="14DFD11A"/>
    <w:rsid w:val="14E862B1"/>
    <w:rsid w:val="1505ADC5"/>
    <w:rsid w:val="150898B2"/>
    <w:rsid w:val="15094CF5"/>
    <w:rsid w:val="150A2AC7"/>
    <w:rsid w:val="150B6C04"/>
    <w:rsid w:val="15104D11"/>
    <w:rsid w:val="1519642C"/>
    <w:rsid w:val="151F4AD0"/>
    <w:rsid w:val="15410BDA"/>
    <w:rsid w:val="154F8016"/>
    <w:rsid w:val="156DF234"/>
    <w:rsid w:val="15785E10"/>
    <w:rsid w:val="158182A2"/>
    <w:rsid w:val="1596FC87"/>
    <w:rsid w:val="15984F21"/>
    <w:rsid w:val="15BF3036"/>
    <w:rsid w:val="15D7DA2A"/>
    <w:rsid w:val="15DC77E6"/>
    <w:rsid w:val="15FB5139"/>
    <w:rsid w:val="15FB8C01"/>
    <w:rsid w:val="160BADF1"/>
    <w:rsid w:val="161AB03A"/>
    <w:rsid w:val="161ACD08"/>
    <w:rsid w:val="1620BFCC"/>
    <w:rsid w:val="1621A356"/>
    <w:rsid w:val="1621D19F"/>
    <w:rsid w:val="163008A7"/>
    <w:rsid w:val="163F71D6"/>
    <w:rsid w:val="165B2878"/>
    <w:rsid w:val="166C244E"/>
    <w:rsid w:val="166F8C99"/>
    <w:rsid w:val="167220EF"/>
    <w:rsid w:val="16A0103B"/>
    <w:rsid w:val="16AC1D72"/>
    <w:rsid w:val="16AE66BC"/>
    <w:rsid w:val="16C0FC85"/>
    <w:rsid w:val="16CE2140"/>
    <w:rsid w:val="16D976F4"/>
    <w:rsid w:val="16F2ED71"/>
    <w:rsid w:val="16FE14BD"/>
    <w:rsid w:val="1702B5B7"/>
    <w:rsid w:val="1707C379"/>
    <w:rsid w:val="17307C46"/>
    <w:rsid w:val="1737BF4A"/>
    <w:rsid w:val="1743E190"/>
    <w:rsid w:val="174F2E95"/>
    <w:rsid w:val="17614F65"/>
    <w:rsid w:val="1762FAEE"/>
    <w:rsid w:val="1776B41B"/>
    <w:rsid w:val="17878071"/>
    <w:rsid w:val="1793E6FE"/>
    <w:rsid w:val="179E1F15"/>
    <w:rsid w:val="17C3464C"/>
    <w:rsid w:val="17D4DC95"/>
    <w:rsid w:val="17F354BC"/>
    <w:rsid w:val="17FCC368"/>
    <w:rsid w:val="180A513D"/>
    <w:rsid w:val="180E9102"/>
    <w:rsid w:val="18322AC5"/>
    <w:rsid w:val="183E980D"/>
    <w:rsid w:val="18430CC6"/>
    <w:rsid w:val="184C4091"/>
    <w:rsid w:val="1854F02D"/>
    <w:rsid w:val="1855730F"/>
    <w:rsid w:val="185A9EC1"/>
    <w:rsid w:val="185D6677"/>
    <w:rsid w:val="18601A11"/>
    <w:rsid w:val="186F65AD"/>
    <w:rsid w:val="1872BC77"/>
    <w:rsid w:val="1876B2B3"/>
    <w:rsid w:val="18A5E9FE"/>
    <w:rsid w:val="18AFB997"/>
    <w:rsid w:val="18B84415"/>
    <w:rsid w:val="18BA1E29"/>
    <w:rsid w:val="18C0FE36"/>
    <w:rsid w:val="18D41F06"/>
    <w:rsid w:val="18DFB1F1"/>
    <w:rsid w:val="18F47675"/>
    <w:rsid w:val="18FDA6EF"/>
    <w:rsid w:val="19104906"/>
    <w:rsid w:val="19124FF4"/>
    <w:rsid w:val="19180987"/>
    <w:rsid w:val="192730CC"/>
    <w:rsid w:val="1939EF76"/>
    <w:rsid w:val="193E2E39"/>
    <w:rsid w:val="19445A27"/>
    <w:rsid w:val="19455C5A"/>
    <w:rsid w:val="194BB8D3"/>
    <w:rsid w:val="196378B1"/>
    <w:rsid w:val="1967A969"/>
    <w:rsid w:val="19910871"/>
    <w:rsid w:val="199415AB"/>
    <w:rsid w:val="19999242"/>
    <w:rsid w:val="199A8893"/>
    <w:rsid w:val="199D8D7A"/>
    <w:rsid w:val="19AE12FB"/>
    <w:rsid w:val="19B06996"/>
    <w:rsid w:val="19B44A5A"/>
    <w:rsid w:val="19BED68F"/>
    <w:rsid w:val="19E9FDDB"/>
    <w:rsid w:val="19F12517"/>
    <w:rsid w:val="19F33576"/>
    <w:rsid w:val="19FCBCB2"/>
    <w:rsid w:val="19FF768B"/>
    <w:rsid w:val="1A1117B6"/>
    <w:rsid w:val="1A128314"/>
    <w:rsid w:val="1A137370"/>
    <w:rsid w:val="1A17B71F"/>
    <w:rsid w:val="1A18D830"/>
    <w:rsid w:val="1A1FCF8E"/>
    <w:rsid w:val="1A454DA5"/>
    <w:rsid w:val="1A481DEB"/>
    <w:rsid w:val="1A4ADD98"/>
    <w:rsid w:val="1A541476"/>
    <w:rsid w:val="1A5CAAEB"/>
    <w:rsid w:val="1A641EB5"/>
    <w:rsid w:val="1A646C8C"/>
    <w:rsid w:val="1A6D833F"/>
    <w:rsid w:val="1A6E34C5"/>
    <w:rsid w:val="1A997750"/>
    <w:rsid w:val="1AB79097"/>
    <w:rsid w:val="1ADCBA30"/>
    <w:rsid w:val="1AFDC70D"/>
    <w:rsid w:val="1B0E642A"/>
    <w:rsid w:val="1B37BB76"/>
    <w:rsid w:val="1B4A1FC7"/>
    <w:rsid w:val="1B4FE891"/>
    <w:rsid w:val="1B6495EE"/>
    <w:rsid w:val="1B6D0FAF"/>
    <w:rsid w:val="1B73815E"/>
    <w:rsid w:val="1B7EF31E"/>
    <w:rsid w:val="1B8F05D7"/>
    <w:rsid w:val="1B90AA29"/>
    <w:rsid w:val="1B970310"/>
    <w:rsid w:val="1B9EA89E"/>
    <w:rsid w:val="1BA584FD"/>
    <w:rsid w:val="1BAD660F"/>
    <w:rsid w:val="1BAE5375"/>
    <w:rsid w:val="1BB4081D"/>
    <w:rsid w:val="1BB4F97C"/>
    <w:rsid w:val="1BB7D0FB"/>
    <w:rsid w:val="1BB7FEBB"/>
    <w:rsid w:val="1BD2CDD6"/>
    <w:rsid w:val="1BD626DA"/>
    <w:rsid w:val="1BD6D2A5"/>
    <w:rsid w:val="1BE8773B"/>
    <w:rsid w:val="1BF9CB78"/>
    <w:rsid w:val="1C226B84"/>
    <w:rsid w:val="1C23DBA1"/>
    <w:rsid w:val="1C430E4A"/>
    <w:rsid w:val="1C439DC3"/>
    <w:rsid w:val="1C4B0B93"/>
    <w:rsid w:val="1C5F2838"/>
    <w:rsid w:val="1C66E209"/>
    <w:rsid w:val="1C6FAA2A"/>
    <w:rsid w:val="1C7CD181"/>
    <w:rsid w:val="1C89E13D"/>
    <w:rsid w:val="1C89E2F4"/>
    <w:rsid w:val="1C8A7E0B"/>
    <w:rsid w:val="1C8EBC0C"/>
    <w:rsid w:val="1C9185DA"/>
    <w:rsid w:val="1CA4C456"/>
    <w:rsid w:val="1CBEC623"/>
    <w:rsid w:val="1CCB6A25"/>
    <w:rsid w:val="1CD29AAC"/>
    <w:rsid w:val="1CD7F916"/>
    <w:rsid w:val="1CE0D0E4"/>
    <w:rsid w:val="1CE65A8A"/>
    <w:rsid w:val="1CEF3152"/>
    <w:rsid w:val="1D04B6CC"/>
    <w:rsid w:val="1D1007DA"/>
    <w:rsid w:val="1D19EE65"/>
    <w:rsid w:val="1D1B5EF6"/>
    <w:rsid w:val="1D1D8200"/>
    <w:rsid w:val="1D214F69"/>
    <w:rsid w:val="1D275982"/>
    <w:rsid w:val="1D31EEAB"/>
    <w:rsid w:val="1D4A23D6"/>
    <w:rsid w:val="1D4B951D"/>
    <w:rsid w:val="1D7F41AF"/>
    <w:rsid w:val="1D85CE24"/>
    <w:rsid w:val="1D958DE9"/>
    <w:rsid w:val="1D959BD9"/>
    <w:rsid w:val="1D9EE3F7"/>
    <w:rsid w:val="1DAB593B"/>
    <w:rsid w:val="1DAC96E4"/>
    <w:rsid w:val="1DB78C16"/>
    <w:rsid w:val="1DBA3BB9"/>
    <w:rsid w:val="1DBDCA95"/>
    <w:rsid w:val="1DD11812"/>
    <w:rsid w:val="1E00CA72"/>
    <w:rsid w:val="1E05FD7B"/>
    <w:rsid w:val="1E098B9E"/>
    <w:rsid w:val="1E0C8941"/>
    <w:rsid w:val="1E14B66E"/>
    <w:rsid w:val="1E1F9F00"/>
    <w:rsid w:val="1E25B19E"/>
    <w:rsid w:val="1E30511E"/>
    <w:rsid w:val="1E3A79FF"/>
    <w:rsid w:val="1E450295"/>
    <w:rsid w:val="1E51EEBF"/>
    <w:rsid w:val="1E57BAE4"/>
    <w:rsid w:val="1E6C0835"/>
    <w:rsid w:val="1E6C4C17"/>
    <w:rsid w:val="1E8D48E6"/>
    <w:rsid w:val="1EA5E35B"/>
    <w:rsid w:val="1EC079CE"/>
    <w:rsid w:val="1EDACAEE"/>
    <w:rsid w:val="1EE488D9"/>
    <w:rsid w:val="1EFB115B"/>
    <w:rsid w:val="1F097342"/>
    <w:rsid w:val="1F098FCD"/>
    <w:rsid w:val="1F11BE7F"/>
    <w:rsid w:val="1F1B1210"/>
    <w:rsid w:val="1F21D6C5"/>
    <w:rsid w:val="1F430E0B"/>
    <w:rsid w:val="1F530E7C"/>
    <w:rsid w:val="1F69BB5F"/>
    <w:rsid w:val="1F795666"/>
    <w:rsid w:val="1F819FC2"/>
    <w:rsid w:val="1F8E5B57"/>
    <w:rsid w:val="1F980CEB"/>
    <w:rsid w:val="1F9D72C5"/>
    <w:rsid w:val="1FA4F22C"/>
    <w:rsid w:val="1FC181FF"/>
    <w:rsid w:val="1FC213FC"/>
    <w:rsid w:val="1FD950B9"/>
    <w:rsid w:val="200D6A19"/>
    <w:rsid w:val="20220197"/>
    <w:rsid w:val="2038ADAF"/>
    <w:rsid w:val="20393B43"/>
    <w:rsid w:val="20520399"/>
    <w:rsid w:val="2059D56F"/>
    <w:rsid w:val="205F8899"/>
    <w:rsid w:val="20600212"/>
    <w:rsid w:val="207F7A58"/>
    <w:rsid w:val="2083DC09"/>
    <w:rsid w:val="2096E1BC"/>
    <w:rsid w:val="209BAC8D"/>
    <w:rsid w:val="20AD8EE0"/>
    <w:rsid w:val="20B18583"/>
    <w:rsid w:val="20B6E271"/>
    <w:rsid w:val="20BADF03"/>
    <w:rsid w:val="20D11540"/>
    <w:rsid w:val="20DDB45C"/>
    <w:rsid w:val="20E91538"/>
    <w:rsid w:val="20F08182"/>
    <w:rsid w:val="20F0C346"/>
    <w:rsid w:val="20F2B252"/>
    <w:rsid w:val="210A461D"/>
    <w:rsid w:val="211D65A9"/>
    <w:rsid w:val="211F7B03"/>
    <w:rsid w:val="21330064"/>
    <w:rsid w:val="214FFF50"/>
    <w:rsid w:val="2188BDC7"/>
    <w:rsid w:val="2188D77B"/>
    <w:rsid w:val="218C0C91"/>
    <w:rsid w:val="219ABFC0"/>
    <w:rsid w:val="21AFCBC6"/>
    <w:rsid w:val="21C4E9A8"/>
    <w:rsid w:val="21E22EAD"/>
    <w:rsid w:val="21ED74A3"/>
    <w:rsid w:val="21EF6257"/>
    <w:rsid w:val="21F1DC92"/>
    <w:rsid w:val="21F5A5D0"/>
    <w:rsid w:val="21F7408D"/>
    <w:rsid w:val="21F763CC"/>
    <w:rsid w:val="21FB68B4"/>
    <w:rsid w:val="220DDEEA"/>
    <w:rsid w:val="2225C420"/>
    <w:rsid w:val="2236CC9C"/>
    <w:rsid w:val="2237D55F"/>
    <w:rsid w:val="223A57F6"/>
    <w:rsid w:val="2245118F"/>
    <w:rsid w:val="224FE357"/>
    <w:rsid w:val="2257B8BF"/>
    <w:rsid w:val="2268810A"/>
    <w:rsid w:val="228154B4"/>
    <w:rsid w:val="22833EDD"/>
    <w:rsid w:val="2286C9C8"/>
    <w:rsid w:val="228CB687"/>
    <w:rsid w:val="2291AD08"/>
    <w:rsid w:val="22B9DFD2"/>
    <w:rsid w:val="22EB8ADE"/>
    <w:rsid w:val="22F20787"/>
    <w:rsid w:val="22F86DF3"/>
    <w:rsid w:val="22F922C1"/>
    <w:rsid w:val="2307B2B8"/>
    <w:rsid w:val="2315F867"/>
    <w:rsid w:val="231C202B"/>
    <w:rsid w:val="23313914"/>
    <w:rsid w:val="23369021"/>
    <w:rsid w:val="2367DD2F"/>
    <w:rsid w:val="2377B7C4"/>
    <w:rsid w:val="23836F37"/>
    <w:rsid w:val="2388A7CA"/>
    <w:rsid w:val="238DACF3"/>
    <w:rsid w:val="23AA7C28"/>
    <w:rsid w:val="23B4768B"/>
    <w:rsid w:val="23BD1D62"/>
    <w:rsid w:val="23D8736F"/>
    <w:rsid w:val="23E0E1F0"/>
    <w:rsid w:val="23E52FA2"/>
    <w:rsid w:val="23EBD627"/>
    <w:rsid w:val="23F24D21"/>
    <w:rsid w:val="23F36302"/>
    <w:rsid w:val="23F508A7"/>
    <w:rsid w:val="240BE0D8"/>
    <w:rsid w:val="2425EB33"/>
    <w:rsid w:val="2436974F"/>
    <w:rsid w:val="243B5D7D"/>
    <w:rsid w:val="24454A80"/>
    <w:rsid w:val="244824D8"/>
    <w:rsid w:val="245701A7"/>
    <w:rsid w:val="247D1F56"/>
    <w:rsid w:val="2482DB44"/>
    <w:rsid w:val="24A6E947"/>
    <w:rsid w:val="24B4E383"/>
    <w:rsid w:val="24DA2FAC"/>
    <w:rsid w:val="24DE47E3"/>
    <w:rsid w:val="24E6F2FC"/>
    <w:rsid w:val="24ED32A5"/>
    <w:rsid w:val="24F1E1D3"/>
    <w:rsid w:val="24F8F077"/>
    <w:rsid w:val="2507E022"/>
    <w:rsid w:val="250930C4"/>
    <w:rsid w:val="25252640"/>
    <w:rsid w:val="252670DB"/>
    <w:rsid w:val="25275E45"/>
    <w:rsid w:val="252F7C84"/>
    <w:rsid w:val="255EB434"/>
    <w:rsid w:val="257CB251"/>
    <w:rsid w:val="25991115"/>
    <w:rsid w:val="25A82F61"/>
    <w:rsid w:val="25D0BB9A"/>
    <w:rsid w:val="25F18094"/>
    <w:rsid w:val="25F3C753"/>
    <w:rsid w:val="260354BB"/>
    <w:rsid w:val="2630C383"/>
    <w:rsid w:val="26337630"/>
    <w:rsid w:val="2641CAC0"/>
    <w:rsid w:val="26421FAD"/>
    <w:rsid w:val="26491D39"/>
    <w:rsid w:val="26566474"/>
    <w:rsid w:val="2660D967"/>
    <w:rsid w:val="26698F70"/>
    <w:rsid w:val="266FF3B4"/>
    <w:rsid w:val="2673D6B4"/>
    <w:rsid w:val="267FEB98"/>
    <w:rsid w:val="26985ACB"/>
    <w:rsid w:val="269EBAA8"/>
    <w:rsid w:val="26B40938"/>
    <w:rsid w:val="26B63748"/>
    <w:rsid w:val="26BC2B95"/>
    <w:rsid w:val="26C21675"/>
    <w:rsid w:val="26C85AA3"/>
    <w:rsid w:val="26CB6288"/>
    <w:rsid w:val="26D047AC"/>
    <w:rsid w:val="26F44F08"/>
    <w:rsid w:val="2719A60F"/>
    <w:rsid w:val="272887DB"/>
    <w:rsid w:val="272CB06A"/>
    <w:rsid w:val="2735F7B5"/>
    <w:rsid w:val="273D8945"/>
    <w:rsid w:val="273DE366"/>
    <w:rsid w:val="274C4545"/>
    <w:rsid w:val="276D4B24"/>
    <w:rsid w:val="2770ACEE"/>
    <w:rsid w:val="2771BDB9"/>
    <w:rsid w:val="27749DDC"/>
    <w:rsid w:val="2775F00C"/>
    <w:rsid w:val="2779C5EC"/>
    <w:rsid w:val="278A5243"/>
    <w:rsid w:val="279EA9C7"/>
    <w:rsid w:val="27B695B4"/>
    <w:rsid w:val="27BA7FAF"/>
    <w:rsid w:val="27C08A47"/>
    <w:rsid w:val="27C4CEC4"/>
    <w:rsid w:val="27E617CC"/>
    <w:rsid w:val="27EF1695"/>
    <w:rsid w:val="2804AA37"/>
    <w:rsid w:val="28055FD1"/>
    <w:rsid w:val="280ACB46"/>
    <w:rsid w:val="280D321D"/>
    <w:rsid w:val="280E8312"/>
    <w:rsid w:val="2815FA18"/>
    <w:rsid w:val="28356B3A"/>
    <w:rsid w:val="283ECDEB"/>
    <w:rsid w:val="2840D186"/>
    <w:rsid w:val="285AA748"/>
    <w:rsid w:val="28671D46"/>
    <w:rsid w:val="286AAA38"/>
    <w:rsid w:val="2879938E"/>
    <w:rsid w:val="2895B259"/>
    <w:rsid w:val="2896E6A6"/>
    <w:rsid w:val="28B128BE"/>
    <w:rsid w:val="28B45313"/>
    <w:rsid w:val="28BC9768"/>
    <w:rsid w:val="28BF474A"/>
    <w:rsid w:val="28C0B262"/>
    <w:rsid w:val="28C4583C"/>
    <w:rsid w:val="28CC4F6A"/>
    <w:rsid w:val="28E815A6"/>
    <w:rsid w:val="28F85CA9"/>
    <w:rsid w:val="28FDC437"/>
    <w:rsid w:val="28FEAFB0"/>
    <w:rsid w:val="290948DA"/>
    <w:rsid w:val="290F98B0"/>
    <w:rsid w:val="2920F27A"/>
    <w:rsid w:val="2923809D"/>
    <w:rsid w:val="2927E905"/>
    <w:rsid w:val="293940B8"/>
    <w:rsid w:val="29686445"/>
    <w:rsid w:val="2983668F"/>
    <w:rsid w:val="298A4DA7"/>
    <w:rsid w:val="29A10247"/>
    <w:rsid w:val="29A51A26"/>
    <w:rsid w:val="29A7C8B7"/>
    <w:rsid w:val="29AAE80B"/>
    <w:rsid w:val="29AFC743"/>
    <w:rsid w:val="29B3CEF5"/>
    <w:rsid w:val="29CDA890"/>
    <w:rsid w:val="29D36E5F"/>
    <w:rsid w:val="29DB8922"/>
    <w:rsid w:val="29E78FA3"/>
    <w:rsid w:val="29F81483"/>
    <w:rsid w:val="29FA743C"/>
    <w:rsid w:val="2A01A6F2"/>
    <w:rsid w:val="2A076221"/>
    <w:rsid w:val="2A079EEA"/>
    <w:rsid w:val="2A2F416D"/>
    <w:rsid w:val="2A398C04"/>
    <w:rsid w:val="2A3DE5C0"/>
    <w:rsid w:val="2A452814"/>
    <w:rsid w:val="2A45929A"/>
    <w:rsid w:val="2A4A83DB"/>
    <w:rsid w:val="2A502374"/>
    <w:rsid w:val="2A56E502"/>
    <w:rsid w:val="2A5867C9"/>
    <w:rsid w:val="2A5C82C3"/>
    <w:rsid w:val="2A8CF6A7"/>
    <w:rsid w:val="2A9CB80E"/>
    <w:rsid w:val="2AA1F3E1"/>
    <w:rsid w:val="2AB762D0"/>
    <w:rsid w:val="2AB9B395"/>
    <w:rsid w:val="2AC9448E"/>
    <w:rsid w:val="2B059A84"/>
    <w:rsid w:val="2B10DCE5"/>
    <w:rsid w:val="2B35EF93"/>
    <w:rsid w:val="2B39F768"/>
    <w:rsid w:val="2B47E19C"/>
    <w:rsid w:val="2B590224"/>
    <w:rsid w:val="2B633760"/>
    <w:rsid w:val="2B72DF09"/>
    <w:rsid w:val="2B775983"/>
    <w:rsid w:val="2B96449D"/>
    <w:rsid w:val="2B969FC9"/>
    <w:rsid w:val="2B9C8816"/>
    <w:rsid w:val="2BA657AB"/>
    <w:rsid w:val="2BC67E37"/>
    <w:rsid w:val="2BC919E8"/>
    <w:rsid w:val="2BCC64C5"/>
    <w:rsid w:val="2BCDA33B"/>
    <w:rsid w:val="2BD125A9"/>
    <w:rsid w:val="2BE31A4B"/>
    <w:rsid w:val="2BE5DFBB"/>
    <w:rsid w:val="2BEBF3D5"/>
    <w:rsid w:val="2BED0AF8"/>
    <w:rsid w:val="2BF85582"/>
    <w:rsid w:val="2C0180E4"/>
    <w:rsid w:val="2C09A1AF"/>
    <w:rsid w:val="2C2E610D"/>
    <w:rsid w:val="2C307EBA"/>
    <w:rsid w:val="2C365072"/>
    <w:rsid w:val="2C369D63"/>
    <w:rsid w:val="2C52BE55"/>
    <w:rsid w:val="2C654461"/>
    <w:rsid w:val="2C656311"/>
    <w:rsid w:val="2C657896"/>
    <w:rsid w:val="2C72963F"/>
    <w:rsid w:val="2C78BD9E"/>
    <w:rsid w:val="2C9879F3"/>
    <w:rsid w:val="2C9DD9CD"/>
    <w:rsid w:val="2CA16AE5"/>
    <w:rsid w:val="2CB988EF"/>
    <w:rsid w:val="2CC4C592"/>
    <w:rsid w:val="2CE55FED"/>
    <w:rsid w:val="2CF03AA5"/>
    <w:rsid w:val="2D3318FE"/>
    <w:rsid w:val="2D3E1B5B"/>
    <w:rsid w:val="2D45434E"/>
    <w:rsid w:val="2D581681"/>
    <w:rsid w:val="2D637FCE"/>
    <w:rsid w:val="2D6A57C9"/>
    <w:rsid w:val="2D87C436"/>
    <w:rsid w:val="2D8924FC"/>
    <w:rsid w:val="2D8FE878"/>
    <w:rsid w:val="2D97D698"/>
    <w:rsid w:val="2DC7A272"/>
    <w:rsid w:val="2DE877A3"/>
    <w:rsid w:val="2DE8981A"/>
    <w:rsid w:val="2DF70009"/>
    <w:rsid w:val="2DF8BA50"/>
    <w:rsid w:val="2DFE8E19"/>
    <w:rsid w:val="2E0C1496"/>
    <w:rsid w:val="2E11D535"/>
    <w:rsid w:val="2E555950"/>
    <w:rsid w:val="2E7161AA"/>
    <w:rsid w:val="2E7505FC"/>
    <w:rsid w:val="2E7E592E"/>
    <w:rsid w:val="2E9BE3D6"/>
    <w:rsid w:val="2E9FD2BD"/>
    <w:rsid w:val="2EA0E7DD"/>
    <w:rsid w:val="2EA59AA3"/>
    <w:rsid w:val="2EC751AA"/>
    <w:rsid w:val="2EE61BEC"/>
    <w:rsid w:val="2EEEB5BB"/>
    <w:rsid w:val="2EF1B7CC"/>
    <w:rsid w:val="2EF3E6E2"/>
    <w:rsid w:val="2EFE1EF9"/>
    <w:rsid w:val="2F08C66B"/>
    <w:rsid w:val="2F24F55D"/>
    <w:rsid w:val="2F2FF3E6"/>
    <w:rsid w:val="2F385D4F"/>
    <w:rsid w:val="2F4D704E"/>
    <w:rsid w:val="2F5121CA"/>
    <w:rsid w:val="2F7635DA"/>
    <w:rsid w:val="2F7FD59F"/>
    <w:rsid w:val="2F82539E"/>
    <w:rsid w:val="2F8423CC"/>
    <w:rsid w:val="2FACBEA7"/>
    <w:rsid w:val="2FC57687"/>
    <w:rsid w:val="2FCD60BE"/>
    <w:rsid w:val="2FD4EC15"/>
    <w:rsid w:val="2FEEA49F"/>
    <w:rsid w:val="2FF09FA9"/>
    <w:rsid w:val="2FF366FB"/>
    <w:rsid w:val="300BD070"/>
    <w:rsid w:val="3012A749"/>
    <w:rsid w:val="30291E65"/>
    <w:rsid w:val="3037B437"/>
    <w:rsid w:val="3040AC4E"/>
    <w:rsid w:val="305C9B67"/>
    <w:rsid w:val="3062FC11"/>
    <w:rsid w:val="3069844F"/>
    <w:rsid w:val="306D0CE9"/>
    <w:rsid w:val="307DFA1A"/>
    <w:rsid w:val="308208F1"/>
    <w:rsid w:val="3090DFB5"/>
    <w:rsid w:val="309AFA15"/>
    <w:rsid w:val="30ACA845"/>
    <w:rsid w:val="30B130D2"/>
    <w:rsid w:val="30C3B6D3"/>
    <w:rsid w:val="30D2A079"/>
    <w:rsid w:val="30D51B8D"/>
    <w:rsid w:val="30D61DC0"/>
    <w:rsid w:val="30DBAF6B"/>
    <w:rsid w:val="31017C84"/>
    <w:rsid w:val="3106E712"/>
    <w:rsid w:val="3109C195"/>
    <w:rsid w:val="31248B94"/>
    <w:rsid w:val="312D353E"/>
    <w:rsid w:val="3132C619"/>
    <w:rsid w:val="31380756"/>
    <w:rsid w:val="313F7565"/>
    <w:rsid w:val="314600D2"/>
    <w:rsid w:val="31488F08"/>
    <w:rsid w:val="3173D1B5"/>
    <w:rsid w:val="31777349"/>
    <w:rsid w:val="31781321"/>
    <w:rsid w:val="318A8E17"/>
    <w:rsid w:val="319FF726"/>
    <w:rsid w:val="31A21E3E"/>
    <w:rsid w:val="31B3A938"/>
    <w:rsid w:val="31B5B968"/>
    <w:rsid w:val="31C3F608"/>
    <w:rsid w:val="31C4D201"/>
    <w:rsid w:val="31E69B07"/>
    <w:rsid w:val="31EA93A3"/>
    <w:rsid w:val="31F835AD"/>
    <w:rsid w:val="322A3226"/>
    <w:rsid w:val="32348483"/>
    <w:rsid w:val="32355E21"/>
    <w:rsid w:val="32630F42"/>
    <w:rsid w:val="3268F3D9"/>
    <w:rsid w:val="326A26BC"/>
    <w:rsid w:val="328ADDE8"/>
    <w:rsid w:val="328B21B2"/>
    <w:rsid w:val="329D6144"/>
    <w:rsid w:val="32A0DB0B"/>
    <w:rsid w:val="32A11216"/>
    <w:rsid w:val="32ADA9B5"/>
    <w:rsid w:val="32B0245B"/>
    <w:rsid w:val="32DE925A"/>
    <w:rsid w:val="330FBA5C"/>
    <w:rsid w:val="3310AC69"/>
    <w:rsid w:val="3313090B"/>
    <w:rsid w:val="3317D0DF"/>
    <w:rsid w:val="331B544F"/>
    <w:rsid w:val="331CD60D"/>
    <w:rsid w:val="331FCD15"/>
    <w:rsid w:val="332449D7"/>
    <w:rsid w:val="332A48D5"/>
    <w:rsid w:val="33429F78"/>
    <w:rsid w:val="3349A735"/>
    <w:rsid w:val="3354A171"/>
    <w:rsid w:val="3356A81E"/>
    <w:rsid w:val="3364C829"/>
    <w:rsid w:val="336D015F"/>
    <w:rsid w:val="336F54F9"/>
    <w:rsid w:val="3387FBDB"/>
    <w:rsid w:val="338D814D"/>
    <w:rsid w:val="33940144"/>
    <w:rsid w:val="33A426D9"/>
    <w:rsid w:val="33BE8F34"/>
    <w:rsid w:val="33C34125"/>
    <w:rsid w:val="33CB873D"/>
    <w:rsid w:val="33DAC131"/>
    <w:rsid w:val="33F0DA9C"/>
    <w:rsid w:val="33F0F1A0"/>
    <w:rsid w:val="33F12E59"/>
    <w:rsid w:val="33FB445E"/>
    <w:rsid w:val="33FF4A0F"/>
    <w:rsid w:val="34036509"/>
    <w:rsid w:val="340B0E70"/>
    <w:rsid w:val="34170B84"/>
    <w:rsid w:val="3426AB15"/>
    <w:rsid w:val="342808A8"/>
    <w:rsid w:val="3433666E"/>
    <w:rsid w:val="343535DA"/>
    <w:rsid w:val="3438635F"/>
    <w:rsid w:val="34416257"/>
    <w:rsid w:val="3448FC68"/>
    <w:rsid w:val="345EAE22"/>
    <w:rsid w:val="345FF82F"/>
    <w:rsid w:val="3471FCDA"/>
    <w:rsid w:val="34733903"/>
    <w:rsid w:val="34793017"/>
    <w:rsid w:val="34C40BAF"/>
    <w:rsid w:val="34E4D9C8"/>
    <w:rsid w:val="34E7F5E2"/>
    <w:rsid w:val="35021718"/>
    <w:rsid w:val="35046F2F"/>
    <w:rsid w:val="350DDF98"/>
    <w:rsid w:val="351701C7"/>
    <w:rsid w:val="35241403"/>
    <w:rsid w:val="3527A26B"/>
    <w:rsid w:val="352B6530"/>
    <w:rsid w:val="354ED6EB"/>
    <w:rsid w:val="3553657A"/>
    <w:rsid w:val="35543820"/>
    <w:rsid w:val="3557B718"/>
    <w:rsid w:val="3558D94C"/>
    <w:rsid w:val="355AA1D3"/>
    <w:rsid w:val="3564B4B8"/>
    <w:rsid w:val="357E5169"/>
    <w:rsid w:val="358D9457"/>
    <w:rsid w:val="359B1A70"/>
    <w:rsid w:val="35A4A992"/>
    <w:rsid w:val="35A68243"/>
    <w:rsid w:val="35A81CA3"/>
    <w:rsid w:val="35C5DFFE"/>
    <w:rsid w:val="35D27D6A"/>
    <w:rsid w:val="35F1005F"/>
    <w:rsid w:val="3600EAB5"/>
    <w:rsid w:val="360ADDCA"/>
    <w:rsid w:val="360B2204"/>
    <w:rsid w:val="3616331C"/>
    <w:rsid w:val="361F7815"/>
    <w:rsid w:val="3633A450"/>
    <w:rsid w:val="3642954C"/>
    <w:rsid w:val="36461582"/>
    <w:rsid w:val="3646E4AC"/>
    <w:rsid w:val="36472133"/>
    <w:rsid w:val="364AB6B3"/>
    <w:rsid w:val="36504AC9"/>
    <w:rsid w:val="3653FA79"/>
    <w:rsid w:val="36585865"/>
    <w:rsid w:val="3672DDFF"/>
    <w:rsid w:val="3679A674"/>
    <w:rsid w:val="36920296"/>
    <w:rsid w:val="36B1E9A7"/>
    <w:rsid w:val="36C1C8A8"/>
    <w:rsid w:val="36D1D941"/>
    <w:rsid w:val="36D5B30F"/>
    <w:rsid w:val="36D9B893"/>
    <w:rsid w:val="36E01B5B"/>
    <w:rsid w:val="36F38779"/>
    <w:rsid w:val="36F3BFB6"/>
    <w:rsid w:val="37011006"/>
    <w:rsid w:val="3709A7BE"/>
    <w:rsid w:val="3721DD6E"/>
    <w:rsid w:val="3731104C"/>
    <w:rsid w:val="373CB424"/>
    <w:rsid w:val="374CAFCC"/>
    <w:rsid w:val="37570E80"/>
    <w:rsid w:val="37626A50"/>
    <w:rsid w:val="3765BB76"/>
    <w:rsid w:val="376E5FAE"/>
    <w:rsid w:val="378B21F8"/>
    <w:rsid w:val="3792954D"/>
    <w:rsid w:val="379E2B7F"/>
    <w:rsid w:val="37A016E6"/>
    <w:rsid w:val="37B4A46E"/>
    <w:rsid w:val="37C4DAF6"/>
    <w:rsid w:val="37C76C4B"/>
    <w:rsid w:val="37C7FC6E"/>
    <w:rsid w:val="37E67A2E"/>
    <w:rsid w:val="37FD3214"/>
    <w:rsid w:val="37FDB9F8"/>
    <w:rsid w:val="37FE8319"/>
    <w:rsid w:val="37FEC6F3"/>
    <w:rsid w:val="3808D612"/>
    <w:rsid w:val="380BC616"/>
    <w:rsid w:val="380F0EE9"/>
    <w:rsid w:val="382B3B76"/>
    <w:rsid w:val="3842A0B4"/>
    <w:rsid w:val="384DE37D"/>
    <w:rsid w:val="384EA289"/>
    <w:rsid w:val="385324E2"/>
    <w:rsid w:val="389E2796"/>
    <w:rsid w:val="38A05576"/>
    <w:rsid w:val="38A26ABE"/>
    <w:rsid w:val="38B8361C"/>
    <w:rsid w:val="38BF2441"/>
    <w:rsid w:val="38CFA7E7"/>
    <w:rsid w:val="38D937E6"/>
    <w:rsid w:val="38E18B76"/>
    <w:rsid w:val="38F26F31"/>
    <w:rsid w:val="38F7A2AE"/>
    <w:rsid w:val="38FF4DD5"/>
    <w:rsid w:val="391FB3F0"/>
    <w:rsid w:val="3924E98C"/>
    <w:rsid w:val="39262F57"/>
    <w:rsid w:val="393BE747"/>
    <w:rsid w:val="395EEF87"/>
    <w:rsid w:val="397DBBDD"/>
    <w:rsid w:val="39814F83"/>
    <w:rsid w:val="398C64DC"/>
    <w:rsid w:val="399F729C"/>
    <w:rsid w:val="39A113E8"/>
    <w:rsid w:val="39A12424"/>
    <w:rsid w:val="39B93F2B"/>
    <w:rsid w:val="39BF1397"/>
    <w:rsid w:val="39C8446E"/>
    <w:rsid w:val="39EA8E2C"/>
    <w:rsid w:val="39EBB9E0"/>
    <w:rsid w:val="39F1ACEC"/>
    <w:rsid w:val="39F1E78E"/>
    <w:rsid w:val="39F67649"/>
    <w:rsid w:val="3A2F32EE"/>
    <w:rsid w:val="3A3F5451"/>
    <w:rsid w:val="3A412237"/>
    <w:rsid w:val="3A7C77AC"/>
    <w:rsid w:val="3A82A9D3"/>
    <w:rsid w:val="3A8613D6"/>
    <w:rsid w:val="3AA4F276"/>
    <w:rsid w:val="3AA8BAEA"/>
    <w:rsid w:val="3AB0A3DB"/>
    <w:rsid w:val="3AB7CE23"/>
    <w:rsid w:val="3AC539BB"/>
    <w:rsid w:val="3ACAC9B0"/>
    <w:rsid w:val="3AD39973"/>
    <w:rsid w:val="3AD6C197"/>
    <w:rsid w:val="3AEE6A4A"/>
    <w:rsid w:val="3AF4E7F6"/>
    <w:rsid w:val="3B075FA4"/>
    <w:rsid w:val="3B15EC0B"/>
    <w:rsid w:val="3B198C3E"/>
    <w:rsid w:val="3B3063D3"/>
    <w:rsid w:val="3B452F86"/>
    <w:rsid w:val="3B4B7CD6"/>
    <w:rsid w:val="3B6934D5"/>
    <w:rsid w:val="3B6CAC06"/>
    <w:rsid w:val="3B72CC4A"/>
    <w:rsid w:val="3B766B0D"/>
    <w:rsid w:val="3B7F6AE5"/>
    <w:rsid w:val="3B86434B"/>
    <w:rsid w:val="3B977C34"/>
    <w:rsid w:val="3B99051A"/>
    <w:rsid w:val="3BA08BC5"/>
    <w:rsid w:val="3BA21C06"/>
    <w:rsid w:val="3BA2CCC3"/>
    <w:rsid w:val="3BA8ACF8"/>
    <w:rsid w:val="3BAD29B6"/>
    <w:rsid w:val="3BAEE3E0"/>
    <w:rsid w:val="3BB3C3AF"/>
    <w:rsid w:val="3BE450AF"/>
    <w:rsid w:val="3BED2DE6"/>
    <w:rsid w:val="3BF4B2C1"/>
    <w:rsid w:val="3BFCA49F"/>
    <w:rsid w:val="3C0C86DF"/>
    <w:rsid w:val="3C0E18C2"/>
    <w:rsid w:val="3C1A939A"/>
    <w:rsid w:val="3C1E9DD6"/>
    <w:rsid w:val="3C21B26E"/>
    <w:rsid w:val="3C36EE97"/>
    <w:rsid w:val="3C518BAF"/>
    <w:rsid w:val="3C7086FC"/>
    <w:rsid w:val="3C7ED368"/>
    <w:rsid w:val="3C8702FD"/>
    <w:rsid w:val="3C8E8D7E"/>
    <w:rsid w:val="3C9D8A36"/>
    <w:rsid w:val="3C9EDB5C"/>
    <w:rsid w:val="3CB87E8B"/>
    <w:rsid w:val="3CF78D32"/>
    <w:rsid w:val="3CF914C4"/>
    <w:rsid w:val="3D258321"/>
    <w:rsid w:val="3D3C49E8"/>
    <w:rsid w:val="3D4DD77E"/>
    <w:rsid w:val="3D4F215E"/>
    <w:rsid w:val="3D5F5E71"/>
    <w:rsid w:val="3D66C334"/>
    <w:rsid w:val="3D66D3B0"/>
    <w:rsid w:val="3D75073E"/>
    <w:rsid w:val="3D790062"/>
    <w:rsid w:val="3D7F7DDF"/>
    <w:rsid w:val="3D85EA9A"/>
    <w:rsid w:val="3DA7B43C"/>
    <w:rsid w:val="3DAF843F"/>
    <w:rsid w:val="3DD97CD6"/>
    <w:rsid w:val="3DDA6F89"/>
    <w:rsid w:val="3E03E844"/>
    <w:rsid w:val="3E070A00"/>
    <w:rsid w:val="3E0D9FB8"/>
    <w:rsid w:val="3E15AEAC"/>
    <w:rsid w:val="3E161B1D"/>
    <w:rsid w:val="3E29334C"/>
    <w:rsid w:val="3E304790"/>
    <w:rsid w:val="3E40BEA4"/>
    <w:rsid w:val="3E446E6C"/>
    <w:rsid w:val="3E540980"/>
    <w:rsid w:val="3E5B1629"/>
    <w:rsid w:val="3E606545"/>
    <w:rsid w:val="3E65197D"/>
    <w:rsid w:val="3E6AEDF5"/>
    <w:rsid w:val="3E791C69"/>
    <w:rsid w:val="3E82938B"/>
    <w:rsid w:val="3E85AA60"/>
    <w:rsid w:val="3E8FD101"/>
    <w:rsid w:val="3EBA74D2"/>
    <w:rsid w:val="3EBDE40D"/>
    <w:rsid w:val="3EC51E0F"/>
    <w:rsid w:val="3ECD74A5"/>
    <w:rsid w:val="3EDE3D2F"/>
    <w:rsid w:val="3EDE801B"/>
    <w:rsid w:val="3EFB2ED2"/>
    <w:rsid w:val="3F02A411"/>
    <w:rsid w:val="3F11F832"/>
    <w:rsid w:val="3F182945"/>
    <w:rsid w:val="3F19D97E"/>
    <w:rsid w:val="3F2D0109"/>
    <w:rsid w:val="3F39A5BC"/>
    <w:rsid w:val="3F415B9C"/>
    <w:rsid w:val="3F4B1113"/>
    <w:rsid w:val="3F4DEB1D"/>
    <w:rsid w:val="3F7AEBB1"/>
    <w:rsid w:val="3F8D1684"/>
    <w:rsid w:val="3F99C862"/>
    <w:rsid w:val="3F9FB8A5"/>
    <w:rsid w:val="3FA2E92F"/>
    <w:rsid w:val="3FB1EB7E"/>
    <w:rsid w:val="3FBCA984"/>
    <w:rsid w:val="3FBEFEEB"/>
    <w:rsid w:val="3FCAAA1C"/>
    <w:rsid w:val="3FE68324"/>
    <w:rsid w:val="3FE80B74"/>
    <w:rsid w:val="40060900"/>
    <w:rsid w:val="4010B963"/>
    <w:rsid w:val="401805FC"/>
    <w:rsid w:val="401C974C"/>
    <w:rsid w:val="4027FF1F"/>
    <w:rsid w:val="40290976"/>
    <w:rsid w:val="4031AFC0"/>
    <w:rsid w:val="4059B46E"/>
    <w:rsid w:val="4069DCFF"/>
    <w:rsid w:val="406F2041"/>
    <w:rsid w:val="407EB481"/>
    <w:rsid w:val="40A057A5"/>
    <w:rsid w:val="40ADC893"/>
    <w:rsid w:val="40B062E1"/>
    <w:rsid w:val="40CB32F0"/>
    <w:rsid w:val="40D015C2"/>
    <w:rsid w:val="40E189E5"/>
    <w:rsid w:val="40E437D6"/>
    <w:rsid w:val="40F02439"/>
    <w:rsid w:val="40F7986B"/>
    <w:rsid w:val="410B3969"/>
    <w:rsid w:val="410F6191"/>
    <w:rsid w:val="41169AE2"/>
    <w:rsid w:val="411EFDBF"/>
    <w:rsid w:val="413B8906"/>
    <w:rsid w:val="413F6740"/>
    <w:rsid w:val="414001F9"/>
    <w:rsid w:val="4140123B"/>
    <w:rsid w:val="414DBBDF"/>
    <w:rsid w:val="415A7420"/>
    <w:rsid w:val="416C7708"/>
    <w:rsid w:val="417195D6"/>
    <w:rsid w:val="4179AD25"/>
    <w:rsid w:val="417FE460"/>
    <w:rsid w:val="418B2478"/>
    <w:rsid w:val="4191E305"/>
    <w:rsid w:val="41A77265"/>
    <w:rsid w:val="41B8093E"/>
    <w:rsid w:val="41C3CF80"/>
    <w:rsid w:val="41C771C3"/>
    <w:rsid w:val="41CC85E7"/>
    <w:rsid w:val="41E9D178"/>
    <w:rsid w:val="41F8BAF9"/>
    <w:rsid w:val="42116692"/>
    <w:rsid w:val="421553E2"/>
    <w:rsid w:val="42169A7A"/>
    <w:rsid w:val="42184DE7"/>
    <w:rsid w:val="42341EB0"/>
    <w:rsid w:val="423664E2"/>
    <w:rsid w:val="423A44D3"/>
    <w:rsid w:val="424011F9"/>
    <w:rsid w:val="424C3342"/>
    <w:rsid w:val="4252EF02"/>
    <w:rsid w:val="4260584D"/>
    <w:rsid w:val="42800837"/>
    <w:rsid w:val="4287DAA7"/>
    <w:rsid w:val="42A23E23"/>
    <w:rsid w:val="42A7C366"/>
    <w:rsid w:val="42AC18EF"/>
    <w:rsid w:val="42BAD5C1"/>
    <w:rsid w:val="42C2CCA3"/>
    <w:rsid w:val="42C3AEC4"/>
    <w:rsid w:val="42D03905"/>
    <w:rsid w:val="42E95F96"/>
    <w:rsid w:val="42FDB731"/>
    <w:rsid w:val="42FFE913"/>
    <w:rsid w:val="4301AC74"/>
    <w:rsid w:val="4303B8B3"/>
    <w:rsid w:val="4306565A"/>
    <w:rsid w:val="432E874C"/>
    <w:rsid w:val="433F53AC"/>
    <w:rsid w:val="43446FC8"/>
    <w:rsid w:val="4345C196"/>
    <w:rsid w:val="43485A25"/>
    <w:rsid w:val="43495052"/>
    <w:rsid w:val="4351B085"/>
    <w:rsid w:val="4353D99F"/>
    <w:rsid w:val="435604AE"/>
    <w:rsid w:val="43680EF7"/>
    <w:rsid w:val="43712D1D"/>
    <w:rsid w:val="4371546D"/>
    <w:rsid w:val="43730236"/>
    <w:rsid w:val="43798AC2"/>
    <w:rsid w:val="437B66A9"/>
    <w:rsid w:val="43963F3D"/>
    <w:rsid w:val="43AA1D35"/>
    <w:rsid w:val="43D54723"/>
    <w:rsid w:val="43D61534"/>
    <w:rsid w:val="43E8DF67"/>
    <w:rsid w:val="43F7AA9D"/>
    <w:rsid w:val="43F8EC78"/>
    <w:rsid w:val="44006076"/>
    <w:rsid w:val="44022F31"/>
    <w:rsid w:val="4407F271"/>
    <w:rsid w:val="440D3BC7"/>
    <w:rsid w:val="441988D3"/>
    <w:rsid w:val="441BD898"/>
    <w:rsid w:val="444288B1"/>
    <w:rsid w:val="444DBC3E"/>
    <w:rsid w:val="448530B9"/>
    <w:rsid w:val="448C5B41"/>
    <w:rsid w:val="44C38491"/>
    <w:rsid w:val="44EFAA00"/>
    <w:rsid w:val="44F5E9DF"/>
    <w:rsid w:val="44F783E3"/>
    <w:rsid w:val="44FA8D87"/>
    <w:rsid w:val="450D24CE"/>
    <w:rsid w:val="4517370A"/>
    <w:rsid w:val="451A7F1B"/>
    <w:rsid w:val="451A8413"/>
    <w:rsid w:val="4529BB5C"/>
    <w:rsid w:val="452C3CAF"/>
    <w:rsid w:val="4548534F"/>
    <w:rsid w:val="45546AA6"/>
    <w:rsid w:val="45561DD3"/>
    <w:rsid w:val="455C2A51"/>
    <w:rsid w:val="455E9DB5"/>
    <w:rsid w:val="45618907"/>
    <w:rsid w:val="4574F16C"/>
    <w:rsid w:val="4579E461"/>
    <w:rsid w:val="458A8FC4"/>
    <w:rsid w:val="4594BCD9"/>
    <w:rsid w:val="459774C3"/>
    <w:rsid w:val="459DC3D4"/>
    <w:rsid w:val="45AEA57B"/>
    <w:rsid w:val="45B15125"/>
    <w:rsid w:val="45B4FB08"/>
    <w:rsid w:val="45B540F7"/>
    <w:rsid w:val="45B7A8F9"/>
    <w:rsid w:val="45BDDAAF"/>
    <w:rsid w:val="45E59802"/>
    <w:rsid w:val="45F6D2D9"/>
    <w:rsid w:val="4607DB46"/>
    <w:rsid w:val="4608D801"/>
    <w:rsid w:val="460D67B2"/>
    <w:rsid w:val="4612E00D"/>
    <w:rsid w:val="46190117"/>
    <w:rsid w:val="46270FB0"/>
    <w:rsid w:val="462937D3"/>
    <w:rsid w:val="462E406F"/>
    <w:rsid w:val="4633ACB1"/>
    <w:rsid w:val="4635408B"/>
    <w:rsid w:val="463789D5"/>
    <w:rsid w:val="463E5FBF"/>
    <w:rsid w:val="46575C2A"/>
    <w:rsid w:val="4660CD97"/>
    <w:rsid w:val="466A807A"/>
    <w:rsid w:val="466EA7F4"/>
    <w:rsid w:val="46842DA5"/>
    <w:rsid w:val="468B7A61"/>
    <w:rsid w:val="46955A41"/>
    <w:rsid w:val="4699F0E2"/>
    <w:rsid w:val="469DA8B1"/>
    <w:rsid w:val="469F0AC5"/>
    <w:rsid w:val="469FAFB9"/>
    <w:rsid w:val="46AF7D6E"/>
    <w:rsid w:val="46B537D8"/>
    <w:rsid w:val="46CDF118"/>
    <w:rsid w:val="46D851AE"/>
    <w:rsid w:val="46E05F17"/>
    <w:rsid w:val="46E8D609"/>
    <w:rsid w:val="46EFB473"/>
    <w:rsid w:val="46FD193C"/>
    <w:rsid w:val="4718AFA3"/>
    <w:rsid w:val="47218392"/>
    <w:rsid w:val="472EEBF5"/>
    <w:rsid w:val="47352DB7"/>
    <w:rsid w:val="47356E2E"/>
    <w:rsid w:val="47423618"/>
    <w:rsid w:val="474696DE"/>
    <w:rsid w:val="474DEAA7"/>
    <w:rsid w:val="4751E35E"/>
    <w:rsid w:val="475AE062"/>
    <w:rsid w:val="47797ADD"/>
    <w:rsid w:val="47845FD6"/>
    <w:rsid w:val="47888536"/>
    <w:rsid w:val="47B7665F"/>
    <w:rsid w:val="47C7094C"/>
    <w:rsid w:val="47CB22D7"/>
    <w:rsid w:val="47D5BC01"/>
    <w:rsid w:val="47D729D6"/>
    <w:rsid w:val="47D9075E"/>
    <w:rsid w:val="47E13076"/>
    <w:rsid w:val="47E41AC2"/>
    <w:rsid w:val="47F8DEF5"/>
    <w:rsid w:val="480EC461"/>
    <w:rsid w:val="4813DDC2"/>
    <w:rsid w:val="481AD88B"/>
    <w:rsid w:val="48274AC2"/>
    <w:rsid w:val="48275B18"/>
    <w:rsid w:val="482DB134"/>
    <w:rsid w:val="483B801A"/>
    <w:rsid w:val="484F3830"/>
    <w:rsid w:val="4866CBFF"/>
    <w:rsid w:val="486D3479"/>
    <w:rsid w:val="4874220F"/>
    <w:rsid w:val="48790472"/>
    <w:rsid w:val="48868176"/>
    <w:rsid w:val="48D24FCD"/>
    <w:rsid w:val="48DD154D"/>
    <w:rsid w:val="493AEB73"/>
    <w:rsid w:val="4947B3B0"/>
    <w:rsid w:val="494C88A3"/>
    <w:rsid w:val="494FF0A9"/>
    <w:rsid w:val="49696AC4"/>
    <w:rsid w:val="497E3B5D"/>
    <w:rsid w:val="498DA568"/>
    <w:rsid w:val="49A43673"/>
    <w:rsid w:val="49BE6F6F"/>
    <w:rsid w:val="49C31B23"/>
    <w:rsid w:val="49CEE165"/>
    <w:rsid w:val="49D7507B"/>
    <w:rsid w:val="4A178C5C"/>
    <w:rsid w:val="4A1BE318"/>
    <w:rsid w:val="4A2A58D5"/>
    <w:rsid w:val="4A2F6AA5"/>
    <w:rsid w:val="4A3A9573"/>
    <w:rsid w:val="4A3FBD84"/>
    <w:rsid w:val="4A44D7F3"/>
    <w:rsid w:val="4A4DBC89"/>
    <w:rsid w:val="4A51B581"/>
    <w:rsid w:val="4A539087"/>
    <w:rsid w:val="4A5B26BA"/>
    <w:rsid w:val="4A66B41A"/>
    <w:rsid w:val="4A67C5B9"/>
    <w:rsid w:val="4A701568"/>
    <w:rsid w:val="4A7308EF"/>
    <w:rsid w:val="4A7D3A63"/>
    <w:rsid w:val="4A926448"/>
    <w:rsid w:val="4A994A98"/>
    <w:rsid w:val="4AA08F2C"/>
    <w:rsid w:val="4AE110BE"/>
    <w:rsid w:val="4AF35A8A"/>
    <w:rsid w:val="4B0F0F22"/>
    <w:rsid w:val="4B18D138"/>
    <w:rsid w:val="4B1D4721"/>
    <w:rsid w:val="4B1E42B3"/>
    <w:rsid w:val="4B2ACD4D"/>
    <w:rsid w:val="4B343EBA"/>
    <w:rsid w:val="4B352C4E"/>
    <w:rsid w:val="4B4CCEF8"/>
    <w:rsid w:val="4B4E42F1"/>
    <w:rsid w:val="4B57BF16"/>
    <w:rsid w:val="4B5871F7"/>
    <w:rsid w:val="4B5A3FD0"/>
    <w:rsid w:val="4B5EEB84"/>
    <w:rsid w:val="4B626B57"/>
    <w:rsid w:val="4B6B94C4"/>
    <w:rsid w:val="4B7022A9"/>
    <w:rsid w:val="4B906A0F"/>
    <w:rsid w:val="4B9332C3"/>
    <w:rsid w:val="4B9FE0D5"/>
    <w:rsid w:val="4BA075CC"/>
    <w:rsid w:val="4BA51BFB"/>
    <w:rsid w:val="4BB3AFD1"/>
    <w:rsid w:val="4BB482DF"/>
    <w:rsid w:val="4BB87C7A"/>
    <w:rsid w:val="4BCB4035"/>
    <w:rsid w:val="4BCEA82B"/>
    <w:rsid w:val="4BD501F0"/>
    <w:rsid w:val="4BD6EC56"/>
    <w:rsid w:val="4BDDA808"/>
    <w:rsid w:val="4BE189F0"/>
    <w:rsid w:val="4C0B9C15"/>
    <w:rsid w:val="4C1157F3"/>
    <w:rsid w:val="4C1E41C4"/>
    <w:rsid w:val="4C20FB53"/>
    <w:rsid w:val="4C3B7A2B"/>
    <w:rsid w:val="4C4528F8"/>
    <w:rsid w:val="4C488FAA"/>
    <w:rsid w:val="4C7EE673"/>
    <w:rsid w:val="4CA385F0"/>
    <w:rsid w:val="4CA4820F"/>
    <w:rsid w:val="4CA92D24"/>
    <w:rsid w:val="4CB579F8"/>
    <w:rsid w:val="4CD346EF"/>
    <w:rsid w:val="4CDBA9BF"/>
    <w:rsid w:val="4CE6561D"/>
    <w:rsid w:val="4D0F5223"/>
    <w:rsid w:val="4D1BFA50"/>
    <w:rsid w:val="4D5A8137"/>
    <w:rsid w:val="4D63BEA1"/>
    <w:rsid w:val="4D7083B8"/>
    <w:rsid w:val="4D72A0B0"/>
    <w:rsid w:val="4D7C78B5"/>
    <w:rsid w:val="4D7CD3B4"/>
    <w:rsid w:val="4D84E0A6"/>
    <w:rsid w:val="4D8680A4"/>
    <w:rsid w:val="4D95AC5A"/>
    <w:rsid w:val="4DA67204"/>
    <w:rsid w:val="4DA70F97"/>
    <w:rsid w:val="4DBAEE77"/>
    <w:rsid w:val="4DD2DDE3"/>
    <w:rsid w:val="4DE0F959"/>
    <w:rsid w:val="4E32A6C0"/>
    <w:rsid w:val="4E44FD85"/>
    <w:rsid w:val="4E4F3177"/>
    <w:rsid w:val="4E573DB0"/>
    <w:rsid w:val="4E58BD0D"/>
    <w:rsid w:val="4E5D2703"/>
    <w:rsid w:val="4E64E8F6"/>
    <w:rsid w:val="4E889246"/>
    <w:rsid w:val="4E91E092"/>
    <w:rsid w:val="4E962581"/>
    <w:rsid w:val="4EA0D148"/>
    <w:rsid w:val="4EA8834C"/>
    <w:rsid w:val="4EB588FD"/>
    <w:rsid w:val="4EC1D1B2"/>
    <w:rsid w:val="4ECE2EE0"/>
    <w:rsid w:val="4EE36393"/>
    <w:rsid w:val="4EE7CED5"/>
    <w:rsid w:val="4F2EE7C3"/>
    <w:rsid w:val="4F30E003"/>
    <w:rsid w:val="4F4034C3"/>
    <w:rsid w:val="4F467A12"/>
    <w:rsid w:val="4F4B41E6"/>
    <w:rsid w:val="4F524D7C"/>
    <w:rsid w:val="4F57CC4C"/>
    <w:rsid w:val="4F5ABBB5"/>
    <w:rsid w:val="4F5BAC55"/>
    <w:rsid w:val="4F633C32"/>
    <w:rsid w:val="4F6E20CD"/>
    <w:rsid w:val="4F89F38F"/>
    <w:rsid w:val="4F8D8A3B"/>
    <w:rsid w:val="4FA46109"/>
    <w:rsid w:val="4FB5DC6F"/>
    <w:rsid w:val="4FC83523"/>
    <w:rsid w:val="4FD5268F"/>
    <w:rsid w:val="4FDC22D1"/>
    <w:rsid w:val="4FE36E08"/>
    <w:rsid w:val="4FF48D6E"/>
    <w:rsid w:val="502BE31A"/>
    <w:rsid w:val="5030C645"/>
    <w:rsid w:val="503228F7"/>
    <w:rsid w:val="50396824"/>
    <w:rsid w:val="503F323C"/>
    <w:rsid w:val="504691FF"/>
    <w:rsid w:val="50474EFC"/>
    <w:rsid w:val="5049969F"/>
    <w:rsid w:val="50598647"/>
    <w:rsid w:val="5061ABFC"/>
    <w:rsid w:val="506EE5F4"/>
    <w:rsid w:val="50A4E004"/>
    <w:rsid w:val="50A7838E"/>
    <w:rsid w:val="50BBFB32"/>
    <w:rsid w:val="50CD4D1C"/>
    <w:rsid w:val="50CE750B"/>
    <w:rsid w:val="50D6ABCC"/>
    <w:rsid w:val="50D7EDD1"/>
    <w:rsid w:val="50F77CB6"/>
    <w:rsid w:val="510788B6"/>
    <w:rsid w:val="51170484"/>
    <w:rsid w:val="51265DF6"/>
    <w:rsid w:val="512A720B"/>
    <w:rsid w:val="513A1EEE"/>
    <w:rsid w:val="514E22F4"/>
    <w:rsid w:val="515AB31B"/>
    <w:rsid w:val="516C9BD2"/>
    <w:rsid w:val="51768CFD"/>
    <w:rsid w:val="5177F332"/>
    <w:rsid w:val="51A3803E"/>
    <w:rsid w:val="51B6EE9C"/>
    <w:rsid w:val="51BBD536"/>
    <w:rsid w:val="51E02B5E"/>
    <w:rsid w:val="51E14873"/>
    <w:rsid w:val="51F7896C"/>
    <w:rsid w:val="51FA695D"/>
    <w:rsid w:val="52069795"/>
    <w:rsid w:val="521B0455"/>
    <w:rsid w:val="5224CF08"/>
    <w:rsid w:val="523F9D67"/>
    <w:rsid w:val="524302EB"/>
    <w:rsid w:val="5243130F"/>
    <w:rsid w:val="52493C28"/>
    <w:rsid w:val="524955A7"/>
    <w:rsid w:val="528245DA"/>
    <w:rsid w:val="52850ED9"/>
    <w:rsid w:val="52A95E7C"/>
    <w:rsid w:val="52C0FC48"/>
    <w:rsid w:val="52F3430E"/>
    <w:rsid w:val="53205C2E"/>
    <w:rsid w:val="532AD15D"/>
    <w:rsid w:val="533FA546"/>
    <w:rsid w:val="535F0009"/>
    <w:rsid w:val="5374A6DC"/>
    <w:rsid w:val="5375C3AB"/>
    <w:rsid w:val="5376A1AD"/>
    <w:rsid w:val="537B137B"/>
    <w:rsid w:val="537CB2FA"/>
    <w:rsid w:val="537DB131"/>
    <w:rsid w:val="537E2BC0"/>
    <w:rsid w:val="537E32C1"/>
    <w:rsid w:val="538F65BD"/>
    <w:rsid w:val="539F40CE"/>
    <w:rsid w:val="53A2D783"/>
    <w:rsid w:val="53A5EC5A"/>
    <w:rsid w:val="53BD4FDD"/>
    <w:rsid w:val="53CAA6AE"/>
    <w:rsid w:val="53D9DE2F"/>
    <w:rsid w:val="53DFD414"/>
    <w:rsid w:val="53F46547"/>
    <w:rsid w:val="53F5E7E5"/>
    <w:rsid w:val="54002B3E"/>
    <w:rsid w:val="5411079E"/>
    <w:rsid w:val="54168440"/>
    <w:rsid w:val="5419EB35"/>
    <w:rsid w:val="541A14EA"/>
    <w:rsid w:val="543D6D4C"/>
    <w:rsid w:val="544F70FC"/>
    <w:rsid w:val="548956AE"/>
    <w:rsid w:val="549253DD"/>
    <w:rsid w:val="549C405F"/>
    <w:rsid w:val="54BF7E51"/>
    <w:rsid w:val="54C498EB"/>
    <w:rsid w:val="54C6E659"/>
    <w:rsid w:val="54CD0AD9"/>
    <w:rsid w:val="54CE5B66"/>
    <w:rsid w:val="54D1AF93"/>
    <w:rsid w:val="54DF7DC3"/>
    <w:rsid w:val="54E0EDCC"/>
    <w:rsid w:val="550B2467"/>
    <w:rsid w:val="550C3B89"/>
    <w:rsid w:val="551DAF05"/>
    <w:rsid w:val="552BFA42"/>
    <w:rsid w:val="55387F48"/>
    <w:rsid w:val="55484481"/>
    <w:rsid w:val="555C6FCA"/>
    <w:rsid w:val="555CBAA7"/>
    <w:rsid w:val="5560F296"/>
    <w:rsid w:val="5580F669"/>
    <w:rsid w:val="558279C2"/>
    <w:rsid w:val="558E3BB4"/>
    <w:rsid w:val="55C7310D"/>
    <w:rsid w:val="55CB247A"/>
    <w:rsid w:val="55EEE4B6"/>
    <w:rsid w:val="55FDE32E"/>
    <w:rsid w:val="56023123"/>
    <w:rsid w:val="5604D6B3"/>
    <w:rsid w:val="560E96C0"/>
    <w:rsid w:val="56217DE4"/>
    <w:rsid w:val="56454EAE"/>
    <w:rsid w:val="564CCC8C"/>
    <w:rsid w:val="56596AC5"/>
    <w:rsid w:val="5660D68F"/>
    <w:rsid w:val="567C4707"/>
    <w:rsid w:val="567E349B"/>
    <w:rsid w:val="5685FB75"/>
    <w:rsid w:val="569B507D"/>
    <w:rsid w:val="56A86759"/>
    <w:rsid w:val="56ABFD2C"/>
    <w:rsid w:val="56B23440"/>
    <w:rsid w:val="56B3C17C"/>
    <w:rsid w:val="56BC0103"/>
    <w:rsid w:val="56BCF09C"/>
    <w:rsid w:val="56C4A9FF"/>
    <w:rsid w:val="56E414E2"/>
    <w:rsid w:val="56FBD841"/>
    <w:rsid w:val="56FD4D48"/>
    <w:rsid w:val="570BAD17"/>
    <w:rsid w:val="5716740E"/>
    <w:rsid w:val="57266B0A"/>
    <w:rsid w:val="57284185"/>
    <w:rsid w:val="5759E198"/>
    <w:rsid w:val="575BF4C9"/>
    <w:rsid w:val="57688AC1"/>
    <w:rsid w:val="57735CB7"/>
    <w:rsid w:val="57824F25"/>
    <w:rsid w:val="57987F9E"/>
    <w:rsid w:val="57C3C21F"/>
    <w:rsid w:val="57CFA723"/>
    <w:rsid w:val="57D3FCCC"/>
    <w:rsid w:val="57EB6F7B"/>
    <w:rsid w:val="57EC8725"/>
    <w:rsid w:val="5803844D"/>
    <w:rsid w:val="58098F64"/>
    <w:rsid w:val="580E7BC9"/>
    <w:rsid w:val="5821F3E2"/>
    <w:rsid w:val="582201A9"/>
    <w:rsid w:val="582BDB8E"/>
    <w:rsid w:val="583E2CE8"/>
    <w:rsid w:val="584022B4"/>
    <w:rsid w:val="5847CD8D"/>
    <w:rsid w:val="584DE5D3"/>
    <w:rsid w:val="5852229E"/>
    <w:rsid w:val="585ACA57"/>
    <w:rsid w:val="589060A5"/>
    <w:rsid w:val="58941B24"/>
    <w:rsid w:val="5898A070"/>
    <w:rsid w:val="58A525F0"/>
    <w:rsid w:val="58C165D7"/>
    <w:rsid w:val="58DACDCA"/>
    <w:rsid w:val="58DADBA1"/>
    <w:rsid w:val="58E8CDA6"/>
    <w:rsid w:val="58E9C23E"/>
    <w:rsid w:val="58F300EB"/>
    <w:rsid w:val="58F617DC"/>
    <w:rsid w:val="58F68FF9"/>
    <w:rsid w:val="58FDCCC4"/>
    <w:rsid w:val="590334F4"/>
    <w:rsid w:val="59238674"/>
    <w:rsid w:val="59274D13"/>
    <w:rsid w:val="592C7C69"/>
    <w:rsid w:val="5931640A"/>
    <w:rsid w:val="5946A6C1"/>
    <w:rsid w:val="594F1C5A"/>
    <w:rsid w:val="5959936A"/>
    <w:rsid w:val="595F2048"/>
    <w:rsid w:val="5969DCBA"/>
    <w:rsid w:val="59833FF8"/>
    <w:rsid w:val="598F9DB2"/>
    <w:rsid w:val="599134D3"/>
    <w:rsid w:val="599973D0"/>
    <w:rsid w:val="59BBDA20"/>
    <w:rsid w:val="59BC849C"/>
    <w:rsid w:val="59D8B883"/>
    <w:rsid w:val="59DCA0A7"/>
    <w:rsid w:val="59E10ED2"/>
    <w:rsid w:val="59E9D502"/>
    <w:rsid w:val="59EBC8F5"/>
    <w:rsid w:val="59ECF2B5"/>
    <w:rsid w:val="59EDC851"/>
    <w:rsid w:val="5A049D7E"/>
    <w:rsid w:val="5A0785F7"/>
    <w:rsid w:val="5A18F8E1"/>
    <w:rsid w:val="5A34EC73"/>
    <w:rsid w:val="5A360FB2"/>
    <w:rsid w:val="5A43DA58"/>
    <w:rsid w:val="5A5CABC1"/>
    <w:rsid w:val="5A6D6427"/>
    <w:rsid w:val="5A6DA955"/>
    <w:rsid w:val="5A703CBF"/>
    <w:rsid w:val="5A9A41B5"/>
    <w:rsid w:val="5AADA209"/>
    <w:rsid w:val="5ABBB366"/>
    <w:rsid w:val="5AD15451"/>
    <w:rsid w:val="5B007C9C"/>
    <w:rsid w:val="5B019561"/>
    <w:rsid w:val="5B069A85"/>
    <w:rsid w:val="5B1C4DB5"/>
    <w:rsid w:val="5B21B6B2"/>
    <w:rsid w:val="5B2CDBE8"/>
    <w:rsid w:val="5B2DBB61"/>
    <w:rsid w:val="5B494B3B"/>
    <w:rsid w:val="5B5A48C2"/>
    <w:rsid w:val="5B6F02D4"/>
    <w:rsid w:val="5B792A8B"/>
    <w:rsid w:val="5B7D4264"/>
    <w:rsid w:val="5B841B49"/>
    <w:rsid w:val="5B88C316"/>
    <w:rsid w:val="5B9061BF"/>
    <w:rsid w:val="5B952B43"/>
    <w:rsid w:val="5BC15340"/>
    <w:rsid w:val="5BD1C210"/>
    <w:rsid w:val="5BEC6EA6"/>
    <w:rsid w:val="5C126E8C"/>
    <w:rsid w:val="5C24C4DD"/>
    <w:rsid w:val="5C5C7147"/>
    <w:rsid w:val="5C694BB0"/>
    <w:rsid w:val="5C720A92"/>
    <w:rsid w:val="5C7E4783"/>
    <w:rsid w:val="5C904E3C"/>
    <w:rsid w:val="5C91342C"/>
    <w:rsid w:val="5C93EB20"/>
    <w:rsid w:val="5C9C4CFD"/>
    <w:rsid w:val="5C9D65C2"/>
    <w:rsid w:val="5CA17D25"/>
    <w:rsid w:val="5CB20E33"/>
    <w:rsid w:val="5CBB06A6"/>
    <w:rsid w:val="5CC148BF"/>
    <w:rsid w:val="5CC8113D"/>
    <w:rsid w:val="5CCB3690"/>
    <w:rsid w:val="5CD4F150"/>
    <w:rsid w:val="5CF3C167"/>
    <w:rsid w:val="5CFB2389"/>
    <w:rsid w:val="5CFCA015"/>
    <w:rsid w:val="5D030337"/>
    <w:rsid w:val="5D190B91"/>
    <w:rsid w:val="5D239540"/>
    <w:rsid w:val="5D30454D"/>
    <w:rsid w:val="5D3649E6"/>
    <w:rsid w:val="5D38AC59"/>
    <w:rsid w:val="5D3DBEF6"/>
    <w:rsid w:val="5D413016"/>
    <w:rsid w:val="5D49D497"/>
    <w:rsid w:val="5D510956"/>
    <w:rsid w:val="5D55AA92"/>
    <w:rsid w:val="5D5DB3F8"/>
    <w:rsid w:val="5D6FBEFE"/>
    <w:rsid w:val="5D748714"/>
    <w:rsid w:val="5D7628DD"/>
    <w:rsid w:val="5D8EE3A1"/>
    <w:rsid w:val="5D9555C4"/>
    <w:rsid w:val="5D9B08CA"/>
    <w:rsid w:val="5DCC2487"/>
    <w:rsid w:val="5DD7EC4F"/>
    <w:rsid w:val="5DE164EC"/>
    <w:rsid w:val="5DE49C11"/>
    <w:rsid w:val="5DF3D0EB"/>
    <w:rsid w:val="5E0FEB71"/>
    <w:rsid w:val="5E15FF99"/>
    <w:rsid w:val="5E19F2F4"/>
    <w:rsid w:val="5E1E21C8"/>
    <w:rsid w:val="5E2AB248"/>
    <w:rsid w:val="5E31AABC"/>
    <w:rsid w:val="5E381D5E"/>
    <w:rsid w:val="5E3ADFB8"/>
    <w:rsid w:val="5E3CE4B8"/>
    <w:rsid w:val="5E4DDE94"/>
    <w:rsid w:val="5E630ED5"/>
    <w:rsid w:val="5E747C1A"/>
    <w:rsid w:val="5E749A89"/>
    <w:rsid w:val="5E8075D9"/>
    <w:rsid w:val="5EAE9C77"/>
    <w:rsid w:val="5EBB9248"/>
    <w:rsid w:val="5EBCA031"/>
    <w:rsid w:val="5EC445D3"/>
    <w:rsid w:val="5EDAAD60"/>
    <w:rsid w:val="5EDB4187"/>
    <w:rsid w:val="5EF1FBD3"/>
    <w:rsid w:val="5F0083FF"/>
    <w:rsid w:val="5F23FBE7"/>
    <w:rsid w:val="5F2AB402"/>
    <w:rsid w:val="5F361B47"/>
    <w:rsid w:val="5F5E2552"/>
    <w:rsid w:val="5F62A2CF"/>
    <w:rsid w:val="5F699CD5"/>
    <w:rsid w:val="5F8CB6D7"/>
    <w:rsid w:val="5F95C61B"/>
    <w:rsid w:val="5F95D84E"/>
    <w:rsid w:val="5F9A439C"/>
    <w:rsid w:val="5F9B74E6"/>
    <w:rsid w:val="5FC6CBE3"/>
    <w:rsid w:val="5FCD7B1D"/>
    <w:rsid w:val="5FE229E7"/>
    <w:rsid w:val="5FF2A768"/>
    <w:rsid w:val="601E7EB4"/>
    <w:rsid w:val="602DBCAC"/>
    <w:rsid w:val="603A53EB"/>
    <w:rsid w:val="603BA30F"/>
    <w:rsid w:val="6043370B"/>
    <w:rsid w:val="6043C5AC"/>
    <w:rsid w:val="60550C22"/>
    <w:rsid w:val="605C3439"/>
    <w:rsid w:val="6078D0D8"/>
    <w:rsid w:val="6092E4AE"/>
    <w:rsid w:val="609598DB"/>
    <w:rsid w:val="60979765"/>
    <w:rsid w:val="609AAEE6"/>
    <w:rsid w:val="60BFCC48"/>
    <w:rsid w:val="60C8E836"/>
    <w:rsid w:val="60D4DBF0"/>
    <w:rsid w:val="60DF2BE9"/>
    <w:rsid w:val="60EBFB3A"/>
    <w:rsid w:val="60FBCF91"/>
    <w:rsid w:val="60FF5A77"/>
    <w:rsid w:val="610C0718"/>
    <w:rsid w:val="610EFCC3"/>
    <w:rsid w:val="61176366"/>
    <w:rsid w:val="612A2684"/>
    <w:rsid w:val="612AF4EA"/>
    <w:rsid w:val="61471E14"/>
    <w:rsid w:val="61476E3B"/>
    <w:rsid w:val="61489CD4"/>
    <w:rsid w:val="614C63E1"/>
    <w:rsid w:val="614DF51A"/>
    <w:rsid w:val="6151B8A6"/>
    <w:rsid w:val="6168E4AB"/>
    <w:rsid w:val="61694B7E"/>
    <w:rsid w:val="616FBE20"/>
    <w:rsid w:val="61787A39"/>
    <w:rsid w:val="618F6A89"/>
    <w:rsid w:val="6195E38B"/>
    <w:rsid w:val="61A54620"/>
    <w:rsid w:val="61B82021"/>
    <w:rsid w:val="61B88CBF"/>
    <w:rsid w:val="61BD063F"/>
    <w:rsid w:val="61BD2AF7"/>
    <w:rsid w:val="61C1055C"/>
    <w:rsid w:val="61CE94AC"/>
    <w:rsid w:val="61D0AC31"/>
    <w:rsid w:val="61EF12D3"/>
    <w:rsid w:val="61F216F2"/>
    <w:rsid w:val="620799EB"/>
    <w:rsid w:val="62080348"/>
    <w:rsid w:val="6209CA20"/>
    <w:rsid w:val="620B04C5"/>
    <w:rsid w:val="620CBEE3"/>
    <w:rsid w:val="620CE21A"/>
    <w:rsid w:val="6216D788"/>
    <w:rsid w:val="622EFFEC"/>
    <w:rsid w:val="6248226F"/>
    <w:rsid w:val="6267B573"/>
    <w:rsid w:val="6276878F"/>
    <w:rsid w:val="6278D11C"/>
    <w:rsid w:val="62810CCA"/>
    <w:rsid w:val="62943E9E"/>
    <w:rsid w:val="62B7579A"/>
    <w:rsid w:val="62B871DB"/>
    <w:rsid w:val="62BD3070"/>
    <w:rsid w:val="62C5E374"/>
    <w:rsid w:val="62E5D5D3"/>
    <w:rsid w:val="62E9C57B"/>
    <w:rsid w:val="62ED8907"/>
    <w:rsid w:val="630075B0"/>
    <w:rsid w:val="6304CD92"/>
    <w:rsid w:val="631693A9"/>
    <w:rsid w:val="631D579B"/>
    <w:rsid w:val="63236C20"/>
    <w:rsid w:val="63525B5B"/>
    <w:rsid w:val="63545D20"/>
    <w:rsid w:val="63687D45"/>
    <w:rsid w:val="636B8A85"/>
    <w:rsid w:val="636C7C92"/>
    <w:rsid w:val="63778EEB"/>
    <w:rsid w:val="6385CF21"/>
    <w:rsid w:val="6386FD23"/>
    <w:rsid w:val="63AE25F3"/>
    <w:rsid w:val="63B0C35E"/>
    <w:rsid w:val="63CA0DD0"/>
    <w:rsid w:val="63CAC16A"/>
    <w:rsid w:val="63D9CFB9"/>
    <w:rsid w:val="63F76D0A"/>
    <w:rsid w:val="63FBEC28"/>
    <w:rsid w:val="63FF3DEC"/>
    <w:rsid w:val="641171DB"/>
    <w:rsid w:val="64144B8B"/>
    <w:rsid w:val="64223B61"/>
    <w:rsid w:val="64279859"/>
    <w:rsid w:val="64447E2C"/>
    <w:rsid w:val="648404A3"/>
    <w:rsid w:val="648595DC"/>
    <w:rsid w:val="649148AC"/>
    <w:rsid w:val="649CAC90"/>
    <w:rsid w:val="649D68DE"/>
    <w:rsid w:val="64AD1903"/>
    <w:rsid w:val="64B287CA"/>
    <w:rsid w:val="64B59B3D"/>
    <w:rsid w:val="64BC51C0"/>
    <w:rsid w:val="64BD2018"/>
    <w:rsid w:val="64BED0C4"/>
    <w:rsid w:val="64D65DBE"/>
    <w:rsid w:val="64F2E223"/>
    <w:rsid w:val="6503145F"/>
    <w:rsid w:val="6503EAA5"/>
    <w:rsid w:val="650596F6"/>
    <w:rsid w:val="65207F43"/>
    <w:rsid w:val="652FA55C"/>
    <w:rsid w:val="6533FF97"/>
    <w:rsid w:val="655975CF"/>
    <w:rsid w:val="655E48D1"/>
    <w:rsid w:val="656655D1"/>
    <w:rsid w:val="6566FBA6"/>
    <w:rsid w:val="657E22FC"/>
    <w:rsid w:val="6590BD78"/>
    <w:rsid w:val="659C374D"/>
    <w:rsid w:val="65A8E607"/>
    <w:rsid w:val="65B071DE"/>
    <w:rsid w:val="65B5EFB9"/>
    <w:rsid w:val="65BA2731"/>
    <w:rsid w:val="65BBECF3"/>
    <w:rsid w:val="65CBDF60"/>
    <w:rsid w:val="65DFA4FE"/>
    <w:rsid w:val="65EEF85C"/>
    <w:rsid w:val="65F19925"/>
    <w:rsid w:val="65FB4999"/>
    <w:rsid w:val="6607E038"/>
    <w:rsid w:val="660A3D94"/>
    <w:rsid w:val="661061B0"/>
    <w:rsid w:val="6622B7A4"/>
    <w:rsid w:val="6630FC90"/>
    <w:rsid w:val="66387CF1"/>
    <w:rsid w:val="665EF046"/>
    <w:rsid w:val="6665409F"/>
    <w:rsid w:val="66656F78"/>
    <w:rsid w:val="668BFDE2"/>
    <w:rsid w:val="668D96EA"/>
    <w:rsid w:val="66A6E58D"/>
    <w:rsid w:val="66B4E6E5"/>
    <w:rsid w:val="66B86D99"/>
    <w:rsid w:val="66C2F262"/>
    <w:rsid w:val="66C8AE3F"/>
    <w:rsid w:val="66CFCFF8"/>
    <w:rsid w:val="66DA9FA6"/>
    <w:rsid w:val="66E02DAB"/>
    <w:rsid w:val="66E4F771"/>
    <w:rsid w:val="66E88DB2"/>
    <w:rsid w:val="66EA3C1D"/>
    <w:rsid w:val="66F86A36"/>
    <w:rsid w:val="66FF0206"/>
    <w:rsid w:val="6708A492"/>
    <w:rsid w:val="672667DA"/>
    <w:rsid w:val="672FFCB2"/>
    <w:rsid w:val="67334711"/>
    <w:rsid w:val="67409735"/>
    <w:rsid w:val="6745C2C4"/>
    <w:rsid w:val="6745CB10"/>
    <w:rsid w:val="674BD169"/>
    <w:rsid w:val="674EB34A"/>
    <w:rsid w:val="674EFD7C"/>
    <w:rsid w:val="675BE012"/>
    <w:rsid w:val="6767AFC1"/>
    <w:rsid w:val="67759327"/>
    <w:rsid w:val="679480A1"/>
    <w:rsid w:val="6797D179"/>
    <w:rsid w:val="67996808"/>
    <w:rsid w:val="67A6CA23"/>
    <w:rsid w:val="67A9771A"/>
    <w:rsid w:val="67B3B0CA"/>
    <w:rsid w:val="67BEFDD2"/>
    <w:rsid w:val="67C2AB46"/>
    <w:rsid w:val="67C3E230"/>
    <w:rsid w:val="67DEC6DB"/>
    <w:rsid w:val="67E43756"/>
    <w:rsid w:val="68187AF3"/>
    <w:rsid w:val="68267D56"/>
    <w:rsid w:val="682761A5"/>
    <w:rsid w:val="68345899"/>
    <w:rsid w:val="683EB03D"/>
    <w:rsid w:val="684CADE8"/>
    <w:rsid w:val="684E26F6"/>
    <w:rsid w:val="685A8CCC"/>
    <w:rsid w:val="6867889A"/>
    <w:rsid w:val="686A31A2"/>
    <w:rsid w:val="686C14F6"/>
    <w:rsid w:val="687C9035"/>
    <w:rsid w:val="68805D07"/>
    <w:rsid w:val="68AA72B2"/>
    <w:rsid w:val="68B42508"/>
    <w:rsid w:val="68CB301B"/>
    <w:rsid w:val="68CBCD13"/>
    <w:rsid w:val="68D6F6F7"/>
    <w:rsid w:val="68D7D9DD"/>
    <w:rsid w:val="68E7BD77"/>
    <w:rsid w:val="68E812A0"/>
    <w:rsid w:val="68EC8B76"/>
    <w:rsid w:val="6902E6FC"/>
    <w:rsid w:val="69064D44"/>
    <w:rsid w:val="6944882A"/>
    <w:rsid w:val="6947DF55"/>
    <w:rsid w:val="695ACE33"/>
    <w:rsid w:val="695B43ED"/>
    <w:rsid w:val="69929D1C"/>
    <w:rsid w:val="69974BD6"/>
    <w:rsid w:val="69A33342"/>
    <w:rsid w:val="69A9558B"/>
    <w:rsid w:val="69AE3536"/>
    <w:rsid w:val="69B85607"/>
    <w:rsid w:val="69BE79F5"/>
    <w:rsid w:val="69C017E8"/>
    <w:rsid w:val="69E307B2"/>
    <w:rsid w:val="69F18C7B"/>
    <w:rsid w:val="69F6AFCD"/>
    <w:rsid w:val="6A00C538"/>
    <w:rsid w:val="6A078CAF"/>
    <w:rsid w:val="6A07E557"/>
    <w:rsid w:val="6A13468E"/>
    <w:rsid w:val="6A406A60"/>
    <w:rsid w:val="6A49DD06"/>
    <w:rsid w:val="6A4E8DE3"/>
    <w:rsid w:val="6A4F665F"/>
    <w:rsid w:val="6A533908"/>
    <w:rsid w:val="6A5A98D8"/>
    <w:rsid w:val="6A5EBBAE"/>
    <w:rsid w:val="6A838DD8"/>
    <w:rsid w:val="6A83E301"/>
    <w:rsid w:val="6A87F49C"/>
    <w:rsid w:val="6A8AF29B"/>
    <w:rsid w:val="6A8B776B"/>
    <w:rsid w:val="6A8D1B97"/>
    <w:rsid w:val="6AB13A0A"/>
    <w:rsid w:val="6AC383C0"/>
    <w:rsid w:val="6AC6A430"/>
    <w:rsid w:val="6AC9D856"/>
    <w:rsid w:val="6AEA619A"/>
    <w:rsid w:val="6AFDED93"/>
    <w:rsid w:val="6B16A066"/>
    <w:rsid w:val="6B2A1186"/>
    <w:rsid w:val="6B2C619C"/>
    <w:rsid w:val="6B361C5C"/>
    <w:rsid w:val="6B3E4DC6"/>
    <w:rsid w:val="6B3ED554"/>
    <w:rsid w:val="6B3F03A3"/>
    <w:rsid w:val="6B60873E"/>
    <w:rsid w:val="6B74CB6A"/>
    <w:rsid w:val="6B7650FF"/>
    <w:rsid w:val="6B857CA7"/>
    <w:rsid w:val="6B85C7B8"/>
    <w:rsid w:val="6B8D0EA6"/>
    <w:rsid w:val="6B8E243F"/>
    <w:rsid w:val="6B9AF083"/>
    <w:rsid w:val="6BA1D264"/>
    <w:rsid w:val="6BBF40CB"/>
    <w:rsid w:val="6BD78AA9"/>
    <w:rsid w:val="6BE275A6"/>
    <w:rsid w:val="6C037154"/>
    <w:rsid w:val="6C0BDFD9"/>
    <w:rsid w:val="6C10618B"/>
    <w:rsid w:val="6C12A051"/>
    <w:rsid w:val="6C1F5E39"/>
    <w:rsid w:val="6C26C2FC"/>
    <w:rsid w:val="6C2747CC"/>
    <w:rsid w:val="6C374AE5"/>
    <w:rsid w:val="6C394CEC"/>
    <w:rsid w:val="6C401B89"/>
    <w:rsid w:val="6C4CF74A"/>
    <w:rsid w:val="6C61D7C3"/>
    <w:rsid w:val="6C66876E"/>
    <w:rsid w:val="6C6BF7B3"/>
    <w:rsid w:val="6C7F8295"/>
    <w:rsid w:val="6C869805"/>
    <w:rsid w:val="6C8B7554"/>
    <w:rsid w:val="6C95483E"/>
    <w:rsid w:val="6C9BA131"/>
    <w:rsid w:val="6C9D595B"/>
    <w:rsid w:val="6CB406FF"/>
    <w:rsid w:val="6CB57C57"/>
    <w:rsid w:val="6CBC6FAE"/>
    <w:rsid w:val="6CDAD404"/>
    <w:rsid w:val="6CDCD499"/>
    <w:rsid w:val="6CFC83C5"/>
    <w:rsid w:val="6D00BE23"/>
    <w:rsid w:val="6D106BB4"/>
    <w:rsid w:val="6D147D85"/>
    <w:rsid w:val="6D14ABA7"/>
    <w:rsid w:val="6D1B9AD5"/>
    <w:rsid w:val="6D219819"/>
    <w:rsid w:val="6D2837CD"/>
    <w:rsid w:val="6D3E29FF"/>
    <w:rsid w:val="6D41A690"/>
    <w:rsid w:val="6D629FEF"/>
    <w:rsid w:val="6D72992A"/>
    <w:rsid w:val="6D799C7A"/>
    <w:rsid w:val="6D987B83"/>
    <w:rsid w:val="6D9A80D4"/>
    <w:rsid w:val="6DAAD3B5"/>
    <w:rsid w:val="6DB57885"/>
    <w:rsid w:val="6DBB2E9A"/>
    <w:rsid w:val="6DBB83C3"/>
    <w:rsid w:val="6DBBF4F0"/>
    <w:rsid w:val="6DC3182D"/>
    <w:rsid w:val="6DCAC293"/>
    <w:rsid w:val="6DDAF606"/>
    <w:rsid w:val="6DDEDECB"/>
    <w:rsid w:val="6DEF8604"/>
    <w:rsid w:val="6E08C7B2"/>
    <w:rsid w:val="6E22EE89"/>
    <w:rsid w:val="6E23FE63"/>
    <w:rsid w:val="6E2DC870"/>
    <w:rsid w:val="6E31189F"/>
    <w:rsid w:val="6E37AE99"/>
    <w:rsid w:val="6E5CE787"/>
    <w:rsid w:val="6E6ECA8D"/>
    <w:rsid w:val="6E8BB6AE"/>
    <w:rsid w:val="6EA7CBF2"/>
    <w:rsid w:val="6EA837A7"/>
    <w:rsid w:val="6EAC3C15"/>
    <w:rsid w:val="6EAD7B5E"/>
    <w:rsid w:val="6EB3444C"/>
    <w:rsid w:val="6EB902EB"/>
    <w:rsid w:val="6EC6BE1E"/>
    <w:rsid w:val="6ECA7EB5"/>
    <w:rsid w:val="6EE492E9"/>
    <w:rsid w:val="6EEA8DBC"/>
    <w:rsid w:val="6EFCAE54"/>
    <w:rsid w:val="6F0407B6"/>
    <w:rsid w:val="6F1DBED0"/>
    <w:rsid w:val="6F37EF1D"/>
    <w:rsid w:val="6F3C9030"/>
    <w:rsid w:val="6F575424"/>
    <w:rsid w:val="6F79B8BB"/>
    <w:rsid w:val="6F7AAF2C"/>
    <w:rsid w:val="6F7C026F"/>
    <w:rsid w:val="6F7C30E1"/>
    <w:rsid w:val="6F805028"/>
    <w:rsid w:val="6F814B7E"/>
    <w:rsid w:val="6F83C4FC"/>
    <w:rsid w:val="6F862020"/>
    <w:rsid w:val="6F8AEA74"/>
    <w:rsid w:val="6F8DDF57"/>
    <w:rsid w:val="6F9B3F0C"/>
    <w:rsid w:val="6F9F54CF"/>
    <w:rsid w:val="6FA2C50D"/>
    <w:rsid w:val="6FC3E994"/>
    <w:rsid w:val="6FC970C5"/>
    <w:rsid w:val="6FD77E52"/>
    <w:rsid w:val="6FD7AB4A"/>
    <w:rsid w:val="700278E8"/>
    <w:rsid w:val="7003F8E2"/>
    <w:rsid w:val="700A9498"/>
    <w:rsid w:val="70249DFC"/>
    <w:rsid w:val="70275451"/>
    <w:rsid w:val="70289EF6"/>
    <w:rsid w:val="7028C18D"/>
    <w:rsid w:val="702A4133"/>
    <w:rsid w:val="704DC7D3"/>
    <w:rsid w:val="706B435A"/>
    <w:rsid w:val="70720307"/>
    <w:rsid w:val="708F7757"/>
    <w:rsid w:val="709173AF"/>
    <w:rsid w:val="709AE75C"/>
    <w:rsid w:val="70B9934E"/>
    <w:rsid w:val="70BDCF67"/>
    <w:rsid w:val="70D0B255"/>
    <w:rsid w:val="70D18FD8"/>
    <w:rsid w:val="70D615FD"/>
    <w:rsid w:val="70D6DEF8"/>
    <w:rsid w:val="70FAB8EF"/>
    <w:rsid w:val="7115D655"/>
    <w:rsid w:val="71167F8D"/>
    <w:rsid w:val="7119C333"/>
    <w:rsid w:val="71344BCC"/>
    <w:rsid w:val="71449C25"/>
    <w:rsid w:val="7149063A"/>
    <w:rsid w:val="7166C681"/>
    <w:rsid w:val="71A634DC"/>
    <w:rsid w:val="71B46770"/>
    <w:rsid w:val="71BFE8DB"/>
    <w:rsid w:val="71C121C0"/>
    <w:rsid w:val="71C136B6"/>
    <w:rsid w:val="71C27081"/>
    <w:rsid w:val="71EA4F9C"/>
    <w:rsid w:val="71F50007"/>
    <w:rsid w:val="72063B32"/>
    <w:rsid w:val="7209AD5A"/>
    <w:rsid w:val="720A3207"/>
    <w:rsid w:val="720E131A"/>
    <w:rsid w:val="72256641"/>
    <w:rsid w:val="7229BA75"/>
    <w:rsid w:val="724207C7"/>
    <w:rsid w:val="7243F5FF"/>
    <w:rsid w:val="724760DF"/>
    <w:rsid w:val="724EA614"/>
    <w:rsid w:val="7269FADD"/>
    <w:rsid w:val="726FE18D"/>
    <w:rsid w:val="727FA662"/>
    <w:rsid w:val="7281E1D5"/>
    <w:rsid w:val="7284C708"/>
    <w:rsid w:val="728CDBCC"/>
    <w:rsid w:val="72A4758B"/>
    <w:rsid w:val="72AE2BAB"/>
    <w:rsid w:val="72AEC078"/>
    <w:rsid w:val="72B24FEE"/>
    <w:rsid w:val="72B428AA"/>
    <w:rsid w:val="72BB6474"/>
    <w:rsid w:val="72BBF0B5"/>
    <w:rsid w:val="72C42E51"/>
    <w:rsid w:val="72C85617"/>
    <w:rsid w:val="72D08482"/>
    <w:rsid w:val="72D28E17"/>
    <w:rsid w:val="72D61208"/>
    <w:rsid w:val="730227C8"/>
    <w:rsid w:val="73149837"/>
    <w:rsid w:val="732458B0"/>
    <w:rsid w:val="732AA816"/>
    <w:rsid w:val="73404430"/>
    <w:rsid w:val="735E40E2"/>
    <w:rsid w:val="736B5B14"/>
    <w:rsid w:val="73726E70"/>
    <w:rsid w:val="7372856D"/>
    <w:rsid w:val="737C688A"/>
    <w:rsid w:val="7389A638"/>
    <w:rsid w:val="73A42A4E"/>
    <w:rsid w:val="73A60268"/>
    <w:rsid w:val="73B1D4D7"/>
    <w:rsid w:val="73B78AD3"/>
    <w:rsid w:val="73BC7F29"/>
    <w:rsid w:val="73DA83DB"/>
    <w:rsid w:val="73F13410"/>
    <w:rsid w:val="741880E6"/>
    <w:rsid w:val="741ECA6C"/>
    <w:rsid w:val="7422C7FC"/>
    <w:rsid w:val="742ED6E2"/>
    <w:rsid w:val="743A6ED0"/>
    <w:rsid w:val="743AE213"/>
    <w:rsid w:val="744A3B01"/>
    <w:rsid w:val="7451DB48"/>
    <w:rsid w:val="7457C026"/>
    <w:rsid w:val="7460032B"/>
    <w:rsid w:val="74656019"/>
    <w:rsid w:val="746C24CE"/>
    <w:rsid w:val="74723E0E"/>
    <w:rsid w:val="7477D966"/>
    <w:rsid w:val="747EDC3F"/>
    <w:rsid w:val="7480A6FC"/>
    <w:rsid w:val="748D31A6"/>
    <w:rsid w:val="74A05A23"/>
    <w:rsid w:val="74A08FC2"/>
    <w:rsid w:val="74A12FFA"/>
    <w:rsid w:val="74C98E67"/>
    <w:rsid w:val="74D90E26"/>
    <w:rsid w:val="74DE2441"/>
    <w:rsid w:val="74DF1296"/>
    <w:rsid w:val="74E1CFD5"/>
    <w:rsid w:val="74E99002"/>
    <w:rsid w:val="74F8D761"/>
    <w:rsid w:val="74FA1143"/>
    <w:rsid w:val="74FB08AE"/>
    <w:rsid w:val="750375BA"/>
    <w:rsid w:val="75093736"/>
    <w:rsid w:val="751748BD"/>
    <w:rsid w:val="7519DAB0"/>
    <w:rsid w:val="752097DC"/>
    <w:rsid w:val="75350DE3"/>
    <w:rsid w:val="7535DBFF"/>
    <w:rsid w:val="7535DD6A"/>
    <w:rsid w:val="7541D2C9"/>
    <w:rsid w:val="75459FE1"/>
    <w:rsid w:val="754671EE"/>
    <w:rsid w:val="7549CDC6"/>
    <w:rsid w:val="75901298"/>
    <w:rsid w:val="759E3B2B"/>
    <w:rsid w:val="75AA13EB"/>
    <w:rsid w:val="75B9C8F0"/>
    <w:rsid w:val="75CDA542"/>
    <w:rsid w:val="75D6B7FD"/>
    <w:rsid w:val="75D98915"/>
    <w:rsid w:val="75DC8440"/>
    <w:rsid w:val="75E8081D"/>
    <w:rsid w:val="75EBA17E"/>
    <w:rsid w:val="760245A8"/>
    <w:rsid w:val="7604AFC6"/>
    <w:rsid w:val="7607BCEF"/>
    <w:rsid w:val="7609B893"/>
    <w:rsid w:val="76290207"/>
    <w:rsid w:val="763A37A4"/>
    <w:rsid w:val="7658DEB6"/>
    <w:rsid w:val="766CF9D8"/>
    <w:rsid w:val="767556FB"/>
    <w:rsid w:val="76801630"/>
    <w:rsid w:val="769186C2"/>
    <w:rsid w:val="76B9CA56"/>
    <w:rsid w:val="76BC683D"/>
    <w:rsid w:val="76C12451"/>
    <w:rsid w:val="76D674D5"/>
    <w:rsid w:val="76DDA32A"/>
    <w:rsid w:val="76E0E41E"/>
    <w:rsid w:val="76E1EB61"/>
    <w:rsid w:val="76E99BFA"/>
    <w:rsid w:val="76F60F38"/>
    <w:rsid w:val="77029DF6"/>
    <w:rsid w:val="770F37B1"/>
    <w:rsid w:val="7715E829"/>
    <w:rsid w:val="77474E01"/>
    <w:rsid w:val="7748DDE4"/>
    <w:rsid w:val="775A3405"/>
    <w:rsid w:val="776677A4"/>
    <w:rsid w:val="776975A3"/>
    <w:rsid w:val="776D925C"/>
    <w:rsid w:val="7797A3ED"/>
    <w:rsid w:val="77A3C590"/>
    <w:rsid w:val="77B25D80"/>
    <w:rsid w:val="77B65FB8"/>
    <w:rsid w:val="77B93A7E"/>
    <w:rsid w:val="77D197F3"/>
    <w:rsid w:val="77D3F871"/>
    <w:rsid w:val="77FD4528"/>
    <w:rsid w:val="78012F29"/>
    <w:rsid w:val="7806C4A2"/>
    <w:rsid w:val="7809172A"/>
    <w:rsid w:val="7817D058"/>
    <w:rsid w:val="7843F82A"/>
    <w:rsid w:val="78505E32"/>
    <w:rsid w:val="7851060D"/>
    <w:rsid w:val="785290E7"/>
    <w:rsid w:val="7857BF97"/>
    <w:rsid w:val="78597C70"/>
    <w:rsid w:val="7868A3F2"/>
    <w:rsid w:val="786B24BE"/>
    <w:rsid w:val="7870A06D"/>
    <w:rsid w:val="787B871D"/>
    <w:rsid w:val="787BC81D"/>
    <w:rsid w:val="788D544A"/>
    <w:rsid w:val="789E6E57"/>
    <w:rsid w:val="78AD78B0"/>
    <w:rsid w:val="78CF8F10"/>
    <w:rsid w:val="78D7FAFC"/>
    <w:rsid w:val="78F7855A"/>
    <w:rsid w:val="78FAAF7B"/>
    <w:rsid w:val="7921FAD8"/>
    <w:rsid w:val="792B2FF9"/>
    <w:rsid w:val="795DEFF2"/>
    <w:rsid w:val="795F4181"/>
    <w:rsid w:val="79749A2E"/>
    <w:rsid w:val="797BA2EA"/>
    <w:rsid w:val="79A08E52"/>
    <w:rsid w:val="79B5C8C0"/>
    <w:rsid w:val="79D4DA7A"/>
    <w:rsid w:val="79DF412B"/>
    <w:rsid w:val="7A24603A"/>
    <w:rsid w:val="7A29B4FC"/>
    <w:rsid w:val="7A2E6922"/>
    <w:rsid w:val="7A30E04C"/>
    <w:rsid w:val="7A6235B7"/>
    <w:rsid w:val="7A63BCF1"/>
    <w:rsid w:val="7A74C1D2"/>
    <w:rsid w:val="7A840A7C"/>
    <w:rsid w:val="7A8A2E0E"/>
    <w:rsid w:val="7AA432B8"/>
    <w:rsid w:val="7AAE9B75"/>
    <w:rsid w:val="7AB756A3"/>
    <w:rsid w:val="7ABB8C87"/>
    <w:rsid w:val="7AD93AC4"/>
    <w:rsid w:val="7ADB6652"/>
    <w:rsid w:val="7AE19510"/>
    <w:rsid w:val="7AF3D4DF"/>
    <w:rsid w:val="7B069FE9"/>
    <w:rsid w:val="7B1C7E73"/>
    <w:rsid w:val="7B26795B"/>
    <w:rsid w:val="7B34BD6E"/>
    <w:rsid w:val="7B38CFEB"/>
    <w:rsid w:val="7B3F4C43"/>
    <w:rsid w:val="7B40DC9F"/>
    <w:rsid w:val="7B49DB17"/>
    <w:rsid w:val="7B4A1D02"/>
    <w:rsid w:val="7B5D64E8"/>
    <w:rsid w:val="7B949574"/>
    <w:rsid w:val="7BAF3C33"/>
    <w:rsid w:val="7BB3DD79"/>
    <w:rsid w:val="7BCF4419"/>
    <w:rsid w:val="7BEF4F2E"/>
    <w:rsid w:val="7C0E703D"/>
    <w:rsid w:val="7C14DFE3"/>
    <w:rsid w:val="7C202029"/>
    <w:rsid w:val="7C2ACFCB"/>
    <w:rsid w:val="7C2BA94E"/>
    <w:rsid w:val="7C366EE6"/>
    <w:rsid w:val="7C43428D"/>
    <w:rsid w:val="7C5E0D25"/>
    <w:rsid w:val="7C683749"/>
    <w:rsid w:val="7C746141"/>
    <w:rsid w:val="7C767CE3"/>
    <w:rsid w:val="7C7E0081"/>
    <w:rsid w:val="7C8B1017"/>
    <w:rsid w:val="7C967FFE"/>
    <w:rsid w:val="7C968CD3"/>
    <w:rsid w:val="7C96934E"/>
    <w:rsid w:val="7CA1548E"/>
    <w:rsid w:val="7CAC41DF"/>
    <w:rsid w:val="7CAD2D58"/>
    <w:rsid w:val="7CBDC165"/>
    <w:rsid w:val="7CC413F5"/>
    <w:rsid w:val="7CCD6486"/>
    <w:rsid w:val="7CD0F371"/>
    <w:rsid w:val="7CD4A04C"/>
    <w:rsid w:val="7CD7B192"/>
    <w:rsid w:val="7CE4987F"/>
    <w:rsid w:val="7CE9539D"/>
    <w:rsid w:val="7CED6982"/>
    <w:rsid w:val="7D263236"/>
    <w:rsid w:val="7D349663"/>
    <w:rsid w:val="7D42B9D1"/>
    <w:rsid w:val="7D4B0C94"/>
    <w:rsid w:val="7D4EF840"/>
    <w:rsid w:val="7D5E44EB"/>
    <w:rsid w:val="7D6A1C72"/>
    <w:rsid w:val="7D7FE872"/>
    <w:rsid w:val="7D849B40"/>
    <w:rsid w:val="7D8B1F8F"/>
    <w:rsid w:val="7D98A19E"/>
    <w:rsid w:val="7DB846FE"/>
    <w:rsid w:val="7DDF12EE"/>
    <w:rsid w:val="7DEB9128"/>
    <w:rsid w:val="7DEFB1AC"/>
    <w:rsid w:val="7E1ABC5A"/>
    <w:rsid w:val="7E20A36E"/>
    <w:rsid w:val="7E2DEA4C"/>
    <w:rsid w:val="7E62E68B"/>
    <w:rsid w:val="7E6C86AC"/>
    <w:rsid w:val="7E6D73AB"/>
    <w:rsid w:val="7E76ED05"/>
    <w:rsid w:val="7E787D61"/>
    <w:rsid w:val="7E8579B6"/>
    <w:rsid w:val="7E8F9025"/>
    <w:rsid w:val="7E995E6C"/>
    <w:rsid w:val="7EAA8E8E"/>
    <w:rsid w:val="7EB2B24E"/>
    <w:rsid w:val="7EB80A38"/>
    <w:rsid w:val="7EBAA79D"/>
    <w:rsid w:val="7ED4125A"/>
    <w:rsid w:val="7ED5ED03"/>
    <w:rsid w:val="7EDCCEEB"/>
    <w:rsid w:val="7EF53614"/>
    <w:rsid w:val="7F06548D"/>
    <w:rsid w:val="7F0EB164"/>
    <w:rsid w:val="7F0FDF4A"/>
    <w:rsid w:val="7F1BB8D3"/>
    <w:rsid w:val="7F4B216E"/>
    <w:rsid w:val="7F737C84"/>
    <w:rsid w:val="7F876189"/>
    <w:rsid w:val="7F8AF1FE"/>
    <w:rsid w:val="7F90D8EB"/>
    <w:rsid w:val="7F9F893A"/>
    <w:rsid w:val="7FA6D0CC"/>
    <w:rsid w:val="7FA6D32A"/>
    <w:rsid w:val="7FA79C56"/>
    <w:rsid w:val="7FAFE551"/>
    <w:rsid w:val="7FC0344B"/>
    <w:rsid w:val="7FC28B3D"/>
    <w:rsid w:val="7FC519FF"/>
    <w:rsid w:val="7FC672CA"/>
    <w:rsid w:val="7FD22E53"/>
    <w:rsid w:val="7FF45A79"/>
    <w:rsid w:val="7FF7B6D0"/>
    <w:rsid w:val="7FF9F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2AF0"/>
  <w15:chartTrackingRefBased/>
  <w15:docId w15:val="{D4E41402-712E-4787-8B2B-CEBE6B97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186F65AD"/>
    <w:rPr>
      <w:lang w:val="en-IE"/>
    </w:rPr>
  </w:style>
  <w:style w:type="paragraph" w:styleId="Ttulo1">
    <w:name w:val="heading 1"/>
    <w:basedOn w:val="Normal"/>
    <w:next w:val="Normal"/>
    <w:link w:val="Ttulo1Car"/>
    <w:uiPriority w:val="9"/>
    <w:qFormat/>
    <w:rsid w:val="186F65AD"/>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186F65AD"/>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186F65AD"/>
    <w:pPr>
      <w:keepNext/>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186F65AD"/>
    <w:pPr>
      <w:keepNext/>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186F65AD"/>
    <w:pPr>
      <w:keepNext/>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186F65AD"/>
    <w:pPr>
      <w:keepNext/>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186F65AD"/>
    <w:pPr>
      <w:keepNext/>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186F65AD"/>
    <w:pPr>
      <w:keepNext/>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186F65AD"/>
    <w:pPr>
      <w:keepNext/>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186F65AD"/>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186F65AD"/>
    <w:rPr>
      <w:rFonts w:eastAsiaTheme="minorEastAsia"/>
      <w:color w:val="5A5A5A"/>
    </w:rPr>
  </w:style>
  <w:style w:type="paragraph" w:styleId="Cita">
    <w:name w:val="Quote"/>
    <w:basedOn w:val="Normal"/>
    <w:next w:val="Normal"/>
    <w:link w:val="CitaCar"/>
    <w:uiPriority w:val="29"/>
    <w:qFormat/>
    <w:rsid w:val="186F65AD"/>
    <w:pPr>
      <w:spacing w:before="200"/>
      <w:ind w:left="864" w:right="864"/>
      <w:jc w:val="center"/>
    </w:pPr>
    <w:rPr>
      <w:i/>
      <w:iCs/>
      <w:color w:val="000000" w:themeColor="text1"/>
    </w:rPr>
  </w:style>
  <w:style w:type="paragraph" w:styleId="Citadestacada">
    <w:name w:val="Intense Quote"/>
    <w:basedOn w:val="Normal"/>
    <w:next w:val="Normal"/>
    <w:link w:val="CitadestacadaCar"/>
    <w:uiPriority w:val="30"/>
    <w:qFormat/>
    <w:rsid w:val="186F65AD"/>
    <w:pPr>
      <w:spacing w:before="360" w:after="360"/>
      <w:ind w:left="864" w:right="864"/>
      <w:jc w:val="center"/>
    </w:pPr>
    <w:rPr>
      <w:i/>
      <w:iCs/>
      <w:color w:val="4471C4"/>
    </w:rPr>
  </w:style>
  <w:style w:type="paragraph" w:styleId="Prrafodelista">
    <w:name w:val="List Paragraph"/>
    <w:basedOn w:val="Normal"/>
    <w:uiPriority w:val="34"/>
    <w:qFormat/>
    <w:rsid w:val="186F65AD"/>
    <w:pPr>
      <w:ind w:left="720"/>
      <w:contextualSpacing/>
    </w:pPr>
  </w:style>
  <w:style w:type="character" w:customStyle="1" w:styleId="Ttulo1Car">
    <w:name w:val="Título 1 Car"/>
    <w:basedOn w:val="Fuentedeprrafopredeter"/>
    <w:link w:val="Ttulo1"/>
    <w:uiPriority w:val="9"/>
    <w:rsid w:val="64447E2C"/>
    <w:rPr>
      <w:rFonts w:asciiTheme="majorHAnsi" w:eastAsiaTheme="majorEastAsia" w:hAnsiTheme="majorHAnsi" w:cstheme="majorBidi"/>
      <w:noProof w:val="0"/>
      <w:color w:val="2F5496" w:themeColor="accent1" w:themeShade="BF"/>
      <w:sz w:val="32"/>
      <w:szCs w:val="32"/>
      <w:lang w:val="en-IE"/>
    </w:rPr>
  </w:style>
  <w:style w:type="character" w:customStyle="1" w:styleId="Ttulo2Car">
    <w:name w:val="Título 2 Car"/>
    <w:basedOn w:val="Fuentedeprrafopredeter"/>
    <w:link w:val="Ttulo2"/>
    <w:uiPriority w:val="9"/>
    <w:rsid w:val="64447E2C"/>
    <w:rPr>
      <w:rFonts w:asciiTheme="majorHAnsi" w:eastAsiaTheme="majorEastAsia" w:hAnsiTheme="majorHAnsi" w:cstheme="majorBidi"/>
      <w:noProof w:val="0"/>
      <w:color w:val="2F5496" w:themeColor="accent1" w:themeShade="BF"/>
      <w:sz w:val="26"/>
      <w:szCs w:val="26"/>
      <w:lang w:val="en-IE"/>
    </w:rPr>
  </w:style>
  <w:style w:type="character" w:customStyle="1" w:styleId="Ttulo3Car">
    <w:name w:val="Título 3 Car"/>
    <w:basedOn w:val="Fuentedeprrafopredeter"/>
    <w:link w:val="Ttulo3"/>
    <w:uiPriority w:val="9"/>
    <w:rsid w:val="64447E2C"/>
    <w:rPr>
      <w:rFonts w:asciiTheme="majorHAnsi" w:eastAsiaTheme="majorEastAsia" w:hAnsiTheme="majorHAnsi" w:cstheme="majorBidi"/>
      <w:noProof w:val="0"/>
      <w:color w:val="1F3763"/>
      <w:sz w:val="24"/>
      <w:szCs w:val="24"/>
      <w:lang w:val="en-IE"/>
    </w:rPr>
  </w:style>
  <w:style w:type="character" w:customStyle="1" w:styleId="Ttulo4Car">
    <w:name w:val="Título 4 Car"/>
    <w:basedOn w:val="Fuentedeprrafopredeter"/>
    <w:link w:val="Ttulo4"/>
    <w:uiPriority w:val="9"/>
    <w:rsid w:val="64447E2C"/>
    <w:rPr>
      <w:rFonts w:asciiTheme="majorHAnsi" w:eastAsiaTheme="majorEastAsia" w:hAnsiTheme="majorHAnsi" w:cstheme="majorBidi"/>
      <w:i/>
      <w:iCs/>
      <w:noProof w:val="0"/>
      <w:color w:val="2F5496" w:themeColor="accent1" w:themeShade="BF"/>
      <w:lang w:val="en-IE"/>
    </w:rPr>
  </w:style>
  <w:style w:type="character" w:customStyle="1" w:styleId="Ttulo5Car">
    <w:name w:val="Título 5 Car"/>
    <w:basedOn w:val="Fuentedeprrafopredeter"/>
    <w:link w:val="Ttulo5"/>
    <w:uiPriority w:val="9"/>
    <w:rsid w:val="64447E2C"/>
    <w:rPr>
      <w:rFonts w:asciiTheme="majorHAnsi" w:eastAsiaTheme="majorEastAsia" w:hAnsiTheme="majorHAnsi" w:cstheme="majorBidi"/>
      <w:noProof w:val="0"/>
      <w:color w:val="2F5496" w:themeColor="accent1" w:themeShade="BF"/>
      <w:lang w:val="en-IE"/>
    </w:rPr>
  </w:style>
  <w:style w:type="character" w:customStyle="1" w:styleId="Ttulo6Car">
    <w:name w:val="Título 6 Car"/>
    <w:basedOn w:val="Fuentedeprrafopredeter"/>
    <w:link w:val="Ttulo6"/>
    <w:uiPriority w:val="9"/>
    <w:rsid w:val="64447E2C"/>
    <w:rPr>
      <w:rFonts w:asciiTheme="majorHAnsi" w:eastAsiaTheme="majorEastAsia" w:hAnsiTheme="majorHAnsi" w:cstheme="majorBidi"/>
      <w:noProof w:val="0"/>
      <w:color w:val="1F3763"/>
      <w:lang w:val="en-IE"/>
    </w:rPr>
  </w:style>
  <w:style w:type="character" w:customStyle="1" w:styleId="Ttulo7Car">
    <w:name w:val="Título 7 Car"/>
    <w:basedOn w:val="Fuentedeprrafopredeter"/>
    <w:link w:val="Ttulo7"/>
    <w:uiPriority w:val="9"/>
    <w:rsid w:val="64447E2C"/>
    <w:rPr>
      <w:rFonts w:asciiTheme="majorHAnsi" w:eastAsiaTheme="majorEastAsia" w:hAnsiTheme="majorHAnsi" w:cstheme="majorBidi"/>
      <w:i/>
      <w:iCs/>
      <w:noProof w:val="0"/>
      <w:color w:val="1F3763"/>
      <w:lang w:val="en-IE"/>
    </w:rPr>
  </w:style>
  <w:style w:type="character" w:customStyle="1" w:styleId="Ttulo8Car">
    <w:name w:val="Título 8 Car"/>
    <w:basedOn w:val="Fuentedeprrafopredeter"/>
    <w:link w:val="Ttulo8"/>
    <w:uiPriority w:val="9"/>
    <w:rsid w:val="64447E2C"/>
    <w:rPr>
      <w:rFonts w:asciiTheme="majorHAnsi" w:eastAsiaTheme="majorEastAsia" w:hAnsiTheme="majorHAnsi" w:cstheme="majorBidi"/>
      <w:noProof w:val="0"/>
      <w:color w:val="272727"/>
      <w:sz w:val="21"/>
      <w:szCs w:val="21"/>
      <w:lang w:val="en-IE"/>
    </w:rPr>
  </w:style>
  <w:style w:type="character" w:customStyle="1" w:styleId="Ttulo9Car">
    <w:name w:val="Título 9 Car"/>
    <w:basedOn w:val="Fuentedeprrafopredeter"/>
    <w:link w:val="Ttulo9"/>
    <w:uiPriority w:val="9"/>
    <w:rsid w:val="64447E2C"/>
    <w:rPr>
      <w:rFonts w:asciiTheme="majorHAnsi" w:eastAsiaTheme="majorEastAsia" w:hAnsiTheme="majorHAnsi" w:cstheme="majorBidi"/>
      <w:i/>
      <w:iCs/>
      <w:noProof w:val="0"/>
      <w:color w:val="272727"/>
      <w:sz w:val="21"/>
      <w:szCs w:val="21"/>
      <w:lang w:val="en-IE"/>
    </w:rPr>
  </w:style>
  <w:style w:type="character" w:customStyle="1" w:styleId="PuestoCar">
    <w:name w:val="Puesto Car"/>
    <w:basedOn w:val="Fuentedeprrafopredeter"/>
    <w:link w:val="Puesto"/>
    <w:uiPriority w:val="10"/>
    <w:rsid w:val="64447E2C"/>
    <w:rPr>
      <w:rFonts w:asciiTheme="majorHAnsi" w:eastAsiaTheme="majorEastAsia" w:hAnsiTheme="majorHAnsi" w:cstheme="majorBidi"/>
      <w:noProof w:val="0"/>
      <w:sz w:val="56"/>
      <w:szCs w:val="56"/>
      <w:lang w:val="en-IE"/>
    </w:rPr>
  </w:style>
  <w:style w:type="character" w:customStyle="1" w:styleId="SubttuloCar">
    <w:name w:val="Subtítulo Car"/>
    <w:basedOn w:val="Fuentedeprrafopredeter"/>
    <w:link w:val="Subttulo"/>
    <w:uiPriority w:val="11"/>
    <w:rsid w:val="64447E2C"/>
    <w:rPr>
      <w:rFonts w:asciiTheme="minorHAnsi" w:eastAsiaTheme="minorEastAsia" w:hAnsiTheme="minorHAnsi" w:cstheme="minorBidi"/>
      <w:noProof w:val="0"/>
      <w:color w:val="5A5A5A"/>
      <w:lang w:val="en-IE"/>
    </w:rPr>
  </w:style>
  <w:style w:type="character" w:customStyle="1" w:styleId="CitaCar">
    <w:name w:val="Cita Car"/>
    <w:basedOn w:val="Fuentedeprrafopredeter"/>
    <w:link w:val="Cita"/>
    <w:uiPriority w:val="29"/>
    <w:rsid w:val="64447E2C"/>
    <w:rPr>
      <w:i/>
      <w:iCs/>
      <w:noProof w:val="0"/>
      <w:color w:val="404040" w:themeColor="text1" w:themeTint="BF"/>
      <w:lang w:val="en-IE"/>
    </w:rPr>
  </w:style>
  <w:style w:type="character" w:customStyle="1" w:styleId="CitadestacadaCar">
    <w:name w:val="Cita destacada Car"/>
    <w:basedOn w:val="Fuentedeprrafopredeter"/>
    <w:link w:val="Citadestacada"/>
    <w:uiPriority w:val="30"/>
    <w:rsid w:val="64447E2C"/>
    <w:rPr>
      <w:i/>
      <w:iCs/>
      <w:noProof w:val="0"/>
      <w:color w:val="4472C4" w:themeColor="accent1"/>
      <w:lang w:val="en-IE"/>
    </w:rPr>
  </w:style>
  <w:style w:type="paragraph" w:styleId="TDC1">
    <w:name w:val="toc 1"/>
    <w:basedOn w:val="Normal"/>
    <w:next w:val="Normal"/>
    <w:uiPriority w:val="39"/>
    <w:unhideWhenUsed/>
    <w:rsid w:val="186F65AD"/>
    <w:pPr>
      <w:spacing w:after="100"/>
    </w:pPr>
  </w:style>
  <w:style w:type="paragraph" w:styleId="TDC2">
    <w:name w:val="toc 2"/>
    <w:basedOn w:val="Normal"/>
    <w:next w:val="Normal"/>
    <w:uiPriority w:val="39"/>
    <w:unhideWhenUsed/>
    <w:rsid w:val="186F65AD"/>
    <w:pPr>
      <w:spacing w:after="100"/>
      <w:ind w:left="220"/>
    </w:pPr>
  </w:style>
  <w:style w:type="paragraph" w:styleId="TDC3">
    <w:name w:val="toc 3"/>
    <w:basedOn w:val="Normal"/>
    <w:next w:val="Normal"/>
    <w:uiPriority w:val="39"/>
    <w:unhideWhenUsed/>
    <w:rsid w:val="186F65AD"/>
    <w:pPr>
      <w:spacing w:after="100"/>
      <w:ind w:left="440"/>
    </w:pPr>
  </w:style>
  <w:style w:type="paragraph" w:styleId="TDC4">
    <w:name w:val="toc 4"/>
    <w:basedOn w:val="Normal"/>
    <w:next w:val="Normal"/>
    <w:uiPriority w:val="39"/>
    <w:unhideWhenUsed/>
    <w:rsid w:val="186F65AD"/>
    <w:pPr>
      <w:spacing w:after="100"/>
      <w:ind w:left="660"/>
    </w:pPr>
  </w:style>
  <w:style w:type="paragraph" w:styleId="TDC5">
    <w:name w:val="toc 5"/>
    <w:basedOn w:val="Normal"/>
    <w:next w:val="Normal"/>
    <w:uiPriority w:val="39"/>
    <w:unhideWhenUsed/>
    <w:rsid w:val="186F65AD"/>
    <w:pPr>
      <w:spacing w:after="100"/>
      <w:ind w:left="880"/>
    </w:pPr>
  </w:style>
  <w:style w:type="paragraph" w:styleId="TDC6">
    <w:name w:val="toc 6"/>
    <w:basedOn w:val="Normal"/>
    <w:next w:val="Normal"/>
    <w:uiPriority w:val="39"/>
    <w:unhideWhenUsed/>
    <w:rsid w:val="186F65AD"/>
    <w:pPr>
      <w:spacing w:after="100"/>
      <w:ind w:left="1100"/>
    </w:pPr>
  </w:style>
  <w:style w:type="paragraph" w:styleId="TDC7">
    <w:name w:val="toc 7"/>
    <w:basedOn w:val="Normal"/>
    <w:next w:val="Normal"/>
    <w:uiPriority w:val="39"/>
    <w:unhideWhenUsed/>
    <w:rsid w:val="186F65AD"/>
    <w:pPr>
      <w:spacing w:after="100"/>
      <w:ind w:left="1320"/>
    </w:pPr>
  </w:style>
  <w:style w:type="paragraph" w:styleId="TDC8">
    <w:name w:val="toc 8"/>
    <w:basedOn w:val="Normal"/>
    <w:next w:val="Normal"/>
    <w:uiPriority w:val="39"/>
    <w:unhideWhenUsed/>
    <w:rsid w:val="186F65AD"/>
    <w:pPr>
      <w:spacing w:after="100"/>
      <w:ind w:left="1540"/>
    </w:pPr>
  </w:style>
  <w:style w:type="paragraph" w:styleId="TDC9">
    <w:name w:val="toc 9"/>
    <w:basedOn w:val="Normal"/>
    <w:next w:val="Normal"/>
    <w:uiPriority w:val="39"/>
    <w:unhideWhenUsed/>
    <w:rsid w:val="186F65AD"/>
    <w:pPr>
      <w:spacing w:after="100"/>
      <w:ind w:left="1760"/>
    </w:pPr>
  </w:style>
  <w:style w:type="paragraph" w:styleId="Textonotaalfinal">
    <w:name w:val="endnote text"/>
    <w:basedOn w:val="Normal"/>
    <w:link w:val="TextonotaalfinalCar"/>
    <w:uiPriority w:val="99"/>
    <w:unhideWhenUsed/>
    <w:rsid w:val="186F65AD"/>
    <w:pPr>
      <w:spacing w:after="0"/>
    </w:pPr>
    <w:rPr>
      <w:sz w:val="20"/>
      <w:szCs w:val="20"/>
    </w:rPr>
  </w:style>
  <w:style w:type="character" w:customStyle="1" w:styleId="TextonotaalfinalCar">
    <w:name w:val="Texto nota al final Car"/>
    <w:basedOn w:val="Fuentedeprrafopredeter"/>
    <w:link w:val="Textonotaalfinal"/>
    <w:uiPriority w:val="99"/>
    <w:rsid w:val="64447E2C"/>
    <w:rPr>
      <w:noProof w:val="0"/>
      <w:sz w:val="20"/>
      <w:szCs w:val="20"/>
      <w:lang w:val="en-IE"/>
    </w:rPr>
  </w:style>
  <w:style w:type="paragraph" w:styleId="Piedepgina">
    <w:name w:val="footer"/>
    <w:basedOn w:val="Normal"/>
    <w:link w:val="PiedepginaCar"/>
    <w:uiPriority w:val="99"/>
    <w:unhideWhenUsed/>
    <w:rsid w:val="186F65AD"/>
    <w:pPr>
      <w:tabs>
        <w:tab w:val="center" w:pos="4680"/>
        <w:tab w:val="right" w:pos="9360"/>
      </w:tabs>
      <w:spacing w:after="0"/>
    </w:pPr>
  </w:style>
  <w:style w:type="character" w:customStyle="1" w:styleId="PiedepginaCar">
    <w:name w:val="Pie de página Car"/>
    <w:basedOn w:val="Fuentedeprrafopredeter"/>
    <w:link w:val="Piedepgina"/>
    <w:uiPriority w:val="99"/>
    <w:rsid w:val="64447E2C"/>
    <w:rPr>
      <w:noProof w:val="0"/>
      <w:lang w:val="en-IE"/>
    </w:rPr>
  </w:style>
  <w:style w:type="paragraph" w:styleId="Textonotapie">
    <w:name w:val="footnote text"/>
    <w:basedOn w:val="Normal"/>
    <w:link w:val="TextonotapieCar"/>
    <w:uiPriority w:val="99"/>
    <w:unhideWhenUsed/>
    <w:rsid w:val="186F65AD"/>
    <w:pPr>
      <w:spacing w:after="0"/>
    </w:pPr>
    <w:rPr>
      <w:sz w:val="20"/>
      <w:szCs w:val="20"/>
    </w:rPr>
  </w:style>
  <w:style w:type="character" w:customStyle="1" w:styleId="TextonotapieCar">
    <w:name w:val="Texto nota pie Car"/>
    <w:basedOn w:val="Fuentedeprrafopredeter"/>
    <w:link w:val="Textonotapie"/>
    <w:uiPriority w:val="99"/>
    <w:rsid w:val="64447E2C"/>
    <w:rPr>
      <w:noProof w:val="0"/>
      <w:sz w:val="20"/>
      <w:szCs w:val="20"/>
      <w:lang w:val="en-IE"/>
    </w:rPr>
  </w:style>
  <w:style w:type="paragraph" w:styleId="Encabezado">
    <w:name w:val="header"/>
    <w:basedOn w:val="Normal"/>
    <w:link w:val="EncabezadoCar"/>
    <w:uiPriority w:val="99"/>
    <w:unhideWhenUsed/>
    <w:rsid w:val="186F65AD"/>
    <w:pPr>
      <w:tabs>
        <w:tab w:val="center" w:pos="4680"/>
        <w:tab w:val="right" w:pos="9360"/>
      </w:tabs>
      <w:spacing w:after="0"/>
    </w:pPr>
  </w:style>
  <w:style w:type="character" w:customStyle="1" w:styleId="EncabezadoCar">
    <w:name w:val="Encabezado Car"/>
    <w:basedOn w:val="Fuentedeprrafopredeter"/>
    <w:link w:val="Encabezado"/>
    <w:uiPriority w:val="99"/>
    <w:rsid w:val="64447E2C"/>
    <w:rPr>
      <w:noProof w:val="0"/>
      <w:lang w:val="en-IE"/>
    </w:rPr>
  </w:style>
  <w:style w:type="character" w:styleId="Hipervnculo">
    <w:name w:val="Hyperlink"/>
    <w:basedOn w:val="Fuentedeprrafopredeter"/>
    <w:uiPriority w:val="99"/>
    <w:unhideWhenUsed/>
    <w:rPr>
      <w:color w:val="0563C1" w:themeColor="hyperlink"/>
      <w:u w:val="single"/>
    </w:rPr>
  </w:style>
  <w:style w:type="character" w:styleId="Refdenotaalpie">
    <w:name w:val="footnote reference"/>
    <w:basedOn w:val="Fuentedeprrafopredeter"/>
    <w:uiPriority w:val="99"/>
    <w:semiHidden/>
    <w:unhideWhenUsed/>
    <w:rPr>
      <w:vertAlign w:val="superscript"/>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IE"/>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D1A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AED"/>
    <w:rPr>
      <w:rFonts w:ascii="Segoe UI" w:hAnsi="Segoe UI" w:cs="Segoe UI"/>
      <w:sz w:val="18"/>
      <w:szCs w:val="18"/>
      <w:lang w:val="en-IE"/>
    </w:rPr>
  </w:style>
  <w:style w:type="paragraph" w:customStyle="1" w:styleId="Default">
    <w:name w:val="Default"/>
    <w:rsid w:val="00FA3641"/>
    <w:pPr>
      <w:autoSpaceDE w:val="0"/>
      <w:autoSpaceDN w:val="0"/>
      <w:adjustRightInd w:val="0"/>
      <w:spacing w:after="0" w:line="240" w:lineRule="auto"/>
    </w:pPr>
    <w:rPr>
      <w:rFonts w:ascii="Calibri" w:hAnsi="Calibri" w:cs="Calibri"/>
      <w:color w:val="000000"/>
      <w:sz w:val="24"/>
      <w:szCs w:val="24"/>
      <w:lang w:val="es-MX"/>
    </w:rPr>
  </w:style>
  <w:style w:type="character" w:customStyle="1" w:styleId="normaltextrun">
    <w:name w:val="normaltextrun"/>
    <w:basedOn w:val="Fuentedeprrafopredeter"/>
    <w:rsid w:val="003B1D98"/>
  </w:style>
  <w:style w:type="character" w:customStyle="1" w:styleId="eop">
    <w:name w:val="eop"/>
    <w:basedOn w:val="Fuentedeprrafopredeter"/>
    <w:rsid w:val="003B1D98"/>
  </w:style>
  <w:style w:type="paragraph" w:customStyle="1" w:styleId="paragraph">
    <w:name w:val="paragraph"/>
    <w:basedOn w:val="Normal"/>
    <w:rsid w:val="00B473B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superscript">
    <w:name w:val="superscript"/>
    <w:basedOn w:val="Fuentedeprrafopredeter"/>
    <w:rsid w:val="00B473BF"/>
  </w:style>
  <w:style w:type="paragraph" w:styleId="Revisin">
    <w:name w:val="Revision"/>
    <w:hidden/>
    <w:uiPriority w:val="99"/>
    <w:semiHidden/>
    <w:rsid w:val="00987B7D"/>
    <w:pPr>
      <w:spacing w:after="0" w:line="240" w:lineRule="auto"/>
    </w:pPr>
    <w:rPr>
      <w:lang w:val="en-IE"/>
    </w:rPr>
  </w:style>
  <w:style w:type="character" w:styleId="Hipervnculovisitado">
    <w:name w:val="FollowedHyperlink"/>
    <w:basedOn w:val="Fuentedeprrafopredeter"/>
    <w:uiPriority w:val="99"/>
    <w:semiHidden/>
    <w:unhideWhenUsed/>
    <w:rsid w:val="00987B7D"/>
    <w:rPr>
      <w:color w:val="954F72" w:themeColor="followedHyperlink"/>
      <w:u w:val="single"/>
    </w:rPr>
  </w:style>
  <w:style w:type="character" w:styleId="Refdenotaalfinal">
    <w:name w:val="endnote reference"/>
    <w:basedOn w:val="Fuentedeprrafopredeter"/>
    <w:uiPriority w:val="99"/>
    <w:semiHidden/>
    <w:unhideWhenUsed/>
    <w:rsid w:val="00837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6287">
      <w:bodyDiv w:val="1"/>
      <w:marLeft w:val="0"/>
      <w:marRight w:val="0"/>
      <w:marTop w:val="0"/>
      <w:marBottom w:val="0"/>
      <w:divBdr>
        <w:top w:val="none" w:sz="0" w:space="0" w:color="auto"/>
        <w:left w:val="none" w:sz="0" w:space="0" w:color="auto"/>
        <w:bottom w:val="none" w:sz="0" w:space="0" w:color="auto"/>
        <w:right w:val="none" w:sz="0" w:space="0" w:color="auto"/>
      </w:divBdr>
    </w:div>
    <w:div w:id="1442340327">
      <w:bodyDiv w:val="1"/>
      <w:marLeft w:val="0"/>
      <w:marRight w:val="0"/>
      <w:marTop w:val="0"/>
      <w:marBottom w:val="0"/>
      <w:divBdr>
        <w:top w:val="none" w:sz="0" w:space="0" w:color="auto"/>
        <w:left w:val="none" w:sz="0" w:space="0" w:color="auto"/>
        <w:bottom w:val="none" w:sz="0" w:space="0" w:color="auto"/>
        <w:right w:val="none" w:sz="0" w:space="0" w:color="auto"/>
      </w:divBdr>
      <w:divsChild>
        <w:div w:id="578056681">
          <w:marLeft w:val="0"/>
          <w:marRight w:val="0"/>
          <w:marTop w:val="0"/>
          <w:marBottom w:val="0"/>
          <w:divBdr>
            <w:top w:val="none" w:sz="0" w:space="0" w:color="auto"/>
            <w:left w:val="none" w:sz="0" w:space="0" w:color="auto"/>
            <w:bottom w:val="none" w:sz="0" w:space="0" w:color="auto"/>
            <w:right w:val="none" w:sz="0" w:space="0" w:color="auto"/>
          </w:divBdr>
        </w:div>
        <w:div w:id="663702435">
          <w:marLeft w:val="0"/>
          <w:marRight w:val="0"/>
          <w:marTop w:val="0"/>
          <w:marBottom w:val="0"/>
          <w:divBdr>
            <w:top w:val="none" w:sz="0" w:space="0" w:color="auto"/>
            <w:left w:val="none" w:sz="0" w:space="0" w:color="auto"/>
            <w:bottom w:val="none" w:sz="0" w:space="0" w:color="auto"/>
            <w:right w:val="none" w:sz="0" w:space="0" w:color="auto"/>
          </w:divBdr>
        </w:div>
      </w:divsChild>
    </w:div>
    <w:div w:id="16219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hrw.org/news/2020/07/16/sudans-law-reforms-positive-first-step" TargetMode="External"/><Relationship Id="R83b5039aade741c2"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uprdoc.ohchr.org/uprweb/downloadfile.aspx?filename=9087&amp;file=EnglishTranslation" TargetMode="External"/><Relationship Id="rId2" Type="http://schemas.openxmlformats.org/officeDocument/2006/relationships/numbering" Target="numbering.xml"/><Relationship Id="rId16" Type="http://schemas.openxmlformats.org/officeDocument/2006/relationships/hyperlink" Target="https://www.ohchr.org/en/calls-for-input/2023/call-input-thematic-report-freedom-religion-or-belief-forb-and-sexual" TargetMode="External"/><Relationship Id="rId20" Type="http://schemas.openxmlformats.org/officeDocument/2006/relationships/theme" Target="theme/theme1.xml"/><Relationship Id="Ra4f5795aba9f42e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369c16040c214b54"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xn--alejandromuante-8qb.com/la-historia-de-la-ley-mordaza-o-decreto-legislativo-1323/" TargetMode="External"/><Relationship Id="rId13" Type="http://schemas.openxmlformats.org/officeDocument/2006/relationships/hyperlink" Target="https://www.docdroid.net/lqyahjH/needs-assessment-report-2020-pdf" TargetMode="External"/><Relationship Id="rId18" Type="http://schemas.openxmlformats.org/officeDocument/2006/relationships/hyperlink" Target="https://doi.org/10.1007/s13178-021-00615-5" TargetMode="External"/><Relationship Id="rId26" Type="http://schemas.openxmlformats.org/officeDocument/2006/relationships/hyperlink" Target="https://www.wfd.org/sites/default/files/2022-03/Final%20Report%20-%2012th%20Jan%202022.pdf" TargetMode="External"/><Relationship Id="rId3" Type="http://schemas.openxmlformats.org/officeDocument/2006/relationships/hyperlink" Target="https://scholarlycommons.law.emory.edu/eilr/vol36/iss4/4" TargetMode="External"/><Relationship Id="rId21" Type="http://schemas.openxmlformats.org/officeDocument/2006/relationships/hyperlink" Target="https://monitor.ilga.org/" TargetMode="External"/><Relationship Id="rId7" Type="http://schemas.openxmlformats.org/officeDocument/2006/relationships/hyperlink" Target="https://melomediazambia.com/2022/09/20/statement-by-the-minister-of-information-and-media-and-chief-government-spokesperson-hon-chushi-kasanda-mp-on-lesbian-gay-bisexual-and-transgender-lgbt-in-zambia/" TargetMode="External"/><Relationship Id="rId12" Type="http://schemas.openxmlformats.org/officeDocument/2006/relationships/hyperlink" Target="https://ilga.org/downloads/ILGA_World_State_Sponsored_Homophobia_report_global_legislation_overview_update_December_2019.pdf" TargetMode="External"/><Relationship Id="rId17" Type="http://schemas.openxmlformats.org/officeDocument/2006/relationships/hyperlink" Target="https://www.docdroid.net/lqyahjH/needs-assessment-report-2020-pdf" TargetMode="External"/><Relationship Id="rId25" Type="http://schemas.openxmlformats.org/officeDocument/2006/relationships/hyperlink" Target="https://doi.org/10.1080/13642987.2020.1763961" TargetMode="External"/><Relationship Id="rId2" Type="http://schemas.openxmlformats.org/officeDocument/2006/relationships/hyperlink" Target="https://documents-dds-ny.un.org/doc/UNDOC/GEN/G20/217/76/PDF/G2021776.pdf?OpenElement" TargetMode="External"/><Relationship Id="rId16" Type="http://schemas.openxmlformats.org/officeDocument/2006/relationships/hyperlink" Target="https://www.hrw.org/news/2020/07/16/sudans-law-reforms-positive-first-step" TargetMode="External"/><Relationship Id="rId20" Type="http://schemas.openxmlformats.org/officeDocument/2006/relationships/hyperlink" Target="https://www.cbcgha.org/wp-content/uploads/2021/02/GCBC-ON-HOMOSEXUALITY.pdf" TargetMode="External"/><Relationship Id="rId1" Type="http://schemas.openxmlformats.org/officeDocument/2006/relationships/hyperlink" Target="https://www.ohchr.org/en/2021/05/right-freedom-religion-or-belief-and-right-live-free-violence-and-discrimination-based-sogi" TargetMode="External"/><Relationship Id="rId6" Type="http://schemas.openxmlformats.org/officeDocument/2006/relationships/hyperlink" Target="https://documents-dds-ny.un.org/doc/UNDOC/GEN/G18/052/15/PDF/G1805215.pdf?OpenElement" TargetMode="External"/><Relationship Id="rId11" Type="http://schemas.openxmlformats.org/officeDocument/2006/relationships/hyperlink" Target="http://internap.hrw.org/features/features/lgbt_laws/" TargetMode="External"/><Relationship Id="rId24" Type="http://schemas.openxmlformats.org/officeDocument/2006/relationships/hyperlink" Target="https://doi.org/10.1007/s13178-021-00615-5" TargetMode="External"/><Relationship Id="rId5" Type="http://schemas.openxmlformats.org/officeDocument/2006/relationships/hyperlink" Target="https://talkabout.iclrs.org/2022/12/19/interview-nazila-ghanea/" TargetMode="External"/><Relationship Id="rId15" Type="http://schemas.openxmlformats.org/officeDocument/2006/relationships/hyperlink" Target="https://www.docdroid.net/lqyahjH/needs-assessment-report-2020-pdf" TargetMode="External"/><Relationship Id="rId23" Type="http://schemas.openxmlformats.org/officeDocument/2006/relationships/hyperlink" Target="https://www.masigualdad.pe/_files/ugd/4aec54_828d1b98b2104571998801b398c0844f.pdf?index=true" TargetMode="External"/><Relationship Id="rId28" Type="http://schemas.openxmlformats.org/officeDocument/2006/relationships/hyperlink" Target="https://doi.org/10.1007/s13178-021-00615-5" TargetMode="External"/><Relationship Id="rId10" Type="http://schemas.openxmlformats.org/officeDocument/2006/relationships/hyperlink" Target="https://doi.org/10.1080/13642987.2020.1763961" TargetMode="External"/><Relationship Id="rId19" Type="http://schemas.openxmlformats.org/officeDocument/2006/relationships/hyperlink" Target="https://doi.org/10.1007/s13178-021-00615-5" TargetMode="External"/><Relationship Id="rId4" Type="http://schemas.openxmlformats.org/officeDocument/2006/relationships/hyperlink" Target="https://documents-dds-ny.un.org/doc/UNDOC/GEN/G20/217/76/PDF/G2021776.pdf?OpenElement" TargetMode="External"/><Relationship Id="rId9" Type="http://schemas.openxmlformats.org/officeDocument/2006/relationships/hyperlink" Target="https://www.pressreader.com/sri-lanka/daily-mirror-sri-lanka/20121005/281732676707190" TargetMode="External"/><Relationship Id="rId14" Type="http://schemas.openxmlformats.org/officeDocument/2006/relationships/hyperlink" Target="https://uprdoc.ohchr.org/uprweb/downloadfile.aspx?filename=9087&amp;file=EnglishTranslation" TargetMode="External"/><Relationship Id="rId22" Type="http://schemas.openxmlformats.org/officeDocument/2006/relationships/hyperlink" Target="https://larepublica.pe/politica/2019/08/12/las-terapias-de-la-tortura/" TargetMode="External"/><Relationship Id="rId27" Type="http://schemas.openxmlformats.org/officeDocument/2006/relationships/hyperlink" Target="https://doi.org/10.1007/s13178-021-006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ILGA World Joint Submission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752D8A4-C6A9-43C1-B3C0-C80163592FA4}">
  <ds:schemaRefs>
    <ds:schemaRef ds:uri="http://schemas.openxmlformats.org/officeDocument/2006/bibliography"/>
  </ds:schemaRefs>
</ds:datastoreItem>
</file>

<file path=customXml/itemProps2.xml><?xml version="1.0" encoding="utf-8"?>
<ds:datastoreItem xmlns:ds="http://schemas.openxmlformats.org/officeDocument/2006/customXml" ds:itemID="{5CD6635B-0BBE-4C8C-8C10-56365D132E76}"/>
</file>

<file path=customXml/itemProps3.xml><?xml version="1.0" encoding="utf-8"?>
<ds:datastoreItem xmlns:ds="http://schemas.openxmlformats.org/officeDocument/2006/customXml" ds:itemID="{5E922937-F17C-4122-B14A-90B3267FD616}"/>
</file>

<file path=customXml/itemProps4.xml><?xml version="1.0" encoding="utf-8"?>
<ds:datastoreItem xmlns:ds="http://schemas.openxmlformats.org/officeDocument/2006/customXml" ds:itemID="{7498D768-BC31-4B6A-AC0B-112A04BE303D}"/>
</file>

<file path=docProps/app.xml><?xml version="1.0" encoding="utf-8"?>
<Properties xmlns="http://schemas.openxmlformats.org/officeDocument/2006/extended-properties" xmlns:vt="http://schemas.openxmlformats.org/officeDocument/2006/docPropsVTypes">
  <Template>Normal</Template>
  <TotalTime>2</TotalTime>
  <Pages>13</Pages>
  <Words>4504</Words>
  <Characters>24775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Burke</dc:creator>
  <cp:keywords/>
  <dc:description/>
  <cp:lastModifiedBy>Cuenta Microsoft</cp:lastModifiedBy>
  <cp:revision>3</cp:revision>
  <dcterms:created xsi:type="dcterms:W3CDTF">2023-01-16T04:11:00Z</dcterms:created>
  <dcterms:modified xsi:type="dcterms:W3CDTF">2023-01-16T04:18:00Z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