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DA" w:rsidRPr="00AC62DA" w:rsidRDefault="00C43547" w:rsidP="00AC62DA">
      <w:pPr>
        <w:spacing w:after="0"/>
        <w:jc w:val="center"/>
        <w:rPr>
          <w:b/>
        </w:rPr>
      </w:pPr>
      <w:r w:rsidRPr="00AC62DA">
        <w:rPr>
          <w:b/>
        </w:rPr>
        <w:t>Internati</w:t>
      </w:r>
      <w:r w:rsidR="00AC62DA" w:rsidRPr="00AC62DA">
        <w:rPr>
          <w:b/>
        </w:rPr>
        <w:t>onal Organization for the Family</w:t>
      </w:r>
    </w:p>
    <w:p w:rsidR="009A4F9A" w:rsidRDefault="00C43547" w:rsidP="00C37C7F">
      <w:pPr>
        <w:spacing w:after="0"/>
        <w:jc w:val="center"/>
        <w:rPr>
          <w:b/>
        </w:rPr>
      </w:pPr>
      <w:r w:rsidRPr="00AC62DA">
        <w:rPr>
          <w:b/>
        </w:rPr>
        <w:t>(Howard Center for Family, Religion and Society)</w:t>
      </w:r>
    </w:p>
    <w:p w:rsidR="00C37C7F" w:rsidRPr="00AC62DA" w:rsidRDefault="00C37C7F" w:rsidP="00C43547">
      <w:pPr>
        <w:jc w:val="center"/>
        <w:rPr>
          <w:b/>
        </w:rPr>
      </w:pPr>
      <w:r>
        <w:rPr>
          <w:b/>
        </w:rPr>
        <w:t>15 January 2023</w:t>
      </w:r>
    </w:p>
    <w:p w:rsidR="00BA46CB" w:rsidRPr="00BA46CB" w:rsidRDefault="0025046E">
      <w:pPr>
        <w:rPr>
          <w:i/>
        </w:rPr>
      </w:pPr>
      <w:r w:rsidRPr="00BA46CB">
        <w:rPr>
          <w:i/>
        </w:rPr>
        <w:t>Response to the “Call for input to a thematic report</w:t>
      </w:r>
      <w:r w:rsidR="004E03C9" w:rsidRPr="00BA46CB">
        <w:rPr>
          <w:i/>
        </w:rPr>
        <w:t xml:space="preserve">” to be </w:t>
      </w:r>
      <w:r w:rsidR="00D31138" w:rsidRPr="00BA46CB">
        <w:rPr>
          <w:i/>
        </w:rPr>
        <w:t>presented at the 53</w:t>
      </w:r>
      <w:r w:rsidR="00D31138" w:rsidRPr="00BA46CB">
        <w:rPr>
          <w:i/>
          <w:vertAlign w:val="superscript"/>
        </w:rPr>
        <w:t>rd</w:t>
      </w:r>
      <w:r w:rsidR="00D31138" w:rsidRPr="00BA46CB">
        <w:rPr>
          <w:i/>
        </w:rPr>
        <w:t xml:space="preserve"> </w:t>
      </w:r>
      <w:r w:rsidR="004E03C9" w:rsidRPr="00BA46CB">
        <w:rPr>
          <w:i/>
        </w:rPr>
        <w:t>session of the UN Human Rights Council in June 2023</w:t>
      </w:r>
      <w:r w:rsidR="00451066">
        <w:rPr>
          <w:i/>
        </w:rPr>
        <w:t xml:space="preserve"> by </w:t>
      </w:r>
      <w:r w:rsidR="00C37C7F" w:rsidRPr="00BA46CB">
        <w:rPr>
          <w:i/>
        </w:rPr>
        <w:t xml:space="preserve">“the </w:t>
      </w:r>
      <w:r w:rsidR="004E03C9" w:rsidRPr="00BA46CB">
        <w:rPr>
          <w:i/>
        </w:rPr>
        <w:t>UN Independent Expert on protection against violence and discrimination based on sexual orientation and gender identity (IE SOGI), exploring the right to freedom of religion or belief (</w:t>
      </w:r>
      <w:proofErr w:type="spellStart"/>
      <w:r w:rsidR="004E03C9" w:rsidRPr="00BA46CB">
        <w:rPr>
          <w:i/>
        </w:rPr>
        <w:t>FoRB</w:t>
      </w:r>
      <w:proofErr w:type="spellEnd"/>
      <w:r w:rsidR="004E03C9" w:rsidRPr="00BA46CB">
        <w:rPr>
          <w:i/>
        </w:rPr>
        <w:t>) in relation to sexual orientation and gender identity (SOGI).</w:t>
      </w:r>
      <w:r w:rsidR="00C37C7F" w:rsidRPr="00BA46CB">
        <w:rPr>
          <w:i/>
        </w:rPr>
        <w:t xml:space="preserve">” </w:t>
      </w:r>
      <w:hyperlink r:id="rId8" w:anchor="_ftn2" w:history="1">
        <w:r w:rsidR="00F346C5" w:rsidRPr="00FA24C4">
          <w:rPr>
            <w:rStyle w:val="Hyperlink"/>
            <w:i/>
          </w:rPr>
          <w:t>https://www.ohchr.org/en/calls-for-input/2023/call-input-thematic-report-freedom-religion-or-belief-forb-and-sexual#_ftn2</w:t>
        </w:r>
      </w:hyperlink>
      <w:r w:rsidR="00F346C5">
        <w:rPr>
          <w:i/>
        </w:rPr>
        <w:t xml:space="preserve"> </w:t>
      </w:r>
    </w:p>
    <w:p w:rsidR="00E9184E" w:rsidRDefault="0011572A" w:rsidP="00F4341C">
      <w:r>
        <w:t xml:space="preserve">In his call for input to </w:t>
      </w:r>
      <w:r w:rsidRPr="0011572A">
        <w:t xml:space="preserve">inform the thematic report </w:t>
      </w:r>
      <w:r>
        <w:t>t</w:t>
      </w:r>
      <w:r w:rsidR="00625C18">
        <w:t>o the Human Rights Council</w:t>
      </w:r>
      <w:r w:rsidR="00097A5D">
        <w:t xml:space="preserve">, </w:t>
      </w:r>
      <w:r w:rsidRPr="0011572A">
        <w:t>the UN Independent Expert </w:t>
      </w:r>
      <w:r w:rsidR="00097A5D">
        <w:t xml:space="preserve">(IE) stated, </w:t>
      </w:r>
    </w:p>
    <w:p w:rsidR="00024EE5" w:rsidRDefault="00097A5D" w:rsidP="00E9184E">
      <w:pPr>
        <w:ind w:left="720"/>
      </w:pPr>
      <w:r w:rsidRPr="00097A5D">
        <w:t>The report will put forward recommendations to States and other relevant stakeholders to fully comply with their obligations under international human rights law to protect and empower LGBT+ persons to pursue happiness, exercise and enjoy all their human rights, and choose how to contribute to society on an equal footing with everyone, including through effective participation in religious, cultural, social, and public life.</w:t>
      </w:r>
    </w:p>
    <w:p w:rsidR="00E957AD" w:rsidRDefault="00E9184E">
      <w:r>
        <w:t>While we wholeheartedly support</w:t>
      </w:r>
      <w:r w:rsidR="00684861">
        <w:t xml:space="preserve"> the rights of all LGBT+ persons, </w:t>
      </w:r>
      <w:r w:rsidR="006019B0">
        <w:t xml:space="preserve">we believe the protection of </w:t>
      </w:r>
      <w:r w:rsidR="00821B12">
        <w:t>those</w:t>
      </w:r>
      <w:r w:rsidR="006019B0">
        <w:t xml:space="preserve"> rights necessarily begins with determining their n</w:t>
      </w:r>
      <w:r w:rsidR="00AE51F4">
        <w:t xml:space="preserve">ature and scope as suggested by </w:t>
      </w:r>
      <w:r w:rsidR="00D204BF">
        <w:t xml:space="preserve">the Universal Declaration of Human Rights, </w:t>
      </w:r>
      <w:r w:rsidR="00225124">
        <w:t xml:space="preserve">whose </w:t>
      </w:r>
      <w:r w:rsidR="00225124" w:rsidRPr="006D085A">
        <w:t>foundational influence on human rights is unprecedented and unparalleled.</w:t>
      </w:r>
      <w:r w:rsidR="00225124">
        <w:t xml:space="preserve"> </w:t>
      </w:r>
    </w:p>
    <w:p w:rsidR="00210AB6" w:rsidRDefault="00225124">
      <w:r>
        <w:t>A</w:t>
      </w:r>
      <w:r w:rsidR="00D204BF">
        <w:t>lthough not a bindi</w:t>
      </w:r>
      <w:r w:rsidR="006D085A">
        <w:t xml:space="preserve">ng legal document, </w:t>
      </w:r>
      <w:r w:rsidR="00E6341D">
        <w:t>the Declaration</w:t>
      </w:r>
      <w:r w:rsidR="002D7AC4">
        <w:t xml:space="preserve"> </w:t>
      </w:r>
      <w:r>
        <w:t xml:space="preserve">is widely considered </w:t>
      </w:r>
      <w:r w:rsidR="00680E61">
        <w:t xml:space="preserve">to be </w:t>
      </w:r>
      <w:r w:rsidR="00BE736B">
        <w:t xml:space="preserve">what </w:t>
      </w:r>
      <w:r w:rsidR="006B4CA3" w:rsidRPr="006D085A">
        <w:t xml:space="preserve">Eleanor Roosevelt </w:t>
      </w:r>
      <w:r w:rsidR="00BE736B">
        <w:t>hoped it would be</w:t>
      </w:r>
      <w:r>
        <w:t>come</w:t>
      </w:r>
      <w:r w:rsidR="00BE736B">
        <w:t>—</w:t>
      </w:r>
      <w:r w:rsidR="006B4CA3" w:rsidRPr="006D085A">
        <w:t>“the international Magna Carta of all men everywhere.”</w:t>
      </w:r>
      <w:r w:rsidR="00BE736B">
        <w:rPr>
          <w:rStyle w:val="FootnoteReference"/>
        </w:rPr>
        <w:footnoteReference w:id="1"/>
      </w:r>
      <w:r w:rsidR="00AF25A1">
        <w:t xml:space="preserve"> </w:t>
      </w:r>
      <w:r w:rsidR="00A36226">
        <w:t xml:space="preserve">It has recently been </w:t>
      </w:r>
      <w:r w:rsidR="00E6341D">
        <w:t>referred to as</w:t>
      </w:r>
      <w:r w:rsidR="00A36226">
        <w:t xml:space="preserve"> </w:t>
      </w:r>
      <w:r w:rsidR="00A36226" w:rsidRPr="00A36226">
        <w:t>“a moral guiding star”</w:t>
      </w:r>
      <w:r w:rsidR="00A36226" w:rsidRPr="00A36226">
        <w:rPr>
          <w:vertAlign w:val="superscript"/>
        </w:rPr>
        <w:footnoteReference w:id="2"/>
      </w:r>
      <w:r w:rsidR="00A36226" w:rsidRPr="00A36226">
        <w:rPr>
          <w:vertAlign w:val="superscript"/>
        </w:rPr>
        <w:t xml:space="preserve"> </w:t>
      </w:r>
      <w:r w:rsidR="00A36226">
        <w:t xml:space="preserve">by </w:t>
      </w:r>
      <w:r w:rsidR="00CF5C46">
        <w:t xml:space="preserve">Professor </w:t>
      </w:r>
      <w:r w:rsidR="00A36226">
        <w:t>H</w:t>
      </w:r>
      <w:r w:rsidR="000973B4" w:rsidRPr="006D085A">
        <w:t>ans Ingvar Roth</w:t>
      </w:r>
      <w:r w:rsidR="005C07C6">
        <w:t xml:space="preserve">, </w:t>
      </w:r>
      <w:r w:rsidR="00FE10C2">
        <w:t xml:space="preserve">while </w:t>
      </w:r>
      <w:r w:rsidR="00CF5C46">
        <w:t xml:space="preserve">Professor </w:t>
      </w:r>
      <w:r w:rsidR="00FE10C2" w:rsidRPr="006D085A">
        <w:t>Mary Ann Glendon</w:t>
      </w:r>
      <w:r w:rsidR="00FE10C2">
        <w:t xml:space="preserve"> has emphasized that </w:t>
      </w:r>
      <w:r w:rsidR="007466EE">
        <w:t>“t</w:t>
      </w:r>
      <w:r w:rsidR="006D085A" w:rsidRPr="006D085A">
        <w:t>he most impressive advances in human rights</w:t>
      </w:r>
      <w:r w:rsidR="007466EE">
        <w:t xml:space="preserve"> </w:t>
      </w:r>
      <w:r w:rsidR="006D085A" w:rsidRPr="006D085A">
        <w:t>owe more to the moral beacon of the Declaration than to the many covenants and treaties that are now in force.”</w:t>
      </w:r>
      <w:r w:rsidR="008B7343">
        <w:rPr>
          <w:rStyle w:val="FootnoteReference"/>
        </w:rPr>
        <w:footnoteReference w:id="3"/>
      </w:r>
    </w:p>
    <w:p w:rsidR="00783008" w:rsidRDefault="00F518E7">
      <w:r>
        <w:t>Well is t</w:t>
      </w:r>
      <w:r w:rsidR="00AB01B7">
        <w:t xml:space="preserve">he </w:t>
      </w:r>
      <w:r w:rsidR="000E1882">
        <w:t>UDHR</w:t>
      </w:r>
      <w:r w:rsidR="00AB01B7">
        <w:t xml:space="preserve"> </w:t>
      </w:r>
      <w:r>
        <w:t xml:space="preserve">titled </w:t>
      </w:r>
      <w:r w:rsidR="0046439C">
        <w:t xml:space="preserve">“Universal,” for it expressly includes </w:t>
      </w:r>
      <w:r w:rsidR="00000506">
        <w:t>with</w:t>
      </w:r>
      <w:r w:rsidR="0046439C">
        <w:t xml:space="preserve">in its purview </w:t>
      </w:r>
      <w:r w:rsidR="003A6A9D">
        <w:t>“all members of the human family” (Preamble), “all human beings</w:t>
      </w:r>
      <w:r w:rsidR="00FE1223">
        <w:t>” (Article 1)</w:t>
      </w:r>
      <w:r w:rsidR="00011937">
        <w:t>,</w:t>
      </w:r>
      <w:r w:rsidR="000C4322">
        <w:t xml:space="preserve"> </w:t>
      </w:r>
      <w:r w:rsidR="00783008">
        <w:t xml:space="preserve">and </w:t>
      </w:r>
      <w:r w:rsidR="000C4322">
        <w:t>“everyone” (Articles 2</w:t>
      </w:r>
      <w:r w:rsidR="00AE3B0A">
        <w:t xml:space="preserve">, 3, 6, 8, 10, 11, </w:t>
      </w:r>
      <w:r w:rsidR="00F410A8">
        <w:t xml:space="preserve">12, </w:t>
      </w:r>
      <w:r w:rsidR="00AE3B0A">
        <w:t xml:space="preserve">13, 14, </w:t>
      </w:r>
      <w:r w:rsidR="00B27E3F">
        <w:t>15, 17, 18, 19</w:t>
      </w:r>
      <w:r w:rsidR="00636362">
        <w:t>, 20, 21, 22, 23, 24, 2</w:t>
      </w:r>
      <w:r w:rsidR="003E6160">
        <w:t>5</w:t>
      </w:r>
      <w:bookmarkStart w:id="0" w:name="_GoBack"/>
      <w:bookmarkEnd w:id="0"/>
      <w:r w:rsidR="00636362">
        <w:t>, 26, 27, 28, 29</w:t>
      </w:r>
      <w:r w:rsidR="000C4322">
        <w:t>)</w:t>
      </w:r>
      <w:r w:rsidR="00DE3FA7">
        <w:t xml:space="preserve">. Particularly noteworthy is the language in Article 2: </w:t>
      </w:r>
      <w:r w:rsidR="00CB341B">
        <w:t>“</w:t>
      </w:r>
      <w:r w:rsidR="003A5299" w:rsidRPr="003A5299">
        <w:t xml:space="preserve">Everyone is entitled to all the rights and freedoms set forth in this Declaration, </w:t>
      </w:r>
      <w:r w:rsidR="003A5299" w:rsidRPr="003A5299">
        <w:rPr>
          <w:i/>
        </w:rPr>
        <w:t>without distinction of any kind</w:t>
      </w:r>
      <w:r w:rsidR="003A5299" w:rsidRPr="003A5299">
        <w:t xml:space="preserve">, such as race, </w:t>
      </w:r>
      <w:proofErr w:type="spellStart"/>
      <w:r w:rsidR="003A5299" w:rsidRPr="003A5299">
        <w:t>colour</w:t>
      </w:r>
      <w:proofErr w:type="spellEnd"/>
      <w:r w:rsidR="003A5299" w:rsidRPr="003A5299">
        <w:t>, sex, language, religion, political or other opinion, national or social origin, p</w:t>
      </w:r>
      <w:r w:rsidR="00011937">
        <w:t>roperty, birth or other status</w:t>
      </w:r>
      <w:r w:rsidR="00902606">
        <w:t xml:space="preserve">” </w:t>
      </w:r>
      <w:r w:rsidR="00011937">
        <w:t xml:space="preserve">(emphasis added). </w:t>
      </w:r>
    </w:p>
    <w:p w:rsidR="00F669D3" w:rsidRDefault="001C5F52" w:rsidP="007E44C8">
      <w:r>
        <w:lastRenderedPageBreak/>
        <w:t xml:space="preserve">Hence under the UDHR, </w:t>
      </w:r>
      <w:r w:rsidR="00D355E4">
        <w:t xml:space="preserve">the rights of LGBT+ </w:t>
      </w:r>
      <w:r w:rsidR="00B12969">
        <w:t xml:space="preserve">people do not arise out of their LGBT+ status but </w:t>
      </w:r>
      <w:r w:rsidR="00386B69">
        <w:t xml:space="preserve">rather </w:t>
      </w:r>
      <w:r w:rsidR="00B12969">
        <w:t xml:space="preserve">out of their status as members </w:t>
      </w:r>
      <w:r>
        <w:t xml:space="preserve">of the human family. </w:t>
      </w:r>
      <w:r w:rsidR="00C47C59">
        <w:t xml:space="preserve">To assume otherwise </w:t>
      </w:r>
      <w:r w:rsidR="00F669D3">
        <w:t xml:space="preserve">by according </w:t>
      </w:r>
      <w:r w:rsidR="006010BC">
        <w:t>s</w:t>
      </w:r>
      <w:r w:rsidR="006A5261" w:rsidRPr="006A5261">
        <w:t xml:space="preserve">pecial or </w:t>
      </w:r>
      <w:r w:rsidR="00F669D3">
        <w:t xml:space="preserve">even </w:t>
      </w:r>
      <w:r w:rsidR="006A5261" w:rsidRPr="006A5261">
        <w:t xml:space="preserve">superior rights </w:t>
      </w:r>
      <w:r w:rsidR="00F669D3">
        <w:t xml:space="preserve">to LGBT+ people </w:t>
      </w:r>
      <w:r w:rsidR="006A5261" w:rsidRPr="006A5261">
        <w:t>vis-à-vis the rest of humanity</w:t>
      </w:r>
      <w:r w:rsidR="00E957AD">
        <w:t>—as the IE’s questions (</w:t>
      </w:r>
      <w:r w:rsidR="00570099">
        <w:t>to which we are responding in the aggregate</w:t>
      </w:r>
      <w:r w:rsidR="00E957AD">
        <w:t xml:space="preserve">) </w:t>
      </w:r>
      <w:r w:rsidR="00CC0D92">
        <w:t xml:space="preserve">seem to presuppose or imply—is </w:t>
      </w:r>
      <w:r w:rsidR="00C47C59">
        <w:t xml:space="preserve">to </w:t>
      </w:r>
      <w:r w:rsidR="00F52A2A">
        <w:t>distort</w:t>
      </w:r>
      <w:r w:rsidR="00C47C59">
        <w:t xml:space="preserve"> the</w:t>
      </w:r>
      <w:r w:rsidR="00F52A2A">
        <w:t xml:space="preserve"> </w:t>
      </w:r>
      <w:r w:rsidR="00C47C59">
        <w:t xml:space="preserve">delicate </w:t>
      </w:r>
      <w:r w:rsidR="00254D16">
        <w:t xml:space="preserve">human rights </w:t>
      </w:r>
      <w:r w:rsidR="00F52A2A">
        <w:t xml:space="preserve">structure </w:t>
      </w:r>
      <w:r w:rsidR="00F52A2A" w:rsidRPr="00F52A2A">
        <w:t>so painstakingly created by the drafters of the UDHR</w:t>
      </w:r>
      <w:r w:rsidR="007A42A2">
        <w:t xml:space="preserve"> and to encroach on t</w:t>
      </w:r>
      <w:r w:rsidR="00EE7D7F">
        <w:t xml:space="preserve">he legitimate rights of others, as </w:t>
      </w:r>
      <w:r w:rsidR="007C5B2C">
        <w:t xml:space="preserve">warned in </w:t>
      </w:r>
      <w:r w:rsidR="007C5B2C" w:rsidRPr="007C5B2C">
        <w:t>the</w:t>
      </w:r>
      <w:r w:rsidR="00D0387D">
        <w:t xml:space="preserve"> 2020</w:t>
      </w:r>
      <w:r w:rsidR="007C5B2C" w:rsidRPr="007C5B2C">
        <w:t xml:space="preserve"> </w:t>
      </w:r>
      <w:r w:rsidR="007C5B2C" w:rsidRPr="007C5B2C">
        <w:rPr>
          <w:i/>
        </w:rPr>
        <w:t>Report of the Commission on Unalienable Rights</w:t>
      </w:r>
      <w:r w:rsidR="000575C4">
        <w:t xml:space="preserve">. </w:t>
      </w:r>
      <w:r w:rsidR="00ED0929">
        <w:t>Referring to, among other things, “</w:t>
      </w:r>
      <w:r w:rsidR="00ED0929" w:rsidRPr="00ED0929">
        <w:t>the many different UN agencies</w:t>
      </w:r>
      <w:r w:rsidR="00D0387D">
        <w:t>” and “</w:t>
      </w:r>
      <w:r w:rsidR="00ED0929" w:rsidRPr="00ED0929">
        <w:t>regional human rights systems,</w:t>
      </w:r>
      <w:r w:rsidR="00ED0929">
        <w:t xml:space="preserve">” the report declared, </w:t>
      </w:r>
    </w:p>
    <w:p w:rsidR="007E44C8" w:rsidRDefault="00B95DD8" w:rsidP="007E44C8">
      <w:pPr>
        <w:ind w:left="720"/>
      </w:pPr>
      <w:r w:rsidRPr="00B95DD8">
        <w:t>There is good reason to worry that the prodigious expansion of human rights has weakened rather than strengthened the claims of human rights and left the most disadvantaged more vulnerable. More rights do not always yield more justice. Transforming every worthy political preference into a claim of human rights inevitably dilute</w:t>
      </w:r>
      <w:r>
        <w:t>s the authority of human rights</w:t>
      </w:r>
      <w:r w:rsidR="007E44C8">
        <w:t>....</w:t>
      </w:r>
    </w:p>
    <w:p w:rsidR="007E44C8" w:rsidRDefault="007E44C8" w:rsidP="007E44C8">
      <w:pPr>
        <w:ind w:left="720"/>
      </w:pPr>
      <w:r w:rsidRPr="002834F5">
        <w:t>The UDHR was deliberately limited to a small set of rights on which there was perceived to be a near-universal consensus. The fact is that the power of the universal human rights idea is strongest when grounded in principles so widely accepted as to be beyond legitimate debate; it is weakest when it is employed in disputes among competing groups in society over political priorities. Such political disputes are usually best left up to resolution through ordinary democratic processes of bargaining, education, persuasion, compromise, and voting. The tendency to fight political battles with the vocabulary of human rights risks stifling the kind of robust discussion on which a vibrant democracy depends. The effort to shut down legitimate debate by recasting contestable policy preferences as fixed and unquestionable human rights imperatives promotes intolerance, impedes reconciliation, devalues core rights, and denies rights in the name of rights.</w:t>
      </w:r>
      <w:r>
        <w:rPr>
          <w:rStyle w:val="FootnoteReference"/>
        </w:rPr>
        <w:footnoteReference w:id="4"/>
      </w:r>
    </w:p>
    <w:p w:rsidR="00285D02" w:rsidRDefault="00E82C7B">
      <w:r>
        <w:t>Fortunately,</w:t>
      </w:r>
      <w:r w:rsidR="00B03FFE">
        <w:t xml:space="preserve"> no expansion of rights </w:t>
      </w:r>
      <w:r w:rsidR="00476B23">
        <w:t xml:space="preserve">under the UDHR </w:t>
      </w:r>
      <w:r w:rsidR="00B03FFE">
        <w:t xml:space="preserve">is </w:t>
      </w:r>
      <w:r w:rsidR="00476B23">
        <w:t>necessary</w:t>
      </w:r>
      <w:r w:rsidR="00B03FFE">
        <w:t xml:space="preserve"> to </w:t>
      </w:r>
      <w:r>
        <w:t>shelter</w:t>
      </w:r>
      <w:r w:rsidR="00B03FFE">
        <w:t xml:space="preserve"> LGBT+ people from violence, </w:t>
      </w:r>
      <w:r w:rsidR="00807653">
        <w:t>since</w:t>
      </w:r>
      <w:r w:rsidR="000C56F3">
        <w:t xml:space="preserve"> they</w:t>
      </w:r>
      <w:r w:rsidR="00807653">
        <w:t xml:space="preserve"> are already included in the robust</w:t>
      </w:r>
      <w:r w:rsidR="008F02B8">
        <w:t xml:space="preserve"> </w:t>
      </w:r>
      <w:r w:rsidR="00476B23">
        <w:t>provision</w:t>
      </w:r>
      <w:r w:rsidR="00BF5910">
        <w:t>s</w:t>
      </w:r>
      <w:r w:rsidR="006A0F4C">
        <w:t xml:space="preserve"> extended</w:t>
      </w:r>
      <w:r w:rsidR="00476B23">
        <w:t xml:space="preserve"> to all </w:t>
      </w:r>
      <w:r w:rsidR="00645278">
        <w:t xml:space="preserve">people: </w:t>
      </w:r>
      <w:r w:rsidR="00645278" w:rsidRPr="00645278">
        <w:t>“Everyone has the right to life, liberty and security of person” (Article 3), and “No one shall be subjected to torture or to cruel, inhuman or degrading treatment or punishment” (Article 5).</w:t>
      </w:r>
      <w:r w:rsidR="00645278">
        <w:t xml:space="preserve"> </w:t>
      </w:r>
      <w:r w:rsidR="009B218B">
        <w:t xml:space="preserve">The UDHR goes even further and </w:t>
      </w:r>
      <w:r w:rsidR="0095728D">
        <w:t xml:space="preserve">proclaims that “All human beings... should act towards one another </w:t>
      </w:r>
      <w:r w:rsidR="000067D2">
        <w:t xml:space="preserve">in a spirit of brotherhood” (Article 1). </w:t>
      </w:r>
    </w:p>
    <w:p w:rsidR="00A83BFE" w:rsidRDefault="00635BF1" w:rsidP="00A83BFE">
      <w:r>
        <w:t>The spirit of brotherhood is a high ideal that could go a long way to</w:t>
      </w:r>
      <w:r w:rsidR="009870B6">
        <w:t>ward</w:t>
      </w:r>
      <w:r>
        <w:t xml:space="preserve"> resolv</w:t>
      </w:r>
      <w:r w:rsidR="009870B6">
        <w:t>ing</w:t>
      </w:r>
      <w:r>
        <w:t xml:space="preserve"> differences of opinion between competing rights, but at the very least, </w:t>
      </w:r>
      <w:r w:rsidR="00E6175D">
        <w:t>the UDHR envisages</w:t>
      </w:r>
      <w:r w:rsidR="00D37011">
        <w:t xml:space="preserve"> </w:t>
      </w:r>
      <w:r w:rsidR="009515EF">
        <w:t xml:space="preserve">a balancing of competing rights based on mutual respect. </w:t>
      </w:r>
      <w:r w:rsidR="00D37011">
        <w:t xml:space="preserve"> </w:t>
      </w:r>
    </w:p>
    <w:p w:rsidR="00635BF1" w:rsidRPr="003A1F8A" w:rsidRDefault="00635BF1" w:rsidP="00A83BFE">
      <w:pPr>
        <w:ind w:left="720"/>
      </w:pPr>
      <w:r w:rsidRPr="003A1F8A">
        <w:t>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p>
    <w:p w:rsidR="000067D2" w:rsidRDefault="007F235E">
      <w:r>
        <w:t xml:space="preserve">Among the rights enumerated in the UDHR, the </w:t>
      </w:r>
      <w:r w:rsidR="004B29CB">
        <w:t>right to freedom of conscience and religion stands out for it</w:t>
      </w:r>
      <w:r w:rsidR="003F5311">
        <w:t>s</w:t>
      </w:r>
      <w:r w:rsidR="004B29CB">
        <w:t xml:space="preserve"> repeated mention. </w:t>
      </w:r>
      <w:r w:rsidR="00A47872">
        <w:t>“</w:t>
      </w:r>
      <w:r w:rsidR="00A47872" w:rsidRPr="00A47872">
        <w:t>human beings shall enj</w:t>
      </w:r>
      <w:r w:rsidR="00A47872">
        <w:t>oy freedom of speech and belief” (Preamble)</w:t>
      </w:r>
      <w:r w:rsidR="00DA52DE">
        <w:t>; “All human beings are... endowed with reason and conscience” (Article 1)</w:t>
      </w:r>
      <w:r w:rsidR="006C3213">
        <w:t>; “</w:t>
      </w:r>
      <w:r w:rsidR="00F57DBF" w:rsidRPr="00F57DBF">
        <w:t>Everyone has the right to freedom of opinion and expression</w:t>
      </w:r>
      <w:r w:rsidR="00F0549A">
        <w:t>” (Article 19); and, most descriptively, “</w:t>
      </w:r>
      <w:r w:rsidR="002B1E82" w:rsidRPr="002B1E82">
        <w:t>Everyone has the right to freedom of thought, conscience and religion; this right includes freedom to change his religion or belief, and freedom, either alone or in community with others and in public or private, to manifest his religion or belief in teaching, p</w:t>
      </w:r>
      <w:r w:rsidR="002B1E82">
        <w:t xml:space="preserve">ractice, worship and observance” (Article 18). </w:t>
      </w:r>
      <w:r w:rsidR="0002770C">
        <w:t xml:space="preserve"> </w:t>
      </w:r>
    </w:p>
    <w:p w:rsidR="001A54F3" w:rsidRDefault="001A54F3" w:rsidP="001A54F3">
      <w:r w:rsidRPr="001A54F3">
        <w:t xml:space="preserve">The United Nations </w:t>
      </w:r>
      <w:r w:rsidR="00A35BFE">
        <w:t>later</w:t>
      </w:r>
      <w:r w:rsidRPr="001A54F3">
        <w:t xml:space="preserve"> decided that Article 18 was </w:t>
      </w:r>
      <w:r w:rsidR="00C67C92">
        <w:t xml:space="preserve">of such significance as to </w:t>
      </w:r>
      <w:r w:rsidRPr="001A54F3">
        <w:t>make it a treaty obligation</w:t>
      </w:r>
      <w:r>
        <w:t xml:space="preserve">. </w:t>
      </w:r>
      <w:r w:rsidR="0032492E">
        <w:t xml:space="preserve">The 1966 </w:t>
      </w:r>
      <w:r w:rsidR="0032492E" w:rsidRPr="0032492E">
        <w:t>International Covenant on Civil and Political Rights</w:t>
      </w:r>
      <w:r w:rsidR="001712BE">
        <w:t xml:space="preserve">, </w:t>
      </w:r>
      <w:r w:rsidR="00072731">
        <w:t>A</w:t>
      </w:r>
      <w:r w:rsidR="001712BE">
        <w:t>rticle18,</w:t>
      </w:r>
      <w:r w:rsidR="0032492E">
        <w:t xml:space="preserve"> </w:t>
      </w:r>
      <w:r w:rsidR="00C67C92">
        <w:t>closely tracks the UDHR in providing</w:t>
      </w:r>
      <w:r w:rsidR="001712BE">
        <w:t xml:space="preserve">: </w:t>
      </w:r>
      <w:r w:rsidR="0032492E">
        <w:t xml:space="preserve"> </w:t>
      </w:r>
    </w:p>
    <w:p w:rsidR="0032492E" w:rsidRPr="000675CE" w:rsidRDefault="0032492E" w:rsidP="0032492E">
      <w:pPr>
        <w:ind w:left="720"/>
      </w:pPr>
      <w:r w:rsidRPr="000675CE">
        <w:t>1. 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p>
    <w:p w:rsidR="0032492E" w:rsidRPr="000675CE" w:rsidRDefault="0032492E" w:rsidP="0032492E">
      <w:pPr>
        <w:ind w:left="720"/>
      </w:pPr>
      <w:r w:rsidRPr="000675CE">
        <w:t>2. No one shall be subject to coercion which would impair his freedom to have or to adopt a religion or belief of his choice.</w:t>
      </w:r>
    </w:p>
    <w:p w:rsidR="0032492E" w:rsidRDefault="0032492E" w:rsidP="0032492E">
      <w:pPr>
        <w:ind w:left="720"/>
      </w:pPr>
      <w:r w:rsidRPr="000675CE">
        <w:t>3. Freedom to manifest one's religion or beliefs may be subject only to such limitations as are prescribed by law and are necessary to protect public safety, order, health, or morals or the fundamental rights and freedoms of others.</w:t>
      </w:r>
    </w:p>
    <w:p w:rsidR="0087308F" w:rsidRDefault="0087308F" w:rsidP="0087308F">
      <w:r>
        <w:t xml:space="preserve">Echoes of this obligation resound in other UN documents, including </w:t>
      </w:r>
      <w:r w:rsidR="00637E39">
        <w:t xml:space="preserve">the 1993 </w:t>
      </w:r>
      <w:r w:rsidR="00637E39" w:rsidRPr="00637E39">
        <w:t xml:space="preserve">Vienna Declaration and </w:t>
      </w:r>
      <w:proofErr w:type="spellStart"/>
      <w:r w:rsidR="00637E39" w:rsidRPr="00637E39">
        <w:t>Programme</w:t>
      </w:r>
      <w:proofErr w:type="spellEnd"/>
      <w:r w:rsidR="00637E39" w:rsidRPr="00637E39">
        <w:t xml:space="preserve"> of Action</w:t>
      </w:r>
      <w:r w:rsidR="001E7EAF">
        <w:t>,</w:t>
      </w:r>
      <w:r w:rsidR="001E7EAF" w:rsidRPr="001E7EAF">
        <w:t xml:space="preserve"> </w:t>
      </w:r>
      <w:r w:rsidR="001E7EAF">
        <w:t>paragraph 22</w:t>
      </w:r>
      <w:r w:rsidR="00637E39">
        <w:t xml:space="preserve"> (“</w:t>
      </w:r>
      <w:r>
        <w:t>recognizing that every individual has the right to freedom of thought, cons</w:t>
      </w:r>
      <w:r w:rsidR="00593CF8">
        <w:t>cience, expression and religion</w:t>
      </w:r>
      <w:r w:rsidR="001E7EAF">
        <w:t xml:space="preserve">”) </w:t>
      </w:r>
      <w:r w:rsidR="00593CF8">
        <w:t>and</w:t>
      </w:r>
      <w:r w:rsidR="001E7EAF">
        <w:t xml:space="preserve"> the 1995 </w:t>
      </w:r>
      <w:r w:rsidR="001E7EAF" w:rsidRPr="001E7EAF">
        <w:t>Report of the Fourth World Conference on Women</w:t>
      </w:r>
      <w:r w:rsidR="001E7EAF">
        <w:t xml:space="preserve">, </w:t>
      </w:r>
      <w:r w:rsidR="001A29B4">
        <w:t xml:space="preserve">paragraph </w:t>
      </w:r>
      <w:r w:rsidR="001713AF">
        <w:t>24 (</w:t>
      </w:r>
      <w:r w:rsidR="001A29B4">
        <w:t>“</w:t>
      </w:r>
      <w:r w:rsidR="001A29B4" w:rsidRPr="001A29B4">
        <w:t xml:space="preserve">Religion, spirituality and belief play a central role in the lives of millions of women and men, in the way they live and in the aspirations they have for the future. The right to freedom of thought, conscience and religion is inalienable </w:t>
      </w:r>
      <w:r w:rsidR="001713AF">
        <w:t xml:space="preserve">and must be universally enjoyed”). </w:t>
      </w:r>
    </w:p>
    <w:p w:rsidR="0009597B" w:rsidRDefault="00320B92">
      <w:r>
        <w:t>F</w:t>
      </w:r>
      <w:r w:rsidR="00537A3A">
        <w:t>reedom of religion</w:t>
      </w:r>
      <w:r w:rsidR="007A10A1">
        <w:t xml:space="preserve"> is </w:t>
      </w:r>
      <w:r>
        <w:t xml:space="preserve">as </w:t>
      </w:r>
      <w:r w:rsidR="007A10A1">
        <w:t>significant</w:t>
      </w:r>
      <w:r>
        <w:t xml:space="preserve"> for societies as it is for individuals, says </w:t>
      </w:r>
      <w:r w:rsidR="008938E7">
        <w:t>P</w:t>
      </w:r>
      <w:r w:rsidR="00537A3A">
        <w:t xml:space="preserve">rofessor </w:t>
      </w:r>
      <w:r w:rsidR="00637C7E">
        <w:t xml:space="preserve">Robert P. George, </w:t>
      </w:r>
      <w:r w:rsidR="00E26C2E">
        <w:t xml:space="preserve">who has served as chair of the </w:t>
      </w:r>
      <w:r w:rsidR="00E26C2E" w:rsidRPr="00E26C2E">
        <w:t>U.S. Commission on International Religious Freedom</w:t>
      </w:r>
      <w:r w:rsidR="008938E7">
        <w:t xml:space="preserve">. </w:t>
      </w:r>
      <w:r w:rsidR="00846F99">
        <w:t xml:space="preserve"> </w:t>
      </w:r>
    </w:p>
    <w:p w:rsidR="00637C7E" w:rsidRDefault="00637C7E" w:rsidP="002853C6">
      <w:pPr>
        <w:ind w:left="720"/>
      </w:pPr>
      <w:r>
        <w:t>[R]</w:t>
      </w:r>
      <w:proofErr w:type="spellStart"/>
      <w:r w:rsidRPr="00637C7E">
        <w:t>eligious</w:t>
      </w:r>
      <w:proofErr w:type="spellEnd"/>
      <w:r w:rsidRPr="00637C7E">
        <w:t xml:space="preserve"> freedom means that, both as individuals and in community, we have the right to ponder life's origins, meaning, and purpose; to explore the deepest questions about human nature, dignity, and destiny; to decide what is to be believed and not to be believed; and, within the limits of justice for all, to comply with what we conscientiously judge to be our religious obligations, and to do so openl</w:t>
      </w:r>
      <w:r w:rsidR="00846F99">
        <w:t>y, peacefully, and without fear....</w:t>
      </w:r>
    </w:p>
    <w:p w:rsidR="0088055C" w:rsidRPr="0088055C" w:rsidRDefault="0088055C" w:rsidP="002853C6">
      <w:pPr>
        <w:ind w:left="720"/>
      </w:pPr>
      <w:r w:rsidRPr="0088055C">
        <w:t>Because religious freedom is so central to human personhood, we would expect that in places where it is dishonored, societies would be less happy and secure. According to a growing number of studies, that is precisely the case. These studies show that countries that protect religious liberty are more secure and stable than those that do not, and nations that trample on this freedom provide fertile ground for war and poverty, terror and radical movements. In other words, religious freedom abuses not only violate the core of our humanity, but also do grave harm to the well-being of societies.</w:t>
      </w:r>
    </w:p>
    <w:p w:rsidR="0088055C" w:rsidRPr="0088055C" w:rsidRDefault="0088055C" w:rsidP="002853C6">
      <w:pPr>
        <w:ind w:left="720"/>
      </w:pPr>
      <w:r w:rsidRPr="0088055C">
        <w:t>They do so politically, as religious freedom abuses are highly correlated with the absence of democracy and the presence of other human rights abuses. They do so economically, as religious persecution destabilizes communities and marginalizes the persecuted, causing their talents and abilities to go unrealized, robbing a nation of added productivity, and reducing that nation's ability to fight poverty and create abundance for its citizens. They do so morally, since wherever religious freedom is dishonored, the benefit of religion in molding character is diminished, and with it, the self-discipline necessary to handle the rights and responsibilities of citizenship. And finally, they do so socially, since wherever religious freedom is restricted, peace and security become ever more elusive.</w:t>
      </w:r>
      <w:r w:rsidR="00210B63">
        <w:rPr>
          <w:rStyle w:val="FootnoteReference"/>
        </w:rPr>
        <w:footnoteReference w:id="5"/>
      </w:r>
    </w:p>
    <w:p w:rsidR="00DB307F" w:rsidRDefault="009001E6">
      <w:r>
        <w:t xml:space="preserve">Given the indispensability of religious freedom to </w:t>
      </w:r>
      <w:r w:rsidR="00584EFF">
        <w:t>a</w:t>
      </w:r>
      <w:r w:rsidR="00C370B7">
        <w:t xml:space="preserve"> flourishing </w:t>
      </w:r>
      <w:r w:rsidR="00584EFF">
        <w:t>society, can it be mere c</w:t>
      </w:r>
      <w:r w:rsidR="00A93BDE">
        <w:t xml:space="preserve">oincidence that </w:t>
      </w:r>
      <w:r w:rsidR="002E7F6D">
        <w:t xml:space="preserve">the Founders of the United States were united in articulating religious liberty as the first freedom? </w:t>
      </w:r>
      <w:r w:rsidR="00E86B67">
        <w:t>A</w:t>
      </w:r>
      <w:r w:rsidR="0003176D">
        <w:t xml:space="preserve">s emphasized by Professor Douglas </w:t>
      </w:r>
      <w:proofErr w:type="spellStart"/>
      <w:r w:rsidR="0003176D">
        <w:t>Laycock</w:t>
      </w:r>
      <w:proofErr w:type="spellEnd"/>
      <w:r w:rsidR="0003176D">
        <w:t xml:space="preserve"> in speaking about the First Amendment to </w:t>
      </w:r>
      <w:r w:rsidR="00E86B67">
        <w:t xml:space="preserve">the United Stated Constitution, </w:t>
      </w:r>
      <w:r w:rsidR="0003176D">
        <w:t xml:space="preserve">“The Religion Clauses </w:t>
      </w:r>
      <w:r w:rsidR="00C510ED">
        <w:t>were no compromise of conflicting interests, but the unified demand of the most vigorous advocates of religious liberty.”</w:t>
      </w:r>
      <w:r w:rsidR="00B7303A">
        <w:rPr>
          <w:rStyle w:val="FootnoteReference"/>
        </w:rPr>
        <w:footnoteReference w:id="6"/>
      </w:r>
    </w:p>
    <w:p w:rsidR="00A319B4" w:rsidRPr="00A319B4" w:rsidRDefault="00DB307F" w:rsidP="00A319B4">
      <w:r>
        <w:t xml:space="preserve">Of course, not even religious liberty is </w:t>
      </w:r>
      <w:r w:rsidR="004B7535">
        <w:t xml:space="preserve">an </w:t>
      </w:r>
      <w:r>
        <w:t>absolute</w:t>
      </w:r>
      <w:r w:rsidR="004B7535">
        <w:t xml:space="preserve"> right</w:t>
      </w:r>
      <w:r w:rsidR="000F2F1B">
        <w:t xml:space="preserve">, for as Professor Glendon </w:t>
      </w:r>
      <w:r w:rsidR="00A319B4">
        <w:t xml:space="preserve">has </w:t>
      </w:r>
      <w:r w:rsidR="00560085">
        <w:t>noted</w:t>
      </w:r>
      <w:r w:rsidR="009050F7">
        <w:t xml:space="preserve"> in speaking of </w:t>
      </w:r>
      <w:r w:rsidR="00A319B4" w:rsidRPr="00A319B4">
        <w:t xml:space="preserve">the </w:t>
      </w:r>
      <w:r w:rsidR="009050F7">
        <w:t>UDHR, “</w:t>
      </w:r>
      <w:r w:rsidR="00A319B4" w:rsidRPr="00A319B4">
        <w:t>everyone’s rights are importantly dependent on respect for the rights of others, on the rule of law, and on a healthy civil society.”</w:t>
      </w:r>
      <w:r w:rsidR="00F27D1A">
        <w:rPr>
          <w:rStyle w:val="FootnoteReference"/>
        </w:rPr>
        <w:footnoteReference w:id="7"/>
      </w:r>
    </w:p>
    <w:p w:rsidR="00F76785" w:rsidRDefault="00AB63E9">
      <w:r>
        <w:t>In the interest of maintain</w:t>
      </w:r>
      <w:r w:rsidR="00C37960">
        <w:t>ing</w:t>
      </w:r>
      <w:r>
        <w:t xml:space="preserve"> a healthy</w:t>
      </w:r>
      <w:r w:rsidR="00C37960">
        <w:t xml:space="preserve"> </w:t>
      </w:r>
      <w:r w:rsidR="000F047D">
        <w:t xml:space="preserve">civil society </w:t>
      </w:r>
      <w:r w:rsidR="00C37960">
        <w:t>and</w:t>
      </w:r>
      <w:r>
        <w:t xml:space="preserve"> securing the rights of everyone, </w:t>
      </w:r>
      <w:r w:rsidR="00C37960">
        <w:t xml:space="preserve">we urge that </w:t>
      </w:r>
      <w:r w:rsidR="007348B7">
        <w:t>the right to religious freedom be given it</w:t>
      </w:r>
      <w:r w:rsidR="0092499F">
        <w:t>s</w:t>
      </w:r>
      <w:r w:rsidR="007348B7">
        <w:t xml:space="preserve"> du</w:t>
      </w:r>
      <w:r w:rsidR="00512E90">
        <w:t>ly substantial weight in balancing it v</w:t>
      </w:r>
      <w:r w:rsidR="007348B7">
        <w:t>is-à-vis other rights</w:t>
      </w:r>
      <w:r w:rsidR="0037611A">
        <w:t xml:space="preserve">, especially those faux rights of which </w:t>
      </w:r>
      <w:r w:rsidR="009B1A6E">
        <w:t>the Commission on Unalienable Right</w:t>
      </w:r>
      <w:r w:rsidR="00012959">
        <w:t>s</w:t>
      </w:r>
      <w:r w:rsidR="0037611A">
        <w:t xml:space="preserve"> warned</w:t>
      </w:r>
      <w:r w:rsidR="00E84186">
        <w:t xml:space="preserve">: </w:t>
      </w:r>
      <w:r w:rsidR="00F76785">
        <w:t xml:space="preserve"> </w:t>
      </w:r>
      <w:r w:rsidR="00E84186">
        <w:t>“</w:t>
      </w:r>
      <w:r w:rsidR="00F76785" w:rsidRPr="00F76785">
        <w:t>The effort to shut down legitimate debate by recasting contestable policy preferences as fixed and unquestionable human rights imperatives promotes intolerance, impedes reconciliation, devalues core rights, and denies rights in the name of rights.</w:t>
      </w:r>
      <w:r w:rsidR="00E84186">
        <w:t xml:space="preserve">” </w:t>
      </w:r>
    </w:p>
    <w:sectPr w:rsidR="00F76785" w:rsidSect="0004563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0C7" w:rsidRDefault="00CA00C7" w:rsidP="004D2D93">
      <w:pPr>
        <w:spacing w:after="0" w:line="240" w:lineRule="auto"/>
      </w:pPr>
      <w:r>
        <w:separator/>
      </w:r>
    </w:p>
  </w:endnote>
  <w:endnote w:type="continuationSeparator" w:id="0">
    <w:p w:rsidR="00CA00C7" w:rsidRDefault="00CA00C7" w:rsidP="004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0C7" w:rsidRDefault="00CA00C7" w:rsidP="004D2D93">
      <w:pPr>
        <w:spacing w:after="0" w:line="240" w:lineRule="auto"/>
      </w:pPr>
      <w:r>
        <w:separator/>
      </w:r>
    </w:p>
  </w:footnote>
  <w:footnote w:type="continuationSeparator" w:id="0">
    <w:p w:rsidR="00CA00C7" w:rsidRDefault="00CA00C7" w:rsidP="004D2D93">
      <w:pPr>
        <w:spacing w:after="0" w:line="240" w:lineRule="auto"/>
      </w:pPr>
      <w:r>
        <w:continuationSeparator/>
      </w:r>
    </w:p>
  </w:footnote>
  <w:footnote w:id="1">
    <w:p w:rsidR="00BE736B" w:rsidRDefault="00BE736B">
      <w:pPr>
        <w:pStyle w:val="FootnoteText"/>
      </w:pPr>
      <w:r>
        <w:rPr>
          <w:rStyle w:val="FootnoteReference"/>
        </w:rPr>
        <w:footnoteRef/>
      </w:r>
      <w:r>
        <w:t xml:space="preserve"> </w:t>
      </w:r>
      <w:r w:rsidRPr="00BE736B">
        <w:t>Statement to the United Nations General Assembly at the adoption of the Universal Declaration of Human Rights, December 9, 1948, available at </w:t>
      </w:r>
      <w:hyperlink r:id="rId1" w:history="1">
        <w:r w:rsidRPr="00BE736B">
          <w:rPr>
            <w:rStyle w:val="Hyperlink"/>
          </w:rPr>
          <w:t>https://erpapers.columbian.gwu.edu/statement-united-nations-general-assembly-universal-declaration-human-rights-1948</w:t>
        </w:r>
      </w:hyperlink>
      <w:r w:rsidRPr="00BE736B">
        <w:t>.</w:t>
      </w:r>
      <w:r>
        <w:t xml:space="preserve"> </w:t>
      </w:r>
    </w:p>
  </w:footnote>
  <w:footnote w:id="2">
    <w:p w:rsidR="00A36226" w:rsidRDefault="00A36226" w:rsidP="00A36226">
      <w:pPr>
        <w:pStyle w:val="FootnoteText"/>
      </w:pPr>
      <w:r>
        <w:rPr>
          <w:rStyle w:val="FootnoteReference"/>
        </w:rPr>
        <w:footnoteRef/>
      </w:r>
      <w:r>
        <w:t xml:space="preserve"> </w:t>
      </w:r>
      <w:r w:rsidRPr="004D2D93">
        <w:t>Hans Ingvar Roth, </w:t>
      </w:r>
      <w:r w:rsidRPr="004D2D93">
        <w:rPr>
          <w:i/>
          <w:iCs/>
        </w:rPr>
        <w:t>P. C. Chang and the Universal Declaration of Human Rights </w:t>
      </w:r>
      <w:r w:rsidRPr="004D2D93">
        <w:t>(Philadelphia: University of Pennsylvania Press, 2016), 135.</w:t>
      </w:r>
    </w:p>
  </w:footnote>
  <w:footnote w:id="3">
    <w:p w:rsidR="008B7343" w:rsidRDefault="008B7343">
      <w:pPr>
        <w:pStyle w:val="FootnoteText"/>
      </w:pPr>
      <w:r>
        <w:rPr>
          <w:rStyle w:val="FootnoteReference"/>
        </w:rPr>
        <w:footnoteRef/>
      </w:r>
      <w:r>
        <w:t xml:space="preserve"> </w:t>
      </w:r>
      <w:r w:rsidRPr="008B7343">
        <w:t>Mary Ann Glendon, </w:t>
      </w:r>
      <w:r w:rsidRPr="008B7343">
        <w:rPr>
          <w:i/>
          <w:iCs/>
        </w:rPr>
        <w:t>A World Made New: Eleanor Roosevelt and the Universal Declaration of Human Rights </w:t>
      </w:r>
      <w:r w:rsidRPr="008B7343">
        <w:t>(New York: Random House, 2001), 236.</w:t>
      </w:r>
    </w:p>
  </w:footnote>
  <w:footnote w:id="4">
    <w:p w:rsidR="007E44C8" w:rsidRDefault="007E44C8" w:rsidP="007E44C8">
      <w:pPr>
        <w:pStyle w:val="FootnoteText"/>
      </w:pPr>
      <w:r>
        <w:rPr>
          <w:rStyle w:val="FootnoteReference"/>
        </w:rPr>
        <w:footnoteRef/>
      </w:r>
      <w:r>
        <w:t xml:space="preserve"> </w:t>
      </w:r>
      <w:proofErr w:type="gramStart"/>
      <w:r w:rsidRPr="007A4880">
        <w:rPr>
          <w:i/>
        </w:rPr>
        <w:t>Report of the Commission on Unalienable Rights</w:t>
      </w:r>
      <w:r>
        <w:t>, 39, 57.</w:t>
      </w:r>
      <w:proofErr w:type="gramEnd"/>
      <w:r>
        <w:t xml:space="preserve"> </w:t>
      </w:r>
      <w:hyperlink r:id="rId2" w:history="1">
        <w:r w:rsidRPr="00FA24C4">
          <w:rPr>
            <w:rStyle w:val="Hyperlink"/>
          </w:rPr>
          <w:t>https://2017-2021.state.gov/wp-content/uploads/2020/08/Report-of-the-Commission-on-Unalienable-Rights.pdf</w:t>
        </w:r>
      </w:hyperlink>
      <w:r>
        <w:t xml:space="preserve">. The Commission was created in 2019 by U.S. Secretary of State Mike Pompeo; see </w:t>
      </w:r>
      <w:hyperlink r:id="rId3" w:history="1">
        <w:r w:rsidRPr="00FA24C4">
          <w:rPr>
            <w:rStyle w:val="Hyperlink"/>
          </w:rPr>
          <w:t>https://2017-2021.state.gov/commission-on-unalienable-rights/index.html</w:t>
        </w:r>
      </w:hyperlink>
      <w:r>
        <w:t xml:space="preserve">. </w:t>
      </w:r>
    </w:p>
  </w:footnote>
  <w:footnote w:id="5">
    <w:p w:rsidR="00210B63" w:rsidRDefault="00210B63">
      <w:pPr>
        <w:pStyle w:val="FootnoteText"/>
      </w:pPr>
      <w:r>
        <w:rPr>
          <w:rStyle w:val="FootnoteReference"/>
        </w:rPr>
        <w:footnoteRef/>
      </w:r>
      <w:r w:rsidR="00991D11">
        <w:t xml:space="preserve"> Robert P. George, “</w:t>
      </w:r>
      <w:r w:rsidR="00991D11" w:rsidRPr="00991D11">
        <w:t>Religious Freedom &amp; Why It Matters</w:t>
      </w:r>
      <w:r w:rsidR="00922A63">
        <w:t xml:space="preserve">,” </w:t>
      </w:r>
      <w:hyperlink r:id="rId4" w:anchor="therest" w:history="1">
        <w:r w:rsidRPr="00FA24C4">
          <w:rPr>
            <w:rStyle w:val="Hyperlink"/>
          </w:rPr>
          <w:t>https://www.touchstonemag.com/archives/article.php?id=27-03-022-f&amp;readcode=&amp;readtherest=true#therest</w:t>
        </w:r>
      </w:hyperlink>
      <w:r>
        <w:t xml:space="preserve">. </w:t>
      </w:r>
    </w:p>
  </w:footnote>
  <w:footnote w:id="6">
    <w:p w:rsidR="00B7303A" w:rsidRDefault="00B7303A">
      <w:pPr>
        <w:pStyle w:val="FootnoteText"/>
      </w:pPr>
      <w:r>
        <w:rPr>
          <w:rStyle w:val="FootnoteReference"/>
        </w:rPr>
        <w:footnoteRef/>
      </w:r>
      <w:r>
        <w:t xml:space="preserve"> Dougl</w:t>
      </w:r>
      <w:r w:rsidR="008B424A">
        <w:t xml:space="preserve">as </w:t>
      </w:r>
      <w:proofErr w:type="spellStart"/>
      <w:r w:rsidR="008B424A">
        <w:t>Laycock</w:t>
      </w:r>
      <w:proofErr w:type="spellEnd"/>
      <w:r w:rsidR="008B424A">
        <w:t xml:space="preserve">, </w:t>
      </w:r>
      <w:r w:rsidR="008B424A" w:rsidRPr="008B424A">
        <w:rPr>
          <w:i/>
        </w:rPr>
        <w:t>Religious Liberty</w:t>
      </w:r>
      <w:r w:rsidR="008B424A">
        <w:t xml:space="preserve">, 5 </w:t>
      </w:r>
      <w:proofErr w:type="gramStart"/>
      <w:r w:rsidR="008B424A">
        <w:t>vols.,</w:t>
      </w:r>
      <w:proofErr w:type="gramEnd"/>
      <w:r w:rsidR="008B424A">
        <w:t xml:space="preserve"> Emory University Studies in Law and Religion</w:t>
      </w:r>
      <w:r w:rsidR="00A76136">
        <w:t xml:space="preserve"> (Grand Rapids: Eerdmans, 2010), 1:</w:t>
      </w:r>
      <w:r w:rsidR="00C25105">
        <w:t xml:space="preserve">689, from </w:t>
      </w:r>
      <w:proofErr w:type="spellStart"/>
      <w:r w:rsidR="00C25105">
        <w:t>Laycock’s</w:t>
      </w:r>
      <w:proofErr w:type="spellEnd"/>
      <w:r w:rsidR="00C25105">
        <w:t xml:space="preserve"> “Continuity and Change in the Threat to Religious Liberty: The Reformation Era and the Late Twentieth Century,” </w:t>
      </w:r>
      <w:r w:rsidR="008A008C">
        <w:t xml:space="preserve">80 </w:t>
      </w:r>
      <w:r w:rsidR="008A008C" w:rsidRPr="005802B1">
        <w:rPr>
          <w:i/>
        </w:rPr>
        <w:t>Minnesota Law Review</w:t>
      </w:r>
      <w:r w:rsidR="008A008C">
        <w:t xml:space="preserve"> 1047 ff</w:t>
      </w:r>
      <w:r w:rsidR="005802B1">
        <w:t>.</w:t>
      </w:r>
      <w:r w:rsidR="008A008C">
        <w:t xml:space="preserve"> (1996). </w:t>
      </w:r>
    </w:p>
  </w:footnote>
  <w:footnote w:id="7">
    <w:p w:rsidR="00F27D1A" w:rsidRDefault="00F27D1A">
      <w:pPr>
        <w:pStyle w:val="FootnoteText"/>
      </w:pPr>
      <w:r>
        <w:rPr>
          <w:rStyle w:val="FootnoteReference"/>
        </w:rPr>
        <w:footnoteRef/>
      </w:r>
      <w:r>
        <w:t xml:space="preserve"> </w:t>
      </w:r>
      <w:r w:rsidRPr="00F27D1A">
        <w:t xml:space="preserve">Mary Ann Glendon, </w:t>
      </w:r>
      <w:r w:rsidRPr="00F27D1A">
        <w:rPr>
          <w:i/>
          <w:iCs/>
        </w:rPr>
        <w:t xml:space="preserve">A World Made New: Eleanor Roosevelt and the Universal Declaration of Human Rights </w:t>
      </w:r>
      <w:r w:rsidRPr="00F27D1A">
        <w:t>(New</w:t>
      </w:r>
      <w:r>
        <w:t xml:space="preserve"> York: Random House, 2001), 239.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97CD2"/>
    <w:multiLevelType w:val="multilevel"/>
    <w:tmpl w:val="D3260A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1C"/>
    <w:rsid w:val="00000506"/>
    <w:rsid w:val="000067D2"/>
    <w:rsid w:val="00011937"/>
    <w:rsid w:val="00012959"/>
    <w:rsid w:val="00016D7D"/>
    <w:rsid w:val="000220BC"/>
    <w:rsid w:val="00024EE5"/>
    <w:rsid w:val="0002770C"/>
    <w:rsid w:val="0003176D"/>
    <w:rsid w:val="000322D9"/>
    <w:rsid w:val="00041048"/>
    <w:rsid w:val="00043D85"/>
    <w:rsid w:val="00045630"/>
    <w:rsid w:val="000575C4"/>
    <w:rsid w:val="000675CE"/>
    <w:rsid w:val="00072731"/>
    <w:rsid w:val="000778E7"/>
    <w:rsid w:val="00077E8D"/>
    <w:rsid w:val="0009597B"/>
    <w:rsid w:val="000973B4"/>
    <w:rsid w:val="00097A5D"/>
    <w:rsid w:val="000A6A6F"/>
    <w:rsid w:val="000B1768"/>
    <w:rsid w:val="000C08CD"/>
    <w:rsid w:val="000C4322"/>
    <w:rsid w:val="000C56F3"/>
    <w:rsid w:val="000C70AF"/>
    <w:rsid w:val="000D432F"/>
    <w:rsid w:val="000D5466"/>
    <w:rsid w:val="000E1882"/>
    <w:rsid w:val="000F047D"/>
    <w:rsid w:val="000F1F86"/>
    <w:rsid w:val="000F2F1B"/>
    <w:rsid w:val="00102FA8"/>
    <w:rsid w:val="00105A2A"/>
    <w:rsid w:val="0011572A"/>
    <w:rsid w:val="001341AB"/>
    <w:rsid w:val="0014604C"/>
    <w:rsid w:val="001712BE"/>
    <w:rsid w:val="001713AF"/>
    <w:rsid w:val="00177159"/>
    <w:rsid w:val="00183262"/>
    <w:rsid w:val="00184094"/>
    <w:rsid w:val="001A29B4"/>
    <w:rsid w:val="001A54F3"/>
    <w:rsid w:val="001B26A7"/>
    <w:rsid w:val="001C5F52"/>
    <w:rsid w:val="001D22D7"/>
    <w:rsid w:val="001E397B"/>
    <w:rsid w:val="001E7EAF"/>
    <w:rsid w:val="00200334"/>
    <w:rsid w:val="00205429"/>
    <w:rsid w:val="00210AB6"/>
    <w:rsid w:val="00210B63"/>
    <w:rsid w:val="00225124"/>
    <w:rsid w:val="0025046E"/>
    <w:rsid w:val="00254D16"/>
    <w:rsid w:val="0028011C"/>
    <w:rsid w:val="002834F5"/>
    <w:rsid w:val="002853C6"/>
    <w:rsid w:val="00285D02"/>
    <w:rsid w:val="00293C51"/>
    <w:rsid w:val="002B0E09"/>
    <w:rsid w:val="002B1E82"/>
    <w:rsid w:val="002B60BF"/>
    <w:rsid w:val="002B6AE9"/>
    <w:rsid w:val="002D7AC4"/>
    <w:rsid w:val="002E7F6D"/>
    <w:rsid w:val="00320B92"/>
    <w:rsid w:val="0032492E"/>
    <w:rsid w:val="003443A4"/>
    <w:rsid w:val="00352498"/>
    <w:rsid w:val="00355DFB"/>
    <w:rsid w:val="00357F79"/>
    <w:rsid w:val="0037611A"/>
    <w:rsid w:val="00386B69"/>
    <w:rsid w:val="0039383A"/>
    <w:rsid w:val="003966E7"/>
    <w:rsid w:val="003A1F8A"/>
    <w:rsid w:val="003A5299"/>
    <w:rsid w:val="003A6A9D"/>
    <w:rsid w:val="003B6E6D"/>
    <w:rsid w:val="003E6160"/>
    <w:rsid w:val="003F5311"/>
    <w:rsid w:val="0042029E"/>
    <w:rsid w:val="00440869"/>
    <w:rsid w:val="00446DF8"/>
    <w:rsid w:val="00451066"/>
    <w:rsid w:val="0046439C"/>
    <w:rsid w:val="00476B23"/>
    <w:rsid w:val="004A33F5"/>
    <w:rsid w:val="004B286F"/>
    <w:rsid w:val="004B29CB"/>
    <w:rsid w:val="004B7535"/>
    <w:rsid w:val="004C487C"/>
    <w:rsid w:val="004C711A"/>
    <w:rsid w:val="004D2D93"/>
    <w:rsid w:val="004E03C9"/>
    <w:rsid w:val="00504B50"/>
    <w:rsid w:val="00512E90"/>
    <w:rsid w:val="00513948"/>
    <w:rsid w:val="0052733D"/>
    <w:rsid w:val="00530597"/>
    <w:rsid w:val="00537A3A"/>
    <w:rsid w:val="00540729"/>
    <w:rsid w:val="00560085"/>
    <w:rsid w:val="005639C2"/>
    <w:rsid w:val="00570099"/>
    <w:rsid w:val="005766F2"/>
    <w:rsid w:val="005802B1"/>
    <w:rsid w:val="00584EFF"/>
    <w:rsid w:val="00590FEA"/>
    <w:rsid w:val="00593A19"/>
    <w:rsid w:val="00593CF8"/>
    <w:rsid w:val="005A086C"/>
    <w:rsid w:val="005C07C6"/>
    <w:rsid w:val="005D6D82"/>
    <w:rsid w:val="005F7C41"/>
    <w:rsid w:val="006010BC"/>
    <w:rsid w:val="006019B0"/>
    <w:rsid w:val="00603BA7"/>
    <w:rsid w:val="006073FB"/>
    <w:rsid w:val="006102E8"/>
    <w:rsid w:val="0061436D"/>
    <w:rsid w:val="00617896"/>
    <w:rsid w:val="00625C18"/>
    <w:rsid w:val="00635BF1"/>
    <w:rsid w:val="00636362"/>
    <w:rsid w:val="00637C7E"/>
    <w:rsid w:val="00637E39"/>
    <w:rsid w:val="00645278"/>
    <w:rsid w:val="006467FC"/>
    <w:rsid w:val="00653C08"/>
    <w:rsid w:val="00664368"/>
    <w:rsid w:val="00680E61"/>
    <w:rsid w:val="00684861"/>
    <w:rsid w:val="00684DD6"/>
    <w:rsid w:val="00696C6D"/>
    <w:rsid w:val="006A0F4C"/>
    <w:rsid w:val="006A5261"/>
    <w:rsid w:val="006B4CA3"/>
    <w:rsid w:val="006B542C"/>
    <w:rsid w:val="006C032C"/>
    <w:rsid w:val="006C3213"/>
    <w:rsid w:val="006D085A"/>
    <w:rsid w:val="006D3764"/>
    <w:rsid w:val="0070560E"/>
    <w:rsid w:val="007348B7"/>
    <w:rsid w:val="007466EE"/>
    <w:rsid w:val="0075792D"/>
    <w:rsid w:val="00774B97"/>
    <w:rsid w:val="00783008"/>
    <w:rsid w:val="007855C0"/>
    <w:rsid w:val="007A10A1"/>
    <w:rsid w:val="007A42A2"/>
    <w:rsid w:val="007A4880"/>
    <w:rsid w:val="007C062E"/>
    <w:rsid w:val="007C5B2C"/>
    <w:rsid w:val="007D4708"/>
    <w:rsid w:val="007E44C8"/>
    <w:rsid w:val="007E565A"/>
    <w:rsid w:val="007F235E"/>
    <w:rsid w:val="00807653"/>
    <w:rsid w:val="00812F99"/>
    <w:rsid w:val="00821B12"/>
    <w:rsid w:val="00846F99"/>
    <w:rsid w:val="00851B1A"/>
    <w:rsid w:val="00853763"/>
    <w:rsid w:val="008557B2"/>
    <w:rsid w:val="00862FCA"/>
    <w:rsid w:val="0087308F"/>
    <w:rsid w:val="0088055C"/>
    <w:rsid w:val="00891D5F"/>
    <w:rsid w:val="008938E7"/>
    <w:rsid w:val="008A008C"/>
    <w:rsid w:val="008B3BF2"/>
    <w:rsid w:val="008B424A"/>
    <w:rsid w:val="008B5E76"/>
    <w:rsid w:val="008B6AFA"/>
    <w:rsid w:val="008B7343"/>
    <w:rsid w:val="008C1A3D"/>
    <w:rsid w:val="008E1ED4"/>
    <w:rsid w:val="008E79F9"/>
    <w:rsid w:val="008F02B8"/>
    <w:rsid w:val="008F13C2"/>
    <w:rsid w:val="009001E6"/>
    <w:rsid w:val="00902606"/>
    <w:rsid w:val="00902FE0"/>
    <w:rsid w:val="009050F7"/>
    <w:rsid w:val="009158E7"/>
    <w:rsid w:val="00922A63"/>
    <w:rsid w:val="0092499F"/>
    <w:rsid w:val="00925DDF"/>
    <w:rsid w:val="00941796"/>
    <w:rsid w:val="009515EF"/>
    <w:rsid w:val="00956DEB"/>
    <w:rsid w:val="0095728D"/>
    <w:rsid w:val="009632E0"/>
    <w:rsid w:val="00974503"/>
    <w:rsid w:val="009831E7"/>
    <w:rsid w:val="009870B6"/>
    <w:rsid w:val="00991D11"/>
    <w:rsid w:val="00996C0A"/>
    <w:rsid w:val="009A1B87"/>
    <w:rsid w:val="009A4F9A"/>
    <w:rsid w:val="009A738B"/>
    <w:rsid w:val="009B1A6E"/>
    <w:rsid w:val="009B218B"/>
    <w:rsid w:val="009B6A01"/>
    <w:rsid w:val="009C6929"/>
    <w:rsid w:val="009D3B16"/>
    <w:rsid w:val="009E154A"/>
    <w:rsid w:val="009F6D49"/>
    <w:rsid w:val="00A11B97"/>
    <w:rsid w:val="00A319B4"/>
    <w:rsid w:val="00A35BFE"/>
    <w:rsid w:val="00A36226"/>
    <w:rsid w:val="00A47872"/>
    <w:rsid w:val="00A76136"/>
    <w:rsid w:val="00A830E4"/>
    <w:rsid w:val="00A83BFE"/>
    <w:rsid w:val="00A92862"/>
    <w:rsid w:val="00A93BDE"/>
    <w:rsid w:val="00AA5698"/>
    <w:rsid w:val="00AB01B7"/>
    <w:rsid w:val="00AB63E9"/>
    <w:rsid w:val="00AC18F3"/>
    <w:rsid w:val="00AC62DA"/>
    <w:rsid w:val="00AD5119"/>
    <w:rsid w:val="00AD581E"/>
    <w:rsid w:val="00AE3B0A"/>
    <w:rsid w:val="00AE51F4"/>
    <w:rsid w:val="00AE5FD3"/>
    <w:rsid w:val="00AF25A1"/>
    <w:rsid w:val="00B00A49"/>
    <w:rsid w:val="00B01368"/>
    <w:rsid w:val="00B03FFE"/>
    <w:rsid w:val="00B04A9E"/>
    <w:rsid w:val="00B12969"/>
    <w:rsid w:val="00B249CF"/>
    <w:rsid w:val="00B27E3F"/>
    <w:rsid w:val="00B32A47"/>
    <w:rsid w:val="00B45174"/>
    <w:rsid w:val="00B464A6"/>
    <w:rsid w:val="00B7303A"/>
    <w:rsid w:val="00B83877"/>
    <w:rsid w:val="00B95DD8"/>
    <w:rsid w:val="00BA46CB"/>
    <w:rsid w:val="00BD2F24"/>
    <w:rsid w:val="00BD3A57"/>
    <w:rsid w:val="00BD3FEC"/>
    <w:rsid w:val="00BE5382"/>
    <w:rsid w:val="00BE736B"/>
    <w:rsid w:val="00BF5910"/>
    <w:rsid w:val="00C106C6"/>
    <w:rsid w:val="00C25105"/>
    <w:rsid w:val="00C370B7"/>
    <w:rsid w:val="00C37960"/>
    <w:rsid w:val="00C37C7F"/>
    <w:rsid w:val="00C40F47"/>
    <w:rsid w:val="00C43547"/>
    <w:rsid w:val="00C47C59"/>
    <w:rsid w:val="00C510ED"/>
    <w:rsid w:val="00C5462F"/>
    <w:rsid w:val="00C67B9D"/>
    <w:rsid w:val="00C67C92"/>
    <w:rsid w:val="00C703EE"/>
    <w:rsid w:val="00C7400C"/>
    <w:rsid w:val="00C95885"/>
    <w:rsid w:val="00C95DEB"/>
    <w:rsid w:val="00CA00C7"/>
    <w:rsid w:val="00CA1010"/>
    <w:rsid w:val="00CB341B"/>
    <w:rsid w:val="00CC0D92"/>
    <w:rsid w:val="00CD6725"/>
    <w:rsid w:val="00CE5CD1"/>
    <w:rsid w:val="00CF47F9"/>
    <w:rsid w:val="00CF5C46"/>
    <w:rsid w:val="00D0387D"/>
    <w:rsid w:val="00D204BF"/>
    <w:rsid w:val="00D20E4E"/>
    <w:rsid w:val="00D31138"/>
    <w:rsid w:val="00D355E4"/>
    <w:rsid w:val="00D37011"/>
    <w:rsid w:val="00D52BB5"/>
    <w:rsid w:val="00D62D7A"/>
    <w:rsid w:val="00D73C87"/>
    <w:rsid w:val="00D7433C"/>
    <w:rsid w:val="00DA4F81"/>
    <w:rsid w:val="00DA52DE"/>
    <w:rsid w:val="00DB307F"/>
    <w:rsid w:val="00DB5797"/>
    <w:rsid w:val="00DB6841"/>
    <w:rsid w:val="00DC711C"/>
    <w:rsid w:val="00DC7A29"/>
    <w:rsid w:val="00DD7E81"/>
    <w:rsid w:val="00DE3FA7"/>
    <w:rsid w:val="00E1185E"/>
    <w:rsid w:val="00E12468"/>
    <w:rsid w:val="00E25873"/>
    <w:rsid w:val="00E26C2E"/>
    <w:rsid w:val="00E6175D"/>
    <w:rsid w:val="00E6341D"/>
    <w:rsid w:val="00E659F8"/>
    <w:rsid w:val="00E73D51"/>
    <w:rsid w:val="00E768CC"/>
    <w:rsid w:val="00E82C7B"/>
    <w:rsid w:val="00E84186"/>
    <w:rsid w:val="00E86B67"/>
    <w:rsid w:val="00E9184E"/>
    <w:rsid w:val="00E93335"/>
    <w:rsid w:val="00E957AD"/>
    <w:rsid w:val="00EC6885"/>
    <w:rsid w:val="00ED0929"/>
    <w:rsid w:val="00ED0C1A"/>
    <w:rsid w:val="00EE7D7F"/>
    <w:rsid w:val="00F0549A"/>
    <w:rsid w:val="00F11AEC"/>
    <w:rsid w:val="00F27D1A"/>
    <w:rsid w:val="00F34151"/>
    <w:rsid w:val="00F346C5"/>
    <w:rsid w:val="00F348D3"/>
    <w:rsid w:val="00F410A8"/>
    <w:rsid w:val="00F4341C"/>
    <w:rsid w:val="00F518E7"/>
    <w:rsid w:val="00F52A2A"/>
    <w:rsid w:val="00F57DBF"/>
    <w:rsid w:val="00F63155"/>
    <w:rsid w:val="00F669D3"/>
    <w:rsid w:val="00F740E4"/>
    <w:rsid w:val="00F76785"/>
    <w:rsid w:val="00FB4CF0"/>
    <w:rsid w:val="00FE0DED"/>
    <w:rsid w:val="00FE10C2"/>
    <w:rsid w:val="00FE1223"/>
    <w:rsid w:val="00FE2C47"/>
    <w:rsid w:val="00FF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1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B97"/>
    <w:rPr>
      <w:color w:val="0000FF" w:themeColor="hyperlink"/>
      <w:u w:val="single"/>
    </w:rPr>
  </w:style>
  <w:style w:type="character" w:styleId="FollowedHyperlink">
    <w:name w:val="FollowedHyperlink"/>
    <w:basedOn w:val="DefaultParagraphFont"/>
    <w:uiPriority w:val="99"/>
    <w:semiHidden/>
    <w:unhideWhenUsed/>
    <w:rsid w:val="00774B97"/>
    <w:rPr>
      <w:color w:val="800080" w:themeColor="followedHyperlink"/>
      <w:u w:val="single"/>
    </w:rPr>
  </w:style>
  <w:style w:type="paragraph" w:styleId="FootnoteText">
    <w:name w:val="footnote text"/>
    <w:basedOn w:val="Normal"/>
    <w:link w:val="FootnoteTextChar"/>
    <w:uiPriority w:val="99"/>
    <w:semiHidden/>
    <w:unhideWhenUsed/>
    <w:rsid w:val="004D2D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D93"/>
    <w:rPr>
      <w:sz w:val="20"/>
      <w:szCs w:val="20"/>
    </w:rPr>
  </w:style>
  <w:style w:type="character" w:styleId="FootnoteReference">
    <w:name w:val="footnote reference"/>
    <w:basedOn w:val="DefaultParagraphFont"/>
    <w:uiPriority w:val="99"/>
    <w:semiHidden/>
    <w:unhideWhenUsed/>
    <w:rsid w:val="004D2D93"/>
    <w:rPr>
      <w:vertAlign w:val="superscript"/>
    </w:rPr>
  </w:style>
  <w:style w:type="character" w:customStyle="1" w:styleId="Heading1Char">
    <w:name w:val="Heading 1 Char"/>
    <w:basedOn w:val="DefaultParagraphFont"/>
    <w:link w:val="Heading1"/>
    <w:uiPriority w:val="9"/>
    <w:rsid w:val="00991D11"/>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A319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9B4"/>
    <w:rPr>
      <w:sz w:val="20"/>
      <w:szCs w:val="20"/>
    </w:rPr>
  </w:style>
  <w:style w:type="character" w:styleId="EndnoteReference">
    <w:name w:val="endnote reference"/>
    <w:basedOn w:val="DefaultParagraphFont"/>
    <w:uiPriority w:val="99"/>
    <w:semiHidden/>
    <w:unhideWhenUsed/>
    <w:rsid w:val="00A319B4"/>
    <w:rPr>
      <w:vertAlign w:val="superscript"/>
    </w:rPr>
  </w:style>
  <w:style w:type="paragraph" w:styleId="BalloonText">
    <w:name w:val="Balloon Text"/>
    <w:basedOn w:val="Normal"/>
    <w:link w:val="BalloonTextChar"/>
    <w:uiPriority w:val="99"/>
    <w:semiHidden/>
    <w:unhideWhenUsed/>
    <w:rsid w:val="00200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1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B97"/>
    <w:rPr>
      <w:color w:val="0000FF" w:themeColor="hyperlink"/>
      <w:u w:val="single"/>
    </w:rPr>
  </w:style>
  <w:style w:type="character" w:styleId="FollowedHyperlink">
    <w:name w:val="FollowedHyperlink"/>
    <w:basedOn w:val="DefaultParagraphFont"/>
    <w:uiPriority w:val="99"/>
    <w:semiHidden/>
    <w:unhideWhenUsed/>
    <w:rsid w:val="00774B97"/>
    <w:rPr>
      <w:color w:val="800080" w:themeColor="followedHyperlink"/>
      <w:u w:val="single"/>
    </w:rPr>
  </w:style>
  <w:style w:type="paragraph" w:styleId="FootnoteText">
    <w:name w:val="footnote text"/>
    <w:basedOn w:val="Normal"/>
    <w:link w:val="FootnoteTextChar"/>
    <w:uiPriority w:val="99"/>
    <w:semiHidden/>
    <w:unhideWhenUsed/>
    <w:rsid w:val="004D2D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D93"/>
    <w:rPr>
      <w:sz w:val="20"/>
      <w:szCs w:val="20"/>
    </w:rPr>
  </w:style>
  <w:style w:type="character" w:styleId="FootnoteReference">
    <w:name w:val="footnote reference"/>
    <w:basedOn w:val="DefaultParagraphFont"/>
    <w:uiPriority w:val="99"/>
    <w:semiHidden/>
    <w:unhideWhenUsed/>
    <w:rsid w:val="004D2D93"/>
    <w:rPr>
      <w:vertAlign w:val="superscript"/>
    </w:rPr>
  </w:style>
  <w:style w:type="character" w:customStyle="1" w:styleId="Heading1Char">
    <w:name w:val="Heading 1 Char"/>
    <w:basedOn w:val="DefaultParagraphFont"/>
    <w:link w:val="Heading1"/>
    <w:uiPriority w:val="9"/>
    <w:rsid w:val="00991D11"/>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A319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9B4"/>
    <w:rPr>
      <w:sz w:val="20"/>
      <w:szCs w:val="20"/>
    </w:rPr>
  </w:style>
  <w:style w:type="character" w:styleId="EndnoteReference">
    <w:name w:val="endnote reference"/>
    <w:basedOn w:val="DefaultParagraphFont"/>
    <w:uiPriority w:val="99"/>
    <w:semiHidden/>
    <w:unhideWhenUsed/>
    <w:rsid w:val="00A319B4"/>
    <w:rPr>
      <w:vertAlign w:val="superscript"/>
    </w:rPr>
  </w:style>
  <w:style w:type="paragraph" w:styleId="BalloonText">
    <w:name w:val="Balloon Text"/>
    <w:basedOn w:val="Normal"/>
    <w:link w:val="BalloonTextChar"/>
    <w:uiPriority w:val="99"/>
    <w:semiHidden/>
    <w:unhideWhenUsed/>
    <w:rsid w:val="00200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87855">
      <w:bodyDiv w:val="1"/>
      <w:marLeft w:val="0"/>
      <w:marRight w:val="0"/>
      <w:marTop w:val="0"/>
      <w:marBottom w:val="0"/>
      <w:divBdr>
        <w:top w:val="none" w:sz="0" w:space="0" w:color="auto"/>
        <w:left w:val="none" w:sz="0" w:space="0" w:color="auto"/>
        <w:bottom w:val="none" w:sz="0" w:space="0" w:color="auto"/>
        <w:right w:val="none" w:sz="0" w:space="0" w:color="auto"/>
      </w:divBdr>
    </w:div>
    <w:div w:id="1054036886">
      <w:bodyDiv w:val="1"/>
      <w:marLeft w:val="0"/>
      <w:marRight w:val="0"/>
      <w:marTop w:val="0"/>
      <w:marBottom w:val="0"/>
      <w:divBdr>
        <w:top w:val="none" w:sz="0" w:space="0" w:color="auto"/>
        <w:left w:val="none" w:sz="0" w:space="0" w:color="auto"/>
        <w:bottom w:val="none" w:sz="0" w:space="0" w:color="auto"/>
        <w:right w:val="none" w:sz="0" w:space="0" w:color="auto"/>
      </w:divBdr>
    </w:div>
    <w:div w:id="1332026788">
      <w:bodyDiv w:val="1"/>
      <w:marLeft w:val="0"/>
      <w:marRight w:val="0"/>
      <w:marTop w:val="0"/>
      <w:marBottom w:val="0"/>
      <w:divBdr>
        <w:top w:val="none" w:sz="0" w:space="0" w:color="auto"/>
        <w:left w:val="none" w:sz="0" w:space="0" w:color="auto"/>
        <w:bottom w:val="none" w:sz="0" w:space="0" w:color="auto"/>
        <w:right w:val="none" w:sz="0" w:space="0" w:color="auto"/>
      </w:divBdr>
    </w:div>
    <w:div w:id="137083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calls-for-input/2023/call-input-thematic-report-freedom-religion-or-belief-forb-and-sexual"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2017-2021.state.gov/commission-on-unalienable-rights/index.html" TargetMode="External"/><Relationship Id="rId2" Type="http://schemas.openxmlformats.org/officeDocument/2006/relationships/hyperlink" Target="https://2017-2021.state.gov/wp-content/uploads/2020/08/Report-of-the-Commission-on-Unalienable-Rights.pdf" TargetMode="External"/><Relationship Id="rId1" Type="http://schemas.openxmlformats.org/officeDocument/2006/relationships/hyperlink" Target="https://erpapers.columbian.gwu.edu/statement-united-nations-general-assembly-universal-declaration-human-rights-1948" TargetMode="External"/><Relationship Id="rId4" Type="http://schemas.openxmlformats.org/officeDocument/2006/relationships/hyperlink" Target="https://www.touchstonemag.com/archives/article.php?id=27-03-022-f&amp;readcode=&amp;readtheres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International Organization for the Family (Howard Center for Family, Religion and Society)</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8B6C93ED-31F1-4310-8E1E-0B75725B545C}"/>
</file>

<file path=customXml/itemProps2.xml><?xml version="1.0" encoding="utf-8"?>
<ds:datastoreItem xmlns:ds="http://schemas.openxmlformats.org/officeDocument/2006/customXml" ds:itemID="{46341DD4-093E-4408-B2C0-ED194A419F43}"/>
</file>

<file path=customXml/itemProps3.xml><?xml version="1.0" encoding="utf-8"?>
<ds:datastoreItem xmlns:ds="http://schemas.openxmlformats.org/officeDocument/2006/customXml" ds:itemID="{FED9DEBB-1367-4F8A-B12E-967ECBC5650B}"/>
</file>

<file path=docProps/app.xml><?xml version="1.0" encoding="utf-8"?>
<Properties xmlns="http://schemas.openxmlformats.org/officeDocument/2006/extended-properties" xmlns:vt="http://schemas.openxmlformats.org/officeDocument/2006/docPropsVTypes">
  <Template>Normal.dotm</Template>
  <TotalTime>0</TotalTime>
  <Pages>4</Pages>
  <Words>1787</Words>
  <Characters>9546</Characters>
  <Application>Microsoft Office Word</Application>
  <DocSecurity>0</DocSecurity>
  <Lines>134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2</cp:revision>
  <cp:lastPrinted>2023-01-15T22:47:00Z</cp:lastPrinted>
  <dcterms:created xsi:type="dcterms:W3CDTF">2023-01-16T03:20:00Z</dcterms:created>
  <dcterms:modified xsi:type="dcterms:W3CDTF">2023-01-16T03:20:00Z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