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2454C" w14:textId="77777777" w:rsidR="00CD1D5F" w:rsidRDefault="00CD1D5F" w:rsidP="00BE03CE">
      <w:r>
        <w:rPr>
          <w:noProof/>
        </w:rPr>
        <w:drawing>
          <wp:anchor distT="0" distB="0" distL="114300" distR="114300" simplePos="0" relativeHeight="251658240" behindDoc="1" locked="0" layoutInCell="1" allowOverlap="1" wp14:anchorId="0432B4D7" wp14:editId="28504984">
            <wp:simplePos x="0" y="0"/>
            <wp:positionH relativeFrom="column">
              <wp:posOffset>1828800</wp:posOffset>
            </wp:positionH>
            <wp:positionV relativeFrom="paragraph">
              <wp:posOffset>-800100</wp:posOffset>
            </wp:positionV>
            <wp:extent cx="2052320" cy="855494"/>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320" cy="8554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9260F" w14:textId="77777777" w:rsidR="00CD1D5F" w:rsidRDefault="00CD1D5F" w:rsidP="00CD1D5F">
      <w:pPr>
        <w:jc w:val="center"/>
      </w:pPr>
    </w:p>
    <w:p w14:paraId="7EB60927" w14:textId="77777777" w:rsidR="00CD1D5F" w:rsidRDefault="00CD1D5F" w:rsidP="00CD1D5F">
      <w:pPr>
        <w:jc w:val="center"/>
        <w:rPr>
          <w:rFonts w:ascii="Times New Roman" w:hAnsi="Times New Roman" w:cs="Times New Roman"/>
        </w:rPr>
      </w:pPr>
      <w:r>
        <w:rPr>
          <w:rFonts w:ascii="Times New Roman" w:hAnsi="Times New Roman" w:cs="Times New Roman"/>
          <w:b/>
        </w:rPr>
        <w:t>Questionnaire Submission:</w:t>
      </w:r>
      <w:r w:rsidRPr="00CD1D5F">
        <w:rPr>
          <w:rFonts w:ascii="Times New Roman" w:hAnsi="Times New Roman" w:cs="Times New Roman"/>
        </w:rPr>
        <w:t xml:space="preserve"> </w:t>
      </w:r>
    </w:p>
    <w:p w14:paraId="54F49E80" w14:textId="41831100" w:rsidR="00CD1D5F" w:rsidRDefault="00362864" w:rsidP="00CD1D5F">
      <w:pPr>
        <w:jc w:val="center"/>
        <w:rPr>
          <w:rFonts w:ascii="Times New Roman" w:hAnsi="Times New Roman" w:cs="Times New Roman"/>
          <w:b/>
          <w:i/>
          <w:iCs/>
          <w:lang w:val="en-GB"/>
        </w:rPr>
      </w:pPr>
      <w:r w:rsidRPr="00362864">
        <w:rPr>
          <w:rFonts w:ascii="Times New Roman" w:hAnsi="Times New Roman" w:cs="Times New Roman"/>
          <w:b/>
          <w:i/>
          <w:iCs/>
          <w:lang w:val="en-GB"/>
        </w:rPr>
        <w:t>Freedom of religion or belief and freedom from violence and discrimination based on sexual orientation and gender identity</w:t>
      </w:r>
    </w:p>
    <w:p w14:paraId="3AE4D356" w14:textId="77777777" w:rsidR="00362864" w:rsidRDefault="00362864" w:rsidP="00CD1D5F">
      <w:pPr>
        <w:jc w:val="center"/>
        <w:rPr>
          <w:rFonts w:ascii="Times New Roman" w:hAnsi="Times New Roman" w:cs="Times New Roman"/>
        </w:rPr>
      </w:pPr>
    </w:p>
    <w:p w14:paraId="47717575" w14:textId="53E8D28F" w:rsidR="00711E7A" w:rsidRDefault="00A0154E" w:rsidP="00A0154E">
      <w:pPr>
        <w:jc w:val="both"/>
        <w:rPr>
          <w:rFonts w:ascii="Times New Roman" w:hAnsi="Times New Roman" w:cs="Times New Roman"/>
        </w:rPr>
      </w:pPr>
      <w:r>
        <w:rPr>
          <w:rFonts w:ascii="Times New Roman" w:hAnsi="Times New Roman" w:cs="Times New Roman"/>
        </w:rPr>
        <w:t xml:space="preserve">The </w:t>
      </w:r>
      <w:hyperlink r:id="rId12" w:history="1">
        <w:r w:rsidRPr="00711E7A">
          <w:rPr>
            <w:rStyle w:val="Hyperlink"/>
            <w:rFonts w:ascii="Times New Roman" w:hAnsi="Times New Roman" w:cs="Times New Roman"/>
          </w:rPr>
          <w:t>HIV Legal Network</w:t>
        </w:r>
      </w:hyperlink>
      <w:r>
        <w:rPr>
          <w:rFonts w:ascii="Times New Roman" w:hAnsi="Times New Roman" w:cs="Times New Roman"/>
        </w:rPr>
        <w:t xml:space="preserve"> welcomes the opportunity to contribute to the work of the Independent </w:t>
      </w:r>
      <w:r w:rsidRPr="00CD1D5F">
        <w:rPr>
          <w:rFonts w:ascii="Times New Roman" w:hAnsi="Times New Roman" w:cs="Times New Roman"/>
          <w:color w:val="000000" w:themeColor="text1"/>
          <w:lang w:val="en-GB"/>
        </w:rPr>
        <w:t>Expert on protection against violence and discrimination based on sexual orientation and gender identity</w:t>
      </w:r>
      <w:r>
        <w:rPr>
          <w:rFonts w:ascii="Times New Roman" w:hAnsi="Times New Roman" w:cs="Times New Roman"/>
          <w:color w:val="000000" w:themeColor="text1"/>
          <w:lang w:val="en-GB"/>
        </w:rPr>
        <w:t xml:space="preserve"> (SOGI), specifically the Independent Expert’s upcoming report to the United Nations Human Rights Council on the relationship between freedom of religion or belief (</w:t>
      </w:r>
      <w:proofErr w:type="spellStart"/>
      <w:r>
        <w:rPr>
          <w:rFonts w:ascii="Times New Roman" w:hAnsi="Times New Roman" w:cs="Times New Roman"/>
          <w:color w:val="000000" w:themeColor="text1"/>
          <w:lang w:val="en-GB"/>
        </w:rPr>
        <w:t>FoRB</w:t>
      </w:r>
      <w:proofErr w:type="spellEnd"/>
      <w:r>
        <w:rPr>
          <w:rFonts w:ascii="Times New Roman" w:hAnsi="Times New Roman" w:cs="Times New Roman"/>
          <w:color w:val="000000" w:themeColor="text1"/>
          <w:lang w:val="en-GB"/>
        </w:rPr>
        <w:t xml:space="preserve">) </w:t>
      </w:r>
      <w:r w:rsidR="00711E7A">
        <w:rPr>
          <w:rFonts w:ascii="Times New Roman" w:hAnsi="Times New Roman" w:cs="Times New Roman"/>
          <w:color w:val="000000" w:themeColor="text1"/>
          <w:lang w:val="en-GB"/>
        </w:rPr>
        <w:t xml:space="preserve">and </w:t>
      </w:r>
      <w:r w:rsidR="00BE03CE" w:rsidRPr="00CD1D5F">
        <w:rPr>
          <w:rFonts w:ascii="Times New Roman" w:hAnsi="Times New Roman" w:cs="Times New Roman"/>
        </w:rPr>
        <w:t>freedom from violence an</w:t>
      </w:r>
      <w:r w:rsidR="00711E7A">
        <w:rPr>
          <w:rFonts w:ascii="Times New Roman" w:hAnsi="Times New Roman" w:cs="Times New Roman"/>
        </w:rPr>
        <w:t xml:space="preserve">d discrimination based on SOGI. </w:t>
      </w:r>
    </w:p>
    <w:p w14:paraId="66B3E4FD" w14:textId="77777777" w:rsidR="00711E7A" w:rsidRDefault="00711E7A" w:rsidP="00A0154E">
      <w:pPr>
        <w:jc w:val="both"/>
        <w:rPr>
          <w:rFonts w:ascii="Times New Roman" w:hAnsi="Times New Roman" w:cs="Times New Roman"/>
        </w:rPr>
      </w:pPr>
    </w:p>
    <w:p w14:paraId="01C7C671" w14:textId="789CE300" w:rsidR="00547FE2" w:rsidRDefault="00547FE2" w:rsidP="005F4271">
      <w:pPr>
        <w:jc w:val="both"/>
        <w:rPr>
          <w:rFonts w:ascii="Times New Roman" w:eastAsia="Times New Roman" w:hAnsi="Times New Roman" w:cs="Times New Roman"/>
          <w:color w:val="000000"/>
          <w:shd w:val="clear" w:color="auto" w:fill="FFFFFF"/>
        </w:rPr>
      </w:pPr>
      <w:r w:rsidRPr="005F4271">
        <w:rPr>
          <w:rFonts w:ascii="Times New Roman" w:hAnsi="Times New Roman" w:cs="Times New Roman"/>
        </w:rPr>
        <w:t>The HIV Legal Network promotes the human rights of people living with HIV and other populations disproportionately affected by HIV, punitive laws and policies, and criminalization, in Canada and internationally through research and analysis, litigation and other advocacy, public education, and community mobilization.</w:t>
      </w:r>
    </w:p>
    <w:p w14:paraId="1ABE2649" w14:textId="77777777" w:rsidR="005F4271" w:rsidRDefault="005F4271" w:rsidP="005F4271">
      <w:pPr>
        <w:jc w:val="both"/>
        <w:rPr>
          <w:rFonts w:ascii="Times New Roman" w:eastAsia="Times New Roman" w:hAnsi="Times New Roman" w:cs="Times New Roman"/>
          <w:color w:val="000000"/>
          <w:shd w:val="clear" w:color="auto" w:fill="FFFFFF"/>
        </w:rPr>
      </w:pPr>
    </w:p>
    <w:p w14:paraId="5D85D2AC" w14:textId="2529B306" w:rsidR="00751AA2" w:rsidRDefault="005F4271" w:rsidP="005F4271">
      <w:pPr>
        <w:jc w:val="both"/>
        <w:rPr>
          <w:rFonts w:ascii="Times New Roman" w:eastAsia="Times New Roman" w:hAnsi="Times New Roman" w:cs="Times New Roman"/>
          <w:color w:val="000000"/>
          <w:shd w:val="clear" w:color="auto" w:fill="FFFFFF"/>
        </w:rPr>
      </w:pPr>
      <w:r w:rsidRPr="00F2450F">
        <w:rPr>
          <w:rFonts w:ascii="Times New Roman" w:eastAsia="Times New Roman" w:hAnsi="Times New Roman" w:cs="Times New Roman"/>
          <w:color w:val="000000"/>
          <w:shd w:val="clear" w:color="auto" w:fill="FFFFFF"/>
        </w:rPr>
        <w:t xml:space="preserve">In our submission, </w:t>
      </w:r>
      <w:r w:rsidR="00D47394" w:rsidRPr="00F2450F">
        <w:rPr>
          <w:rFonts w:ascii="Times New Roman" w:eastAsia="Times New Roman" w:hAnsi="Times New Roman" w:cs="Times New Roman"/>
          <w:color w:val="000000"/>
          <w:shd w:val="clear" w:color="auto" w:fill="FFFFFF"/>
        </w:rPr>
        <w:t xml:space="preserve">we wish to highlight two </w:t>
      </w:r>
      <w:r w:rsidR="00F552A9">
        <w:rPr>
          <w:rFonts w:ascii="Times New Roman" w:eastAsia="Times New Roman" w:hAnsi="Times New Roman" w:cs="Times New Roman"/>
          <w:color w:val="000000"/>
          <w:shd w:val="clear" w:color="auto" w:fill="FFFFFF"/>
        </w:rPr>
        <w:t>examples</w:t>
      </w:r>
      <w:r w:rsidR="00D47394" w:rsidRPr="00F2450F">
        <w:rPr>
          <w:rFonts w:ascii="Times New Roman" w:eastAsia="Times New Roman" w:hAnsi="Times New Roman" w:cs="Times New Roman"/>
          <w:color w:val="000000"/>
          <w:shd w:val="clear" w:color="auto" w:fill="FFFFFF"/>
        </w:rPr>
        <w:t xml:space="preserve"> of our work deal</w:t>
      </w:r>
      <w:r w:rsidR="00F552A9">
        <w:rPr>
          <w:rFonts w:ascii="Times New Roman" w:eastAsia="Times New Roman" w:hAnsi="Times New Roman" w:cs="Times New Roman"/>
          <w:color w:val="000000"/>
          <w:shd w:val="clear" w:color="auto" w:fill="FFFFFF"/>
        </w:rPr>
        <w:t>ing</w:t>
      </w:r>
      <w:r w:rsidR="00D47394" w:rsidRPr="00F2450F">
        <w:rPr>
          <w:rFonts w:ascii="Times New Roman" w:eastAsia="Times New Roman" w:hAnsi="Times New Roman" w:cs="Times New Roman"/>
          <w:color w:val="000000"/>
          <w:shd w:val="clear" w:color="auto" w:fill="FFFFFF"/>
        </w:rPr>
        <w:t xml:space="preserve"> with the interplay between </w:t>
      </w:r>
      <w:proofErr w:type="spellStart"/>
      <w:r w:rsidR="00D47394" w:rsidRPr="00F2450F">
        <w:rPr>
          <w:rFonts w:ascii="Times New Roman" w:eastAsia="Times New Roman" w:hAnsi="Times New Roman" w:cs="Times New Roman"/>
          <w:color w:val="000000"/>
          <w:shd w:val="clear" w:color="auto" w:fill="FFFFFF"/>
        </w:rPr>
        <w:t>FoRB</w:t>
      </w:r>
      <w:proofErr w:type="spellEnd"/>
      <w:r w:rsidR="00D47394" w:rsidRPr="00F2450F">
        <w:rPr>
          <w:rFonts w:ascii="Times New Roman" w:eastAsia="Times New Roman" w:hAnsi="Times New Roman" w:cs="Times New Roman"/>
          <w:color w:val="000000"/>
          <w:shd w:val="clear" w:color="auto" w:fill="FFFFFF"/>
        </w:rPr>
        <w:t xml:space="preserve"> and the rights of LGBTQ+ individuals to be free from violence and discrimination</w:t>
      </w:r>
      <w:r w:rsidR="00BC3058">
        <w:rPr>
          <w:rFonts w:ascii="Times New Roman" w:eastAsia="Times New Roman" w:hAnsi="Times New Roman" w:cs="Times New Roman"/>
          <w:color w:val="000000"/>
          <w:shd w:val="clear" w:color="auto" w:fill="FFFFFF"/>
        </w:rPr>
        <w:t xml:space="preserve"> touching on (a) “good practices” and (b) </w:t>
      </w:r>
      <w:r w:rsidR="00BC3058" w:rsidRPr="00BC3058">
        <w:rPr>
          <w:rFonts w:ascii="Times New Roman" w:eastAsia="Times New Roman" w:hAnsi="Times New Roman" w:cs="Times New Roman"/>
          <w:color w:val="000000"/>
          <w:shd w:val="clear" w:color="auto" w:fill="FFFFFF"/>
        </w:rPr>
        <w:t>conscientious objection</w:t>
      </w:r>
      <w:r w:rsidR="00D47394" w:rsidRPr="00F2450F">
        <w:rPr>
          <w:rFonts w:ascii="Times New Roman" w:eastAsia="Times New Roman" w:hAnsi="Times New Roman" w:cs="Times New Roman"/>
          <w:color w:val="000000"/>
          <w:shd w:val="clear" w:color="auto" w:fill="FFFFFF"/>
        </w:rPr>
        <w:t xml:space="preserve">. </w:t>
      </w:r>
    </w:p>
    <w:p w14:paraId="7A9A2DAA" w14:textId="77777777" w:rsidR="00C833C4" w:rsidRDefault="00C833C4" w:rsidP="005F4271">
      <w:pPr>
        <w:jc w:val="both"/>
        <w:rPr>
          <w:rFonts w:ascii="Times New Roman" w:eastAsia="Times New Roman" w:hAnsi="Times New Roman" w:cs="Times New Roman"/>
          <w:color w:val="000000"/>
          <w:shd w:val="clear" w:color="auto" w:fill="FFFFFF"/>
        </w:rPr>
      </w:pPr>
    </w:p>
    <w:p w14:paraId="1C0E830D" w14:textId="4D2A76CA" w:rsidR="00751AA2" w:rsidRPr="00C266A3" w:rsidRDefault="00C833C4" w:rsidP="005F4271">
      <w:pPr>
        <w:jc w:val="both"/>
        <w:rPr>
          <w:rFonts w:ascii="Times New Roman" w:eastAsia="Times New Roman" w:hAnsi="Times New Roman" w:cs="Times New Roman"/>
          <w:b/>
          <w:bCs/>
          <w:color w:val="000000"/>
          <w:shd w:val="clear" w:color="auto" w:fill="FFFFFF"/>
        </w:rPr>
      </w:pPr>
      <w:r w:rsidRPr="00C266A3">
        <w:rPr>
          <w:rFonts w:ascii="Times New Roman" w:eastAsia="Times New Roman" w:hAnsi="Times New Roman" w:cs="Times New Roman"/>
          <w:b/>
          <w:bCs/>
          <w:color w:val="000000"/>
          <w:shd w:val="clear" w:color="auto" w:fill="FFFFFF"/>
        </w:rPr>
        <w:t>Good Practices:</w:t>
      </w:r>
    </w:p>
    <w:p w14:paraId="34EE201F" w14:textId="77777777" w:rsidR="00BC3058" w:rsidRDefault="00BC3058" w:rsidP="005F4271">
      <w:pPr>
        <w:jc w:val="both"/>
        <w:rPr>
          <w:rFonts w:ascii="Times New Roman" w:eastAsia="Times New Roman" w:hAnsi="Times New Roman" w:cs="Times New Roman"/>
          <w:color w:val="000000"/>
          <w:shd w:val="clear" w:color="auto" w:fill="FFFFFF"/>
        </w:rPr>
      </w:pPr>
    </w:p>
    <w:p w14:paraId="7CDC1A9F" w14:textId="38775D2E" w:rsidR="00FB11A7" w:rsidRDefault="00FB11A7" w:rsidP="00C266A3">
      <w:pPr>
        <w:ind w:left="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11a.</w:t>
      </w:r>
      <w:r w:rsidRPr="00FB11A7">
        <w:t xml:space="preserve"> </w:t>
      </w:r>
      <w:r w:rsidRPr="00FB11A7">
        <w:rPr>
          <w:rFonts w:ascii="Times New Roman" w:eastAsia="Times New Roman" w:hAnsi="Times New Roman" w:cs="Times New Roman"/>
          <w:color w:val="000000"/>
          <w:shd w:val="clear" w:color="auto" w:fill="FFFFFF"/>
        </w:rPr>
        <w:t xml:space="preserve">Provide any examples of good practice </w:t>
      </w:r>
      <w:r w:rsidR="00C96760">
        <w:rPr>
          <w:rFonts w:ascii="Times New Roman" w:eastAsia="Times New Roman" w:hAnsi="Times New Roman" w:cs="Times New Roman"/>
          <w:color w:val="000000"/>
          <w:shd w:val="clear" w:color="auto" w:fill="FFFFFF"/>
        </w:rPr>
        <w:t>—</w:t>
      </w:r>
      <w:r w:rsidRPr="00FB11A7">
        <w:rPr>
          <w:rFonts w:ascii="Times New Roman" w:eastAsia="Times New Roman" w:hAnsi="Times New Roman" w:cs="Times New Roman"/>
          <w:color w:val="000000"/>
          <w:shd w:val="clear" w:color="auto" w:fill="FFFFFF"/>
        </w:rPr>
        <w:t xml:space="preserve"> at the international, national or local level </w:t>
      </w:r>
      <w:r w:rsidR="00C96760">
        <w:rPr>
          <w:rFonts w:ascii="Times New Roman" w:eastAsia="Times New Roman" w:hAnsi="Times New Roman" w:cs="Times New Roman"/>
          <w:color w:val="000000"/>
          <w:shd w:val="clear" w:color="auto" w:fill="FFFFFF"/>
        </w:rPr>
        <w:t>—</w:t>
      </w:r>
      <w:r w:rsidRPr="00FB11A7">
        <w:rPr>
          <w:rFonts w:ascii="Times New Roman" w:eastAsia="Times New Roman" w:hAnsi="Times New Roman" w:cs="Times New Roman"/>
          <w:color w:val="000000"/>
          <w:shd w:val="clear" w:color="auto" w:fill="FFFFFF"/>
        </w:rPr>
        <w:t xml:space="preserve"> where State and non-State actors (including faith leaders, groups and </w:t>
      </w:r>
      <w:proofErr w:type="spellStart"/>
      <w:r w:rsidRPr="00FB11A7">
        <w:rPr>
          <w:rFonts w:ascii="Times New Roman" w:eastAsia="Times New Roman" w:hAnsi="Times New Roman" w:cs="Times New Roman"/>
          <w:color w:val="000000"/>
          <w:shd w:val="clear" w:color="auto" w:fill="FFFFFF"/>
        </w:rPr>
        <w:t>organisations</w:t>
      </w:r>
      <w:proofErr w:type="spellEnd"/>
      <w:r w:rsidRPr="00FB11A7">
        <w:rPr>
          <w:rFonts w:ascii="Times New Roman" w:eastAsia="Times New Roman" w:hAnsi="Times New Roman" w:cs="Times New Roman"/>
          <w:color w:val="000000"/>
          <w:shd w:val="clear" w:color="auto" w:fill="FFFFFF"/>
        </w:rPr>
        <w:t xml:space="preserve">, international </w:t>
      </w:r>
      <w:proofErr w:type="spellStart"/>
      <w:r w:rsidRPr="00FB11A7">
        <w:rPr>
          <w:rFonts w:ascii="Times New Roman" w:eastAsia="Times New Roman" w:hAnsi="Times New Roman" w:cs="Times New Roman"/>
          <w:color w:val="000000"/>
          <w:shd w:val="clear" w:color="auto" w:fill="FFFFFF"/>
        </w:rPr>
        <w:t>organisations</w:t>
      </w:r>
      <w:proofErr w:type="spellEnd"/>
      <w:r w:rsidRPr="00FB11A7">
        <w:rPr>
          <w:rFonts w:ascii="Times New Roman" w:eastAsia="Times New Roman" w:hAnsi="Times New Roman" w:cs="Times New Roman"/>
          <w:color w:val="000000"/>
          <w:shd w:val="clear" w:color="auto" w:fill="FFFFFF"/>
        </w:rPr>
        <w:t xml:space="preserve">, civil society </w:t>
      </w:r>
      <w:proofErr w:type="spellStart"/>
      <w:r w:rsidRPr="00FB11A7">
        <w:rPr>
          <w:rFonts w:ascii="Times New Roman" w:eastAsia="Times New Roman" w:hAnsi="Times New Roman" w:cs="Times New Roman"/>
          <w:color w:val="000000"/>
          <w:shd w:val="clear" w:color="auto" w:fill="FFFFFF"/>
        </w:rPr>
        <w:t>organisations</w:t>
      </w:r>
      <w:proofErr w:type="spellEnd"/>
      <w:r w:rsidRPr="00FB11A7">
        <w:rPr>
          <w:rFonts w:ascii="Times New Roman" w:eastAsia="Times New Roman" w:hAnsi="Times New Roman" w:cs="Times New Roman"/>
          <w:color w:val="000000"/>
          <w:shd w:val="clear" w:color="auto" w:fill="FFFFFF"/>
        </w:rPr>
        <w:t>, and the UN human rights system) have taken effective measures to protect and promote freedom of religion or belief of LGBT+ and gender-diverse persons, and made efforts to prevent, mitigate and respond to any violence and/or discrimination justified in the name of religion.</w:t>
      </w:r>
    </w:p>
    <w:p w14:paraId="4128E656" w14:textId="77777777" w:rsidR="00FB11A7" w:rsidRDefault="00FB11A7" w:rsidP="005F4271">
      <w:pPr>
        <w:jc w:val="both"/>
        <w:rPr>
          <w:rFonts w:ascii="Times New Roman" w:eastAsia="Times New Roman" w:hAnsi="Times New Roman" w:cs="Times New Roman"/>
          <w:color w:val="000000"/>
          <w:shd w:val="clear" w:color="auto" w:fill="FFFFFF"/>
        </w:rPr>
      </w:pPr>
    </w:p>
    <w:p w14:paraId="73C64A62" w14:textId="4345D148" w:rsidR="00751AA2" w:rsidRDefault="00BC3058" w:rsidP="005F4271">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In 2017 and 2020</w:t>
      </w:r>
      <w:r w:rsidR="00D47394" w:rsidRPr="00F2450F">
        <w:rPr>
          <w:rFonts w:ascii="Times New Roman" w:eastAsia="Times New Roman" w:hAnsi="Times New Roman" w:cs="Times New Roman"/>
          <w:color w:val="000000"/>
          <w:shd w:val="clear" w:color="auto" w:fill="FFFFFF"/>
        </w:rPr>
        <w:t>, the HIV Legal Network hosted two conferences</w:t>
      </w:r>
      <w:r w:rsidR="00FE16CF" w:rsidRPr="00F2450F">
        <w:rPr>
          <w:rFonts w:ascii="Times New Roman" w:eastAsia="Times New Roman" w:hAnsi="Times New Roman" w:cs="Times New Roman"/>
          <w:color w:val="000000"/>
          <w:shd w:val="clear" w:color="auto" w:fill="FFFFFF"/>
        </w:rPr>
        <w:t xml:space="preserve"> (</w:t>
      </w:r>
      <w:hyperlink r:id="rId13" w:history="1">
        <w:r w:rsidR="00FE16CF" w:rsidRPr="00F2450F">
          <w:rPr>
            <w:rStyle w:val="Hyperlink"/>
            <w:rFonts w:ascii="Times New Roman" w:eastAsia="Times New Roman" w:hAnsi="Times New Roman" w:cs="Times New Roman"/>
            <w:i/>
            <w:shd w:val="clear" w:color="auto" w:fill="FFFFFF"/>
          </w:rPr>
          <w:t>Intimate Conviction</w:t>
        </w:r>
      </w:hyperlink>
      <w:r w:rsidR="00D47394" w:rsidRPr="00F2450F">
        <w:rPr>
          <w:rFonts w:ascii="Times New Roman" w:eastAsia="Times New Roman" w:hAnsi="Times New Roman" w:cs="Times New Roman"/>
          <w:color w:val="000000"/>
          <w:shd w:val="clear" w:color="auto" w:fill="FFFFFF"/>
        </w:rPr>
        <w:t xml:space="preserve"> and </w:t>
      </w:r>
      <w:hyperlink r:id="rId14" w:history="1">
        <w:r w:rsidR="00FE16CF" w:rsidRPr="00F2450F">
          <w:rPr>
            <w:rStyle w:val="Hyperlink"/>
            <w:rFonts w:ascii="Times New Roman" w:eastAsia="Times New Roman" w:hAnsi="Times New Roman" w:cs="Times New Roman"/>
            <w:i/>
            <w:shd w:val="clear" w:color="auto" w:fill="FFFFFF"/>
          </w:rPr>
          <w:t>Intimate Conviction 2: Continuing the Decriminalization Dialogue</w:t>
        </w:r>
      </w:hyperlink>
      <w:r>
        <w:rPr>
          <w:rStyle w:val="Hyperlink"/>
          <w:rFonts w:ascii="Times New Roman" w:eastAsia="Times New Roman" w:hAnsi="Times New Roman" w:cs="Times New Roman"/>
          <w:iCs/>
          <w:u w:val="none"/>
          <w:shd w:val="clear" w:color="auto" w:fill="FFFFFF"/>
        </w:rPr>
        <w:t xml:space="preserve">, </w:t>
      </w:r>
      <w:r>
        <w:rPr>
          <w:rFonts w:ascii="Times New Roman" w:eastAsia="Times New Roman" w:hAnsi="Times New Roman" w:cs="Times New Roman"/>
          <w:color w:val="000000"/>
          <w:shd w:val="clear" w:color="auto" w:fill="FFFFFF"/>
        </w:rPr>
        <w:t>respectively)</w:t>
      </w:r>
      <w:r w:rsidR="00D47394" w:rsidRPr="00F2450F">
        <w:rPr>
          <w:rFonts w:ascii="Times New Roman" w:eastAsia="Times New Roman" w:hAnsi="Times New Roman" w:cs="Times New Roman"/>
          <w:color w:val="000000"/>
          <w:shd w:val="clear" w:color="auto" w:fill="FFFFFF"/>
        </w:rPr>
        <w:t xml:space="preserve">, examining the role </w:t>
      </w:r>
      <w:r w:rsidR="00C67768">
        <w:rPr>
          <w:rFonts w:ascii="Times New Roman" w:eastAsia="Times New Roman" w:hAnsi="Times New Roman" w:cs="Times New Roman"/>
          <w:color w:val="000000"/>
          <w:shd w:val="clear" w:color="auto" w:fill="FFFFFF"/>
        </w:rPr>
        <w:t xml:space="preserve">(past, present, and future) </w:t>
      </w:r>
      <w:r w:rsidR="00D47394" w:rsidRPr="00F2450F">
        <w:rPr>
          <w:rFonts w:ascii="Times New Roman" w:eastAsia="Times New Roman" w:hAnsi="Times New Roman" w:cs="Times New Roman"/>
          <w:color w:val="000000"/>
          <w:shd w:val="clear" w:color="auto" w:fill="FFFFFF"/>
        </w:rPr>
        <w:t xml:space="preserve">of the Church in </w:t>
      </w:r>
      <w:r w:rsidR="00C67768">
        <w:rPr>
          <w:rFonts w:ascii="Times New Roman" w:eastAsia="Times New Roman" w:hAnsi="Times New Roman" w:cs="Times New Roman"/>
          <w:color w:val="000000"/>
          <w:shd w:val="clear" w:color="auto" w:fill="FFFFFF"/>
        </w:rPr>
        <w:t>de</w:t>
      </w:r>
      <w:r w:rsidR="00FE16CF" w:rsidRPr="00F2450F">
        <w:rPr>
          <w:rFonts w:ascii="Times New Roman" w:eastAsia="Times New Roman" w:hAnsi="Times New Roman" w:cs="Times New Roman"/>
          <w:color w:val="000000"/>
          <w:shd w:val="clear" w:color="auto" w:fill="FFFFFF"/>
        </w:rPr>
        <w:t xml:space="preserve">criminalizing same-sex intimacy </w:t>
      </w:r>
      <w:r w:rsidR="00D47394" w:rsidRPr="00F2450F">
        <w:rPr>
          <w:rFonts w:ascii="Times New Roman" w:eastAsia="Times New Roman" w:hAnsi="Times New Roman" w:cs="Times New Roman"/>
          <w:color w:val="000000"/>
          <w:shd w:val="clear" w:color="auto" w:fill="FFFFFF"/>
        </w:rPr>
        <w:t xml:space="preserve">across the Commonwealth, with a particular focus on states in the Caribbean. </w:t>
      </w:r>
      <w:r w:rsidR="00FE16CF" w:rsidRPr="00F2450F">
        <w:rPr>
          <w:rFonts w:ascii="Times New Roman" w:eastAsia="Times New Roman" w:hAnsi="Times New Roman" w:cs="Times New Roman"/>
          <w:color w:val="000000"/>
          <w:shd w:val="clear" w:color="auto" w:fill="FFFFFF"/>
        </w:rPr>
        <w:t xml:space="preserve">These conferences brought together activists, church officials, and politicians from around the world, and led to the compilation of two volumes documenting remarks </w:t>
      </w:r>
      <w:r w:rsidR="00895407">
        <w:rPr>
          <w:rFonts w:ascii="Times New Roman" w:eastAsia="Times New Roman" w:hAnsi="Times New Roman" w:cs="Times New Roman"/>
          <w:color w:val="000000"/>
          <w:shd w:val="clear" w:color="auto" w:fill="FFFFFF"/>
        </w:rPr>
        <w:t>from</w:t>
      </w:r>
      <w:r w:rsidR="00FE16CF" w:rsidRPr="00F2450F">
        <w:rPr>
          <w:rFonts w:ascii="Times New Roman" w:eastAsia="Times New Roman" w:hAnsi="Times New Roman" w:cs="Times New Roman"/>
          <w:color w:val="000000"/>
          <w:shd w:val="clear" w:color="auto" w:fill="FFFFFF"/>
        </w:rPr>
        <w:t xml:space="preserve"> the various participants.</w:t>
      </w:r>
      <w:r w:rsidR="00FE16CF">
        <w:rPr>
          <w:rFonts w:ascii="Times New Roman" w:eastAsia="Times New Roman" w:hAnsi="Times New Roman" w:cs="Times New Roman"/>
          <w:color w:val="000000"/>
          <w:shd w:val="clear" w:color="auto" w:fill="FFFFFF"/>
        </w:rPr>
        <w:t xml:space="preserve"> </w:t>
      </w:r>
    </w:p>
    <w:p w14:paraId="101F0DD4" w14:textId="77777777" w:rsidR="00751AA2" w:rsidRDefault="00751AA2" w:rsidP="005F4271">
      <w:pPr>
        <w:jc w:val="both"/>
        <w:rPr>
          <w:rFonts w:ascii="Times New Roman" w:eastAsia="Times New Roman" w:hAnsi="Times New Roman" w:cs="Times New Roman"/>
          <w:color w:val="000000"/>
          <w:shd w:val="clear" w:color="auto" w:fill="FFFFFF"/>
        </w:rPr>
      </w:pPr>
    </w:p>
    <w:p w14:paraId="0BCF7D17" w14:textId="52E906B4" w:rsidR="005F4271" w:rsidRDefault="00105CCC" w:rsidP="005F4271">
      <w:pPr>
        <w:jc w:val="both"/>
        <w:rPr>
          <w:rFonts w:ascii="Times New Roman" w:hAnsi="Times New Roman" w:cs="Times New Roman"/>
        </w:rPr>
      </w:pPr>
      <w:r>
        <w:rPr>
          <w:rFonts w:ascii="Times New Roman" w:eastAsia="Times New Roman" w:hAnsi="Times New Roman" w:cs="Times New Roman"/>
          <w:color w:val="000000"/>
          <w:shd w:val="clear" w:color="auto" w:fill="FFFFFF"/>
        </w:rPr>
        <w:t>T</w:t>
      </w:r>
      <w:r w:rsidR="00F2450F">
        <w:rPr>
          <w:rFonts w:ascii="Times New Roman" w:eastAsia="Times New Roman" w:hAnsi="Times New Roman" w:cs="Times New Roman"/>
          <w:color w:val="000000"/>
          <w:shd w:val="clear" w:color="auto" w:fill="FFFFFF"/>
        </w:rPr>
        <w:t xml:space="preserve">he </w:t>
      </w:r>
      <w:r w:rsidR="00F2450F">
        <w:rPr>
          <w:rFonts w:ascii="Times New Roman" w:eastAsia="Times New Roman" w:hAnsi="Times New Roman" w:cs="Times New Roman"/>
          <w:i/>
          <w:color w:val="000000"/>
          <w:shd w:val="clear" w:color="auto" w:fill="FFFFFF"/>
        </w:rPr>
        <w:t xml:space="preserve">Intimate Conviction </w:t>
      </w:r>
      <w:r w:rsidR="00F2450F">
        <w:rPr>
          <w:rFonts w:ascii="Times New Roman" w:eastAsia="Times New Roman" w:hAnsi="Times New Roman" w:cs="Times New Roman"/>
          <w:color w:val="000000"/>
          <w:shd w:val="clear" w:color="auto" w:fill="FFFFFF"/>
        </w:rPr>
        <w:t>conferences and their ac</w:t>
      </w:r>
      <w:r w:rsidR="0011326F">
        <w:rPr>
          <w:rFonts w:ascii="Times New Roman" w:eastAsia="Times New Roman" w:hAnsi="Times New Roman" w:cs="Times New Roman"/>
          <w:color w:val="000000"/>
          <w:shd w:val="clear" w:color="auto" w:fill="FFFFFF"/>
        </w:rPr>
        <w:t>companying volumes brought much-</w:t>
      </w:r>
      <w:r w:rsidR="00F2450F">
        <w:rPr>
          <w:rFonts w:ascii="Times New Roman" w:eastAsia="Times New Roman" w:hAnsi="Times New Roman" w:cs="Times New Roman"/>
          <w:color w:val="000000"/>
          <w:shd w:val="clear" w:color="auto" w:fill="FFFFFF"/>
        </w:rPr>
        <w:t>needed nuance to the</w:t>
      </w:r>
      <w:r w:rsidR="00EB60EC">
        <w:rPr>
          <w:rFonts w:ascii="Times New Roman" w:eastAsia="Times New Roman" w:hAnsi="Times New Roman" w:cs="Times New Roman"/>
          <w:color w:val="000000"/>
          <w:shd w:val="clear" w:color="auto" w:fill="FFFFFF"/>
        </w:rPr>
        <w:t xml:space="preserve"> oft-</w:t>
      </w:r>
      <w:r w:rsidR="0011326F">
        <w:rPr>
          <w:rFonts w:ascii="Times New Roman" w:eastAsia="Times New Roman" w:hAnsi="Times New Roman" w:cs="Times New Roman"/>
          <w:color w:val="000000"/>
          <w:shd w:val="clear" w:color="auto" w:fill="FFFFFF"/>
        </w:rPr>
        <w:t>reductive</w:t>
      </w:r>
      <w:r w:rsidR="00F2450F">
        <w:rPr>
          <w:rFonts w:ascii="Times New Roman" w:eastAsia="Times New Roman" w:hAnsi="Times New Roman" w:cs="Times New Roman"/>
          <w:color w:val="000000"/>
          <w:shd w:val="clear" w:color="auto" w:fill="FFFFFF"/>
        </w:rPr>
        <w:t xml:space="preserve"> debates around religion and LGBTQ+ rights</w:t>
      </w:r>
      <w:r w:rsidR="00EB60EC">
        <w:rPr>
          <w:rFonts w:ascii="Times New Roman" w:eastAsia="Times New Roman" w:hAnsi="Times New Roman" w:cs="Times New Roman"/>
          <w:color w:val="000000"/>
          <w:shd w:val="clear" w:color="auto" w:fill="FFFFFF"/>
        </w:rPr>
        <w:t xml:space="preserve">. Conference participants unpacked the history of religious-based opposition to </w:t>
      </w:r>
      <w:r w:rsidR="006979DB">
        <w:rPr>
          <w:rFonts w:ascii="Times New Roman" w:eastAsia="Times New Roman" w:hAnsi="Times New Roman" w:cs="Times New Roman"/>
          <w:color w:val="000000"/>
          <w:shd w:val="clear" w:color="auto" w:fill="FFFFFF"/>
        </w:rPr>
        <w:t>same-</w:t>
      </w:r>
      <w:r w:rsidR="00EB60EC">
        <w:rPr>
          <w:rFonts w:ascii="Times New Roman" w:eastAsia="Times New Roman" w:hAnsi="Times New Roman" w:cs="Times New Roman"/>
          <w:color w:val="000000"/>
          <w:shd w:val="clear" w:color="auto" w:fill="FFFFFF"/>
        </w:rPr>
        <w:t xml:space="preserve">sex intimacy, and provided theological counterpoints to demonstrate how acceptance </w:t>
      </w:r>
      <w:r w:rsidR="006979DB">
        <w:rPr>
          <w:rFonts w:ascii="Times New Roman" w:eastAsia="Times New Roman" w:hAnsi="Times New Roman" w:cs="Times New Roman"/>
          <w:color w:val="000000"/>
          <w:shd w:val="clear" w:color="auto" w:fill="FFFFFF"/>
        </w:rPr>
        <w:t xml:space="preserve">of </w:t>
      </w:r>
      <w:r w:rsidR="00EB60EC">
        <w:rPr>
          <w:rFonts w:ascii="Times New Roman" w:eastAsia="Times New Roman" w:hAnsi="Times New Roman" w:cs="Times New Roman"/>
          <w:color w:val="000000"/>
          <w:shd w:val="clear" w:color="auto" w:fill="FFFFFF"/>
        </w:rPr>
        <w:t xml:space="preserve">homosexuality </w:t>
      </w:r>
      <w:r w:rsidR="00AC6469">
        <w:rPr>
          <w:rFonts w:ascii="Times New Roman" w:eastAsia="Times New Roman" w:hAnsi="Times New Roman" w:cs="Times New Roman"/>
          <w:color w:val="000000"/>
          <w:shd w:val="clear" w:color="auto" w:fill="FFFFFF"/>
        </w:rPr>
        <w:t>is</w:t>
      </w:r>
      <w:r w:rsidR="00EB60EC">
        <w:rPr>
          <w:rFonts w:ascii="Times New Roman" w:eastAsia="Times New Roman" w:hAnsi="Times New Roman" w:cs="Times New Roman"/>
          <w:color w:val="000000"/>
          <w:shd w:val="clear" w:color="auto" w:fill="FFFFFF"/>
        </w:rPr>
        <w:t xml:space="preserve"> consistent with </w:t>
      </w:r>
      <w:r w:rsidR="00AC6469">
        <w:rPr>
          <w:rFonts w:ascii="Times New Roman" w:eastAsia="Times New Roman" w:hAnsi="Times New Roman" w:cs="Times New Roman"/>
          <w:color w:val="000000"/>
          <w:shd w:val="clear" w:color="auto" w:fill="FFFFFF"/>
        </w:rPr>
        <w:t>Christian teachings and B</w:t>
      </w:r>
      <w:r w:rsidR="00EB60EC">
        <w:rPr>
          <w:rFonts w:ascii="Times New Roman" w:eastAsia="Times New Roman" w:hAnsi="Times New Roman" w:cs="Times New Roman"/>
          <w:color w:val="000000"/>
          <w:shd w:val="clear" w:color="auto" w:fill="FFFFFF"/>
        </w:rPr>
        <w:t>iblical interpretation</w:t>
      </w:r>
      <w:r w:rsidR="00E76E72">
        <w:rPr>
          <w:rFonts w:ascii="Times New Roman" w:eastAsia="Times New Roman" w:hAnsi="Times New Roman" w:cs="Times New Roman"/>
          <w:color w:val="000000"/>
          <w:shd w:val="clear" w:color="auto" w:fill="FFFFFF"/>
        </w:rPr>
        <w:t>.</w:t>
      </w:r>
      <w:r w:rsidR="00EB60EC">
        <w:rPr>
          <w:rStyle w:val="FootnoteReference"/>
          <w:rFonts w:ascii="Times New Roman" w:eastAsia="Times New Roman" w:hAnsi="Times New Roman" w:cs="Times New Roman"/>
          <w:color w:val="000000"/>
          <w:shd w:val="clear" w:color="auto" w:fill="FFFFFF"/>
        </w:rPr>
        <w:footnoteReference w:id="1"/>
      </w:r>
      <w:r w:rsidR="00EB60EC">
        <w:rPr>
          <w:rFonts w:ascii="Times New Roman" w:eastAsia="Times New Roman" w:hAnsi="Times New Roman" w:cs="Times New Roman"/>
          <w:color w:val="000000"/>
          <w:shd w:val="clear" w:color="auto" w:fill="FFFFFF"/>
        </w:rPr>
        <w:t xml:space="preserve"> </w:t>
      </w:r>
      <w:r w:rsidR="00AC6469">
        <w:rPr>
          <w:rFonts w:ascii="Times New Roman" w:eastAsia="Times New Roman" w:hAnsi="Times New Roman" w:cs="Times New Roman"/>
          <w:color w:val="000000"/>
          <w:shd w:val="clear" w:color="auto" w:fill="FFFFFF"/>
        </w:rPr>
        <w:t xml:space="preserve">In doing so, the religious experts and members of the Church who participated </w:t>
      </w:r>
      <w:r w:rsidR="00452FCA">
        <w:rPr>
          <w:rFonts w:ascii="Times New Roman" w:eastAsia="Times New Roman" w:hAnsi="Times New Roman" w:cs="Times New Roman"/>
          <w:color w:val="000000"/>
          <w:shd w:val="clear" w:color="auto" w:fill="FFFFFF"/>
        </w:rPr>
        <w:t xml:space="preserve">in the conference contextualized some of the </w:t>
      </w:r>
      <w:r w:rsidR="00472A30">
        <w:rPr>
          <w:rFonts w:ascii="Times New Roman" w:eastAsia="Times New Roman" w:hAnsi="Times New Roman" w:cs="Times New Roman"/>
          <w:color w:val="000000"/>
          <w:shd w:val="clear" w:color="auto" w:fill="FFFFFF"/>
        </w:rPr>
        <w:t>“</w:t>
      </w:r>
      <w:r w:rsidR="006A5E29">
        <w:rPr>
          <w:rFonts w:ascii="Times New Roman" w:eastAsia="Times New Roman" w:hAnsi="Times New Roman" w:cs="Times New Roman"/>
          <w:color w:val="000000"/>
          <w:shd w:val="clear" w:color="auto" w:fill="FFFFFF"/>
        </w:rPr>
        <w:t>traditional</w:t>
      </w:r>
      <w:r w:rsidR="00472A30">
        <w:rPr>
          <w:rFonts w:ascii="Times New Roman" w:eastAsia="Times New Roman" w:hAnsi="Times New Roman" w:cs="Times New Roman"/>
          <w:color w:val="000000"/>
          <w:shd w:val="clear" w:color="auto" w:fill="FFFFFF"/>
        </w:rPr>
        <w:t>”</w:t>
      </w:r>
      <w:r w:rsidR="00452FCA">
        <w:rPr>
          <w:rFonts w:ascii="Times New Roman" w:eastAsia="Times New Roman" w:hAnsi="Times New Roman" w:cs="Times New Roman"/>
          <w:color w:val="000000"/>
          <w:shd w:val="clear" w:color="auto" w:fill="FFFFFF"/>
        </w:rPr>
        <w:t xml:space="preserve"> readings of the Bible that have been </w:t>
      </w:r>
      <w:r w:rsidR="00472A30">
        <w:rPr>
          <w:rFonts w:ascii="Times New Roman" w:eastAsia="Times New Roman" w:hAnsi="Times New Roman" w:cs="Times New Roman"/>
          <w:color w:val="000000"/>
          <w:shd w:val="clear" w:color="auto" w:fill="FFFFFF"/>
        </w:rPr>
        <w:t xml:space="preserve">used </w:t>
      </w:r>
      <w:r w:rsidR="00452FCA">
        <w:rPr>
          <w:rFonts w:ascii="Times New Roman" w:eastAsia="Times New Roman" w:hAnsi="Times New Roman" w:cs="Times New Roman"/>
          <w:color w:val="000000"/>
          <w:shd w:val="clear" w:color="auto" w:fill="FFFFFF"/>
        </w:rPr>
        <w:t xml:space="preserve">to justify violence and discrimination based on SOGI </w:t>
      </w:r>
      <w:r w:rsidR="00452FCA">
        <w:rPr>
          <w:rFonts w:ascii="Times New Roman" w:eastAsia="Times New Roman" w:hAnsi="Times New Roman" w:cs="Times New Roman"/>
          <w:color w:val="000000"/>
          <w:shd w:val="clear" w:color="auto" w:fill="FFFFFF"/>
        </w:rPr>
        <w:lastRenderedPageBreak/>
        <w:t xml:space="preserve">in the name of </w:t>
      </w:r>
      <w:proofErr w:type="spellStart"/>
      <w:r w:rsidR="00452FCA">
        <w:rPr>
          <w:rFonts w:ascii="Times New Roman" w:eastAsia="Times New Roman" w:hAnsi="Times New Roman" w:cs="Times New Roman"/>
          <w:color w:val="000000"/>
          <w:shd w:val="clear" w:color="auto" w:fill="FFFFFF"/>
        </w:rPr>
        <w:t>FoRB</w:t>
      </w:r>
      <w:proofErr w:type="spellEnd"/>
      <w:r w:rsidR="00E76E72">
        <w:rPr>
          <w:rFonts w:ascii="Times New Roman" w:eastAsia="Times New Roman" w:hAnsi="Times New Roman" w:cs="Times New Roman"/>
          <w:color w:val="000000"/>
          <w:shd w:val="clear" w:color="auto" w:fill="FFFFFF"/>
        </w:rPr>
        <w:t>.</w:t>
      </w:r>
      <w:r w:rsidR="00452FCA">
        <w:rPr>
          <w:rStyle w:val="FootnoteReference"/>
          <w:rFonts w:ascii="Times New Roman" w:eastAsia="Times New Roman" w:hAnsi="Times New Roman" w:cs="Times New Roman"/>
          <w:color w:val="000000"/>
          <w:shd w:val="clear" w:color="auto" w:fill="FFFFFF"/>
        </w:rPr>
        <w:footnoteReference w:id="2"/>
      </w:r>
      <w:r w:rsidR="00452FCA">
        <w:rPr>
          <w:rFonts w:ascii="Times New Roman" w:eastAsia="Times New Roman" w:hAnsi="Times New Roman" w:cs="Times New Roman"/>
          <w:color w:val="000000"/>
          <w:shd w:val="clear" w:color="auto" w:fill="FFFFFF"/>
        </w:rPr>
        <w:t xml:space="preserve"> Through these close readings of foundational religious texts, conference participants challenged the very existence of a conflict between </w:t>
      </w:r>
      <w:proofErr w:type="spellStart"/>
      <w:r w:rsidR="00452FCA">
        <w:rPr>
          <w:rFonts w:ascii="Times New Roman" w:eastAsia="Times New Roman" w:hAnsi="Times New Roman" w:cs="Times New Roman"/>
          <w:color w:val="000000"/>
          <w:shd w:val="clear" w:color="auto" w:fill="FFFFFF"/>
        </w:rPr>
        <w:t>FoRB</w:t>
      </w:r>
      <w:proofErr w:type="spellEnd"/>
      <w:r w:rsidR="00452FCA">
        <w:rPr>
          <w:rFonts w:ascii="Times New Roman" w:eastAsia="Times New Roman" w:hAnsi="Times New Roman" w:cs="Times New Roman"/>
          <w:color w:val="000000"/>
          <w:shd w:val="clear" w:color="auto" w:fill="FFFFFF"/>
        </w:rPr>
        <w:t xml:space="preserve"> and </w:t>
      </w:r>
      <w:r w:rsidR="00452FCA" w:rsidRPr="00CD1D5F">
        <w:rPr>
          <w:rFonts w:ascii="Times New Roman" w:hAnsi="Times New Roman" w:cs="Times New Roman"/>
        </w:rPr>
        <w:t>freedom from violence an</w:t>
      </w:r>
      <w:r w:rsidR="00452FCA">
        <w:rPr>
          <w:rFonts w:ascii="Times New Roman" w:hAnsi="Times New Roman" w:cs="Times New Roman"/>
        </w:rPr>
        <w:t xml:space="preserve">d discrimination based on SOGI. </w:t>
      </w:r>
      <w:r w:rsidR="00621353" w:rsidRPr="00C266A3">
        <w:rPr>
          <w:rFonts w:ascii="Times New Roman" w:hAnsi="Times New Roman" w:cs="Times New Roman"/>
          <w:b/>
          <w:bCs/>
        </w:rPr>
        <w:t>For instance</w:t>
      </w:r>
      <w:r w:rsidR="00851930" w:rsidRPr="00C266A3">
        <w:rPr>
          <w:rFonts w:ascii="Times New Roman" w:hAnsi="Times New Roman" w:cs="Times New Roman"/>
          <w:b/>
          <w:bCs/>
        </w:rPr>
        <w:t>, participants disputed the invocation of the Bible or Christian teachings as providing unequivocal support for retaining anti-sodomy laws</w:t>
      </w:r>
      <w:r w:rsidR="00EF3ECC" w:rsidRPr="00C266A3">
        <w:rPr>
          <w:rFonts w:ascii="Times New Roman" w:hAnsi="Times New Roman" w:cs="Times New Roman"/>
          <w:b/>
          <w:bCs/>
        </w:rPr>
        <w:t xml:space="preserve">, arguing that in their proper context </w:t>
      </w:r>
      <w:r w:rsidR="00B62C76" w:rsidRPr="00C266A3">
        <w:rPr>
          <w:rFonts w:ascii="Times New Roman" w:hAnsi="Times New Roman" w:cs="Times New Roman"/>
          <w:b/>
          <w:bCs/>
        </w:rPr>
        <w:t>these religious texts provided no such support</w:t>
      </w:r>
      <w:r w:rsidR="000B2D9E" w:rsidRPr="00C266A3">
        <w:rPr>
          <w:rFonts w:ascii="Times New Roman" w:hAnsi="Times New Roman" w:cs="Times New Roman"/>
          <w:b/>
          <w:bCs/>
        </w:rPr>
        <w:t>.</w:t>
      </w:r>
      <w:r w:rsidR="00B62C76">
        <w:rPr>
          <w:rStyle w:val="FootnoteReference"/>
          <w:rFonts w:ascii="Times New Roman" w:hAnsi="Times New Roman" w:cs="Times New Roman"/>
        </w:rPr>
        <w:footnoteReference w:id="3"/>
      </w:r>
      <w:r w:rsidR="002E3507">
        <w:rPr>
          <w:rFonts w:ascii="Times New Roman" w:hAnsi="Times New Roman" w:cs="Times New Roman"/>
        </w:rPr>
        <w:t xml:space="preserve"> Ultimately, many of the conference participants emphasized the need for dialogue among stakeholders in order to promote greater understanding amongst different communities and to address misconceptions about both </w:t>
      </w:r>
      <w:proofErr w:type="spellStart"/>
      <w:r w:rsidR="002E3507">
        <w:rPr>
          <w:rFonts w:ascii="Times New Roman" w:hAnsi="Times New Roman" w:cs="Times New Roman"/>
        </w:rPr>
        <w:t>FoRB</w:t>
      </w:r>
      <w:proofErr w:type="spellEnd"/>
      <w:r w:rsidR="002E3507">
        <w:rPr>
          <w:rFonts w:ascii="Times New Roman" w:hAnsi="Times New Roman" w:cs="Times New Roman"/>
        </w:rPr>
        <w:t xml:space="preserve"> and freedom from violence and discrimination based on SOGI</w:t>
      </w:r>
      <w:r w:rsidR="000B2D9E">
        <w:rPr>
          <w:rFonts w:ascii="Times New Roman" w:hAnsi="Times New Roman" w:cs="Times New Roman"/>
        </w:rPr>
        <w:t>.</w:t>
      </w:r>
      <w:r w:rsidR="002E3507">
        <w:rPr>
          <w:rStyle w:val="FootnoteReference"/>
          <w:rFonts w:ascii="Times New Roman" w:hAnsi="Times New Roman" w:cs="Times New Roman"/>
        </w:rPr>
        <w:footnoteReference w:id="4"/>
      </w:r>
    </w:p>
    <w:p w14:paraId="682F5CEE" w14:textId="77777777" w:rsidR="00EF3ECC" w:rsidRDefault="00EF3ECC" w:rsidP="005F4271">
      <w:pPr>
        <w:jc w:val="both"/>
        <w:rPr>
          <w:rFonts w:ascii="Times New Roman" w:hAnsi="Times New Roman" w:cs="Times New Roman"/>
        </w:rPr>
      </w:pPr>
    </w:p>
    <w:p w14:paraId="182B13E5" w14:textId="6C6B661C" w:rsidR="00184061" w:rsidRDefault="00621353" w:rsidP="005F4271">
      <w:pPr>
        <w:jc w:val="both"/>
        <w:rPr>
          <w:rFonts w:ascii="Times New Roman" w:hAnsi="Times New Roman" w:cs="Times New Roman"/>
        </w:rPr>
      </w:pPr>
      <w:r>
        <w:rPr>
          <w:rFonts w:ascii="Times New Roman" w:hAnsi="Times New Roman" w:cs="Times New Roman"/>
        </w:rPr>
        <w:t xml:space="preserve">Participants addressed </w:t>
      </w:r>
      <w:r w:rsidR="00184061">
        <w:rPr>
          <w:rFonts w:ascii="Times New Roman" w:hAnsi="Times New Roman" w:cs="Times New Roman"/>
        </w:rPr>
        <w:t>the importance of a</w:t>
      </w:r>
      <w:r>
        <w:rPr>
          <w:rFonts w:ascii="Times New Roman" w:hAnsi="Times New Roman" w:cs="Times New Roman"/>
        </w:rPr>
        <w:t>dopting a</w:t>
      </w:r>
      <w:r w:rsidR="00184061">
        <w:rPr>
          <w:rFonts w:ascii="Times New Roman" w:hAnsi="Times New Roman" w:cs="Times New Roman"/>
        </w:rPr>
        <w:t xml:space="preserve"> </w:t>
      </w:r>
      <w:r>
        <w:rPr>
          <w:rFonts w:ascii="Times New Roman" w:hAnsi="Times New Roman" w:cs="Times New Roman"/>
        </w:rPr>
        <w:t xml:space="preserve">conception of the </w:t>
      </w:r>
      <w:r w:rsidR="00184061">
        <w:rPr>
          <w:rFonts w:ascii="Times New Roman" w:hAnsi="Times New Roman" w:cs="Times New Roman"/>
        </w:rPr>
        <w:t xml:space="preserve">rule of law founded in respect for human rights and fundamental freedoms, including the rights of minorities, and how religious-based laws </w:t>
      </w:r>
      <w:r w:rsidR="0011106D">
        <w:rPr>
          <w:rFonts w:ascii="Times New Roman" w:hAnsi="Times New Roman" w:cs="Times New Roman"/>
        </w:rPr>
        <w:t xml:space="preserve">that </w:t>
      </w:r>
      <w:r w:rsidR="00184061">
        <w:rPr>
          <w:rFonts w:ascii="Times New Roman" w:hAnsi="Times New Roman" w:cs="Times New Roman"/>
        </w:rPr>
        <w:t>criminalized sodomy ran counter to such a conception</w:t>
      </w:r>
      <w:r w:rsidR="00E520E6">
        <w:rPr>
          <w:rFonts w:ascii="Times New Roman" w:hAnsi="Times New Roman" w:cs="Times New Roman"/>
        </w:rPr>
        <w:t>.</w:t>
      </w:r>
      <w:r w:rsidR="00184061">
        <w:rPr>
          <w:rStyle w:val="FootnoteReference"/>
          <w:rFonts w:ascii="Times New Roman" w:hAnsi="Times New Roman" w:cs="Times New Roman"/>
        </w:rPr>
        <w:footnoteReference w:id="5"/>
      </w:r>
      <w:r w:rsidR="00252A6E">
        <w:rPr>
          <w:rFonts w:ascii="Times New Roman" w:hAnsi="Times New Roman" w:cs="Times New Roman"/>
        </w:rPr>
        <w:t xml:space="preserve"> Drawing from examples of case law in Northern Ireland, South Africa, and Belize, conference participants emphasized the need for protection of private, consensual sexual conduct, as well as a separation and a “mutually respectful co-existence between the secular and the sacred</w:t>
      </w:r>
      <w:r w:rsidR="0011106D">
        <w:rPr>
          <w:rFonts w:ascii="Times New Roman" w:hAnsi="Times New Roman" w:cs="Times New Roman"/>
        </w:rPr>
        <w:t>,</w:t>
      </w:r>
      <w:r w:rsidR="00252A6E">
        <w:rPr>
          <w:rFonts w:ascii="Times New Roman" w:hAnsi="Times New Roman" w:cs="Times New Roman"/>
        </w:rPr>
        <w:t xml:space="preserve">” requiring recognition that religious doctrine is not a proper source for interpreting </w:t>
      </w:r>
      <w:r>
        <w:rPr>
          <w:rFonts w:ascii="Times New Roman" w:hAnsi="Times New Roman" w:cs="Times New Roman"/>
        </w:rPr>
        <w:t>constitutions</w:t>
      </w:r>
      <w:r w:rsidR="00252A6E">
        <w:rPr>
          <w:rFonts w:ascii="Times New Roman" w:hAnsi="Times New Roman" w:cs="Times New Roman"/>
        </w:rPr>
        <w:t>, and that the law can “legitimately acknowledge a diversity of strongly</w:t>
      </w:r>
      <w:r w:rsidR="0011106D">
        <w:rPr>
          <w:rFonts w:ascii="Times New Roman" w:hAnsi="Times New Roman" w:cs="Times New Roman"/>
        </w:rPr>
        <w:t xml:space="preserve"> </w:t>
      </w:r>
      <w:r w:rsidR="00252A6E">
        <w:rPr>
          <w:rFonts w:ascii="Times New Roman" w:hAnsi="Times New Roman" w:cs="Times New Roman"/>
        </w:rPr>
        <w:t>held opinions on matters of great public controversy</w:t>
      </w:r>
      <w:r w:rsidR="0011106D">
        <w:rPr>
          <w:rFonts w:ascii="Times New Roman" w:hAnsi="Times New Roman" w:cs="Times New Roman"/>
        </w:rPr>
        <w:t>,</w:t>
      </w:r>
      <w:r w:rsidR="00252A6E">
        <w:rPr>
          <w:rFonts w:ascii="Times New Roman" w:hAnsi="Times New Roman" w:cs="Times New Roman"/>
        </w:rPr>
        <w:t>” as long as “there is no prejudice to the fundamental rights of any person or group</w:t>
      </w:r>
      <w:r w:rsidR="00F86896">
        <w:rPr>
          <w:rFonts w:ascii="Times New Roman" w:hAnsi="Times New Roman" w:cs="Times New Roman"/>
        </w:rPr>
        <w:t>.</w:t>
      </w:r>
      <w:r w:rsidR="00252A6E">
        <w:rPr>
          <w:rFonts w:ascii="Times New Roman" w:hAnsi="Times New Roman" w:cs="Times New Roman"/>
        </w:rPr>
        <w:t>”</w:t>
      </w:r>
      <w:r w:rsidR="00252A6E">
        <w:rPr>
          <w:rStyle w:val="FootnoteReference"/>
          <w:rFonts w:ascii="Times New Roman" w:hAnsi="Times New Roman" w:cs="Times New Roman"/>
        </w:rPr>
        <w:footnoteReference w:id="6"/>
      </w:r>
      <w:r w:rsidR="00252A6E">
        <w:rPr>
          <w:rFonts w:ascii="Times New Roman" w:hAnsi="Times New Roman" w:cs="Times New Roman"/>
        </w:rPr>
        <w:t xml:space="preserve"> </w:t>
      </w:r>
    </w:p>
    <w:p w14:paraId="77AF926D" w14:textId="77777777" w:rsidR="00C9139C" w:rsidRDefault="00C9139C" w:rsidP="005F4271">
      <w:pPr>
        <w:jc w:val="both"/>
        <w:rPr>
          <w:rFonts w:ascii="Times New Roman" w:hAnsi="Times New Roman" w:cs="Times New Roman"/>
        </w:rPr>
      </w:pPr>
    </w:p>
    <w:p w14:paraId="25914F51" w14:textId="116700FD" w:rsidR="00C9139C" w:rsidRPr="00C9139C" w:rsidRDefault="00ED0089" w:rsidP="005F4271">
      <w:pPr>
        <w:jc w:val="both"/>
        <w:rPr>
          <w:rFonts w:ascii="Times New Roman" w:hAnsi="Times New Roman" w:cs="Times New Roman"/>
        </w:rPr>
      </w:pPr>
      <w:r>
        <w:rPr>
          <w:rFonts w:ascii="Times New Roman" w:hAnsi="Times New Roman" w:cs="Times New Roman"/>
        </w:rPr>
        <w:t>One guest</w:t>
      </w:r>
      <w:r w:rsidRPr="00ED0089">
        <w:rPr>
          <w:rFonts w:ascii="Times New Roman" w:hAnsi="Times New Roman" w:cs="Times New Roman"/>
        </w:rPr>
        <w:t xml:space="preserve"> </w:t>
      </w:r>
      <w:r>
        <w:rPr>
          <w:rFonts w:ascii="Times New Roman" w:hAnsi="Times New Roman" w:cs="Times New Roman"/>
        </w:rPr>
        <w:t xml:space="preserve">described the </w:t>
      </w:r>
      <w:r w:rsidRPr="00ED0089">
        <w:rPr>
          <w:rFonts w:ascii="Times New Roman" w:hAnsi="Times New Roman" w:cs="Times New Roman"/>
          <w:i/>
        </w:rPr>
        <w:t>Intimate Conviction</w:t>
      </w:r>
      <w:r>
        <w:rPr>
          <w:rFonts w:ascii="Times New Roman" w:hAnsi="Times New Roman" w:cs="Times New Roman"/>
        </w:rPr>
        <w:t xml:space="preserve"> conference as an initiative to be welcomed on a spiritual, political, and healthcare level: spiritually, as a discussion necessary to reflect the love and mutual respect at the heart of Christianity; politically, to challenge the overreach of colonial laws which are not reflective of the proper function of criminal laws in modern-day society; </w:t>
      </w:r>
      <w:r w:rsidR="00624659">
        <w:rPr>
          <w:rFonts w:ascii="Times New Roman" w:hAnsi="Times New Roman" w:cs="Times New Roman"/>
        </w:rPr>
        <w:t xml:space="preserve">and </w:t>
      </w:r>
      <w:r w:rsidR="00F86896">
        <w:rPr>
          <w:rFonts w:ascii="Times New Roman" w:hAnsi="Times New Roman" w:cs="Times New Roman"/>
        </w:rPr>
        <w:t>in</w:t>
      </w:r>
      <w:r>
        <w:rPr>
          <w:rFonts w:ascii="Times New Roman" w:hAnsi="Times New Roman" w:cs="Times New Roman"/>
        </w:rPr>
        <w:t xml:space="preserve"> the </w:t>
      </w:r>
      <w:r w:rsidR="00F86896">
        <w:rPr>
          <w:rFonts w:ascii="Times New Roman" w:hAnsi="Times New Roman" w:cs="Times New Roman"/>
        </w:rPr>
        <w:t xml:space="preserve">context of </w:t>
      </w:r>
      <w:r>
        <w:rPr>
          <w:rFonts w:ascii="Times New Roman" w:hAnsi="Times New Roman" w:cs="Times New Roman"/>
        </w:rPr>
        <w:t xml:space="preserve">health, as a means of addressing how criminalization of </w:t>
      </w:r>
      <w:r w:rsidR="0011106D">
        <w:rPr>
          <w:rFonts w:ascii="Times New Roman" w:hAnsi="Times New Roman" w:cs="Times New Roman"/>
        </w:rPr>
        <w:t>same-</w:t>
      </w:r>
      <w:r>
        <w:rPr>
          <w:rFonts w:ascii="Times New Roman" w:hAnsi="Times New Roman" w:cs="Times New Roman"/>
        </w:rPr>
        <w:t>sex intimacy impedes both HIV prevention and treatment</w:t>
      </w:r>
      <w:r w:rsidR="00F86896">
        <w:rPr>
          <w:rFonts w:ascii="Times New Roman" w:hAnsi="Times New Roman" w:cs="Times New Roman"/>
        </w:rPr>
        <w:t>.</w:t>
      </w:r>
      <w:r>
        <w:rPr>
          <w:rStyle w:val="FootnoteReference"/>
          <w:rFonts w:ascii="Times New Roman" w:hAnsi="Times New Roman" w:cs="Times New Roman"/>
        </w:rPr>
        <w:footnoteReference w:id="7"/>
      </w:r>
      <w:r>
        <w:rPr>
          <w:rFonts w:ascii="Times New Roman" w:hAnsi="Times New Roman" w:cs="Times New Roman"/>
        </w:rPr>
        <w:t xml:space="preserve"> </w:t>
      </w:r>
    </w:p>
    <w:p w14:paraId="7C0CFC0F" w14:textId="77777777" w:rsidR="00EF3ECC" w:rsidRDefault="00EF3ECC" w:rsidP="005F4271">
      <w:pPr>
        <w:jc w:val="both"/>
        <w:rPr>
          <w:rFonts w:ascii="Times New Roman" w:hAnsi="Times New Roman" w:cs="Times New Roman"/>
        </w:rPr>
      </w:pPr>
    </w:p>
    <w:p w14:paraId="4AAE814F" w14:textId="410A77D6" w:rsidR="00C47303" w:rsidRPr="00C47303" w:rsidRDefault="00C47303" w:rsidP="005F4271">
      <w:pPr>
        <w:jc w:val="both"/>
        <w:rPr>
          <w:rFonts w:ascii="Times New Roman" w:hAnsi="Times New Roman" w:cs="Times New Roman"/>
        </w:rPr>
      </w:pPr>
      <w:r>
        <w:rPr>
          <w:rFonts w:ascii="Times New Roman" w:hAnsi="Times New Roman" w:cs="Times New Roman"/>
        </w:rPr>
        <w:t xml:space="preserve">The first </w:t>
      </w:r>
      <w:r>
        <w:rPr>
          <w:rFonts w:ascii="Times New Roman" w:hAnsi="Times New Roman" w:cs="Times New Roman"/>
          <w:i/>
        </w:rPr>
        <w:t xml:space="preserve">Intimate Conviction </w:t>
      </w:r>
      <w:r w:rsidR="0083479F">
        <w:rPr>
          <w:rFonts w:ascii="Times New Roman" w:hAnsi="Times New Roman" w:cs="Times New Roman"/>
        </w:rPr>
        <w:t>v</w:t>
      </w:r>
      <w:r w:rsidR="00624659">
        <w:rPr>
          <w:rFonts w:ascii="Times New Roman" w:hAnsi="Times New Roman" w:cs="Times New Roman"/>
        </w:rPr>
        <w:t xml:space="preserve">olume </w:t>
      </w:r>
      <w:r w:rsidR="00F86896">
        <w:rPr>
          <w:rFonts w:ascii="Times New Roman" w:hAnsi="Times New Roman" w:cs="Times New Roman"/>
        </w:rPr>
        <w:t xml:space="preserve">(attached) </w:t>
      </w:r>
      <w:r w:rsidR="00624659">
        <w:rPr>
          <w:rFonts w:ascii="Times New Roman" w:hAnsi="Times New Roman" w:cs="Times New Roman"/>
        </w:rPr>
        <w:t>expanded</w:t>
      </w:r>
      <w:r>
        <w:rPr>
          <w:rFonts w:ascii="Times New Roman" w:hAnsi="Times New Roman" w:cs="Times New Roman"/>
        </w:rPr>
        <w:t xml:space="preserve"> on these themes in three sections, titled “The Anglican Church and Decriminalization</w:t>
      </w:r>
      <w:r w:rsidR="0011106D">
        <w:rPr>
          <w:rFonts w:ascii="Times New Roman" w:hAnsi="Times New Roman" w:cs="Times New Roman"/>
        </w:rPr>
        <w:t>,</w:t>
      </w:r>
      <w:r>
        <w:rPr>
          <w:rFonts w:ascii="Times New Roman" w:hAnsi="Times New Roman" w:cs="Times New Roman"/>
        </w:rPr>
        <w:t>” “Other Churches and Decriminalization</w:t>
      </w:r>
      <w:r w:rsidR="0011106D">
        <w:rPr>
          <w:rFonts w:ascii="Times New Roman" w:hAnsi="Times New Roman" w:cs="Times New Roman"/>
        </w:rPr>
        <w:t>,</w:t>
      </w:r>
      <w:r>
        <w:rPr>
          <w:rFonts w:ascii="Times New Roman" w:hAnsi="Times New Roman" w:cs="Times New Roman"/>
        </w:rPr>
        <w:t>” and “Gender, HIV, and the Church</w:t>
      </w:r>
      <w:r w:rsidR="0011106D">
        <w:rPr>
          <w:rFonts w:ascii="Times New Roman" w:hAnsi="Times New Roman" w:cs="Times New Roman"/>
        </w:rPr>
        <w:t>.</w:t>
      </w:r>
      <w:r>
        <w:rPr>
          <w:rFonts w:ascii="Times New Roman" w:hAnsi="Times New Roman" w:cs="Times New Roman"/>
        </w:rPr>
        <w:t>”</w:t>
      </w:r>
      <w:r w:rsidR="009A5C9E">
        <w:rPr>
          <w:rFonts w:ascii="Times New Roman" w:hAnsi="Times New Roman" w:cs="Times New Roman"/>
        </w:rPr>
        <w:t xml:space="preserve"> Contributions include those of Reverend Winnie Varghese, from the Episcopal Church, who described her Church’s journey dating back to their first resolutions in 1976 recognizing that all homosexual persons are entitled to an equal claim to love, acceptance, and pastoral care of the Church, and to the equal protection of the laws with other citizens</w:t>
      </w:r>
      <w:r w:rsidR="004D5AA1">
        <w:rPr>
          <w:rFonts w:ascii="Times New Roman" w:hAnsi="Times New Roman" w:cs="Times New Roman"/>
        </w:rPr>
        <w:t>.</w:t>
      </w:r>
      <w:r w:rsidR="009A5C9E">
        <w:rPr>
          <w:rStyle w:val="FootnoteReference"/>
          <w:rFonts w:ascii="Times New Roman" w:hAnsi="Times New Roman" w:cs="Times New Roman"/>
        </w:rPr>
        <w:footnoteReference w:id="8"/>
      </w:r>
      <w:r w:rsidR="00656AAF">
        <w:rPr>
          <w:rFonts w:ascii="Times New Roman" w:hAnsi="Times New Roman" w:cs="Times New Roman"/>
        </w:rPr>
        <w:t xml:space="preserve"> </w:t>
      </w:r>
      <w:r w:rsidR="008102AE">
        <w:rPr>
          <w:rFonts w:ascii="Times New Roman" w:hAnsi="Times New Roman" w:cs="Times New Roman"/>
        </w:rPr>
        <w:t xml:space="preserve">Likewise, another </w:t>
      </w:r>
      <w:r w:rsidR="0083479F">
        <w:rPr>
          <w:rFonts w:ascii="Times New Roman" w:hAnsi="Times New Roman" w:cs="Times New Roman"/>
        </w:rPr>
        <w:t>volume entry</w:t>
      </w:r>
      <w:r w:rsidR="008102AE">
        <w:rPr>
          <w:rFonts w:ascii="Times New Roman" w:hAnsi="Times New Roman" w:cs="Times New Roman"/>
        </w:rPr>
        <w:t xml:space="preserve"> spoke to the </w:t>
      </w:r>
      <w:r w:rsidR="0083479F">
        <w:rPr>
          <w:rFonts w:ascii="Times New Roman" w:hAnsi="Times New Roman" w:cs="Times New Roman"/>
        </w:rPr>
        <w:t xml:space="preserve">quiet </w:t>
      </w:r>
      <w:r w:rsidR="008102AE">
        <w:rPr>
          <w:rFonts w:ascii="Times New Roman" w:hAnsi="Times New Roman" w:cs="Times New Roman"/>
        </w:rPr>
        <w:t xml:space="preserve">role </w:t>
      </w:r>
      <w:r w:rsidR="0083479F">
        <w:rPr>
          <w:rFonts w:ascii="Times New Roman" w:hAnsi="Times New Roman" w:cs="Times New Roman"/>
        </w:rPr>
        <w:t>played by</w:t>
      </w:r>
      <w:r w:rsidR="008102AE">
        <w:rPr>
          <w:rFonts w:ascii="Times New Roman" w:hAnsi="Times New Roman" w:cs="Times New Roman"/>
        </w:rPr>
        <w:t xml:space="preserve"> the Anglican Church </w:t>
      </w:r>
      <w:r w:rsidR="0083479F">
        <w:rPr>
          <w:rFonts w:ascii="Times New Roman" w:hAnsi="Times New Roman" w:cs="Times New Roman"/>
        </w:rPr>
        <w:t>in supporting the decriminalization of same-sex relations in Canada in the 1960s</w:t>
      </w:r>
      <w:r w:rsidR="004D5AA1">
        <w:rPr>
          <w:rFonts w:ascii="Times New Roman" w:hAnsi="Times New Roman" w:cs="Times New Roman"/>
        </w:rPr>
        <w:t>,</w:t>
      </w:r>
      <w:r w:rsidR="0083479F">
        <w:rPr>
          <w:rStyle w:val="FootnoteReference"/>
          <w:rFonts w:ascii="Times New Roman" w:hAnsi="Times New Roman" w:cs="Times New Roman"/>
        </w:rPr>
        <w:footnoteReference w:id="9"/>
      </w:r>
      <w:r w:rsidR="00FE6858">
        <w:rPr>
          <w:rFonts w:ascii="Times New Roman" w:hAnsi="Times New Roman" w:cs="Times New Roman"/>
        </w:rPr>
        <w:t xml:space="preserve"> while another examined the meaning </w:t>
      </w:r>
      <w:r w:rsidR="00B31D71">
        <w:rPr>
          <w:rFonts w:ascii="Times New Roman" w:hAnsi="Times New Roman" w:cs="Times New Roman"/>
        </w:rPr>
        <w:t>of</w:t>
      </w:r>
      <w:r w:rsidR="00FE6858">
        <w:rPr>
          <w:rFonts w:ascii="Times New Roman" w:hAnsi="Times New Roman" w:cs="Times New Roman"/>
        </w:rPr>
        <w:t xml:space="preserve"> </w:t>
      </w:r>
      <w:proofErr w:type="spellStart"/>
      <w:r w:rsidR="00FE6858">
        <w:rPr>
          <w:rFonts w:ascii="Times New Roman" w:hAnsi="Times New Roman" w:cs="Times New Roman"/>
        </w:rPr>
        <w:t>FoRB</w:t>
      </w:r>
      <w:proofErr w:type="spellEnd"/>
      <w:r w:rsidR="00FE6858">
        <w:rPr>
          <w:rFonts w:ascii="Times New Roman" w:hAnsi="Times New Roman" w:cs="Times New Roman"/>
        </w:rPr>
        <w:t xml:space="preserve"> in Canadian law</w:t>
      </w:r>
      <w:r w:rsidR="00B31D71">
        <w:rPr>
          <w:rFonts w:ascii="Times New Roman" w:hAnsi="Times New Roman" w:cs="Times New Roman"/>
        </w:rPr>
        <w:t xml:space="preserve">, highlighting a line of judicial </w:t>
      </w:r>
      <w:r w:rsidR="00B31D71">
        <w:rPr>
          <w:rFonts w:ascii="Times New Roman" w:hAnsi="Times New Roman" w:cs="Times New Roman"/>
        </w:rPr>
        <w:lastRenderedPageBreak/>
        <w:t>reasoning that concludes that “the state should not impose narrow religious interpretations of morality on the lives and loves of consenting adults</w:t>
      </w:r>
      <w:r w:rsidR="004D5AA1">
        <w:rPr>
          <w:rFonts w:ascii="Times New Roman" w:hAnsi="Times New Roman" w:cs="Times New Roman"/>
        </w:rPr>
        <w:t>.</w:t>
      </w:r>
      <w:r w:rsidR="00B31D71">
        <w:rPr>
          <w:rFonts w:ascii="Times New Roman" w:hAnsi="Times New Roman" w:cs="Times New Roman"/>
        </w:rPr>
        <w:t>”</w:t>
      </w:r>
      <w:r w:rsidR="00B31D71">
        <w:rPr>
          <w:rStyle w:val="FootnoteReference"/>
          <w:rFonts w:ascii="Times New Roman" w:hAnsi="Times New Roman" w:cs="Times New Roman"/>
        </w:rPr>
        <w:footnoteReference w:id="10"/>
      </w:r>
      <w:r w:rsidR="00B31D71">
        <w:rPr>
          <w:rFonts w:ascii="Times New Roman" w:hAnsi="Times New Roman" w:cs="Times New Roman"/>
        </w:rPr>
        <w:t xml:space="preserve"> </w:t>
      </w:r>
      <w:r w:rsidR="00985698">
        <w:rPr>
          <w:rFonts w:ascii="Times New Roman" w:hAnsi="Times New Roman" w:cs="Times New Roman"/>
        </w:rPr>
        <w:t>Many more</w:t>
      </w:r>
      <w:r w:rsidR="00E551A0">
        <w:rPr>
          <w:rFonts w:ascii="Times New Roman" w:hAnsi="Times New Roman" w:cs="Times New Roman"/>
        </w:rPr>
        <w:t xml:space="preserve"> participants</w:t>
      </w:r>
      <w:r w:rsidR="00985698">
        <w:rPr>
          <w:rFonts w:ascii="Times New Roman" w:hAnsi="Times New Roman" w:cs="Times New Roman"/>
        </w:rPr>
        <w:t xml:space="preserve"> acknowledged the work being done by the Church in various countries to initiate dialogues of understanding around different forms of human sexuality</w:t>
      </w:r>
      <w:r w:rsidR="004D5AA1">
        <w:rPr>
          <w:rFonts w:ascii="Times New Roman" w:hAnsi="Times New Roman" w:cs="Times New Roman"/>
        </w:rPr>
        <w:t>.</w:t>
      </w:r>
      <w:r w:rsidR="00985698">
        <w:rPr>
          <w:rStyle w:val="FootnoteReference"/>
          <w:rFonts w:ascii="Times New Roman" w:hAnsi="Times New Roman" w:cs="Times New Roman"/>
        </w:rPr>
        <w:footnoteReference w:id="11"/>
      </w:r>
      <w:r w:rsidR="00D5162A">
        <w:rPr>
          <w:rFonts w:ascii="Times New Roman" w:hAnsi="Times New Roman" w:cs="Times New Roman"/>
        </w:rPr>
        <w:t xml:space="preserve"> Furthermore, repres</w:t>
      </w:r>
      <w:r w:rsidR="0061011B">
        <w:rPr>
          <w:rFonts w:ascii="Times New Roman" w:hAnsi="Times New Roman" w:cs="Times New Roman"/>
        </w:rPr>
        <w:t xml:space="preserve">entatives from </w:t>
      </w:r>
      <w:r w:rsidR="00D5162A">
        <w:rPr>
          <w:rFonts w:ascii="Times New Roman" w:hAnsi="Times New Roman" w:cs="Times New Roman"/>
        </w:rPr>
        <w:t>the Roman Catholic Church</w:t>
      </w:r>
      <w:r w:rsidR="00E67EA8">
        <w:rPr>
          <w:rFonts w:ascii="Times New Roman" w:hAnsi="Times New Roman" w:cs="Times New Roman"/>
        </w:rPr>
        <w:t xml:space="preserve"> and the United Church of Canada</w:t>
      </w:r>
      <w:r w:rsidR="00D5162A">
        <w:rPr>
          <w:rFonts w:ascii="Times New Roman" w:hAnsi="Times New Roman" w:cs="Times New Roman"/>
        </w:rPr>
        <w:t xml:space="preserve"> spoke out about the potential for partnership between faith groups and the LGBTQ+ community, </w:t>
      </w:r>
      <w:r w:rsidR="0061011B">
        <w:rPr>
          <w:rFonts w:ascii="Times New Roman" w:hAnsi="Times New Roman" w:cs="Times New Roman"/>
        </w:rPr>
        <w:t xml:space="preserve">and the possibility of reconciling doctrinal teachings with </w:t>
      </w:r>
      <w:r w:rsidR="00026669">
        <w:rPr>
          <w:rFonts w:ascii="Times New Roman" w:hAnsi="Times New Roman" w:cs="Times New Roman"/>
        </w:rPr>
        <w:t xml:space="preserve">inclusive </w:t>
      </w:r>
      <w:r w:rsidR="0061011B">
        <w:rPr>
          <w:rFonts w:ascii="Times New Roman" w:hAnsi="Times New Roman" w:cs="Times New Roman"/>
        </w:rPr>
        <w:t>views on homosexuality</w:t>
      </w:r>
      <w:r w:rsidR="003B46D2">
        <w:rPr>
          <w:rFonts w:ascii="Times New Roman" w:hAnsi="Times New Roman" w:cs="Times New Roman"/>
        </w:rPr>
        <w:t>.</w:t>
      </w:r>
      <w:r w:rsidR="0061011B">
        <w:rPr>
          <w:rStyle w:val="FootnoteReference"/>
          <w:rFonts w:ascii="Times New Roman" w:hAnsi="Times New Roman" w:cs="Times New Roman"/>
        </w:rPr>
        <w:footnoteReference w:id="12"/>
      </w:r>
      <w:r w:rsidR="0061011B">
        <w:rPr>
          <w:rFonts w:ascii="Times New Roman" w:hAnsi="Times New Roman" w:cs="Times New Roman"/>
        </w:rPr>
        <w:t xml:space="preserve"> </w:t>
      </w:r>
      <w:r w:rsidR="005C3D84">
        <w:rPr>
          <w:rFonts w:ascii="Times New Roman" w:hAnsi="Times New Roman" w:cs="Times New Roman"/>
        </w:rPr>
        <w:t>In analyzing approaches to decriminalization taken in Scotland, England, and Wales, one participant noted the important role played by churches and other religious organizations in decriminalization debates and “the positive role that churches can play in taking moral understanding forward</w:t>
      </w:r>
      <w:r w:rsidR="003B46D2">
        <w:rPr>
          <w:rFonts w:ascii="Times New Roman" w:hAnsi="Times New Roman" w:cs="Times New Roman"/>
        </w:rPr>
        <w:t>.</w:t>
      </w:r>
      <w:r w:rsidR="005C3D84">
        <w:rPr>
          <w:rFonts w:ascii="Times New Roman" w:hAnsi="Times New Roman" w:cs="Times New Roman"/>
        </w:rPr>
        <w:t>”</w:t>
      </w:r>
      <w:r w:rsidR="005C3D84">
        <w:rPr>
          <w:rStyle w:val="FootnoteReference"/>
          <w:rFonts w:ascii="Times New Roman" w:hAnsi="Times New Roman" w:cs="Times New Roman"/>
        </w:rPr>
        <w:footnoteReference w:id="13"/>
      </w:r>
      <w:r w:rsidR="005C3D84">
        <w:rPr>
          <w:rFonts w:ascii="Times New Roman" w:hAnsi="Times New Roman" w:cs="Times New Roman"/>
        </w:rPr>
        <w:t xml:space="preserve"> </w:t>
      </w:r>
      <w:r w:rsidR="006D27A5">
        <w:rPr>
          <w:rFonts w:ascii="Times New Roman" w:hAnsi="Times New Roman" w:cs="Times New Roman"/>
        </w:rPr>
        <w:t>Likewise,</w:t>
      </w:r>
      <w:r w:rsidR="00CB232C">
        <w:rPr>
          <w:rFonts w:ascii="Times New Roman" w:hAnsi="Times New Roman" w:cs="Times New Roman"/>
        </w:rPr>
        <w:t xml:space="preserve"> another attendee highlighted how</w:t>
      </w:r>
      <w:r w:rsidR="006D27A5">
        <w:rPr>
          <w:rFonts w:ascii="Times New Roman" w:hAnsi="Times New Roman" w:cs="Times New Roman"/>
        </w:rPr>
        <w:t xml:space="preserve"> the National Council of Churches in India has been intimately involved in organizing around the issue of decriminalization, taking a faith-based stance that rejects prejudice and discrimination against sexual minorities</w:t>
      </w:r>
      <w:r w:rsidR="003B46D2">
        <w:rPr>
          <w:rFonts w:ascii="Times New Roman" w:hAnsi="Times New Roman" w:cs="Times New Roman"/>
        </w:rPr>
        <w:t>.</w:t>
      </w:r>
      <w:r w:rsidR="006D27A5">
        <w:rPr>
          <w:rStyle w:val="FootnoteReference"/>
          <w:rFonts w:ascii="Times New Roman" w:hAnsi="Times New Roman" w:cs="Times New Roman"/>
        </w:rPr>
        <w:footnoteReference w:id="14"/>
      </w:r>
    </w:p>
    <w:p w14:paraId="14F3C4A5" w14:textId="77777777" w:rsidR="00EA6EF0" w:rsidRDefault="00EA6EF0" w:rsidP="00FE16CF">
      <w:pPr>
        <w:tabs>
          <w:tab w:val="left" w:pos="3200"/>
        </w:tabs>
        <w:jc w:val="both"/>
        <w:rPr>
          <w:rFonts w:ascii="Times New Roman" w:hAnsi="Times New Roman" w:cs="Times New Roman"/>
        </w:rPr>
      </w:pPr>
    </w:p>
    <w:p w14:paraId="110EF143" w14:textId="624F18F8" w:rsidR="004352DC" w:rsidRDefault="00EA6EF0" w:rsidP="00FE16CF">
      <w:pPr>
        <w:tabs>
          <w:tab w:val="left" w:pos="3200"/>
        </w:tabs>
        <w:jc w:val="both"/>
        <w:rPr>
          <w:rFonts w:ascii="Times New Roman" w:hAnsi="Times New Roman" w:cs="Times New Roman"/>
        </w:rPr>
      </w:pPr>
      <w:r>
        <w:rPr>
          <w:rFonts w:ascii="Times New Roman" w:hAnsi="Times New Roman" w:cs="Times New Roman"/>
        </w:rPr>
        <w:t xml:space="preserve">The second </w:t>
      </w:r>
      <w:r w:rsidRPr="008C7F38">
        <w:rPr>
          <w:rFonts w:ascii="Times New Roman" w:hAnsi="Times New Roman" w:cs="Times New Roman"/>
          <w:i/>
        </w:rPr>
        <w:t>Intimate Conviction</w:t>
      </w:r>
      <w:r>
        <w:rPr>
          <w:rFonts w:ascii="Times New Roman" w:hAnsi="Times New Roman" w:cs="Times New Roman"/>
        </w:rPr>
        <w:t xml:space="preserve"> conference built on the work of the first, bringing together over 30 expert speakers </w:t>
      </w:r>
      <w:r w:rsidR="003B46D2">
        <w:rPr>
          <w:rFonts w:ascii="Times New Roman" w:hAnsi="Times New Roman" w:cs="Times New Roman"/>
        </w:rPr>
        <w:t xml:space="preserve">virtually </w:t>
      </w:r>
      <w:r>
        <w:rPr>
          <w:rFonts w:ascii="Times New Roman" w:hAnsi="Times New Roman" w:cs="Times New Roman"/>
        </w:rPr>
        <w:t>to</w:t>
      </w:r>
      <w:r w:rsidR="004352DC">
        <w:rPr>
          <w:rFonts w:ascii="Times New Roman" w:hAnsi="Times New Roman" w:cs="Times New Roman"/>
        </w:rPr>
        <w:t xml:space="preserve"> discuss the role of the Church in maintaining homophobic laws, and how the Church can help </w:t>
      </w:r>
      <w:r w:rsidR="003B46D2">
        <w:rPr>
          <w:rFonts w:ascii="Times New Roman" w:hAnsi="Times New Roman" w:cs="Times New Roman"/>
        </w:rPr>
        <w:t>dismantle them</w:t>
      </w:r>
      <w:r>
        <w:rPr>
          <w:rFonts w:ascii="Times New Roman" w:hAnsi="Times New Roman" w:cs="Times New Roman"/>
        </w:rPr>
        <w:t xml:space="preserve">. </w:t>
      </w:r>
      <w:r w:rsidR="00031CA0">
        <w:rPr>
          <w:rFonts w:ascii="Times New Roman" w:hAnsi="Times New Roman" w:cs="Times New Roman"/>
        </w:rPr>
        <w:t>T</w:t>
      </w:r>
      <w:r w:rsidR="004352DC">
        <w:rPr>
          <w:rFonts w:ascii="Times New Roman" w:hAnsi="Times New Roman" w:cs="Times New Roman"/>
        </w:rPr>
        <w:t>he conference strived to</w:t>
      </w:r>
      <w:r>
        <w:rPr>
          <w:rFonts w:ascii="Times New Roman" w:hAnsi="Times New Roman" w:cs="Times New Roman"/>
        </w:rPr>
        <w:t xml:space="preserve"> illustrate that the religious justifications used as the basis for homophobic laws were built on faulty foundations, with no true basis in theology and religion</w:t>
      </w:r>
      <w:r w:rsidR="00031CA0">
        <w:rPr>
          <w:rFonts w:ascii="Times New Roman" w:hAnsi="Times New Roman" w:cs="Times New Roman"/>
        </w:rPr>
        <w:t>.</w:t>
      </w:r>
      <w:r>
        <w:rPr>
          <w:rStyle w:val="FootnoteReference"/>
          <w:rFonts w:ascii="Times New Roman" w:hAnsi="Times New Roman" w:cs="Times New Roman"/>
        </w:rPr>
        <w:footnoteReference w:id="15"/>
      </w:r>
      <w:r w:rsidR="008C7F38">
        <w:rPr>
          <w:rFonts w:ascii="Times New Roman" w:hAnsi="Times New Roman" w:cs="Times New Roman"/>
        </w:rPr>
        <w:t xml:space="preserve"> Many themes </w:t>
      </w:r>
      <w:r w:rsidR="007138CF">
        <w:rPr>
          <w:rFonts w:ascii="Times New Roman" w:hAnsi="Times New Roman" w:cs="Times New Roman"/>
        </w:rPr>
        <w:t xml:space="preserve">similar to those from </w:t>
      </w:r>
      <w:r w:rsidR="008C7F38">
        <w:rPr>
          <w:rFonts w:ascii="Times New Roman" w:hAnsi="Times New Roman" w:cs="Times New Roman"/>
        </w:rPr>
        <w:t xml:space="preserve">the first conference were raised, with </w:t>
      </w:r>
      <w:r w:rsidR="00785241">
        <w:rPr>
          <w:rFonts w:ascii="Times New Roman" w:hAnsi="Times New Roman" w:cs="Times New Roman"/>
        </w:rPr>
        <w:t xml:space="preserve">activists and </w:t>
      </w:r>
      <w:r w:rsidR="008C7F38">
        <w:rPr>
          <w:rFonts w:ascii="Times New Roman" w:hAnsi="Times New Roman" w:cs="Times New Roman"/>
        </w:rPr>
        <w:t xml:space="preserve">religious leaders from </w:t>
      </w:r>
      <w:r w:rsidR="004352DC">
        <w:rPr>
          <w:rFonts w:ascii="Times New Roman" w:hAnsi="Times New Roman" w:cs="Times New Roman"/>
        </w:rPr>
        <w:t>around the world sharing their knowledge and experience and</w:t>
      </w:r>
      <w:r w:rsidR="008C7F38">
        <w:rPr>
          <w:rFonts w:ascii="Times New Roman" w:hAnsi="Times New Roman" w:cs="Times New Roman"/>
        </w:rPr>
        <w:t xml:space="preserve"> providing context on how their institutions have responded to calls for decriminalization </w:t>
      </w:r>
      <w:r w:rsidR="00C46CB1">
        <w:rPr>
          <w:rFonts w:ascii="Times New Roman" w:hAnsi="Times New Roman" w:cs="Times New Roman"/>
        </w:rPr>
        <w:t xml:space="preserve">and LGBTQ+ rights movements </w:t>
      </w:r>
      <w:r w:rsidR="008C7F38">
        <w:rPr>
          <w:rFonts w:ascii="Times New Roman" w:hAnsi="Times New Roman" w:cs="Times New Roman"/>
        </w:rPr>
        <w:t>in their respective countries</w:t>
      </w:r>
      <w:r w:rsidR="00031CA0">
        <w:rPr>
          <w:rFonts w:ascii="Times New Roman" w:hAnsi="Times New Roman" w:cs="Times New Roman"/>
        </w:rPr>
        <w:t>.</w:t>
      </w:r>
      <w:r w:rsidR="008C7F38">
        <w:rPr>
          <w:rStyle w:val="FootnoteReference"/>
          <w:rFonts w:ascii="Times New Roman" w:hAnsi="Times New Roman" w:cs="Times New Roman"/>
        </w:rPr>
        <w:footnoteReference w:id="16"/>
      </w:r>
      <w:r w:rsidR="008C7F38">
        <w:rPr>
          <w:rFonts w:ascii="Times New Roman" w:hAnsi="Times New Roman" w:cs="Times New Roman"/>
        </w:rPr>
        <w:t xml:space="preserve"> </w:t>
      </w:r>
      <w:r w:rsidR="00975F84">
        <w:rPr>
          <w:rFonts w:ascii="Times New Roman" w:hAnsi="Times New Roman" w:cs="Times New Roman"/>
        </w:rPr>
        <w:t xml:space="preserve">Moreover, a significant takeaway from the conference </w:t>
      </w:r>
      <w:r w:rsidR="00E109D5">
        <w:rPr>
          <w:rFonts w:ascii="Times New Roman" w:hAnsi="Times New Roman" w:cs="Times New Roman"/>
        </w:rPr>
        <w:t>was</w:t>
      </w:r>
      <w:r w:rsidR="00975F84">
        <w:rPr>
          <w:rFonts w:ascii="Times New Roman" w:hAnsi="Times New Roman" w:cs="Times New Roman"/>
        </w:rPr>
        <w:t xml:space="preserve"> that faith leaders, including within the same churches, are far from being homogeneous </w:t>
      </w:r>
      <w:r w:rsidR="007138CF">
        <w:rPr>
          <w:rFonts w:ascii="Times New Roman" w:hAnsi="Times New Roman" w:cs="Times New Roman"/>
        </w:rPr>
        <w:t>—</w:t>
      </w:r>
      <w:r w:rsidR="00975F84">
        <w:rPr>
          <w:rFonts w:ascii="Times New Roman" w:hAnsi="Times New Roman" w:cs="Times New Roman"/>
        </w:rPr>
        <w:t xml:space="preserve"> many different actors and branches from within the same religious institution can hold </w:t>
      </w:r>
      <w:r w:rsidR="00E20BD6">
        <w:rPr>
          <w:rFonts w:ascii="Times New Roman" w:hAnsi="Times New Roman" w:cs="Times New Roman"/>
        </w:rPr>
        <w:t xml:space="preserve">disparate </w:t>
      </w:r>
      <w:r w:rsidR="00975F84">
        <w:rPr>
          <w:rFonts w:ascii="Times New Roman" w:hAnsi="Times New Roman" w:cs="Times New Roman"/>
        </w:rPr>
        <w:t>positions on issues relating to human sexuality and the rights of SOGI minorities</w:t>
      </w:r>
      <w:r w:rsidR="00BB59A5">
        <w:rPr>
          <w:rFonts w:ascii="Times New Roman" w:hAnsi="Times New Roman" w:cs="Times New Roman"/>
        </w:rPr>
        <w:t>.</w:t>
      </w:r>
      <w:r w:rsidR="00975F84">
        <w:rPr>
          <w:rStyle w:val="FootnoteReference"/>
          <w:rFonts w:ascii="Times New Roman" w:hAnsi="Times New Roman" w:cs="Times New Roman"/>
        </w:rPr>
        <w:footnoteReference w:id="17"/>
      </w:r>
      <w:r w:rsidR="00975F84">
        <w:rPr>
          <w:rFonts w:ascii="Times New Roman" w:hAnsi="Times New Roman" w:cs="Times New Roman"/>
        </w:rPr>
        <w:t xml:space="preserve"> </w:t>
      </w:r>
      <w:r w:rsidR="009B59E5">
        <w:rPr>
          <w:rFonts w:ascii="Times New Roman" w:hAnsi="Times New Roman" w:cs="Times New Roman"/>
        </w:rPr>
        <w:t xml:space="preserve">Again, those religious leaders who affirm the </w:t>
      </w:r>
      <w:r w:rsidR="009B59E5">
        <w:rPr>
          <w:rFonts w:ascii="Times New Roman" w:hAnsi="Times New Roman" w:cs="Times New Roman"/>
        </w:rPr>
        <w:lastRenderedPageBreak/>
        <w:t xml:space="preserve">rights of SOGI minorities </w:t>
      </w:r>
      <w:r w:rsidR="007138CF">
        <w:rPr>
          <w:rFonts w:ascii="Times New Roman" w:hAnsi="Times New Roman" w:cs="Times New Roman"/>
        </w:rPr>
        <w:t>—</w:t>
      </w:r>
      <w:r w:rsidR="009B59E5">
        <w:rPr>
          <w:rFonts w:ascii="Times New Roman" w:hAnsi="Times New Roman" w:cs="Times New Roman"/>
        </w:rPr>
        <w:t xml:space="preserve"> and who do so through appeal to religious scriptures and teachings </w:t>
      </w:r>
      <w:r w:rsidR="007138CF">
        <w:rPr>
          <w:rFonts w:ascii="Times New Roman" w:hAnsi="Times New Roman" w:cs="Times New Roman"/>
        </w:rPr>
        <w:t>—</w:t>
      </w:r>
      <w:r w:rsidR="009B59E5">
        <w:rPr>
          <w:rFonts w:ascii="Times New Roman" w:hAnsi="Times New Roman" w:cs="Times New Roman"/>
        </w:rPr>
        <w:t xml:space="preserve"> help demonstrate that </w:t>
      </w:r>
      <w:proofErr w:type="spellStart"/>
      <w:r w:rsidR="009B59E5">
        <w:rPr>
          <w:rFonts w:ascii="Times New Roman" w:hAnsi="Times New Roman" w:cs="Times New Roman"/>
        </w:rPr>
        <w:t>FoRB</w:t>
      </w:r>
      <w:proofErr w:type="spellEnd"/>
      <w:r w:rsidR="009B59E5">
        <w:rPr>
          <w:rFonts w:ascii="Times New Roman" w:hAnsi="Times New Roman" w:cs="Times New Roman"/>
        </w:rPr>
        <w:t xml:space="preserve"> does not have to be at odds with LGBTQ+ rights. </w:t>
      </w:r>
      <w:r w:rsidR="00A84BB6">
        <w:rPr>
          <w:rFonts w:ascii="Times New Roman" w:hAnsi="Times New Roman" w:cs="Times New Roman"/>
        </w:rPr>
        <w:t xml:space="preserve">The concluding remarks from the second </w:t>
      </w:r>
      <w:r w:rsidR="00A84BB6">
        <w:rPr>
          <w:rFonts w:ascii="Times New Roman" w:hAnsi="Times New Roman" w:cs="Times New Roman"/>
          <w:i/>
        </w:rPr>
        <w:t xml:space="preserve">Intimate Conviction </w:t>
      </w:r>
      <w:r w:rsidR="00A84BB6">
        <w:rPr>
          <w:rFonts w:ascii="Times New Roman" w:hAnsi="Times New Roman" w:cs="Times New Roman"/>
        </w:rPr>
        <w:t xml:space="preserve">volume were particularly poignant in this regard:  </w:t>
      </w:r>
    </w:p>
    <w:p w14:paraId="6F61E48C" w14:textId="77777777" w:rsidR="00A84BB6" w:rsidRDefault="00A84BB6" w:rsidP="00A84BB6">
      <w:pPr>
        <w:widowControl w:val="0"/>
        <w:autoSpaceDE w:val="0"/>
        <w:autoSpaceDN w:val="0"/>
        <w:adjustRightInd w:val="0"/>
        <w:ind w:left="720" w:right="855"/>
        <w:jc w:val="both"/>
        <w:rPr>
          <w:rFonts w:ascii="Times New Roman" w:hAnsi="Times New Roman" w:cs="Times New Roman"/>
        </w:rPr>
      </w:pPr>
    </w:p>
    <w:p w14:paraId="054A553C" w14:textId="42631EF8" w:rsidR="004352DC" w:rsidRDefault="004352DC" w:rsidP="00A84BB6">
      <w:pPr>
        <w:widowControl w:val="0"/>
        <w:autoSpaceDE w:val="0"/>
        <w:autoSpaceDN w:val="0"/>
        <w:adjustRightInd w:val="0"/>
        <w:ind w:left="720" w:right="855"/>
        <w:jc w:val="both"/>
        <w:rPr>
          <w:rFonts w:ascii="Times New Roman" w:hAnsi="Times New Roman" w:cs="Times New Roman"/>
        </w:rPr>
      </w:pPr>
      <w:r w:rsidRPr="00A84BB6">
        <w:rPr>
          <w:rFonts w:ascii="Times New Roman" w:hAnsi="Times New Roman" w:cs="Times New Roman"/>
        </w:rPr>
        <w:t xml:space="preserve">The religious beliefs of some — which are even themselves contested within a given faith tradition — must never dictate the law of the land and thereby deny the human rights of others. But more than this, in the case of those inclined to invoke religious injunctions to “justify” infringing others’ freedom, it is important and necessary to explore other reasonable interpretations of their own tradition’s texts, interpretations in keeping with own tradition’s teachings emphasizing the values of love, respect, charity and dignity for all. </w:t>
      </w:r>
      <w:r w:rsidR="00A84BB6" w:rsidRPr="00A84BB6">
        <w:rPr>
          <w:rFonts w:ascii="Times New Roman" w:hAnsi="Times New Roman" w:cs="Times New Roman"/>
        </w:rPr>
        <w:t>In this way, there is some hope to appeal to the better angels of their nature, and to add to the growing numbers of people, of many faiths, who support an end to the criminalization and persecution of people based on their sexual orientation or gender identity.</w:t>
      </w:r>
      <w:r w:rsidR="00BB59A5">
        <w:rPr>
          <w:rStyle w:val="FootnoteReference"/>
          <w:rFonts w:ascii="Times New Roman" w:hAnsi="Times New Roman" w:cs="Times New Roman"/>
        </w:rPr>
        <w:footnoteReference w:id="18"/>
      </w:r>
    </w:p>
    <w:p w14:paraId="708B78CF" w14:textId="77777777" w:rsidR="002B2FEE" w:rsidRDefault="002B2FEE" w:rsidP="00FE16CF">
      <w:pPr>
        <w:tabs>
          <w:tab w:val="left" w:pos="3200"/>
        </w:tabs>
        <w:jc w:val="both"/>
        <w:rPr>
          <w:rFonts w:ascii="Times New Roman" w:hAnsi="Times New Roman" w:cs="Times New Roman"/>
        </w:rPr>
      </w:pPr>
    </w:p>
    <w:p w14:paraId="03F33CFE" w14:textId="4F62031C" w:rsidR="0023253E" w:rsidRPr="00624659" w:rsidRDefault="00632725" w:rsidP="00FE16CF">
      <w:pPr>
        <w:tabs>
          <w:tab w:val="left" w:pos="3200"/>
        </w:tabs>
        <w:jc w:val="both"/>
        <w:rPr>
          <w:rFonts w:ascii="Times New Roman" w:hAnsi="Times New Roman" w:cs="Times New Roman"/>
        </w:rPr>
      </w:pPr>
      <w:r w:rsidRPr="00624659">
        <w:rPr>
          <w:rFonts w:ascii="Times New Roman" w:hAnsi="Times New Roman" w:cs="Times New Roman"/>
        </w:rPr>
        <w:t xml:space="preserve">The </w:t>
      </w:r>
      <w:r w:rsidR="008102AE" w:rsidRPr="00624659">
        <w:rPr>
          <w:rFonts w:ascii="Times New Roman" w:hAnsi="Times New Roman" w:cs="Times New Roman"/>
          <w:i/>
        </w:rPr>
        <w:t>Intimate Conviction</w:t>
      </w:r>
      <w:r w:rsidR="008102AE" w:rsidRPr="00624659">
        <w:rPr>
          <w:rFonts w:ascii="Times New Roman" w:hAnsi="Times New Roman" w:cs="Times New Roman"/>
        </w:rPr>
        <w:t xml:space="preserve"> volumes </w:t>
      </w:r>
      <w:r w:rsidRPr="00624659">
        <w:rPr>
          <w:rFonts w:ascii="Times New Roman" w:hAnsi="Times New Roman" w:cs="Times New Roman"/>
        </w:rPr>
        <w:t>illustrate</w:t>
      </w:r>
      <w:r w:rsidR="008102AE" w:rsidRPr="00624659">
        <w:rPr>
          <w:rFonts w:ascii="Times New Roman" w:hAnsi="Times New Roman" w:cs="Times New Roman"/>
        </w:rPr>
        <w:t xml:space="preserve"> </w:t>
      </w:r>
      <w:r w:rsidRPr="00624659">
        <w:rPr>
          <w:rFonts w:ascii="Times New Roman" w:hAnsi="Times New Roman" w:cs="Times New Roman"/>
        </w:rPr>
        <w:t xml:space="preserve">through many examples from around the world, </w:t>
      </w:r>
      <w:r w:rsidR="008102AE" w:rsidRPr="00624659">
        <w:rPr>
          <w:rFonts w:ascii="Times New Roman" w:hAnsi="Times New Roman" w:cs="Times New Roman"/>
        </w:rPr>
        <w:t xml:space="preserve">that religious beliefs, religious leaders, and Church institutions themselves, can be a positive force in advocating for decriminalization of same-sex relations, and </w:t>
      </w:r>
      <w:r w:rsidR="006D234B">
        <w:rPr>
          <w:rFonts w:ascii="Times New Roman" w:hAnsi="Times New Roman" w:cs="Times New Roman"/>
        </w:rPr>
        <w:t xml:space="preserve">in </w:t>
      </w:r>
      <w:r w:rsidR="008102AE" w:rsidRPr="00624659">
        <w:rPr>
          <w:rFonts w:ascii="Times New Roman" w:hAnsi="Times New Roman" w:cs="Times New Roman"/>
        </w:rPr>
        <w:t>the fight for freedom from violence and discrimination based on SOGI.</w:t>
      </w:r>
      <w:r w:rsidR="00C67768" w:rsidRPr="00624659">
        <w:rPr>
          <w:rFonts w:ascii="Times New Roman" w:hAnsi="Times New Roman" w:cs="Times New Roman"/>
        </w:rPr>
        <w:t xml:space="preserve"> </w:t>
      </w:r>
      <w:r w:rsidR="003C7A67">
        <w:rPr>
          <w:rFonts w:ascii="Times New Roman" w:hAnsi="Times New Roman" w:cs="Times New Roman"/>
        </w:rPr>
        <w:t>The</w:t>
      </w:r>
      <w:r w:rsidR="00C67768" w:rsidRPr="00624659">
        <w:rPr>
          <w:rFonts w:ascii="Times New Roman" w:hAnsi="Times New Roman" w:cs="Times New Roman"/>
        </w:rPr>
        <w:t xml:space="preserve"> testimonies </w:t>
      </w:r>
      <w:r w:rsidR="003C7A67">
        <w:rPr>
          <w:rFonts w:ascii="Times New Roman" w:hAnsi="Times New Roman" w:cs="Times New Roman"/>
        </w:rPr>
        <w:t xml:space="preserve">from these conferences </w:t>
      </w:r>
      <w:r w:rsidR="00C67768" w:rsidRPr="00624659">
        <w:rPr>
          <w:rFonts w:ascii="Times New Roman" w:hAnsi="Times New Roman" w:cs="Times New Roman"/>
        </w:rPr>
        <w:t>demonstrate</w:t>
      </w:r>
      <w:r w:rsidRPr="00624659">
        <w:rPr>
          <w:rFonts w:ascii="Times New Roman" w:hAnsi="Times New Roman" w:cs="Times New Roman"/>
        </w:rPr>
        <w:t xml:space="preserve"> </w:t>
      </w:r>
      <w:r w:rsidR="007138CF">
        <w:rPr>
          <w:rFonts w:ascii="Times New Roman" w:hAnsi="Times New Roman" w:cs="Times New Roman"/>
        </w:rPr>
        <w:t>—</w:t>
      </w:r>
      <w:r w:rsidRPr="00624659">
        <w:rPr>
          <w:rFonts w:ascii="Times New Roman" w:hAnsi="Times New Roman" w:cs="Times New Roman"/>
        </w:rPr>
        <w:t xml:space="preserve"> contrary to reductive narratives about </w:t>
      </w:r>
      <w:proofErr w:type="spellStart"/>
      <w:r w:rsidRPr="00624659">
        <w:rPr>
          <w:rFonts w:ascii="Times New Roman" w:hAnsi="Times New Roman" w:cs="Times New Roman"/>
        </w:rPr>
        <w:t>FoRB</w:t>
      </w:r>
      <w:proofErr w:type="spellEnd"/>
      <w:r w:rsidRPr="00624659">
        <w:rPr>
          <w:rFonts w:ascii="Times New Roman" w:hAnsi="Times New Roman" w:cs="Times New Roman"/>
        </w:rPr>
        <w:t xml:space="preserve"> and LGBTQ+ rights </w:t>
      </w:r>
      <w:r w:rsidR="007138CF">
        <w:rPr>
          <w:rFonts w:ascii="Times New Roman" w:hAnsi="Times New Roman" w:cs="Times New Roman"/>
        </w:rPr>
        <w:t>—</w:t>
      </w:r>
      <w:r w:rsidR="00C67768" w:rsidRPr="00624659">
        <w:rPr>
          <w:rFonts w:ascii="Times New Roman" w:hAnsi="Times New Roman" w:cs="Times New Roman"/>
        </w:rPr>
        <w:t xml:space="preserve"> that it is entirely possible to reconcile </w:t>
      </w:r>
      <w:proofErr w:type="spellStart"/>
      <w:r w:rsidR="00C67768" w:rsidRPr="00624659">
        <w:rPr>
          <w:rFonts w:ascii="Times New Roman" w:hAnsi="Times New Roman" w:cs="Times New Roman"/>
        </w:rPr>
        <w:t>FoRB</w:t>
      </w:r>
      <w:proofErr w:type="spellEnd"/>
      <w:r w:rsidR="00C67768" w:rsidRPr="00624659">
        <w:rPr>
          <w:rFonts w:ascii="Times New Roman" w:hAnsi="Times New Roman" w:cs="Times New Roman"/>
        </w:rPr>
        <w:t xml:space="preserve"> with acceptance of LGBTQ+ rights and of freedom from violence and discrimination</w:t>
      </w:r>
      <w:r w:rsidRPr="00624659">
        <w:rPr>
          <w:rFonts w:ascii="Times New Roman" w:hAnsi="Times New Roman" w:cs="Times New Roman"/>
        </w:rPr>
        <w:t xml:space="preserve"> based on SOGI.</w:t>
      </w:r>
      <w:r w:rsidR="008102AE" w:rsidRPr="00624659">
        <w:rPr>
          <w:rFonts w:ascii="Times New Roman" w:hAnsi="Times New Roman" w:cs="Times New Roman"/>
        </w:rPr>
        <w:t xml:space="preserve"> </w:t>
      </w:r>
    </w:p>
    <w:p w14:paraId="522D2452" w14:textId="77777777" w:rsidR="006C4A65" w:rsidRDefault="006C4A65" w:rsidP="006C4A65">
      <w:pPr>
        <w:jc w:val="both"/>
        <w:rPr>
          <w:rFonts w:ascii="Times New Roman" w:hAnsi="Times New Roman" w:cs="Times New Roman"/>
        </w:rPr>
      </w:pPr>
    </w:p>
    <w:p w14:paraId="2367834F" w14:textId="77777777" w:rsidR="003747A8" w:rsidRDefault="003747A8" w:rsidP="006C4A65">
      <w:pPr>
        <w:jc w:val="both"/>
        <w:rPr>
          <w:rFonts w:ascii="Times New Roman" w:hAnsi="Times New Roman" w:cs="Times New Roman"/>
          <w:b/>
          <w:bCs/>
        </w:rPr>
      </w:pPr>
    </w:p>
    <w:p w14:paraId="34D8C781" w14:textId="28BE30EC" w:rsidR="003747A8" w:rsidRPr="00197C38" w:rsidRDefault="003747A8" w:rsidP="006C4A65">
      <w:pPr>
        <w:jc w:val="both"/>
        <w:rPr>
          <w:rFonts w:ascii="Times New Roman" w:hAnsi="Times New Roman" w:cs="Times New Roman"/>
          <w:b/>
          <w:bCs/>
        </w:rPr>
      </w:pPr>
      <w:r w:rsidRPr="00197C38">
        <w:rPr>
          <w:rFonts w:ascii="Times New Roman" w:hAnsi="Times New Roman" w:cs="Times New Roman"/>
          <w:b/>
          <w:bCs/>
        </w:rPr>
        <w:t>Conscientious objection</w:t>
      </w:r>
    </w:p>
    <w:p w14:paraId="19974915" w14:textId="77777777" w:rsidR="003747A8" w:rsidRDefault="003747A8" w:rsidP="006C4A65">
      <w:pPr>
        <w:jc w:val="both"/>
        <w:rPr>
          <w:rFonts w:ascii="Times New Roman" w:hAnsi="Times New Roman" w:cs="Times New Roman"/>
        </w:rPr>
      </w:pPr>
    </w:p>
    <w:p w14:paraId="14EB5533" w14:textId="497F7449" w:rsidR="006532C8" w:rsidRDefault="003747A8" w:rsidP="00197C38">
      <w:pPr>
        <w:ind w:left="720"/>
        <w:jc w:val="both"/>
        <w:rPr>
          <w:rFonts w:ascii="Times New Roman" w:hAnsi="Times New Roman" w:cs="Times New Roman"/>
        </w:rPr>
      </w:pPr>
      <w:r>
        <w:rPr>
          <w:rFonts w:ascii="Times New Roman" w:hAnsi="Times New Roman" w:cs="Times New Roman"/>
        </w:rPr>
        <w:t xml:space="preserve">8. </w:t>
      </w:r>
      <w:r w:rsidRPr="003747A8">
        <w:rPr>
          <w:rFonts w:ascii="Times New Roman" w:hAnsi="Times New Roman" w:cs="Times New Roman"/>
        </w:rPr>
        <w:t>What role (if any) has the concept of conscientious objection played in limiting the full enjoyment of the right to freedom from violence and discrimination on the basis of sexual orientation and gender identity?</w:t>
      </w:r>
    </w:p>
    <w:p w14:paraId="4265EB72" w14:textId="77777777" w:rsidR="003747A8" w:rsidRDefault="003747A8" w:rsidP="00A0154E">
      <w:pPr>
        <w:jc w:val="both"/>
        <w:rPr>
          <w:rFonts w:ascii="Times New Roman" w:hAnsi="Times New Roman" w:cs="Times New Roman"/>
        </w:rPr>
      </w:pPr>
    </w:p>
    <w:p w14:paraId="23304F55" w14:textId="593BB3B9" w:rsidR="006532C8" w:rsidRDefault="00140610" w:rsidP="00A0154E">
      <w:pPr>
        <w:jc w:val="both"/>
        <w:rPr>
          <w:rFonts w:ascii="Times New Roman" w:hAnsi="Times New Roman" w:cs="Times New Roman"/>
        </w:rPr>
      </w:pPr>
      <w:r>
        <w:rPr>
          <w:rFonts w:ascii="Times New Roman" w:hAnsi="Times New Roman" w:cs="Times New Roman"/>
        </w:rPr>
        <w:t>T</w:t>
      </w:r>
      <w:r w:rsidR="006532C8">
        <w:rPr>
          <w:rFonts w:ascii="Times New Roman" w:hAnsi="Times New Roman" w:cs="Times New Roman"/>
        </w:rPr>
        <w:t>he HIV Legal Network wishes to draw to the Independent Expert’s attenti</w:t>
      </w:r>
      <w:r w:rsidR="00615995">
        <w:rPr>
          <w:rFonts w:ascii="Times New Roman" w:hAnsi="Times New Roman" w:cs="Times New Roman"/>
        </w:rPr>
        <w:t xml:space="preserve">on an </w:t>
      </w:r>
      <w:r w:rsidR="006532C8">
        <w:rPr>
          <w:rFonts w:ascii="Times New Roman" w:hAnsi="Times New Roman" w:cs="Times New Roman"/>
        </w:rPr>
        <w:t xml:space="preserve">example of a </w:t>
      </w:r>
      <w:hyperlink r:id="rId15" w:history="1">
        <w:r w:rsidR="006532C8" w:rsidRPr="00471A4E">
          <w:rPr>
            <w:rStyle w:val="Hyperlink"/>
            <w:rFonts w:ascii="Times New Roman" w:hAnsi="Times New Roman" w:cs="Times New Roman"/>
          </w:rPr>
          <w:t xml:space="preserve">case in Canada </w:t>
        </w:r>
        <w:r w:rsidR="00615995" w:rsidRPr="00471A4E">
          <w:rPr>
            <w:rStyle w:val="Hyperlink"/>
            <w:rFonts w:ascii="Times New Roman" w:hAnsi="Times New Roman" w:cs="Times New Roman"/>
          </w:rPr>
          <w:t>from 2019</w:t>
        </w:r>
      </w:hyperlink>
      <w:r w:rsidR="00615995">
        <w:rPr>
          <w:rFonts w:ascii="Times New Roman" w:hAnsi="Times New Roman" w:cs="Times New Roman"/>
        </w:rPr>
        <w:t xml:space="preserve"> </w:t>
      </w:r>
      <w:r w:rsidR="006532C8">
        <w:rPr>
          <w:rFonts w:ascii="Times New Roman" w:hAnsi="Times New Roman" w:cs="Times New Roman"/>
        </w:rPr>
        <w:t xml:space="preserve">where the </w:t>
      </w:r>
      <w:r w:rsidR="00471A4E">
        <w:rPr>
          <w:rFonts w:ascii="Times New Roman" w:hAnsi="Times New Roman" w:cs="Times New Roman"/>
        </w:rPr>
        <w:t>Court of Appeal for Ontario</w:t>
      </w:r>
      <w:r w:rsidR="006532C8">
        <w:rPr>
          <w:rFonts w:ascii="Times New Roman" w:hAnsi="Times New Roman" w:cs="Times New Roman"/>
        </w:rPr>
        <w:t xml:space="preserve"> </w:t>
      </w:r>
      <w:r w:rsidR="009E5671">
        <w:rPr>
          <w:rFonts w:ascii="Times New Roman" w:hAnsi="Times New Roman" w:cs="Times New Roman"/>
        </w:rPr>
        <w:t xml:space="preserve">(the province’s highest court) </w:t>
      </w:r>
      <w:r w:rsidR="00471A4E">
        <w:rPr>
          <w:rFonts w:ascii="Times New Roman" w:hAnsi="Times New Roman" w:cs="Times New Roman"/>
        </w:rPr>
        <w:t>was</w:t>
      </w:r>
      <w:r w:rsidR="006532C8">
        <w:rPr>
          <w:rFonts w:ascii="Times New Roman" w:hAnsi="Times New Roman" w:cs="Times New Roman"/>
        </w:rPr>
        <w:t xml:space="preserve"> called to balance </w:t>
      </w:r>
      <w:r w:rsidR="00471A4E">
        <w:rPr>
          <w:rFonts w:ascii="Times New Roman" w:hAnsi="Times New Roman" w:cs="Times New Roman"/>
        </w:rPr>
        <w:t>the personal religious beliefs and rights</w:t>
      </w:r>
      <w:r w:rsidR="006532C8">
        <w:rPr>
          <w:rFonts w:ascii="Times New Roman" w:hAnsi="Times New Roman" w:cs="Times New Roman"/>
        </w:rPr>
        <w:t xml:space="preserve"> to conscientious objection of </w:t>
      </w:r>
      <w:r w:rsidR="00471A4E">
        <w:rPr>
          <w:rFonts w:ascii="Times New Roman" w:hAnsi="Times New Roman" w:cs="Times New Roman"/>
        </w:rPr>
        <w:t>physicians</w:t>
      </w:r>
      <w:r w:rsidR="000D5ED9">
        <w:rPr>
          <w:rFonts w:ascii="Times New Roman" w:hAnsi="Times New Roman" w:cs="Times New Roman"/>
        </w:rPr>
        <w:t xml:space="preserve"> with the rights of patients to receive accessible health care. </w:t>
      </w:r>
      <w:r w:rsidR="00471A4E">
        <w:rPr>
          <w:rFonts w:ascii="Times New Roman" w:hAnsi="Times New Roman" w:cs="Times New Roman"/>
        </w:rPr>
        <w:t>In essence, a number of doctors argu</w:t>
      </w:r>
      <w:r w:rsidR="00727129">
        <w:rPr>
          <w:rFonts w:ascii="Times New Roman" w:hAnsi="Times New Roman" w:cs="Times New Roman"/>
        </w:rPr>
        <w:t>ed</w:t>
      </w:r>
      <w:r w:rsidR="00471A4E">
        <w:rPr>
          <w:rFonts w:ascii="Times New Roman" w:hAnsi="Times New Roman" w:cs="Times New Roman"/>
        </w:rPr>
        <w:t xml:space="preserve"> that their rights under </w:t>
      </w:r>
      <w:r w:rsidR="00727129">
        <w:rPr>
          <w:rFonts w:ascii="Times New Roman" w:hAnsi="Times New Roman" w:cs="Times New Roman"/>
        </w:rPr>
        <w:t xml:space="preserve">Canada’s constitution, </w:t>
      </w:r>
      <w:r w:rsidR="00471A4E">
        <w:rPr>
          <w:rFonts w:ascii="Times New Roman" w:hAnsi="Times New Roman" w:cs="Times New Roman"/>
        </w:rPr>
        <w:t xml:space="preserve">the </w:t>
      </w:r>
      <w:r w:rsidR="00471A4E">
        <w:rPr>
          <w:rFonts w:ascii="Times New Roman" w:hAnsi="Times New Roman" w:cs="Times New Roman"/>
          <w:i/>
        </w:rPr>
        <w:t>Canadian Charter of Rights and Freedoms</w:t>
      </w:r>
      <w:r w:rsidR="00727129">
        <w:rPr>
          <w:rFonts w:ascii="Times New Roman" w:hAnsi="Times New Roman" w:cs="Times New Roman"/>
          <w:iCs/>
        </w:rPr>
        <w:t>,</w:t>
      </w:r>
      <w:r w:rsidR="00471A4E">
        <w:rPr>
          <w:rFonts w:ascii="Times New Roman" w:hAnsi="Times New Roman" w:cs="Times New Roman"/>
          <w:i/>
        </w:rPr>
        <w:t xml:space="preserve"> </w:t>
      </w:r>
      <w:r w:rsidR="00471A4E">
        <w:rPr>
          <w:rFonts w:ascii="Times New Roman" w:hAnsi="Times New Roman" w:cs="Times New Roman"/>
        </w:rPr>
        <w:t xml:space="preserve">allowed them to refuse to provide patients with meaningful access to lawful and often medically necessary health services on the basis that providing these services did not align with their personal religious beliefs. </w:t>
      </w:r>
      <w:r w:rsidR="00655053">
        <w:rPr>
          <w:rFonts w:ascii="Times New Roman" w:hAnsi="Times New Roman" w:cs="Times New Roman"/>
        </w:rPr>
        <w:t>T</w:t>
      </w:r>
      <w:r w:rsidR="00F12424">
        <w:rPr>
          <w:rFonts w:ascii="Times New Roman" w:hAnsi="Times New Roman" w:cs="Times New Roman"/>
        </w:rPr>
        <w:t xml:space="preserve">he doctors submitted that if they objected to providing a certain medical service </w:t>
      </w:r>
      <w:r w:rsidR="00DB1919">
        <w:rPr>
          <w:rFonts w:ascii="Times New Roman" w:hAnsi="Times New Roman" w:cs="Times New Roman"/>
        </w:rPr>
        <w:t xml:space="preserve">(e.g. medical assistance in dying) </w:t>
      </w:r>
      <w:r w:rsidR="00F12424">
        <w:rPr>
          <w:rFonts w:ascii="Times New Roman" w:hAnsi="Times New Roman" w:cs="Times New Roman"/>
        </w:rPr>
        <w:t>because of their religious beliefs, they should also be exempted from provid</w:t>
      </w:r>
      <w:r w:rsidR="00DB1919">
        <w:rPr>
          <w:rFonts w:ascii="Times New Roman" w:hAnsi="Times New Roman" w:cs="Times New Roman"/>
        </w:rPr>
        <w:t>ing</w:t>
      </w:r>
      <w:r w:rsidR="00F12424">
        <w:rPr>
          <w:rFonts w:ascii="Times New Roman" w:hAnsi="Times New Roman" w:cs="Times New Roman"/>
        </w:rPr>
        <w:t xml:space="preserve"> patients with an </w:t>
      </w:r>
      <w:r w:rsidR="00D36896">
        <w:rPr>
          <w:rFonts w:ascii="Times New Roman" w:hAnsi="Times New Roman" w:cs="Times New Roman"/>
        </w:rPr>
        <w:t>“</w:t>
      </w:r>
      <w:r w:rsidR="00F12424">
        <w:rPr>
          <w:rFonts w:ascii="Times New Roman" w:hAnsi="Times New Roman" w:cs="Times New Roman"/>
        </w:rPr>
        <w:t>effective referral</w:t>
      </w:r>
      <w:r w:rsidR="00D36896">
        <w:rPr>
          <w:rFonts w:ascii="Times New Roman" w:hAnsi="Times New Roman" w:cs="Times New Roman"/>
        </w:rPr>
        <w:t>”</w:t>
      </w:r>
      <w:r w:rsidR="00F12424">
        <w:rPr>
          <w:rFonts w:ascii="Times New Roman" w:hAnsi="Times New Roman" w:cs="Times New Roman"/>
        </w:rPr>
        <w:t xml:space="preserve"> to another medical practitioner who </w:t>
      </w:r>
      <w:r w:rsidR="00AD1F78">
        <w:rPr>
          <w:rFonts w:ascii="Times New Roman" w:hAnsi="Times New Roman" w:cs="Times New Roman"/>
        </w:rPr>
        <w:t>wa</w:t>
      </w:r>
      <w:r w:rsidR="00F12424">
        <w:rPr>
          <w:rFonts w:ascii="Times New Roman" w:hAnsi="Times New Roman" w:cs="Times New Roman"/>
        </w:rPr>
        <w:t>s willing to provide that service.</w:t>
      </w:r>
    </w:p>
    <w:p w14:paraId="633A9F99" w14:textId="77777777" w:rsidR="006B3BA8" w:rsidRPr="005B364C" w:rsidRDefault="006B3BA8" w:rsidP="00A0154E">
      <w:pPr>
        <w:jc w:val="both"/>
        <w:rPr>
          <w:rFonts w:ascii="Times New Roman" w:hAnsi="Times New Roman" w:cs="Times New Roman"/>
          <w:lang w:val="en-CA"/>
        </w:rPr>
      </w:pPr>
    </w:p>
    <w:p w14:paraId="25933E87" w14:textId="1618EFB8" w:rsidR="008801B5" w:rsidRDefault="006B3BA8" w:rsidP="00A0154E">
      <w:pPr>
        <w:jc w:val="both"/>
        <w:rPr>
          <w:rFonts w:ascii="Times New Roman" w:hAnsi="Times New Roman" w:cs="Times New Roman"/>
          <w:lang w:val="en-CA"/>
        </w:rPr>
      </w:pPr>
      <w:r w:rsidRPr="005B364C">
        <w:rPr>
          <w:rFonts w:ascii="Times New Roman" w:hAnsi="Times New Roman" w:cs="Times New Roman"/>
          <w:lang w:val="en-CA"/>
        </w:rPr>
        <w:lastRenderedPageBreak/>
        <w:t>The HIV Legal Network intervened in this case</w:t>
      </w:r>
      <w:r w:rsidR="00197C38">
        <w:rPr>
          <w:rFonts w:ascii="Times New Roman" w:hAnsi="Times New Roman" w:cs="Times New Roman"/>
          <w:lang w:val="en-CA"/>
        </w:rPr>
        <w:t xml:space="preserve"> (legal submissions attached)</w:t>
      </w:r>
      <w:r w:rsidRPr="005B364C">
        <w:rPr>
          <w:rFonts w:ascii="Times New Roman" w:hAnsi="Times New Roman" w:cs="Times New Roman"/>
          <w:lang w:val="en-CA"/>
        </w:rPr>
        <w:t>, alongside the Canadian Professional Association for Transgender Health and the HIV &amp; AIDS Legal Clinic Ontario</w:t>
      </w:r>
      <w:r w:rsidR="00E61D20">
        <w:rPr>
          <w:rFonts w:ascii="Times New Roman" w:hAnsi="Times New Roman" w:cs="Times New Roman"/>
          <w:lang w:val="en-CA"/>
        </w:rPr>
        <w:t xml:space="preserve"> (“the intervenors”)</w:t>
      </w:r>
      <w:r w:rsidRPr="005B364C">
        <w:rPr>
          <w:rFonts w:ascii="Times New Roman" w:hAnsi="Times New Roman" w:cs="Times New Roman"/>
          <w:lang w:val="en-CA"/>
        </w:rPr>
        <w:t xml:space="preserve">, to argue that allowing physicians to put their religious beliefs ahead of providing or ensuring non-discriminatory and dignified access to health care for their patients disregarded the fundamental principle of patient autonomy. Crucially, </w:t>
      </w:r>
      <w:r w:rsidR="005B364C" w:rsidRPr="005B364C">
        <w:rPr>
          <w:rFonts w:ascii="Times New Roman" w:hAnsi="Times New Roman" w:cs="Times New Roman"/>
          <w:lang w:val="en-CA"/>
        </w:rPr>
        <w:t xml:space="preserve">the </w:t>
      </w:r>
      <w:r w:rsidR="00E61D20">
        <w:rPr>
          <w:rFonts w:ascii="Times New Roman" w:hAnsi="Times New Roman" w:cs="Times New Roman"/>
          <w:lang w:val="en-CA"/>
        </w:rPr>
        <w:t>intervenors</w:t>
      </w:r>
      <w:r w:rsidRPr="005B364C">
        <w:rPr>
          <w:rFonts w:ascii="Times New Roman" w:hAnsi="Times New Roman" w:cs="Times New Roman"/>
          <w:lang w:val="en-CA"/>
        </w:rPr>
        <w:t xml:space="preserve"> highlighted that recognizing such a right would </w:t>
      </w:r>
      <w:r w:rsidR="005B364C" w:rsidRPr="005B364C">
        <w:rPr>
          <w:rFonts w:ascii="Times New Roman" w:hAnsi="Times New Roman" w:cs="Times New Roman"/>
          <w:lang w:val="en-CA"/>
        </w:rPr>
        <w:t>entail</w:t>
      </w:r>
      <w:r w:rsidRPr="005B364C">
        <w:rPr>
          <w:rFonts w:ascii="Times New Roman" w:hAnsi="Times New Roman" w:cs="Times New Roman"/>
          <w:lang w:val="en-CA"/>
        </w:rPr>
        <w:t xml:space="preserve"> grant</w:t>
      </w:r>
      <w:r w:rsidR="005B364C" w:rsidRPr="005B364C">
        <w:rPr>
          <w:rFonts w:ascii="Times New Roman" w:hAnsi="Times New Roman" w:cs="Times New Roman"/>
          <w:lang w:val="en-CA"/>
        </w:rPr>
        <w:t>ing</w:t>
      </w:r>
      <w:r w:rsidRPr="005B364C">
        <w:rPr>
          <w:rFonts w:ascii="Times New Roman" w:hAnsi="Times New Roman" w:cs="Times New Roman"/>
          <w:lang w:val="en-CA"/>
        </w:rPr>
        <w:t xml:space="preserve"> doctors a legal </w:t>
      </w:r>
      <w:r w:rsidR="005B364C" w:rsidRPr="005B364C">
        <w:rPr>
          <w:rFonts w:ascii="Times New Roman" w:hAnsi="Times New Roman" w:cs="Times New Roman"/>
          <w:lang w:val="en-CA"/>
        </w:rPr>
        <w:t xml:space="preserve">licence to discriminate, </w:t>
      </w:r>
      <w:r w:rsidR="005B364C">
        <w:rPr>
          <w:rFonts w:ascii="Times New Roman" w:hAnsi="Times New Roman" w:cs="Times New Roman"/>
          <w:lang w:val="en-CA"/>
        </w:rPr>
        <w:t>jeopardizing access to care for populations that already encounter stigma and discrimination in the health care setting, including LGBTQ+ people</w:t>
      </w:r>
      <w:r w:rsidR="00BF359F">
        <w:rPr>
          <w:rFonts w:ascii="Times New Roman" w:hAnsi="Times New Roman" w:cs="Times New Roman"/>
          <w:lang w:val="en-CA"/>
        </w:rPr>
        <w:t xml:space="preserve"> (</w:t>
      </w:r>
      <w:r w:rsidR="005B364C">
        <w:rPr>
          <w:rFonts w:ascii="Times New Roman" w:hAnsi="Times New Roman" w:cs="Times New Roman"/>
          <w:lang w:val="en-CA"/>
        </w:rPr>
        <w:t>particularly transg</w:t>
      </w:r>
      <w:r w:rsidR="00BF359F">
        <w:rPr>
          <w:rFonts w:ascii="Times New Roman" w:hAnsi="Times New Roman" w:cs="Times New Roman"/>
          <w:lang w:val="en-CA"/>
        </w:rPr>
        <w:t>ender and gender-diverse people)</w:t>
      </w:r>
      <w:r w:rsidR="005B364C">
        <w:rPr>
          <w:rFonts w:ascii="Times New Roman" w:hAnsi="Times New Roman" w:cs="Times New Roman"/>
          <w:lang w:val="en-CA"/>
        </w:rPr>
        <w:t xml:space="preserve"> and people living with HIV.</w:t>
      </w:r>
      <w:r w:rsidR="00E61D20">
        <w:rPr>
          <w:rFonts w:ascii="Times New Roman" w:hAnsi="Times New Roman" w:cs="Times New Roman"/>
          <w:lang w:val="en-CA"/>
        </w:rPr>
        <w:t xml:space="preserve"> </w:t>
      </w:r>
      <w:r w:rsidR="00427C33">
        <w:rPr>
          <w:rFonts w:ascii="Times New Roman" w:hAnsi="Times New Roman" w:cs="Times New Roman"/>
          <w:lang w:val="en-CA"/>
        </w:rPr>
        <w:t>T</w:t>
      </w:r>
      <w:r w:rsidR="00F12424">
        <w:rPr>
          <w:rFonts w:ascii="Times New Roman" w:hAnsi="Times New Roman" w:cs="Times New Roman"/>
          <w:lang w:val="en-CA"/>
        </w:rPr>
        <w:t>he scope of the physicians’ rights to freedom of conscience and religion had to be considered in light of the fact that allowing them to deny patients an effective referral creates a real risk of injury</w:t>
      </w:r>
      <w:r w:rsidR="00A348CD">
        <w:rPr>
          <w:rFonts w:ascii="Times New Roman" w:hAnsi="Times New Roman" w:cs="Times New Roman"/>
          <w:lang w:val="en-CA"/>
        </w:rPr>
        <w:t xml:space="preserve"> and harm</w:t>
      </w:r>
      <w:r w:rsidR="00F12424">
        <w:rPr>
          <w:rFonts w:ascii="Times New Roman" w:hAnsi="Times New Roman" w:cs="Times New Roman"/>
          <w:lang w:val="en-CA"/>
        </w:rPr>
        <w:t xml:space="preserve"> to the physical and mental integrity of already marginalized patients. </w:t>
      </w:r>
    </w:p>
    <w:p w14:paraId="54BDED99" w14:textId="77777777" w:rsidR="008801B5" w:rsidRDefault="008801B5" w:rsidP="00A0154E">
      <w:pPr>
        <w:jc w:val="both"/>
        <w:rPr>
          <w:rFonts w:ascii="Times New Roman" w:hAnsi="Times New Roman" w:cs="Times New Roman"/>
          <w:lang w:val="en-CA"/>
        </w:rPr>
      </w:pPr>
    </w:p>
    <w:p w14:paraId="5B09A64B" w14:textId="064BDCA0" w:rsidR="006B3BA8" w:rsidRPr="005B364C" w:rsidRDefault="00E24721" w:rsidP="00A0154E">
      <w:pPr>
        <w:jc w:val="both"/>
        <w:rPr>
          <w:rFonts w:ascii="Times New Roman" w:hAnsi="Times New Roman" w:cs="Times New Roman"/>
          <w:lang w:val="en-CA"/>
        </w:rPr>
      </w:pPr>
      <w:r>
        <w:rPr>
          <w:rFonts w:ascii="Times New Roman" w:hAnsi="Times New Roman" w:cs="Times New Roman"/>
          <w:lang w:val="en-CA"/>
        </w:rPr>
        <w:t xml:space="preserve">Furthermore, the </w:t>
      </w:r>
      <w:r w:rsidR="007C53D6">
        <w:rPr>
          <w:rFonts w:ascii="Times New Roman" w:hAnsi="Times New Roman" w:cs="Times New Roman"/>
          <w:lang w:val="en-CA"/>
        </w:rPr>
        <w:t>intervenors</w:t>
      </w:r>
      <w:r>
        <w:rPr>
          <w:rFonts w:ascii="Times New Roman" w:hAnsi="Times New Roman" w:cs="Times New Roman"/>
          <w:lang w:val="en-CA"/>
        </w:rPr>
        <w:t xml:space="preserve"> called</w:t>
      </w:r>
      <w:r w:rsidR="007C53D6">
        <w:rPr>
          <w:rFonts w:ascii="Times New Roman" w:hAnsi="Times New Roman" w:cs="Times New Roman"/>
          <w:lang w:val="en-CA"/>
        </w:rPr>
        <w:t xml:space="preserve"> on the court</w:t>
      </w:r>
      <w:r>
        <w:rPr>
          <w:rFonts w:ascii="Times New Roman" w:hAnsi="Times New Roman" w:cs="Times New Roman"/>
          <w:lang w:val="en-CA"/>
        </w:rPr>
        <w:t xml:space="preserve"> to consider the additional existing barriers, stigma, and discrimination, faced by trans people and people living with HIV, when it comes to accessing culturally appropriate and competent medical care. </w:t>
      </w:r>
      <w:r w:rsidR="00643441">
        <w:rPr>
          <w:rFonts w:ascii="Times New Roman" w:hAnsi="Times New Roman" w:cs="Times New Roman"/>
          <w:lang w:val="en-CA"/>
        </w:rPr>
        <w:t xml:space="preserve">Allowing doctors in their professional capacity to act on their personal religious beliefs as the basis </w:t>
      </w:r>
      <w:r w:rsidR="00C343A8">
        <w:rPr>
          <w:rFonts w:ascii="Times New Roman" w:hAnsi="Times New Roman" w:cs="Times New Roman"/>
          <w:lang w:val="en-CA"/>
        </w:rPr>
        <w:t>for refusing</w:t>
      </w:r>
      <w:r w:rsidR="00643441">
        <w:rPr>
          <w:rFonts w:ascii="Times New Roman" w:hAnsi="Times New Roman" w:cs="Times New Roman"/>
          <w:lang w:val="en-CA"/>
        </w:rPr>
        <w:t xml:space="preserve"> to provide healthcare to trans persons or </w:t>
      </w:r>
      <w:r w:rsidR="00C343A8">
        <w:rPr>
          <w:rFonts w:ascii="Times New Roman" w:hAnsi="Times New Roman" w:cs="Times New Roman"/>
          <w:lang w:val="en-CA"/>
        </w:rPr>
        <w:t xml:space="preserve">people </w:t>
      </w:r>
      <w:r w:rsidR="00643441">
        <w:rPr>
          <w:rFonts w:ascii="Times New Roman" w:hAnsi="Times New Roman" w:cs="Times New Roman"/>
          <w:lang w:val="en-CA"/>
        </w:rPr>
        <w:t>living with HIV would lead to</w:t>
      </w:r>
      <w:r w:rsidR="00DD76E4">
        <w:rPr>
          <w:rFonts w:ascii="Times New Roman" w:hAnsi="Times New Roman" w:cs="Times New Roman"/>
          <w:lang w:val="en-CA"/>
        </w:rPr>
        <w:t xml:space="preserve"> delays when accessing healthcare and potential</w:t>
      </w:r>
      <w:r w:rsidR="00AD1F78">
        <w:rPr>
          <w:rFonts w:ascii="Times New Roman" w:hAnsi="Times New Roman" w:cs="Times New Roman"/>
          <w:lang w:val="en-CA"/>
        </w:rPr>
        <w:t>ly</w:t>
      </w:r>
      <w:r w:rsidR="00DD76E4">
        <w:rPr>
          <w:rFonts w:ascii="Times New Roman" w:hAnsi="Times New Roman" w:cs="Times New Roman"/>
          <w:lang w:val="en-CA"/>
        </w:rPr>
        <w:t xml:space="preserve"> the outright discriminatory denial of health services altogether. T</w:t>
      </w:r>
      <w:r w:rsidR="00643441">
        <w:rPr>
          <w:rFonts w:ascii="Times New Roman" w:hAnsi="Times New Roman" w:cs="Times New Roman"/>
          <w:lang w:val="en-CA"/>
        </w:rPr>
        <w:t xml:space="preserve">he potential for </w:t>
      </w:r>
      <w:r w:rsidR="00DD76E4">
        <w:rPr>
          <w:rFonts w:ascii="Times New Roman" w:hAnsi="Times New Roman" w:cs="Times New Roman"/>
          <w:lang w:val="en-CA"/>
        </w:rPr>
        <w:t xml:space="preserve">harm was particularly acute for trans </w:t>
      </w:r>
      <w:r w:rsidR="00C343A8">
        <w:rPr>
          <w:rFonts w:ascii="Times New Roman" w:hAnsi="Times New Roman" w:cs="Times New Roman"/>
          <w:lang w:val="en-CA"/>
        </w:rPr>
        <w:t xml:space="preserve">people </w:t>
      </w:r>
      <w:r w:rsidR="00DD76E4">
        <w:rPr>
          <w:rFonts w:ascii="Times New Roman" w:hAnsi="Times New Roman" w:cs="Times New Roman"/>
          <w:lang w:val="en-CA"/>
        </w:rPr>
        <w:t xml:space="preserve">and </w:t>
      </w:r>
      <w:r w:rsidR="00C343A8">
        <w:rPr>
          <w:rFonts w:ascii="Times New Roman" w:hAnsi="Times New Roman" w:cs="Times New Roman"/>
          <w:lang w:val="en-CA"/>
        </w:rPr>
        <w:t xml:space="preserve">people </w:t>
      </w:r>
      <w:r w:rsidR="00DD76E4">
        <w:rPr>
          <w:rFonts w:ascii="Times New Roman" w:hAnsi="Times New Roman" w:cs="Times New Roman"/>
          <w:lang w:val="en-CA"/>
        </w:rPr>
        <w:t xml:space="preserve">living with HIV, </w:t>
      </w:r>
      <w:r w:rsidR="00643441">
        <w:rPr>
          <w:rFonts w:ascii="Times New Roman" w:hAnsi="Times New Roman" w:cs="Times New Roman"/>
          <w:lang w:val="en-CA"/>
        </w:rPr>
        <w:t xml:space="preserve">given that these </w:t>
      </w:r>
      <w:r w:rsidR="00DD76E4">
        <w:rPr>
          <w:rFonts w:ascii="Times New Roman" w:hAnsi="Times New Roman" w:cs="Times New Roman"/>
          <w:lang w:val="en-CA"/>
        </w:rPr>
        <w:t>populations</w:t>
      </w:r>
      <w:r w:rsidR="00643441">
        <w:rPr>
          <w:rFonts w:ascii="Times New Roman" w:hAnsi="Times New Roman" w:cs="Times New Roman"/>
          <w:lang w:val="en-CA"/>
        </w:rPr>
        <w:t xml:space="preserve"> </w:t>
      </w:r>
      <w:r w:rsidR="00C343A8">
        <w:rPr>
          <w:rFonts w:ascii="Times New Roman" w:hAnsi="Times New Roman" w:cs="Times New Roman"/>
          <w:lang w:val="en-CA"/>
        </w:rPr>
        <w:t>rely</w:t>
      </w:r>
      <w:r w:rsidR="00643441">
        <w:rPr>
          <w:rFonts w:ascii="Times New Roman" w:hAnsi="Times New Roman" w:cs="Times New Roman"/>
          <w:lang w:val="en-CA"/>
        </w:rPr>
        <w:t xml:space="preserve"> on me</w:t>
      </w:r>
      <w:r w:rsidR="00E1201E">
        <w:rPr>
          <w:rFonts w:ascii="Times New Roman" w:hAnsi="Times New Roman" w:cs="Times New Roman"/>
          <w:lang w:val="en-CA"/>
        </w:rPr>
        <w:t>dical care</w:t>
      </w:r>
      <w:r w:rsidR="00C343A8">
        <w:rPr>
          <w:rFonts w:ascii="Times New Roman" w:hAnsi="Times New Roman" w:cs="Times New Roman"/>
          <w:lang w:val="en-CA"/>
        </w:rPr>
        <w:t xml:space="preserve"> on an ongoing basis</w:t>
      </w:r>
      <w:r w:rsidR="00E1201E">
        <w:rPr>
          <w:rFonts w:ascii="Times New Roman" w:hAnsi="Times New Roman" w:cs="Times New Roman"/>
          <w:lang w:val="en-CA"/>
        </w:rPr>
        <w:t xml:space="preserve">. </w:t>
      </w:r>
      <w:r w:rsidR="00DC44B6">
        <w:rPr>
          <w:rFonts w:ascii="Times New Roman" w:hAnsi="Times New Roman" w:cs="Times New Roman"/>
          <w:lang w:val="en-CA"/>
        </w:rPr>
        <w:t>T</w:t>
      </w:r>
      <w:r w:rsidR="00E1201E">
        <w:rPr>
          <w:rFonts w:ascii="Times New Roman" w:hAnsi="Times New Roman" w:cs="Times New Roman"/>
          <w:lang w:val="en-CA"/>
        </w:rPr>
        <w:t xml:space="preserve">he intervenors submitted that the fundamental rights of the doctors was limited by their professional obligations and the public interest, both of which require members of the medical profession to deliver health services to the public in an equitable, non-discriminatory manner, </w:t>
      </w:r>
      <w:r w:rsidR="00AD1F78">
        <w:rPr>
          <w:rFonts w:ascii="Times New Roman" w:hAnsi="Times New Roman" w:cs="Times New Roman"/>
          <w:lang w:val="en-CA"/>
        </w:rPr>
        <w:t>respecting</w:t>
      </w:r>
      <w:r w:rsidR="00E1201E">
        <w:rPr>
          <w:rFonts w:ascii="Times New Roman" w:hAnsi="Times New Roman" w:cs="Times New Roman"/>
          <w:lang w:val="en-CA"/>
        </w:rPr>
        <w:t xml:space="preserve"> the dignity, a</w:t>
      </w:r>
      <w:r w:rsidR="00AD1F78">
        <w:rPr>
          <w:rFonts w:ascii="Times New Roman" w:hAnsi="Times New Roman" w:cs="Times New Roman"/>
          <w:lang w:val="en-CA"/>
        </w:rPr>
        <w:t>utonomy, and basic humanity of the</w:t>
      </w:r>
      <w:r w:rsidR="00E1201E">
        <w:rPr>
          <w:rFonts w:ascii="Times New Roman" w:hAnsi="Times New Roman" w:cs="Times New Roman"/>
          <w:lang w:val="en-CA"/>
        </w:rPr>
        <w:t xml:space="preserve"> diverse population</w:t>
      </w:r>
      <w:r w:rsidR="00AF5B6B">
        <w:rPr>
          <w:rFonts w:ascii="Times New Roman" w:hAnsi="Times New Roman" w:cs="Times New Roman"/>
          <w:lang w:val="en-CA"/>
        </w:rPr>
        <w:t>s</w:t>
      </w:r>
      <w:r w:rsidR="00AD1F78">
        <w:rPr>
          <w:rFonts w:ascii="Times New Roman" w:hAnsi="Times New Roman" w:cs="Times New Roman"/>
          <w:lang w:val="en-CA"/>
        </w:rPr>
        <w:t xml:space="preserve"> that they serve</w:t>
      </w:r>
      <w:r w:rsidR="00E1201E">
        <w:rPr>
          <w:rFonts w:ascii="Times New Roman" w:hAnsi="Times New Roman" w:cs="Times New Roman"/>
          <w:lang w:val="en-CA"/>
        </w:rPr>
        <w:t xml:space="preserve">. </w:t>
      </w:r>
    </w:p>
    <w:p w14:paraId="62659F7E" w14:textId="77777777" w:rsidR="00D44E23" w:rsidRPr="00197C38" w:rsidRDefault="00D44E23" w:rsidP="00A0154E">
      <w:pPr>
        <w:jc w:val="both"/>
        <w:rPr>
          <w:rFonts w:ascii="Times New Roman" w:hAnsi="Times New Roman" w:cs="Times New Roman"/>
          <w:lang w:val="en-CA"/>
        </w:rPr>
      </w:pPr>
    </w:p>
    <w:p w14:paraId="21E60BE4" w14:textId="71676C38" w:rsidR="00E1201E" w:rsidRDefault="00E1201E" w:rsidP="00E1201E">
      <w:pPr>
        <w:jc w:val="both"/>
        <w:rPr>
          <w:rFonts w:ascii="Times New Roman" w:hAnsi="Times New Roman" w:cs="Times New Roman"/>
          <w:lang w:val="en-CA"/>
        </w:rPr>
      </w:pPr>
      <w:r w:rsidRPr="00197C38">
        <w:rPr>
          <w:rFonts w:ascii="Times New Roman" w:hAnsi="Times New Roman" w:cs="Times New Roman"/>
          <w:b/>
          <w:bCs/>
          <w:lang w:val="en-CA"/>
        </w:rPr>
        <w:t xml:space="preserve">In a context where two opposing fundamental rights needed to be balanced, the intervenors advanced that the obligation to provide an </w:t>
      </w:r>
      <w:r w:rsidR="00DC44B6" w:rsidRPr="00197C38">
        <w:rPr>
          <w:rFonts w:ascii="Times New Roman" w:hAnsi="Times New Roman" w:cs="Times New Roman"/>
          <w:b/>
          <w:bCs/>
          <w:lang w:val="en-CA"/>
        </w:rPr>
        <w:t>“</w:t>
      </w:r>
      <w:r w:rsidRPr="00197C38">
        <w:rPr>
          <w:rFonts w:ascii="Times New Roman" w:hAnsi="Times New Roman" w:cs="Times New Roman"/>
          <w:b/>
          <w:bCs/>
          <w:lang w:val="en-CA"/>
        </w:rPr>
        <w:t>effective referral</w:t>
      </w:r>
      <w:r w:rsidR="00DC44B6" w:rsidRPr="00197C38">
        <w:rPr>
          <w:rFonts w:ascii="Times New Roman" w:hAnsi="Times New Roman" w:cs="Times New Roman"/>
          <w:b/>
          <w:bCs/>
          <w:lang w:val="en-CA"/>
        </w:rPr>
        <w:t>”</w:t>
      </w:r>
      <w:r w:rsidRPr="00197C38">
        <w:rPr>
          <w:rFonts w:ascii="Times New Roman" w:hAnsi="Times New Roman" w:cs="Times New Roman"/>
          <w:b/>
          <w:bCs/>
          <w:lang w:val="en-CA"/>
        </w:rPr>
        <w:t xml:space="preserve"> was the solution that impaired the doctors’ rights most minimally</w:t>
      </w:r>
      <w:r>
        <w:rPr>
          <w:rFonts w:ascii="Times New Roman" w:hAnsi="Times New Roman" w:cs="Times New Roman"/>
          <w:lang w:val="en-CA"/>
        </w:rPr>
        <w:t xml:space="preserve">. On the other hand, requiring anything less than an effective referral would have resulted in a complete denial of the patients’ rights to make informed decisions about their own medical care </w:t>
      </w:r>
      <w:r w:rsidR="00C343A8">
        <w:rPr>
          <w:rFonts w:ascii="Times New Roman" w:hAnsi="Times New Roman" w:cs="Times New Roman"/>
          <w:lang w:val="en-CA"/>
        </w:rPr>
        <w:t>—</w:t>
      </w:r>
      <w:r>
        <w:rPr>
          <w:rFonts w:ascii="Times New Roman" w:hAnsi="Times New Roman" w:cs="Times New Roman"/>
          <w:lang w:val="en-CA"/>
        </w:rPr>
        <w:t xml:space="preserve"> a negative consequence </w:t>
      </w:r>
      <w:r w:rsidR="00C343A8">
        <w:rPr>
          <w:rFonts w:ascii="Times New Roman" w:hAnsi="Times New Roman" w:cs="Times New Roman"/>
          <w:lang w:val="en-CA"/>
        </w:rPr>
        <w:t xml:space="preserve">that </w:t>
      </w:r>
      <w:r>
        <w:rPr>
          <w:rFonts w:ascii="Times New Roman" w:hAnsi="Times New Roman" w:cs="Times New Roman"/>
          <w:lang w:val="en-CA"/>
        </w:rPr>
        <w:t xml:space="preserve">would far outweigh any alleged positive benefit for the doctors. </w:t>
      </w:r>
    </w:p>
    <w:p w14:paraId="0F604680" w14:textId="77777777" w:rsidR="006532C8" w:rsidRDefault="006532C8" w:rsidP="00A0154E">
      <w:pPr>
        <w:jc w:val="both"/>
        <w:rPr>
          <w:rFonts w:ascii="Times New Roman" w:hAnsi="Times New Roman" w:cs="Times New Roman"/>
        </w:rPr>
      </w:pPr>
    </w:p>
    <w:p w14:paraId="4DBF5442" w14:textId="19237E64" w:rsidR="00E4563B" w:rsidRDefault="00E4563B" w:rsidP="00A0154E">
      <w:pPr>
        <w:jc w:val="both"/>
        <w:rPr>
          <w:rFonts w:ascii="Times New Roman" w:hAnsi="Times New Roman" w:cs="Times New Roman"/>
        </w:rPr>
      </w:pPr>
      <w:r>
        <w:rPr>
          <w:rFonts w:ascii="Times New Roman" w:hAnsi="Times New Roman" w:cs="Times New Roman"/>
        </w:rPr>
        <w:t xml:space="preserve">Ultimately, the </w:t>
      </w:r>
      <w:hyperlink r:id="rId16" w:history="1">
        <w:r w:rsidRPr="00E4563B">
          <w:rPr>
            <w:rStyle w:val="Hyperlink"/>
            <w:rFonts w:ascii="Times New Roman" w:hAnsi="Times New Roman" w:cs="Times New Roman"/>
          </w:rPr>
          <w:t>Court of Appeal of Ontario agreed with the intervenors</w:t>
        </w:r>
      </w:hyperlink>
      <w:r w:rsidR="00DC44B6">
        <w:rPr>
          <w:rStyle w:val="Hyperlink"/>
          <w:rFonts w:ascii="Times New Roman" w:hAnsi="Times New Roman" w:cs="Times New Roman"/>
        </w:rPr>
        <w:t>,</w:t>
      </w:r>
      <w:r>
        <w:rPr>
          <w:rStyle w:val="FootnoteReference"/>
          <w:rFonts w:ascii="Times New Roman" w:hAnsi="Times New Roman" w:cs="Times New Roman"/>
        </w:rPr>
        <w:footnoteReference w:id="19"/>
      </w:r>
      <w:r>
        <w:rPr>
          <w:rFonts w:ascii="Times New Roman" w:hAnsi="Times New Roman" w:cs="Times New Roman"/>
        </w:rPr>
        <w:t xml:space="preserve"> unanimously concluding that </w:t>
      </w:r>
      <w:r w:rsidR="00631892">
        <w:rPr>
          <w:rFonts w:ascii="Times New Roman" w:hAnsi="Times New Roman" w:cs="Times New Roman"/>
        </w:rPr>
        <w:t>physicians who invoke the right to conscientiously object in order not to participate in medical services that violate their religious beliefs must provide patients seeking such a service with an effective referral.</w:t>
      </w:r>
      <w:r w:rsidR="00601000">
        <w:rPr>
          <w:rFonts w:ascii="Times New Roman" w:hAnsi="Times New Roman" w:cs="Times New Roman"/>
        </w:rPr>
        <w:t xml:space="preserve"> </w:t>
      </w:r>
      <w:r w:rsidR="00601000" w:rsidRPr="00197C38">
        <w:rPr>
          <w:rFonts w:ascii="Times New Roman" w:hAnsi="Times New Roman" w:cs="Times New Roman"/>
          <w:b/>
          <w:bCs/>
        </w:rPr>
        <w:t xml:space="preserve">The Court found that the interference with the doctors’ right to freedom of conscience and religion was </w:t>
      </w:r>
      <w:r w:rsidR="005507B7" w:rsidRPr="00197C38">
        <w:rPr>
          <w:rFonts w:ascii="Times New Roman" w:hAnsi="Times New Roman" w:cs="Times New Roman"/>
          <w:b/>
          <w:bCs/>
        </w:rPr>
        <w:t>reasonably justified</w:t>
      </w:r>
      <w:r w:rsidR="00601000" w:rsidRPr="00197C38">
        <w:rPr>
          <w:rFonts w:ascii="Times New Roman" w:hAnsi="Times New Roman" w:cs="Times New Roman"/>
          <w:b/>
          <w:bCs/>
        </w:rPr>
        <w:t xml:space="preserve"> in light of the competing interest to provide patients with </w:t>
      </w:r>
      <w:r w:rsidR="0086729A" w:rsidRPr="00197C38">
        <w:rPr>
          <w:rFonts w:ascii="Times New Roman" w:hAnsi="Times New Roman" w:cs="Times New Roman"/>
          <w:b/>
          <w:bCs/>
        </w:rPr>
        <w:t xml:space="preserve">equitable </w:t>
      </w:r>
      <w:r w:rsidR="00AE5675" w:rsidRPr="00197C38">
        <w:rPr>
          <w:rFonts w:ascii="Times New Roman" w:hAnsi="Times New Roman" w:cs="Times New Roman"/>
          <w:b/>
          <w:bCs/>
        </w:rPr>
        <w:t>access to medical care</w:t>
      </w:r>
      <w:r w:rsidR="007075A9" w:rsidRPr="00197C38">
        <w:rPr>
          <w:rFonts w:ascii="Times New Roman" w:hAnsi="Times New Roman" w:cs="Times New Roman"/>
          <w:b/>
          <w:bCs/>
        </w:rPr>
        <w:t xml:space="preserve"> </w:t>
      </w:r>
      <w:r w:rsidR="00AE5675" w:rsidRPr="00197C38">
        <w:rPr>
          <w:rFonts w:ascii="Times New Roman" w:hAnsi="Times New Roman" w:cs="Times New Roman"/>
          <w:b/>
          <w:bCs/>
        </w:rPr>
        <w:t>and the compelling evidence that patients</w:t>
      </w:r>
      <w:r w:rsidR="00A6751C" w:rsidRPr="00197C38">
        <w:rPr>
          <w:rFonts w:ascii="Times New Roman" w:hAnsi="Times New Roman" w:cs="Times New Roman"/>
          <w:b/>
          <w:bCs/>
        </w:rPr>
        <w:t xml:space="preserve">, </w:t>
      </w:r>
      <w:bookmarkStart w:id="0" w:name="_GoBack"/>
      <w:bookmarkEnd w:id="0"/>
      <w:r w:rsidR="00A6751C" w:rsidRPr="00197C38">
        <w:rPr>
          <w:rFonts w:ascii="Times New Roman" w:hAnsi="Times New Roman" w:cs="Times New Roman"/>
          <w:b/>
          <w:bCs/>
        </w:rPr>
        <w:t>particularly vulnerable groups,</w:t>
      </w:r>
      <w:r w:rsidR="00AE5675" w:rsidRPr="00197C38">
        <w:rPr>
          <w:rFonts w:ascii="Times New Roman" w:hAnsi="Times New Roman" w:cs="Times New Roman"/>
          <w:b/>
          <w:bCs/>
        </w:rPr>
        <w:t xml:space="preserve"> would suffer harm in the absence of an effective referral. </w:t>
      </w:r>
      <w:r w:rsidR="00124AE9" w:rsidRPr="00197C38">
        <w:rPr>
          <w:rFonts w:ascii="Times New Roman" w:hAnsi="Times New Roman" w:cs="Times New Roman"/>
          <w:b/>
          <w:bCs/>
        </w:rPr>
        <w:t>Crucially, the Court of Appeal determined that it was appropriate to conclude that patients should not bear the burden of managing the consequences of physicians’ religious objections</w:t>
      </w:r>
      <w:r w:rsidR="00124AE9">
        <w:rPr>
          <w:rFonts w:ascii="Times New Roman" w:hAnsi="Times New Roman" w:cs="Times New Roman"/>
        </w:rPr>
        <w:t xml:space="preserve">. </w:t>
      </w:r>
      <w:r w:rsidR="0037397B">
        <w:rPr>
          <w:rFonts w:ascii="Times New Roman" w:hAnsi="Times New Roman" w:cs="Times New Roman"/>
        </w:rPr>
        <w:t xml:space="preserve">In addition, the Court found it relevant to highlight the fiduciary nature of the physician-patient relationship, which requires doctors to act </w:t>
      </w:r>
      <w:r w:rsidR="0037397B">
        <w:rPr>
          <w:rFonts w:ascii="Times New Roman" w:hAnsi="Times New Roman" w:cs="Times New Roman"/>
        </w:rPr>
        <w:lastRenderedPageBreak/>
        <w:t xml:space="preserve">at all times in their patients’ best interests, and to avoid conflicts between their own interests and those of their patients. </w:t>
      </w:r>
      <w:r w:rsidR="00124AE9">
        <w:rPr>
          <w:rFonts w:ascii="Times New Roman" w:hAnsi="Times New Roman" w:cs="Times New Roman"/>
        </w:rPr>
        <w:t xml:space="preserve">Consequently, </w:t>
      </w:r>
      <w:r w:rsidR="00124AE9" w:rsidRPr="00197C38">
        <w:rPr>
          <w:rFonts w:ascii="Times New Roman" w:hAnsi="Times New Roman" w:cs="Times New Roman"/>
          <w:b/>
          <w:bCs/>
        </w:rPr>
        <w:t xml:space="preserve">the effective referral solution </w:t>
      </w:r>
      <w:r w:rsidR="00066E6E" w:rsidRPr="00197C38">
        <w:rPr>
          <w:rFonts w:ascii="Times New Roman" w:hAnsi="Times New Roman" w:cs="Times New Roman"/>
          <w:b/>
          <w:bCs/>
        </w:rPr>
        <w:t>represented a reasonable compromise, preserving</w:t>
      </w:r>
      <w:r w:rsidR="00124AE9" w:rsidRPr="00197C38">
        <w:rPr>
          <w:rFonts w:ascii="Times New Roman" w:hAnsi="Times New Roman" w:cs="Times New Roman"/>
          <w:b/>
          <w:bCs/>
        </w:rPr>
        <w:t xml:space="preserve"> a proportionate balance between the doctors’ rights of conscientious objection and the patients’ rights of timely access to appropriate health services</w:t>
      </w:r>
      <w:r w:rsidR="00124AE9">
        <w:rPr>
          <w:rFonts w:ascii="Times New Roman" w:hAnsi="Times New Roman" w:cs="Times New Roman"/>
        </w:rPr>
        <w:t>.</w:t>
      </w:r>
      <w:r w:rsidR="0037397B">
        <w:rPr>
          <w:rFonts w:ascii="Times New Roman" w:hAnsi="Times New Roman" w:cs="Times New Roman"/>
        </w:rPr>
        <w:t xml:space="preserve"> </w:t>
      </w:r>
    </w:p>
    <w:p w14:paraId="4D6F7CAA" w14:textId="74D07759" w:rsidR="0072063D" w:rsidRDefault="0072063D" w:rsidP="00A0154E">
      <w:pPr>
        <w:jc w:val="both"/>
        <w:rPr>
          <w:rFonts w:ascii="Times New Roman" w:hAnsi="Times New Roman" w:cs="Times New Roman"/>
        </w:rPr>
      </w:pPr>
    </w:p>
    <w:p w14:paraId="1550E239" w14:textId="77777777" w:rsidR="008801B5" w:rsidRDefault="008801B5" w:rsidP="00A0154E">
      <w:pPr>
        <w:jc w:val="both"/>
        <w:rPr>
          <w:rFonts w:ascii="Times New Roman" w:hAnsi="Times New Roman" w:cs="Times New Roman"/>
        </w:rPr>
      </w:pPr>
    </w:p>
    <w:p w14:paraId="490E6717" w14:textId="5B035DCD" w:rsidR="0072063D" w:rsidRDefault="0072063D" w:rsidP="00A0154E">
      <w:pPr>
        <w:jc w:val="both"/>
        <w:rPr>
          <w:rFonts w:ascii="Times New Roman" w:hAnsi="Times New Roman" w:cs="Times New Roman"/>
        </w:rPr>
      </w:pPr>
      <w:r>
        <w:rPr>
          <w:rFonts w:ascii="Times New Roman" w:hAnsi="Times New Roman" w:cs="Times New Roman"/>
        </w:rPr>
        <w:t>In conclusion,</w:t>
      </w:r>
      <w:r w:rsidR="00593F0E">
        <w:rPr>
          <w:rFonts w:ascii="Times New Roman" w:hAnsi="Times New Roman" w:cs="Times New Roman"/>
        </w:rPr>
        <w:t xml:space="preserve"> the HIV Legal Network hopes that these examples help demonstrate how the interplay between </w:t>
      </w:r>
      <w:proofErr w:type="spellStart"/>
      <w:r w:rsidR="00593F0E">
        <w:rPr>
          <w:rFonts w:ascii="Times New Roman" w:hAnsi="Times New Roman" w:cs="Times New Roman"/>
        </w:rPr>
        <w:t>FoRB</w:t>
      </w:r>
      <w:proofErr w:type="spellEnd"/>
      <w:r w:rsidR="00593F0E">
        <w:rPr>
          <w:rFonts w:ascii="Times New Roman" w:hAnsi="Times New Roman" w:cs="Times New Roman"/>
        </w:rPr>
        <w:t xml:space="preserve"> and freedom from violence and discrimination based on SOGI can be reconciled, </w:t>
      </w:r>
      <w:r w:rsidR="00632725">
        <w:rPr>
          <w:rFonts w:ascii="Times New Roman" w:hAnsi="Times New Roman" w:cs="Times New Roman"/>
        </w:rPr>
        <w:t xml:space="preserve">how traditional narratives can be challenged, </w:t>
      </w:r>
      <w:r w:rsidR="00593F0E">
        <w:rPr>
          <w:rFonts w:ascii="Times New Roman" w:hAnsi="Times New Roman" w:cs="Times New Roman"/>
        </w:rPr>
        <w:t>and how tensions that arise</w:t>
      </w:r>
      <w:r w:rsidR="008801B5">
        <w:rPr>
          <w:rFonts w:ascii="Times New Roman" w:hAnsi="Times New Roman" w:cs="Times New Roman"/>
        </w:rPr>
        <w:t xml:space="preserve"> between seemingly divergent positions</w:t>
      </w:r>
      <w:r w:rsidR="00593F0E">
        <w:rPr>
          <w:rFonts w:ascii="Times New Roman" w:hAnsi="Times New Roman" w:cs="Times New Roman"/>
        </w:rPr>
        <w:t xml:space="preserve"> can be resolved in a rights-based approach centered on universality, indivisibility, and interdependence. </w:t>
      </w:r>
    </w:p>
    <w:p w14:paraId="5BE2EBA5" w14:textId="77777777" w:rsidR="006B3BA8" w:rsidRDefault="006B3BA8" w:rsidP="00A0154E">
      <w:pPr>
        <w:jc w:val="both"/>
        <w:rPr>
          <w:rFonts w:ascii="Times New Roman" w:hAnsi="Times New Roman" w:cs="Times New Roman"/>
        </w:rPr>
      </w:pPr>
    </w:p>
    <w:p w14:paraId="2AFFB2E1" w14:textId="6E9C3330" w:rsidR="00BE03CE" w:rsidRPr="00CD1D5F" w:rsidRDefault="00BE03CE" w:rsidP="00A6751C">
      <w:pPr>
        <w:pStyle w:val="NormalWeb"/>
        <w:shd w:val="clear" w:color="auto" w:fill="FFFFFF"/>
        <w:spacing w:before="0" w:beforeAutospacing="0" w:after="0" w:afterAutospacing="0"/>
        <w:textAlignment w:val="baseline"/>
        <w:rPr>
          <w:color w:val="242424"/>
          <w:sz w:val="24"/>
          <w:szCs w:val="24"/>
        </w:rPr>
      </w:pPr>
    </w:p>
    <w:p w14:paraId="6D3FFE5E" w14:textId="77777777" w:rsidR="00CD1D5F" w:rsidRPr="00CD1D5F" w:rsidRDefault="00CD1D5F" w:rsidP="00CD1D5F">
      <w:pPr>
        <w:pStyle w:val="NormalWeb"/>
        <w:spacing w:before="0" w:beforeAutospacing="0" w:after="0" w:afterAutospacing="0"/>
        <w:jc w:val="both"/>
        <w:rPr>
          <w:color w:val="000000" w:themeColor="text1"/>
          <w:sz w:val="24"/>
          <w:szCs w:val="24"/>
          <w:lang w:val="en-GB"/>
        </w:rPr>
      </w:pPr>
    </w:p>
    <w:p w14:paraId="4EFE132E" w14:textId="77777777" w:rsidR="00CD1D5F" w:rsidRPr="00CD1D5F" w:rsidRDefault="00CD1D5F">
      <w:pPr>
        <w:rPr>
          <w:rFonts w:ascii="Times New Roman" w:hAnsi="Times New Roman" w:cs="Times New Roman"/>
        </w:rPr>
      </w:pPr>
    </w:p>
    <w:sectPr w:rsidR="00CD1D5F" w:rsidRPr="00CD1D5F" w:rsidSect="00CD1D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AFCF3" w14:textId="77777777" w:rsidR="0098777B" w:rsidRDefault="0098777B" w:rsidP="00CD1D5F">
      <w:r>
        <w:separator/>
      </w:r>
    </w:p>
  </w:endnote>
  <w:endnote w:type="continuationSeparator" w:id="0">
    <w:p w14:paraId="15286220" w14:textId="77777777" w:rsidR="0098777B" w:rsidRDefault="0098777B" w:rsidP="00CD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3BAC9" w14:textId="77777777" w:rsidR="0098777B" w:rsidRDefault="0098777B" w:rsidP="00CD1D5F">
      <w:r>
        <w:separator/>
      </w:r>
    </w:p>
  </w:footnote>
  <w:footnote w:type="continuationSeparator" w:id="0">
    <w:p w14:paraId="35268207" w14:textId="77777777" w:rsidR="0098777B" w:rsidRDefault="0098777B" w:rsidP="00CD1D5F">
      <w:r>
        <w:continuationSeparator/>
      </w:r>
    </w:p>
  </w:footnote>
  <w:footnote w:id="1">
    <w:p w14:paraId="5638E716" w14:textId="7D32FC2E" w:rsidR="0098777B" w:rsidRPr="00624659" w:rsidRDefault="0098777B" w:rsidP="00624659">
      <w:pPr>
        <w:pStyle w:val="FootnoteText"/>
        <w:jc w:val="both"/>
        <w:rPr>
          <w:rFonts w:ascii="Times New Roman" w:hAnsi="Times New Roman" w:cs="Times New Roman"/>
          <w:lang w:val="en-CA"/>
        </w:rPr>
      </w:pPr>
      <w:r w:rsidRPr="00624659">
        <w:rPr>
          <w:rStyle w:val="FootnoteReference"/>
          <w:rFonts w:ascii="Times New Roman" w:hAnsi="Times New Roman" w:cs="Times New Roman"/>
          <w:lang w:val="en-CA"/>
        </w:rPr>
        <w:footnoteRef/>
      </w:r>
      <w:r>
        <w:rPr>
          <w:rFonts w:ascii="Times New Roman" w:hAnsi="Times New Roman" w:cs="Times New Roman"/>
          <w:lang w:val="en-CA"/>
        </w:rPr>
        <w:t xml:space="preserve"> Most Rev. Dr. John Holder, Bishop of Barbados, Archbishop of the West Indies,  </w:t>
      </w:r>
      <w:r w:rsidRPr="00624659">
        <w:rPr>
          <w:rFonts w:ascii="Times New Roman" w:hAnsi="Times New Roman" w:cs="Times New Roman"/>
          <w:lang w:val="en-CA"/>
        </w:rPr>
        <w:t>“</w:t>
      </w:r>
      <w:r w:rsidRPr="00875645">
        <w:rPr>
          <w:rFonts w:ascii="Times New Roman" w:hAnsi="Times New Roman" w:cs="Times New Roman"/>
          <w:iCs/>
          <w:lang w:val="en-CA"/>
        </w:rPr>
        <w:t>Keynote Address: Examining the Church and Anti-Sodomy Laws across the Commonwealth</w:t>
      </w:r>
      <w:r>
        <w:rPr>
          <w:rFonts w:ascii="Times New Roman" w:hAnsi="Times New Roman" w:cs="Times New Roman"/>
          <w:iCs/>
          <w:lang w:val="en-CA"/>
        </w:rPr>
        <w:t>,</w:t>
      </w:r>
      <w:r w:rsidRPr="00624659">
        <w:rPr>
          <w:rFonts w:ascii="Times New Roman" w:hAnsi="Times New Roman" w:cs="Times New Roman"/>
          <w:lang w:val="en-CA"/>
        </w:rPr>
        <w:t>”</w:t>
      </w:r>
      <w:r>
        <w:rPr>
          <w:rFonts w:ascii="Times New Roman" w:hAnsi="Times New Roman" w:cs="Times New Roman"/>
          <w:lang w:val="en-CA"/>
        </w:rPr>
        <w:t xml:space="preserve"> in </w:t>
      </w:r>
      <w:r w:rsidRPr="0098777B">
        <w:rPr>
          <w:rFonts w:ascii="Times New Roman" w:hAnsi="Times New Roman" w:cs="Times New Roman"/>
          <w:i/>
          <w:iCs/>
          <w:lang w:val="en-CA"/>
        </w:rPr>
        <w:t>Intimate Conviction (Volume 1)</w:t>
      </w:r>
      <w:proofErr w:type="gramStart"/>
      <w:r w:rsidRPr="00624659">
        <w:rPr>
          <w:rFonts w:ascii="Times New Roman" w:hAnsi="Times New Roman" w:cs="Times New Roman"/>
          <w:lang w:val="en-CA"/>
        </w:rPr>
        <w:t>,</w:t>
      </w:r>
      <w:r>
        <w:rPr>
          <w:rFonts w:ascii="Times New Roman" w:hAnsi="Times New Roman" w:cs="Times New Roman"/>
          <w:lang w:val="en-CA"/>
        </w:rPr>
        <w:t>(</w:t>
      </w:r>
      <w:proofErr w:type="gramEnd"/>
      <w:r>
        <w:rPr>
          <w:rFonts w:ascii="Times New Roman" w:hAnsi="Times New Roman" w:cs="Times New Roman"/>
          <w:lang w:val="en-CA"/>
        </w:rPr>
        <w:t>Toronto: Canadian HIV/AIDS Legal Network, 2019), pp. 15-25.</w:t>
      </w:r>
    </w:p>
  </w:footnote>
  <w:footnote w:id="2">
    <w:p w14:paraId="36AC5A67" w14:textId="6BE2FBCA" w:rsidR="0098777B" w:rsidRPr="00197C38" w:rsidRDefault="0098777B" w:rsidP="00624659">
      <w:pPr>
        <w:pStyle w:val="FootnoteText"/>
        <w:jc w:val="both"/>
        <w:rPr>
          <w:rFonts w:ascii="Times New Roman" w:hAnsi="Times New Roman" w:cs="Times New Roman"/>
          <w:lang w:val="en-CA"/>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sidRPr="0098777B">
        <w:rPr>
          <w:rFonts w:ascii="Times New Roman" w:hAnsi="Times New Roman" w:cs="Times New Roman"/>
          <w:i/>
          <w:iCs/>
        </w:rPr>
        <w:t>Ibid</w:t>
      </w:r>
      <w:r w:rsidRPr="00624659">
        <w:rPr>
          <w:rFonts w:ascii="Times New Roman" w:hAnsi="Times New Roman" w:cs="Times New Roman"/>
        </w:rPr>
        <w:t xml:space="preserve">, pp. 21-25. </w:t>
      </w:r>
    </w:p>
  </w:footnote>
  <w:footnote w:id="3">
    <w:p w14:paraId="538D5062" w14:textId="2BBBADD0" w:rsidR="0098777B" w:rsidRPr="00197C38" w:rsidRDefault="0098777B" w:rsidP="00624659">
      <w:pPr>
        <w:pStyle w:val="FootnoteText"/>
        <w:jc w:val="both"/>
        <w:rPr>
          <w:rFonts w:ascii="Times New Roman" w:hAnsi="Times New Roman" w:cs="Times New Roman"/>
          <w:lang w:val="en-CA"/>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sidRPr="0098777B">
        <w:rPr>
          <w:rFonts w:ascii="Times New Roman" w:hAnsi="Times New Roman" w:cs="Times New Roman"/>
          <w:i/>
          <w:iCs/>
          <w:lang w:val="en-CA"/>
        </w:rPr>
        <w:t>Ibid</w:t>
      </w:r>
      <w:r w:rsidRPr="00197C38">
        <w:rPr>
          <w:rFonts w:ascii="Times New Roman" w:hAnsi="Times New Roman" w:cs="Times New Roman"/>
          <w:lang w:val="en-CA"/>
        </w:rPr>
        <w:t xml:space="preserve">, p. 25. </w:t>
      </w:r>
    </w:p>
  </w:footnote>
  <w:footnote w:id="4">
    <w:p w14:paraId="5C6322B4" w14:textId="465C271E" w:rsidR="0098777B" w:rsidRPr="00197C38" w:rsidRDefault="0098777B" w:rsidP="00624659">
      <w:pPr>
        <w:pStyle w:val="FootnoteText"/>
        <w:jc w:val="both"/>
        <w:rPr>
          <w:rFonts w:ascii="Times New Roman" w:hAnsi="Times New Roman" w:cs="Times New Roman"/>
          <w:lang w:val="en-CA"/>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sidRPr="00197C38">
        <w:rPr>
          <w:rFonts w:ascii="Times New Roman" w:hAnsi="Times New Roman" w:cs="Times New Roman"/>
          <w:lang w:val="en-CA"/>
        </w:rPr>
        <w:t>See for instance</w:t>
      </w:r>
      <w:r>
        <w:rPr>
          <w:rFonts w:ascii="Times New Roman" w:hAnsi="Times New Roman" w:cs="Times New Roman"/>
          <w:lang w:val="en-CA"/>
        </w:rPr>
        <w:t xml:space="preserve"> Justin Petit (Commonwealth Secretariat), “</w:t>
      </w:r>
      <w:r w:rsidRPr="0098777B">
        <w:rPr>
          <w:rFonts w:ascii="Times New Roman" w:hAnsi="Times New Roman" w:cs="Times New Roman"/>
          <w:iCs/>
          <w:lang w:val="en-CA"/>
        </w:rPr>
        <w:t>Special Address</w:t>
      </w:r>
      <w:r>
        <w:rPr>
          <w:rFonts w:ascii="Times New Roman" w:hAnsi="Times New Roman" w:cs="Times New Roman"/>
          <w:iCs/>
          <w:lang w:val="en-CA"/>
        </w:rPr>
        <w:t>,</w:t>
      </w:r>
      <w:r>
        <w:rPr>
          <w:rFonts w:ascii="Times New Roman" w:hAnsi="Times New Roman" w:cs="Times New Roman"/>
          <w:lang w:val="en-CA"/>
        </w:rPr>
        <w:t xml:space="preserve">” in </w:t>
      </w:r>
      <w:r>
        <w:rPr>
          <w:rFonts w:ascii="Times New Roman" w:hAnsi="Times New Roman" w:cs="Times New Roman"/>
          <w:i/>
          <w:iCs/>
          <w:lang w:val="en-CA"/>
        </w:rPr>
        <w:t>ibid</w:t>
      </w:r>
      <w:r>
        <w:rPr>
          <w:rFonts w:ascii="Times New Roman" w:hAnsi="Times New Roman" w:cs="Times New Roman"/>
          <w:lang w:val="en-CA"/>
        </w:rPr>
        <w:t>, p</w:t>
      </w:r>
      <w:r w:rsidRPr="00197C38">
        <w:rPr>
          <w:rFonts w:ascii="Times New Roman" w:hAnsi="Times New Roman" w:cs="Times New Roman"/>
          <w:lang w:val="en-CA"/>
        </w:rPr>
        <w:t xml:space="preserve">. 29. </w:t>
      </w:r>
    </w:p>
  </w:footnote>
  <w:footnote w:id="5">
    <w:p w14:paraId="3AF573A8" w14:textId="4D5D2AE0" w:rsidR="0098777B" w:rsidRPr="00197C38" w:rsidRDefault="0098777B" w:rsidP="00624659">
      <w:pPr>
        <w:pStyle w:val="FootnoteText"/>
        <w:jc w:val="both"/>
        <w:rPr>
          <w:rFonts w:ascii="Times New Roman" w:hAnsi="Times New Roman" w:cs="Times New Roman"/>
          <w:lang w:val="en-CA"/>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sidRPr="00197C38">
        <w:rPr>
          <w:rFonts w:ascii="Times New Roman" w:hAnsi="Times New Roman" w:cs="Times New Roman"/>
          <w:lang w:val="en-CA"/>
        </w:rPr>
        <w:t xml:space="preserve">Lord Anthony Gifford, Q.C., </w:t>
      </w:r>
      <w:r>
        <w:rPr>
          <w:rFonts w:ascii="Times New Roman" w:hAnsi="Times New Roman" w:cs="Times New Roman"/>
        </w:rPr>
        <w:t>“</w:t>
      </w:r>
      <w:r w:rsidRPr="0098777B">
        <w:rPr>
          <w:rFonts w:ascii="Times New Roman" w:hAnsi="Times New Roman" w:cs="Times New Roman"/>
          <w:iCs/>
          <w:lang w:val="en-CA"/>
        </w:rPr>
        <w:t>Address</w:t>
      </w:r>
      <w:r>
        <w:rPr>
          <w:rFonts w:ascii="Times New Roman" w:hAnsi="Times New Roman" w:cs="Times New Roman"/>
          <w:lang w:val="en-CA"/>
        </w:rPr>
        <w:t xml:space="preserve">,” in </w:t>
      </w:r>
      <w:r>
        <w:rPr>
          <w:rFonts w:ascii="Times New Roman" w:hAnsi="Times New Roman" w:cs="Times New Roman"/>
          <w:i/>
          <w:iCs/>
          <w:lang w:val="en-CA"/>
        </w:rPr>
        <w:t xml:space="preserve">ibid, </w:t>
      </w:r>
      <w:r w:rsidRPr="00197C38">
        <w:rPr>
          <w:rFonts w:ascii="Times New Roman" w:hAnsi="Times New Roman" w:cs="Times New Roman"/>
          <w:lang w:val="en-CA"/>
        </w:rPr>
        <w:t>pp. 31-34.</w:t>
      </w:r>
    </w:p>
  </w:footnote>
  <w:footnote w:id="6">
    <w:p w14:paraId="542DF356" w14:textId="7630CF16" w:rsidR="0098777B" w:rsidRPr="00197C38" w:rsidRDefault="0098777B" w:rsidP="00624659">
      <w:pPr>
        <w:pStyle w:val="FootnoteText"/>
        <w:jc w:val="both"/>
        <w:rPr>
          <w:rFonts w:ascii="Times New Roman" w:hAnsi="Times New Roman" w:cs="Times New Roman"/>
          <w:lang w:val="en-CA"/>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sidRPr="0098777B">
        <w:rPr>
          <w:rFonts w:ascii="Times New Roman" w:hAnsi="Times New Roman" w:cs="Times New Roman"/>
          <w:i/>
          <w:iCs/>
          <w:lang w:val="en-CA"/>
        </w:rPr>
        <w:t>Ibid</w:t>
      </w:r>
      <w:r w:rsidRPr="00197C38">
        <w:rPr>
          <w:rFonts w:ascii="Times New Roman" w:hAnsi="Times New Roman" w:cs="Times New Roman"/>
          <w:lang w:val="en-CA"/>
        </w:rPr>
        <w:t>, p.33.</w:t>
      </w:r>
    </w:p>
  </w:footnote>
  <w:footnote w:id="7">
    <w:p w14:paraId="50552E42" w14:textId="31AF0C88" w:rsidR="0098777B" w:rsidRPr="00197C38" w:rsidRDefault="0098777B" w:rsidP="00624659">
      <w:pPr>
        <w:pStyle w:val="FootnoteText"/>
        <w:jc w:val="both"/>
        <w:rPr>
          <w:rFonts w:ascii="Times New Roman" w:hAnsi="Times New Roman" w:cs="Times New Roman"/>
          <w:lang w:val="en-CA"/>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proofErr w:type="gramStart"/>
      <w:r w:rsidRPr="00197C38">
        <w:rPr>
          <w:rFonts w:ascii="Times New Roman" w:hAnsi="Times New Roman" w:cs="Times New Roman"/>
          <w:lang w:val="en-CA"/>
        </w:rPr>
        <w:t>The Hon. Michael Kirby AC CMG</w:t>
      </w:r>
      <w:r>
        <w:rPr>
          <w:rFonts w:ascii="Times New Roman" w:hAnsi="Times New Roman" w:cs="Times New Roman"/>
          <w:lang w:val="en-CA"/>
        </w:rPr>
        <w:t>,</w:t>
      </w:r>
      <w:r>
        <w:rPr>
          <w:rFonts w:ascii="Times New Roman" w:hAnsi="Times New Roman" w:cs="Times New Roman"/>
        </w:rPr>
        <w:t xml:space="preserve"> “</w:t>
      </w:r>
      <w:r w:rsidRPr="0098777B">
        <w:rPr>
          <w:rFonts w:ascii="Times New Roman" w:hAnsi="Times New Roman" w:cs="Times New Roman"/>
          <w:iCs/>
          <w:lang w:val="en-CA"/>
        </w:rPr>
        <w:t>Foreword</w:t>
      </w:r>
      <w:r>
        <w:rPr>
          <w:rFonts w:ascii="Times New Roman" w:hAnsi="Times New Roman" w:cs="Times New Roman"/>
          <w:lang w:val="en-CA"/>
        </w:rPr>
        <w:t xml:space="preserve">,” in </w:t>
      </w:r>
      <w:r>
        <w:rPr>
          <w:rFonts w:ascii="Times New Roman" w:hAnsi="Times New Roman" w:cs="Times New Roman"/>
          <w:i/>
          <w:iCs/>
          <w:lang w:val="en-CA"/>
        </w:rPr>
        <w:t>ibid</w:t>
      </w:r>
      <w:r w:rsidRPr="00197C38">
        <w:rPr>
          <w:rFonts w:ascii="Times New Roman" w:hAnsi="Times New Roman" w:cs="Times New Roman"/>
          <w:lang w:val="en-CA"/>
        </w:rPr>
        <w:t>, pp. 35-36.</w:t>
      </w:r>
      <w:proofErr w:type="gramEnd"/>
      <w:r w:rsidRPr="00197C38">
        <w:rPr>
          <w:rFonts w:ascii="Times New Roman" w:hAnsi="Times New Roman" w:cs="Times New Roman"/>
          <w:lang w:val="en-CA"/>
        </w:rPr>
        <w:t xml:space="preserve"> </w:t>
      </w:r>
    </w:p>
  </w:footnote>
  <w:footnote w:id="8">
    <w:p w14:paraId="6D412557" w14:textId="2C6249A2" w:rsidR="0098777B" w:rsidRPr="00624659" w:rsidRDefault="0098777B" w:rsidP="00624659">
      <w:pPr>
        <w:pStyle w:val="FootnoteText"/>
        <w:jc w:val="both"/>
        <w:rPr>
          <w:rFonts w:ascii="Times New Roman" w:hAnsi="Times New Roman" w:cs="Times New Roman"/>
          <w:lang w:val="en-CA"/>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proofErr w:type="gramStart"/>
      <w:r w:rsidRPr="00624659">
        <w:rPr>
          <w:rFonts w:ascii="Times New Roman" w:hAnsi="Times New Roman" w:cs="Times New Roman"/>
        </w:rPr>
        <w:t>Rev. Winnie Varghese</w:t>
      </w:r>
      <w:r>
        <w:rPr>
          <w:rFonts w:ascii="Times New Roman" w:hAnsi="Times New Roman" w:cs="Times New Roman"/>
        </w:rPr>
        <w:t>,</w:t>
      </w:r>
      <w:r w:rsidRPr="00624659">
        <w:rPr>
          <w:rFonts w:ascii="Times New Roman" w:hAnsi="Times New Roman" w:cs="Times New Roman"/>
          <w:lang w:val="en-CA"/>
        </w:rPr>
        <w:t xml:space="preserve"> “</w:t>
      </w:r>
      <w:r w:rsidRPr="0098777B">
        <w:rPr>
          <w:rFonts w:ascii="Times New Roman" w:hAnsi="Times New Roman" w:cs="Times New Roman"/>
          <w:iCs/>
          <w:lang w:val="en-CA"/>
        </w:rPr>
        <w:t>Decriminalization in the United States of America and LGBTQI equality in The Episcopal Church</w:t>
      </w:r>
      <w:r>
        <w:rPr>
          <w:rFonts w:ascii="Times New Roman" w:hAnsi="Times New Roman" w:cs="Times New Roman"/>
          <w:lang w:val="en-CA"/>
        </w:rPr>
        <w:t xml:space="preserve">,” in </w:t>
      </w:r>
      <w:r>
        <w:rPr>
          <w:rFonts w:ascii="Times New Roman" w:hAnsi="Times New Roman" w:cs="Times New Roman"/>
          <w:i/>
          <w:iCs/>
          <w:lang w:val="en-CA"/>
        </w:rPr>
        <w:t>ibid</w:t>
      </w:r>
      <w:r w:rsidRPr="00624659">
        <w:rPr>
          <w:rFonts w:ascii="Times New Roman" w:hAnsi="Times New Roman" w:cs="Times New Roman"/>
        </w:rPr>
        <w:t>, pp. 39-43</w:t>
      </w:r>
      <w:r>
        <w:rPr>
          <w:rFonts w:ascii="Times New Roman" w:hAnsi="Times New Roman" w:cs="Times New Roman"/>
        </w:rPr>
        <w:t>.</w:t>
      </w:r>
      <w:proofErr w:type="gramEnd"/>
    </w:p>
  </w:footnote>
  <w:footnote w:id="9">
    <w:p w14:paraId="5E240569" w14:textId="5C36F9A3" w:rsidR="0098777B" w:rsidRPr="00197C38" w:rsidRDefault="0098777B" w:rsidP="00624659">
      <w:pPr>
        <w:pStyle w:val="FootnoteText"/>
        <w:jc w:val="both"/>
        <w:rPr>
          <w:rFonts w:ascii="Times New Roman" w:hAnsi="Times New Roman" w:cs="Times New Roman"/>
          <w:lang w:val="en-CA"/>
        </w:rPr>
      </w:pPr>
      <w:r w:rsidRPr="00624659">
        <w:rPr>
          <w:rStyle w:val="FootnoteReference"/>
          <w:rFonts w:ascii="Times New Roman" w:hAnsi="Times New Roman" w:cs="Times New Roman"/>
        </w:rPr>
        <w:footnoteRef/>
      </w:r>
      <w:r w:rsidRPr="00624659">
        <w:rPr>
          <w:rFonts w:ascii="Times New Roman" w:hAnsi="Times New Roman" w:cs="Times New Roman"/>
        </w:rPr>
        <w:t xml:space="preserve"> Bishop Terry M. Brown “</w:t>
      </w:r>
      <w:r w:rsidRPr="0098777B">
        <w:rPr>
          <w:rFonts w:ascii="Times New Roman" w:hAnsi="Times New Roman" w:cs="Times New Roman"/>
          <w:iCs/>
        </w:rPr>
        <w:t>Mixed Forces for the 1969 Canadian Decriminalization of Homosexuality</w:t>
      </w:r>
      <w:r>
        <w:rPr>
          <w:rFonts w:ascii="Times New Roman" w:hAnsi="Times New Roman" w:cs="Times New Roman"/>
          <w:iCs/>
        </w:rPr>
        <w:t>,</w:t>
      </w:r>
      <w:r>
        <w:rPr>
          <w:rFonts w:ascii="Times New Roman" w:hAnsi="Times New Roman" w:cs="Times New Roman"/>
        </w:rPr>
        <w:t xml:space="preserve">” in </w:t>
      </w:r>
      <w:r>
        <w:rPr>
          <w:rFonts w:ascii="Times New Roman" w:hAnsi="Times New Roman" w:cs="Times New Roman"/>
          <w:i/>
          <w:iCs/>
        </w:rPr>
        <w:t>ibid</w:t>
      </w:r>
      <w:r w:rsidRPr="00624659">
        <w:rPr>
          <w:rFonts w:ascii="Times New Roman" w:hAnsi="Times New Roman" w:cs="Times New Roman"/>
        </w:rPr>
        <w:t>, pp. 44-48</w:t>
      </w:r>
      <w:r>
        <w:rPr>
          <w:rFonts w:ascii="Times New Roman" w:hAnsi="Times New Roman" w:cs="Times New Roman"/>
        </w:rPr>
        <w:t>.</w:t>
      </w:r>
    </w:p>
  </w:footnote>
  <w:footnote w:id="10">
    <w:p w14:paraId="7EA73D7E" w14:textId="4F1D997D" w:rsidR="0098777B" w:rsidRPr="00624659" w:rsidRDefault="0098777B" w:rsidP="00624659">
      <w:pPr>
        <w:pStyle w:val="FootnoteText"/>
        <w:jc w:val="both"/>
        <w:rPr>
          <w:rFonts w:ascii="Times New Roman" w:hAnsi="Times New Roman" w:cs="Times New Roman"/>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proofErr w:type="gramStart"/>
      <w:r w:rsidRPr="00624659">
        <w:rPr>
          <w:rFonts w:ascii="Times New Roman" w:hAnsi="Times New Roman" w:cs="Times New Roman"/>
        </w:rPr>
        <w:t>Rev. Tom Decker</w:t>
      </w:r>
      <w:r>
        <w:rPr>
          <w:rFonts w:ascii="Times New Roman" w:hAnsi="Times New Roman" w:cs="Times New Roman"/>
        </w:rPr>
        <w:t>,</w:t>
      </w:r>
      <w:r w:rsidRPr="00624659">
        <w:rPr>
          <w:rFonts w:ascii="Times New Roman" w:hAnsi="Times New Roman" w:cs="Times New Roman"/>
        </w:rPr>
        <w:t xml:space="preserve"> “</w:t>
      </w:r>
      <w:r w:rsidRPr="0098777B">
        <w:rPr>
          <w:rFonts w:ascii="Times New Roman" w:hAnsi="Times New Roman" w:cs="Times New Roman"/>
          <w:iCs/>
        </w:rPr>
        <w:t>Military Chaplaincy in the Canadian Armed Forces</w:t>
      </w:r>
      <w:r>
        <w:rPr>
          <w:rFonts w:ascii="Times New Roman" w:hAnsi="Times New Roman" w:cs="Times New Roman"/>
          <w:iCs/>
        </w:rPr>
        <w:t>,</w:t>
      </w:r>
      <w:r>
        <w:rPr>
          <w:rFonts w:ascii="Times New Roman" w:hAnsi="Times New Roman" w:cs="Times New Roman"/>
        </w:rPr>
        <w:t xml:space="preserve">” in </w:t>
      </w:r>
      <w:r>
        <w:rPr>
          <w:rFonts w:ascii="Times New Roman" w:hAnsi="Times New Roman" w:cs="Times New Roman"/>
          <w:i/>
          <w:iCs/>
        </w:rPr>
        <w:t>ibid</w:t>
      </w:r>
      <w:r w:rsidRPr="00624659">
        <w:rPr>
          <w:rFonts w:ascii="Times New Roman" w:hAnsi="Times New Roman" w:cs="Times New Roman"/>
        </w:rPr>
        <w:t>,</w:t>
      </w:r>
      <w:r w:rsidRPr="00410F85">
        <w:rPr>
          <w:rFonts w:ascii="Times New Roman" w:hAnsi="Times New Roman" w:cs="Times New Roman"/>
        </w:rPr>
        <w:t xml:space="preserve"> </w:t>
      </w:r>
      <w:r>
        <w:rPr>
          <w:rFonts w:ascii="Times New Roman" w:hAnsi="Times New Roman" w:cs="Times New Roman"/>
        </w:rPr>
        <w:t>p. 59.</w:t>
      </w:r>
      <w:proofErr w:type="gramEnd"/>
    </w:p>
  </w:footnote>
  <w:footnote w:id="11">
    <w:p w14:paraId="71F0E06A" w14:textId="202E1BEB" w:rsidR="0098777B" w:rsidRPr="00624659" w:rsidRDefault="0098777B" w:rsidP="00624659">
      <w:pPr>
        <w:pStyle w:val="FootnoteText"/>
        <w:jc w:val="both"/>
        <w:rPr>
          <w:rFonts w:ascii="Times New Roman" w:hAnsi="Times New Roman" w:cs="Times New Roman"/>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Pr>
          <w:rFonts w:ascii="Times New Roman" w:hAnsi="Times New Roman" w:cs="Times New Roman"/>
        </w:rPr>
        <w:t>Rt. Rev. Dr. Alan Wilson,</w:t>
      </w:r>
      <w:r w:rsidRPr="00624659">
        <w:rPr>
          <w:rFonts w:ascii="Times New Roman" w:hAnsi="Times New Roman" w:cs="Times New Roman"/>
        </w:rPr>
        <w:t xml:space="preserve"> “</w:t>
      </w:r>
      <w:r w:rsidRPr="0098777B">
        <w:rPr>
          <w:rFonts w:ascii="Times New Roman" w:hAnsi="Times New Roman" w:cs="Times New Roman"/>
          <w:iCs/>
        </w:rPr>
        <w:t>A Church of England Take on Buggery Law</w:t>
      </w:r>
      <w:r>
        <w:rPr>
          <w:rFonts w:ascii="Times New Roman" w:hAnsi="Times New Roman" w:cs="Times New Roman"/>
        </w:rPr>
        <w:t>,</w:t>
      </w:r>
      <w:r w:rsidRPr="00624659">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Pr>
          <w:rFonts w:ascii="Times New Roman" w:hAnsi="Times New Roman" w:cs="Times New Roman"/>
        </w:rPr>
        <w:t xml:space="preserve">, </w:t>
      </w:r>
      <w:r w:rsidRPr="00624659">
        <w:rPr>
          <w:rFonts w:ascii="Times New Roman" w:hAnsi="Times New Roman" w:cs="Times New Roman"/>
        </w:rPr>
        <w:t>pp. 66-70; The Very Reverend Michael Weeder, “</w:t>
      </w:r>
      <w:r w:rsidRPr="0098777B">
        <w:rPr>
          <w:rFonts w:ascii="Times New Roman" w:hAnsi="Times New Roman" w:cs="Times New Roman"/>
          <w:iCs/>
        </w:rPr>
        <w:t>Awakening to Freedom: A Global South Perspective</w:t>
      </w:r>
      <w:r>
        <w:rPr>
          <w:rFonts w:ascii="Times New Roman" w:hAnsi="Times New Roman" w:cs="Times New Roman"/>
          <w:iCs/>
        </w:rPr>
        <w:t>,</w:t>
      </w:r>
      <w:r w:rsidRPr="00624659">
        <w:rPr>
          <w:rFonts w:ascii="Times New Roman" w:hAnsi="Times New Roman" w:cs="Times New Roman"/>
        </w:rPr>
        <w:t xml:space="preserve">” </w:t>
      </w:r>
      <w:r>
        <w:rPr>
          <w:rFonts w:ascii="Times New Roman" w:hAnsi="Times New Roman" w:cs="Times New Roman"/>
        </w:rPr>
        <w:t xml:space="preserve">in </w:t>
      </w:r>
      <w:r>
        <w:rPr>
          <w:rFonts w:ascii="Times New Roman" w:hAnsi="Times New Roman" w:cs="Times New Roman"/>
          <w:i/>
          <w:iCs/>
        </w:rPr>
        <w:t xml:space="preserve">ibid, </w:t>
      </w:r>
      <w:r w:rsidRPr="00624659">
        <w:rPr>
          <w:rFonts w:ascii="Times New Roman" w:hAnsi="Times New Roman" w:cs="Times New Roman"/>
        </w:rPr>
        <w:t xml:space="preserve">pp. 72-74; </w:t>
      </w:r>
      <w:r>
        <w:rPr>
          <w:rFonts w:ascii="Times New Roman" w:hAnsi="Times New Roman" w:cs="Times New Roman"/>
        </w:rPr>
        <w:t>Rev. Colin Coward,</w:t>
      </w:r>
      <w:r w:rsidRPr="00624659">
        <w:rPr>
          <w:rFonts w:ascii="Times New Roman" w:hAnsi="Times New Roman" w:cs="Times New Roman"/>
        </w:rPr>
        <w:t xml:space="preserve"> “</w:t>
      </w:r>
      <w:r w:rsidRPr="0098777B">
        <w:rPr>
          <w:rFonts w:ascii="Times New Roman" w:hAnsi="Times New Roman" w:cs="Times New Roman"/>
          <w:iCs/>
        </w:rPr>
        <w:t>Building an Ecumenical Dialogue for Decriminalization</w:t>
      </w:r>
      <w:r>
        <w:rPr>
          <w:rFonts w:ascii="Times New Roman" w:hAnsi="Times New Roman" w:cs="Times New Roman"/>
        </w:rPr>
        <w:t>,</w:t>
      </w:r>
      <w:r w:rsidRPr="00624659">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Pr>
          <w:rFonts w:ascii="Times New Roman" w:hAnsi="Times New Roman" w:cs="Times New Roman"/>
        </w:rPr>
        <w:t xml:space="preserve"> </w:t>
      </w:r>
      <w:r w:rsidRPr="00624659">
        <w:rPr>
          <w:rFonts w:ascii="Times New Roman" w:hAnsi="Times New Roman" w:cs="Times New Roman"/>
        </w:rPr>
        <w:t>pp. 75-77.</w:t>
      </w:r>
    </w:p>
  </w:footnote>
  <w:footnote w:id="12">
    <w:p w14:paraId="00F8E1A0" w14:textId="5D785E98" w:rsidR="0098777B" w:rsidRPr="00624659" w:rsidRDefault="0098777B" w:rsidP="00624659">
      <w:pPr>
        <w:pStyle w:val="FootnoteText"/>
        <w:jc w:val="both"/>
        <w:rPr>
          <w:rFonts w:ascii="Times New Roman" w:hAnsi="Times New Roman" w:cs="Times New Roman"/>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sidRPr="00624659">
        <w:rPr>
          <w:rFonts w:ascii="Times New Roman" w:hAnsi="Times New Roman" w:cs="Times New Roman"/>
        </w:rPr>
        <w:t>Francis DeBernardo</w:t>
      </w:r>
      <w:r>
        <w:rPr>
          <w:rFonts w:ascii="Times New Roman" w:hAnsi="Times New Roman" w:cs="Times New Roman"/>
        </w:rPr>
        <w:t>,</w:t>
      </w:r>
      <w:r w:rsidRPr="00624659">
        <w:rPr>
          <w:rFonts w:ascii="Times New Roman" w:hAnsi="Times New Roman" w:cs="Times New Roman"/>
        </w:rPr>
        <w:t xml:space="preserve"> </w:t>
      </w:r>
      <w:r w:rsidRPr="00624659">
        <w:rPr>
          <w:rFonts w:ascii="Times New Roman" w:hAnsi="Times New Roman" w:cs="Times New Roman"/>
        </w:rPr>
        <w:t>“</w:t>
      </w:r>
      <w:r w:rsidRPr="00B519FA">
        <w:rPr>
          <w:rFonts w:ascii="Times New Roman" w:hAnsi="Times New Roman" w:cs="Times New Roman"/>
          <w:iCs/>
        </w:rPr>
        <w:t>Building Bridges: The Roman Catholic Church and the LGBT Community</w:t>
      </w:r>
      <w:r>
        <w:rPr>
          <w:rFonts w:ascii="Times New Roman" w:hAnsi="Times New Roman" w:cs="Times New Roman"/>
          <w:iCs/>
        </w:rPr>
        <w:t>,</w:t>
      </w:r>
      <w:r w:rsidRPr="00624659">
        <w:rPr>
          <w:rFonts w:ascii="Times New Roman" w:hAnsi="Times New Roman" w:cs="Times New Roman"/>
        </w:rPr>
        <w:t>”</w:t>
      </w:r>
      <w:r>
        <w:rPr>
          <w:rFonts w:ascii="Times New Roman" w:hAnsi="Times New Roman" w:cs="Times New Roman"/>
        </w:rPr>
        <w:t xml:space="preserve"> in</w:t>
      </w:r>
      <w:r>
        <w:rPr>
          <w:rFonts w:ascii="Times New Roman" w:hAnsi="Times New Roman" w:cs="Times New Roman"/>
          <w:i/>
          <w:iCs/>
        </w:rPr>
        <w:t xml:space="preserve"> ibid</w:t>
      </w:r>
      <w:r w:rsidRPr="00624659">
        <w:rPr>
          <w:rFonts w:ascii="Times New Roman" w:hAnsi="Times New Roman" w:cs="Times New Roman"/>
        </w:rPr>
        <w:t>, p</w:t>
      </w:r>
      <w:r>
        <w:rPr>
          <w:rFonts w:ascii="Times New Roman" w:hAnsi="Times New Roman" w:cs="Times New Roman"/>
        </w:rPr>
        <w:t>p. 85-87</w:t>
      </w:r>
      <w:proofErr w:type="gramStart"/>
      <w:r w:rsidRPr="00624659">
        <w:rPr>
          <w:rFonts w:ascii="Times New Roman" w:hAnsi="Times New Roman" w:cs="Times New Roman"/>
        </w:rPr>
        <w:t>;</w:t>
      </w:r>
      <w:proofErr w:type="gramEnd"/>
      <w:r w:rsidRPr="00624659">
        <w:rPr>
          <w:rFonts w:ascii="Times New Roman" w:hAnsi="Times New Roman" w:cs="Times New Roman"/>
        </w:rPr>
        <w:t xml:space="preserve"> </w:t>
      </w:r>
      <w:r w:rsidRPr="00624659">
        <w:rPr>
          <w:rFonts w:ascii="Times New Roman" w:hAnsi="Times New Roman" w:cs="Times New Roman"/>
        </w:rPr>
        <w:t>Rev. Dr. Cheri DiNovo</w:t>
      </w:r>
      <w:r>
        <w:rPr>
          <w:rFonts w:ascii="Times New Roman" w:hAnsi="Times New Roman" w:cs="Times New Roman"/>
        </w:rPr>
        <w:t>,</w:t>
      </w:r>
      <w:r w:rsidRPr="00624659">
        <w:rPr>
          <w:rFonts w:ascii="Times New Roman" w:hAnsi="Times New Roman" w:cs="Times New Roman"/>
        </w:rPr>
        <w:t xml:space="preserve"> </w:t>
      </w:r>
      <w:r w:rsidRPr="00624659">
        <w:rPr>
          <w:rFonts w:ascii="Times New Roman" w:hAnsi="Times New Roman" w:cs="Times New Roman"/>
        </w:rPr>
        <w:t>“</w:t>
      </w:r>
      <w:r w:rsidRPr="00B519FA">
        <w:rPr>
          <w:rFonts w:ascii="Times New Roman" w:hAnsi="Times New Roman" w:cs="Times New Roman"/>
          <w:iCs/>
        </w:rPr>
        <w:t>Where Politics and Religion Intersect</w:t>
      </w:r>
      <w:r>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sidRPr="00624659">
        <w:rPr>
          <w:rFonts w:ascii="Times New Roman" w:hAnsi="Times New Roman" w:cs="Times New Roman"/>
        </w:rPr>
        <w:t xml:space="preserve">, </w:t>
      </w:r>
      <w:r>
        <w:rPr>
          <w:rFonts w:ascii="Times New Roman" w:hAnsi="Times New Roman" w:cs="Times New Roman"/>
        </w:rPr>
        <w:t>p</w:t>
      </w:r>
      <w:r w:rsidRPr="00624659">
        <w:rPr>
          <w:rFonts w:ascii="Times New Roman" w:hAnsi="Times New Roman" w:cs="Times New Roman"/>
        </w:rPr>
        <w:t>p. 89-92</w:t>
      </w:r>
      <w:r>
        <w:rPr>
          <w:rFonts w:ascii="Times New Roman" w:hAnsi="Times New Roman" w:cs="Times New Roman"/>
        </w:rPr>
        <w:t>.</w:t>
      </w:r>
    </w:p>
  </w:footnote>
  <w:footnote w:id="13">
    <w:p w14:paraId="49135834" w14:textId="69890B8E" w:rsidR="0098777B" w:rsidRPr="00624659" w:rsidRDefault="0098777B" w:rsidP="00624659">
      <w:pPr>
        <w:pStyle w:val="FootnoteText"/>
        <w:jc w:val="both"/>
        <w:rPr>
          <w:rFonts w:ascii="Times New Roman" w:hAnsi="Times New Roman" w:cs="Times New Roman"/>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sidRPr="00197C38">
        <w:rPr>
          <w:rFonts w:ascii="Times New Roman" w:hAnsi="Times New Roman" w:cs="Times New Roman"/>
          <w:lang w:val="en-CA"/>
        </w:rPr>
        <w:t>Dr.</w:t>
      </w:r>
      <w:r>
        <w:rPr>
          <w:rFonts w:ascii="Times New Roman" w:hAnsi="Times New Roman" w:cs="Times New Roman"/>
          <w:lang w:val="en-CA"/>
        </w:rPr>
        <w:t xml:space="preserve"> Matthew Waites,</w:t>
      </w:r>
      <w:r w:rsidRPr="00624659">
        <w:rPr>
          <w:rFonts w:ascii="Times New Roman" w:hAnsi="Times New Roman" w:cs="Times New Roman"/>
        </w:rPr>
        <w:t xml:space="preserve"> </w:t>
      </w:r>
      <w:r w:rsidRPr="00624659">
        <w:rPr>
          <w:rFonts w:ascii="Times New Roman" w:hAnsi="Times New Roman" w:cs="Times New Roman"/>
        </w:rPr>
        <w:t>“</w:t>
      </w:r>
      <w:r w:rsidRPr="00B519FA">
        <w:rPr>
          <w:rFonts w:ascii="Times New Roman" w:hAnsi="Times New Roman" w:cs="Times New Roman"/>
          <w:iCs/>
        </w:rPr>
        <w:t>Approaches to Decriminalization in Scotland, England, and Wales</w:t>
      </w:r>
      <w:r>
        <w:rPr>
          <w:rFonts w:ascii="Times New Roman" w:hAnsi="Times New Roman" w:cs="Times New Roman"/>
        </w:rPr>
        <w:t>,</w:t>
      </w:r>
      <w:r w:rsidRPr="00624659">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Pr>
          <w:rFonts w:ascii="Times New Roman" w:hAnsi="Times New Roman" w:cs="Times New Roman"/>
          <w:lang w:val="en-CA"/>
        </w:rPr>
        <w:t>,</w:t>
      </w:r>
      <w:r w:rsidRPr="00624659">
        <w:rPr>
          <w:rFonts w:ascii="Times New Roman" w:hAnsi="Times New Roman" w:cs="Times New Roman"/>
        </w:rPr>
        <w:t xml:space="preserve"> p. 103. </w:t>
      </w:r>
    </w:p>
  </w:footnote>
  <w:footnote w:id="14">
    <w:p w14:paraId="2F0E0613" w14:textId="177EB0AD" w:rsidR="0098777B" w:rsidRPr="00624659" w:rsidRDefault="0098777B" w:rsidP="00624659">
      <w:pPr>
        <w:pStyle w:val="FootnoteText"/>
        <w:jc w:val="both"/>
        <w:rPr>
          <w:rFonts w:ascii="Times New Roman" w:hAnsi="Times New Roman" w:cs="Times New Roman"/>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sidRPr="0025698B">
        <w:rPr>
          <w:rFonts w:ascii="Times New Roman" w:hAnsi="Times New Roman" w:cs="Times New Roman"/>
        </w:rPr>
        <w:t>Rev. Dr. George Zachariah</w:t>
      </w:r>
      <w:r>
        <w:rPr>
          <w:rFonts w:ascii="Times New Roman" w:hAnsi="Times New Roman" w:cs="Times New Roman"/>
        </w:rPr>
        <w:t>,</w:t>
      </w:r>
      <w:r w:rsidRPr="00624659">
        <w:rPr>
          <w:rFonts w:ascii="Times New Roman" w:hAnsi="Times New Roman" w:cs="Times New Roman"/>
        </w:rPr>
        <w:t xml:space="preserve"> </w:t>
      </w:r>
      <w:r w:rsidRPr="00624659">
        <w:rPr>
          <w:rFonts w:ascii="Times New Roman" w:hAnsi="Times New Roman" w:cs="Times New Roman"/>
        </w:rPr>
        <w:t>“</w:t>
      </w:r>
      <w:r w:rsidRPr="00B519FA">
        <w:rPr>
          <w:rFonts w:ascii="Times New Roman" w:hAnsi="Times New Roman" w:cs="Times New Roman"/>
          <w:iCs/>
        </w:rPr>
        <w:t xml:space="preserve">Ecumenical and Interfaith Engagement with Sodomy Laws </w:t>
      </w:r>
      <w:r w:rsidRPr="00116166">
        <w:rPr>
          <w:rFonts w:ascii="Times New Roman" w:hAnsi="Times New Roman" w:cs="Times New Roman"/>
          <w:iCs/>
        </w:rPr>
        <w:t>in India</w:t>
      </w:r>
      <w:r>
        <w:rPr>
          <w:rFonts w:ascii="Times New Roman" w:hAnsi="Times New Roman" w:cs="Times New Roman"/>
          <w:iCs/>
        </w:rPr>
        <w:t>,</w:t>
      </w:r>
      <w:r w:rsidRPr="0025698B">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sidRPr="0025698B">
        <w:rPr>
          <w:rFonts w:ascii="Times New Roman" w:hAnsi="Times New Roman" w:cs="Times New Roman"/>
        </w:rPr>
        <w:t>, pp. 111-115</w:t>
      </w:r>
      <w:proofErr w:type="gramStart"/>
      <w:r w:rsidRPr="0025698B">
        <w:rPr>
          <w:rFonts w:ascii="Times New Roman" w:hAnsi="Times New Roman" w:cs="Times New Roman"/>
        </w:rPr>
        <w:t>;</w:t>
      </w:r>
      <w:proofErr w:type="gramEnd"/>
      <w:r w:rsidRPr="0025698B">
        <w:rPr>
          <w:rFonts w:ascii="Times New Roman" w:hAnsi="Times New Roman" w:cs="Times New Roman"/>
        </w:rPr>
        <w:t xml:space="preserve"> </w:t>
      </w:r>
      <w:r>
        <w:rPr>
          <w:rFonts w:ascii="Times New Roman" w:hAnsi="Times New Roman" w:cs="Times New Roman"/>
        </w:rPr>
        <w:t xml:space="preserve">See also: </w:t>
      </w:r>
      <w:r w:rsidRPr="00624659">
        <w:rPr>
          <w:rFonts w:ascii="Times New Roman" w:hAnsi="Times New Roman" w:cs="Times New Roman"/>
        </w:rPr>
        <w:t>R. Christopher Rajkumar</w:t>
      </w:r>
      <w:r>
        <w:rPr>
          <w:rFonts w:ascii="Times New Roman" w:hAnsi="Times New Roman" w:cs="Times New Roman"/>
        </w:rPr>
        <w:t>,</w:t>
      </w:r>
      <w:r w:rsidRPr="0025698B">
        <w:rPr>
          <w:rFonts w:ascii="Times New Roman" w:hAnsi="Times New Roman" w:cs="Times New Roman"/>
        </w:rPr>
        <w:t xml:space="preserve"> “</w:t>
      </w:r>
      <w:r w:rsidRPr="00B519FA">
        <w:rPr>
          <w:rFonts w:ascii="Times New Roman" w:hAnsi="Times New Roman" w:cs="Times New Roman"/>
          <w:iCs/>
        </w:rPr>
        <w:t>Radical Inclusion: Dare to Dream</w:t>
      </w:r>
      <w:r>
        <w:rPr>
          <w:rFonts w:ascii="Times New Roman" w:hAnsi="Times New Roman" w:cs="Times New Roman"/>
          <w:iCs/>
        </w:rPr>
        <w:t>,</w:t>
      </w:r>
      <w:r w:rsidRPr="00624659">
        <w:rPr>
          <w:rFonts w:ascii="Times New Roman" w:hAnsi="Times New Roman" w:cs="Times New Roman"/>
        </w:rPr>
        <w:t>”</w:t>
      </w:r>
      <w:r w:rsidR="00B519FA">
        <w:rPr>
          <w:rFonts w:ascii="Times New Roman" w:hAnsi="Times New Roman" w:cs="Times New Roman"/>
        </w:rPr>
        <w:t xml:space="preserve"> in</w:t>
      </w:r>
      <w:r>
        <w:rPr>
          <w:rFonts w:ascii="Times New Roman" w:hAnsi="Times New Roman" w:cs="Times New Roman"/>
        </w:rPr>
        <w:t xml:space="preserve"> </w:t>
      </w:r>
      <w:r w:rsidRPr="00B519FA">
        <w:rPr>
          <w:rFonts w:ascii="Times New Roman" w:hAnsi="Times New Roman" w:cs="Times New Roman"/>
          <w:i/>
          <w:iCs/>
          <w:lang w:val="en-CA"/>
        </w:rPr>
        <w:t>Intimate Conviction: Continuing the Decriminalization Dialogue</w:t>
      </w:r>
      <w:r>
        <w:rPr>
          <w:rFonts w:ascii="Times New Roman" w:hAnsi="Times New Roman" w:cs="Times New Roman"/>
          <w:i/>
          <w:iCs/>
          <w:lang w:val="en-CA"/>
        </w:rPr>
        <w:t xml:space="preserve"> </w:t>
      </w:r>
      <w:r>
        <w:rPr>
          <w:rFonts w:ascii="Times New Roman" w:hAnsi="Times New Roman" w:cs="Times New Roman"/>
          <w:lang w:val="en-CA"/>
        </w:rPr>
        <w:t>(Toronto: HIV Legal Network, 2021)</w:t>
      </w:r>
      <w:r w:rsidRPr="0025698B">
        <w:rPr>
          <w:rFonts w:ascii="Times New Roman" w:hAnsi="Times New Roman" w:cs="Times New Roman"/>
        </w:rPr>
        <w:t>,</w:t>
      </w:r>
      <w:r w:rsidRPr="00624659">
        <w:rPr>
          <w:rFonts w:ascii="Times New Roman" w:hAnsi="Times New Roman" w:cs="Times New Roman"/>
        </w:rPr>
        <w:t xml:space="preserve"> p</w:t>
      </w:r>
      <w:r>
        <w:rPr>
          <w:rFonts w:ascii="Times New Roman" w:hAnsi="Times New Roman" w:cs="Times New Roman"/>
        </w:rPr>
        <w:t>p</w:t>
      </w:r>
      <w:r w:rsidRPr="00624659">
        <w:rPr>
          <w:rFonts w:ascii="Times New Roman" w:hAnsi="Times New Roman" w:cs="Times New Roman"/>
        </w:rPr>
        <w:t>. 89-99.</w:t>
      </w:r>
    </w:p>
  </w:footnote>
  <w:footnote w:id="15">
    <w:p w14:paraId="3F4F15C4" w14:textId="6672FEB6" w:rsidR="0098777B" w:rsidRPr="00197C38" w:rsidRDefault="0098777B" w:rsidP="00624659">
      <w:pPr>
        <w:pStyle w:val="FootnoteText"/>
        <w:jc w:val="both"/>
        <w:rPr>
          <w:rFonts w:ascii="Times New Roman" w:hAnsi="Times New Roman" w:cs="Times New Roman"/>
          <w:lang w:val="en-CA"/>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Pr>
          <w:rFonts w:ascii="Times New Roman" w:hAnsi="Times New Roman" w:cs="Times New Roman"/>
          <w:lang w:val="en-CA"/>
        </w:rPr>
        <w:t>Maurice Tomlinson, “</w:t>
      </w:r>
      <w:r w:rsidRPr="00B519FA">
        <w:rPr>
          <w:rFonts w:ascii="Times New Roman" w:hAnsi="Times New Roman" w:cs="Times New Roman"/>
          <w:iCs/>
          <w:lang w:val="en-CA"/>
        </w:rPr>
        <w:t>Introduction</w:t>
      </w:r>
      <w:r>
        <w:rPr>
          <w:rFonts w:ascii="Times New Roman" w:hAnsi="Times New Roman" w:cs="Times New Roman"/>
          <w:iCs/>
          <w:lang w:val="en-CA"/>
        </w:rPr>
        <w:t>,</w:t>
      </w:r>
      <w:r>
        <w:rPr>
          <w:rFonts w:ascii="Times New Roman" w:hAnsi="Times New Roman" w:cs="Times New Roman"/>
          <w:lang w:val="en-CA"/>
        </w:rPr>
        <w:t>” in</w:t>
      </w:r>
      <w:r w:rsidRPr="00197C38">
        <w:rPr>
          <w:rFonts w:ascii="Times New Roman" w:hAnsi="Times New Roman" w:cs="Times New Roman"/>
          <w:lang w:val="en-CA"/>
        </w:rPr>
        <w:t xml:space="preserve"> </w:t>
      </w:r>
      <w:r w:rsidRPr="00B519FA">
        <w:rPr>
          <w:rFonts w:ascii="Times New Roman" w:hAnsi="Times New Roman" w:cs="Times New Roman"/>
          <w:i/>
          <w:iCs/>
          <w:lang w:val="en-CA"/>
        </w:rPr>
        <w:t>Intimate Conviction: Continuing the Decriminalization Dialogue</w:t>
      </w:r>
      <w:r w:rsidRPr="00197C38">
        <w:rPr>
          <w:rFonts w:ascii="Times New Roman" w:hAnsi="Times New Roman" w:cs="Times New Roman"/>
          <w:lang w:val="en-CA"/>
        </w:rPr>
        <w:t>,</w:t>
      </w:r>
      <w:r>
        <w:rPr>
          <w:rFonts w:ascii="Times New Roman" w:hAnsi="Times New Roman" w:cs="Times New Roman"/>
          <w:lang w:val="en-CA"/>
        </w:rPr>
        <w:t xml:space="preserve"> </w:t>
      </w:r>
      <w:r>
        <w:rPr>
          <w:rFonts w:ascii="Times New Roman" w:hAnsi="Times New Roman" w:cs="Times New Roman"/>
          <w:lang w:val="en-CA"/>
        </w:rPr>
        <w:t xml:space="preserve">(Toronto: HIV Legal Network, 2021), </w:t>
      </w:r>
      <w:r w:rsidRPr="00197C38">
        <w:rPr>
          <w:rFonts w:ascii="Times New Roman" w:hAnsi="Times New Roman" w:cs="Times New Roman"/>
          <w:lang w:val="en-CA"/>
        </w:rPr>
        <w:t>p. 8.</w:t>
      </w:r>
    </w:p>
  </w:footnote>
  <w:footnote w:id="16">
    <w:p w14:paraId="5B7A1468" w14:textId="020621D7" w:rsidR="0098777B" w:rsidRPr="00624659" w:rsidRDefault="0098777B" w:rsidP="00624659">
      <w:pPr>
        <w:pStyle w:val="FootnoteText"/>
        <w:jc w:val="both"/>
        <w:rPr>
          <w:rFonts w:ascii="Times New Roman" w:hAnsi="Times New Roman" w:cs="Times New Roman"/>
        </w:rPr>
      </w:pPr>
      <w:r w:rsidRPr="00624659">
        <w:rPr>
          <w:rStyle w:val="FootnoteReference"/>
          <w:rFonts w:ascii="Times New Roman" w:hAnsi="Times New Roman" w:cs="Times New Roman"/>
        </w:rPr>
        <w:footnoteRef/>
      </w:r>
      <w:r w:rsidRPr="00197C38">
        <w:rPr>
          <w:rFonts w:ascii="Times New Roman" w:hAnsi="Times New Roman" w:cs="Times New Roman"/>
          <w:i/>
          <w:lang w:val="en-CA"/>
        </w:rPr>
        <w:t xml:space="preserve"> </w:t>
      </w:r>
      <w:r w:rsidRPr="00197C38">
        <w:rPr>
          <w:rFonts w:ascii="Times New Roman" w:hAnsi="Times New Roman" w:cs="Times New Roman"/>
          <w:lang w:val="en-CA"/>
        </w:rPr>
        <w:t>Bishop Francis Alleyne</w:t>
      </w:r>
      <w:r>
        <w:rPr>
          <w:rFonts w:ascii="Times New Roman" w:hAnsi="Times New Roman" w:cs="Times New Roman"/>
          <w:lang w:val="en-CA"/>
        </w:rPr>
        <w:t>,</w:t>
      </w:r>
      <w:r w:rsidRPr="00624659">
        <w:rPr>
          <w:rFonts w:ascii="Times New Roman" w:hAnsi="Times New Roman" w:cs="Times New Roman"/>
          <w:lang w:val="en-CA"/>
        </w:rPr>
        <w:t xml:space="preserve"> </w:t>
      </w:r>
      <w:r w:rsidRPr="00624659">
        <w:rPr>
          <w:rFonts w:ascii="Times New Roman" w:hAnsi="Times New Roman" w:cs="Times New Roman"/>
          <w:lang w:val="en-CA"/>
        </w:rPr>
        <w:t>“</w:t>
      </w:r>
      <w:r w:rsidRPr="00B519FA">
        <w:rPr>
          <w:rFonts w:ascii="Times New Roman" w:hAnsi="Times New Roman" w:cs="Times New Roman"/>
          <w:iCs/>
          <w:lang w:val="en-CA"/>
        </w:rPr>
        <w:t xml:space="preserve">Keynote </w:t>
      </w:r>
      <w:proofErr w:type="gramStart"/>
      <w:r w:rsidRPr="00B519FA">
        <w:rPr>
          <w:rFonts w:ascii="Times New Roman" w:hAnsi="Times New Roman" w:cs="Times New Roman"/>
          <w:iCs/>
          <w:lang w:val="en-CA"/>
        </w:rPr>
        <w:t>Address :</w:t>
      </w:r>
      <w:proofErr w:type="gramEnd"/>
      <w:r w:rsidRPr="00B519FA">
        <w:rPr>
          <w:rFonts w:ascii="Times New Roman" w:hAnsi="Times New Roman" w:cs="Times New Roman"/>
          <w:iCs/>
          <w:lang w:val="en-CA"/>
        </w:rPr>
        <w:t xml:space="preserve"> How the Roman Catholic Church in Guyana and</w:t>
      </w:r>
      <w:r w:rsidRPr="00B519FA">
        <w:rPr>
          <w:rFonts w:ascii="Times New Roman" w:hAnsi="Times New Roman" w:cs="Times New Roman"/>
          <w:iCs/>
        </w:rPr>
        <w:t>/or the Caribbean Views the Anti-Sodomy Law</w:t>
      </w:r>
      <w:r>
        <w:rPr>
          <w:rFonts w:ascii="Times New Roman" w:hAnsi="Times New Roman" w:cs="Times New Roman"/>
        </w:rPr>
        <w:t>,</w:t>
      </w:r>
      <w:r w:rsidRPr="00624659">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sidRPr="00197C38">
        <w:rPr>
          <w:rFonts w:ascii="Times New Roman" w:hAnsi="Times New Roman" w:cs="Times New Roman"/>
          <w:lang w:val="en-CA"/>
        </w:rPr>
        <w:t>,</w:t>
      </w:r>
      <w:r w:rsidRPr="0025698B">
        <w:rPr>
          <w:rFonts w:ascii="Times New Roman" w:hAnsi="Times New Roman" w:cs="Times New Roman"/>
          <w:lang w:val="en-CA"/>
        </w:rPr>
        <w:t xml:space="preserve"> </w:t>
      </w:r>
      <w:r>
        <w:rPr>
          <w:rFonts w:ascii="Times New Roman" w:hAnsi="Times New Roman" w:cs="Times New Roman"/>
          <w:lang w:val="en-CA"/>
        </w:rPr>
        <w:t>pp. 11-15</w:t>
      </w:r>
      <w:r w:rsidRPr="00624659">
        <w:rPr>
          <w:rFonts w:ascii="Times New Roman" w:hAnsi="Times New Roman" w:cs="Times New Roman"/>
        </w:rPr>
        <w:t xml:space="preserve">; </w:t>
      </w:r>
      <w:r>
        <w:rPr>
          <w:rFonts w:ascii="Times New Roman" w:hAnsi="Times New Roman" w:cs="Times New Roman"/>
        </w:rPr>
        <w:t xml:space="preserve">Allan Aubrey </w:t>
      </w:r>
      <w:proofErr w:type="spellStart"/>
      <w:r>
        <w:rPr>
          <w:rFonts w:ascii="Times New Roman" w:hAnsi="Times New Roman" w:cs="Times New Roman"/>
        </w:rPr>
        <w:t>Boesak</w:t>
      </w:r>
      <w:proofErr w:type="spellEnd"/>
      <w:r>
        <w:rPr>
          <w:rFonts w:ascii="Times New Roman" w:hAnsi="Times New Roman" w:cs="Times New Roman"/>
        </w:rPr>
        <w:t>,</w:t>
      </w:r>
      <w:r w:rsidRPr="00624659">
        <w:rPr>
          <w:rFonts w:ascii="Times New Roman" w:hAnsi="Times New Roman" w:cs="Times New Roman"/>
        </w:rPr>
        <w:t xml:space="preserve"> </w:t>
      </w:r>
      <w:r w:rsidRPr="00624659">
        <w:rPr>
          <w:rFonts w:ascii="Times New Roman" w:hAnsi="Times New Roman" w:cs="Times New Roman"/>
        </w:rPr>
        <w:t>“</w:t>
      </w:r>
      <w:r w:rsidRPr="00B519FA">
        <w:rPr>
          <w:rFonts w:ascii="Times New Roman" w:hAnsi="Times New Roman" w:cs="Times New Roman"/>
          <w:iCs/>
        </w:rPr>
        <w:t>Churches and LGBTQI Humanity: Learning Lessons from the Struggle</w:t>
      </w:r>
      <w:r>
        <w:rPr>
          <w:rFonts w:ascii="Times New Roman" w:hAnsi="Times New Roman" w:cs="Times New Roman"/>
        </w:rPr>
        <w:t>,</w:t>
      </w:r>
      <w:r w:rsidRPr="00624659">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Pr>
          <w:rFonts w:ascii="Times New Roman" w:hAnsi="Times New Roman" w:cs="Times New Roman"/>
        </w:rPr>
        <w:t>,</w:t>
      </w:r>
      <w:r w:rsidRPr="00624659">
        <w:rPr>
          <w:rFonts w:ascii="Times New Roman" w:hAnsi="Times New Roman" w:cs="Times New Roman"/>
        </w:rPr>
        <w:t xml:space="preserve"> pp. 24-30; </w:t>
      </w:r>
      <w:r>
        <w:rPr>
          <w:rFonts w:ascii="Times New Roman" w:hAnsi="Times New Roman" w:cs="Times New Roman"/>
        </w:rPr>
        <w:t>Fr Clifford Hall,</w:t>
      </w:r>
      <w:r w:rsidRPr="00624659">
        <w:rPr>
          <w:rFonts w:ascii="Times New Roman" w:hAnsi="Times New Roman" w:cs="Times New Roman"/>
        </w:rPr>
        <w:t xml:space="preserve"> </w:t>
      </w:r>
      <w:r w:rsidRPr="00624659">
        <w:rPr>
          <w:rFonts w:ascii="Times New Roman" w:hAnsi="Times New Roman" w:cs="Times New Roman"/>
        </w:rPr>
        <w:t>“</w:t>
      </w:r>
      <w:r w:rsidRPr="00B519FA">
        <w:rPr>
          <w:rFonts w:ascii="Times New Roman" w:hAnsi="Times New Roman" w:cs="Times New Roman"/>
          <w:iCs/>
        </w:rPr>
        <w:t>Making Good Trouble</w:t>
      </w:r>
      <w:r>
        <w:rPr>
          <w:rFonts w:ascii="Times New Roman" w:hAnsi="Times New Roman" w:cs="Times New Roman"/>
        </w:rPr>
        <w:t>,</w:t>
      </w:r>
      <w:r w:rsidRPr="00624659">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sidRPr="00624659">
        <w:rPr>
          <w:rFonts w:ascii="Times New Roman" w:hAnsi="Times New Roman" w:cs="Times New Roman"/>
        </w:rPr>
        <w:t>,</w:t>
      </w:r>
      <w:r>
        <w:rPr>
          <w:rFonts w:ascii="Times New Roman" w:hAnsi="Times New Roman" w:cs="Times New Roman"/>
        </w:rPr>
        <w:t xml:space="preserve"> pp. 33-39</w:t>
      </w:r>
      <w:r w:rsidRPr="00624659">
        <w:rPr>
          <w:rFonts w:ascii="Times New Roman" w:hAnsi="Times New Roman" w:cs="Times New Roman"/>
        </w:rPr>
        <w:t xml:space="preserve">; </w:t>
      </w:r>
      <w:r>
        <w:rPr>
          <w:rFonts w:ascii="Times New Roman" w:hAnsi="Times New Roman" w:cs="Times New Roman"/>
        </w:rPr>
        <w:t>Alexa D. V. Hoffmann,</w:t>
      </w:r>
      <w:r w:rsidRPr="00624659">
        <w:rPr>
          <w:rFonts w:ascii="Times New Roman" w:hAnsi="Times New Roman" w:cs="Times New Roman"/>
        </w:rPr>
        <w:t xml:space="preserve"> </w:t>
      </w:r>
      <w:r w:rsidRPr="00624659">
        <w:rPr>
          <w:rFonts w:ascii="Times New Roman" w:hAnsi="Times New Roman" w:cs="Times New Roman"/>
        </w:rPr>
        <w:t>“</w:t>
      </w:r>
      <w:r w:rsidRPr="00B519FA">
        <w:rPr>
          <w:rFonts w:ascii="Times New Roman" w:hAnsi="Times New Roman" w:cs="Times New Roman"/>
          <w:iCs/>
        </w:rPr>
        <w:t>The Church’s Role in LGBTI Decriminalization and De-stigmatization: The Perspective of a Barbadian LGBTI Advocate</w:t>
      </w:r>
      <w:r>
        <w:rPr>
          <w:rFonts w:ascii="Times New Roman" w:hAnsi="Times New Roman" w:cs="Times New Roman"/>
          <w:iCs/>
        </w:rPr>
        <w:t>,</w:t>
      </w:r>
      <w:r w:rsidRPr="0062465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in </w:t>
      </w:r>
      <w:r>
        <w:rPr>
          <w:rFonts w:ascii="Times New Roman" w:hAnsi="Times New Roman" w:cs="Times New Roman"/>
          <w:i/>
          <w:iCs/>
        </w:rPr>
        <w:t>ibid</w:t>
      </w:r>
      <w:r w:rsidR="00B519FA">
        <w:rPr>
          <w:rFonts w:ascii="Times New Roman" w:hAnsi="Times New Roman" w:cs="Times New Roman"/>
          <w:i/>
          <w:iCs/>
        </w:rPr>
        <w:t>,</w:t>
      </w:r>
      <w:r>
        <w:rPr>
          <w:rFonts w:ascii="Times New Roman" w:hAnsi="Times New Roman" w:cs="Times New Roman"/>
          <w:i/>
          <w:iCs/>
        </w:rPr>
        <w:t xml:space="preserve"> </w:t>
      </w:r>
      <w:r w:rsidRPr="00624659">
        <w:rPr>
          <w:rFonts w:ascii="Times New Roman" w:hAnsi="Times New Roman" w:cs="Times New Roman"/>
        </w:rPr>
        <w:t xml:space="preserve">pp. 52-59; </w:t>
      </w:r>
      <w:r w:rsidRPr="00624659">
        <w:rPr>
          <w:rFonts w:ascii="Times New Roman" w:hAnsi="Times New Roman" w:cs="Times New Roman"/>
        </w:rPr>
        <w:t>Carlos Navarro Fernandez</w:t>
      </w:r>
      <w:r>
        <w:rPr>
          <w:rFonts w:ascii="Times New Roman" w:hAnsi="Times New Roman" w:cs="Times New Roman"/>
        </w:rPr>
        <w:t>,</w:t>
      </w:r>
      <w:r w:rsidRPr="00624659">
        <w:rPr>
          <w:rFonts w:ascii="Times New Roman" w:hAnsi="Times New Roman" w:cs="Times New Roman"/>
        </w:rPr>
        <w:t xml:space="preserve"> </w:t>
      </w:r>
      <w:r w:rsidRPr="00624659">
        <w:rPr>
          <w:rFonts w:ascii="Times New Roman" w:hAnsi="Times New Roman" w:cs="Times New Roman"/>
        </w:rPr>
        <w:t>“</w:t>
      </w:r>
      <w:r w:rsidRPr="00B519FA">
        <w:rPr>
          <w:rFonts w:ascii="Times New Roman" w:hAnsi="Times New Roman" w:cs="Times New Roman"/>
          <w:iCs/>
        </w:rPr>
        <w:t>The Long Road from Decriminalization to Equal Marriage: Civil and Religious Activism for LGBTI+ Rights in Mexico</w:t>
      </w:r>
      <w:r>
        <w:rPr>
          <w:rFonts w:ascii="Times New Roman" w:hAnsi="Times New Roman" w:cs="Times New Roman"/>
          <w:iCs/>
        </w:rPr>
        <w:t>,</w:t>
      </w:r>
      <w:r w:rsidRPr="00624659">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sidRPr="00624659">
        <w:rPr>
          <w:rFonts w:ascii="Times New Roman" w:hAnsi="Times New Roman" w:cs="Times New Roman"/>
        </w:rPr>
        <w:t>,</w:t>
      </w:r>
      <w:r>
        <w:rPr>
          <w:rFonts w:ascii="Times New Roman" w:hAnsi="Times New Roman" w:cs="Times New Roman"/>
        </w:rPr>
        <w:t xml:space="preserve"> pp. 64-72</w:t>
      </w:r>
      <w:r w:rsidRPr="00624659">
        <w:rPr>
          <w:rFonts w:ascii="Times New Roman" w:hAnsi="Times New Roman" w:cs="Times New Roman"/>
        </w:rPr>
        <w:t xml:space="preserve">; </w:t>
      </w:r>
      <w:r w:rsidRPr="00624659">
        <w:rPr>
          <w:rFonts w:ascii="Times New Roman" w:hAnsi="Times New Roman" w:cs="Times New Roman"/>
        </w:rPr>
        <w:t>Ngo</w:t>
      </w:r>
      <w:r>
        <w:rPr>
          <w:rFonts w:ascii="Times New Roman" w:hAnsi="Times New Roman" w:cs="Times New Roman"/>
        </w:rPr>
        <w:t>zi Nwosu-Juba,</w:t>
      </w:r>
      <w:r w:rsidRPr="00624659">
        <w:rPr>
          <w:rFonts w:ascii="Times New Roman" w:hAnsi="Times New Roman" w:cs="Times New Roman"/>
        </w:rPr>
        <w:t xml:space="preserve"> </w:t>
      </w:r>
      <w:r w:rsidRPr="00624659">
        <w:rPr>
          <w:rFonts w:ascii="Times New Roman" w:hAnsi="Times New Roman" w:cs="Times New Roman"/>
        </w:rPr>
        <w:t>“</w:t>
      </w:r>
      <w:r w:rsidRPr="00B519FA">
        <w:rPr>
          <w:rFonts w:ascii="Times New Roman" w:hAnsi="Times New Roman" w:cs="Times New Roman"/>
          <w:iCs/>
        </w:rPr>
        <w:t>Left Behind by Laws, Policies and Practices: Lived Realities of Sexual Minorities in West Africa</w:t>
      </w:r>
      <w:r>
        <w:rPr>
          <w:rFonts w:ascii="Times New Roman" w:hAnsi="Times New Roman" w:cs="Times New Roman"/>
          <w:iCs/>
        </w:rPr>
        <w:t>,</w:t>
      </w:r>
      <w:r w:rsidRPr="00624659">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Pr>
          <w:rFonts w:ascii="Times New Roman" w:hAnsi="Times New Roman" w:cs="Times New Roman"/>
        </w:rPr>
        <w:t xml:space="preserve"> </w:t>
      </w:r>
      <w:r w:rsidRPr="00624659">
        <w:rPr>
          <w:rFonts w:ascii="Times New Roman" w:hAnsi="Times New Roman" w:cs="Times New Roman"/>
        </w:rPr>
        <w:t xml:space="preserve">pp. 81-87; </w:t>
      </w:r>
      <w:r>
        <w:rPr>
          <w:rFonts w:ascii="Times New Roman" w:hAnsi="Times New Roman" w:cs="Times New Roman"/>
        </w:rPr>
        <w:t>Rev. Michael Blair,</w:t>
      </w:r>
      <w:r w:rsidRPr="00624659">
        <w:rPr>
          <w:rFonts w:ascii="Times New Roman" w:hAnsi="Times New Roman" w:cs="Times New Roman"/>
        </w:rPr>
        <w:t xml:space="preserve"> </w:t>
      </w:r>
      <w:r w:rsidRPr="00624659">
        <w:rPr>
          <w:rFonts w:ascii="Times New Roman" w:hAnsi="Times New Roman" w:cs="Times New Roman"/>
        </w:rPr>
        <w:t>“</w:t>
      </w:r>
      <w:r w:rsidRPr="00B519FA">
        <w:rPr>
          <w:rFonts w:ascii="Times New Roman" w:hAnsi="Times New Roman" w:cs="Times New Roman"/>
          <w:iCs/>
        </w:rPr>
        <w:t>Intimate Convictions: Journey to the Future – 1998 to 2020</w:t>
      </w:r>
      <w:r>
        <w:rPr>
          <w:rFonts w:ascii="Times New Roman" w:hAnsi="Times New Roman" w:cs="Times New Roman"/>
        </w:rPr>
        <w:t>,</w:t>
      </w:r>
      <w:r w:rsidRPr="00624659">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Pr>
          <w:rFonts w:ascii="Times New Roman" w:hAnsi="Times New Roman" w:cs="Times New Roman"/>
        </w:rPr>
        <w:t xml:space="preserve"> </w:t>
      </w:r>
      <w:r w:rsidRPr="00624659">
        <w:rPr>
          <w:rFonts w:ascii="Times New Roman" w:hAnsi="Times New Roman" w:cs="Times New Roman"/>
        </w:rPr>
        <w:t>pp. 109-111.</w:t>
      </w:r>
    </w:p>
  </w:footnote>
  <w:footnote w:id="17">
    <w:p w14:paraId="33AA8880" w14:textId="2487FBF1" w:rsidR="0098777B" w:rsidRPr="00624659" w:rsidRDefault="0098777B" w:rsidP="00624659">
      <w:pPr>
        <w:pStyle w:val="FootnoteText"/>
        <w:jc w:val="both"/>
        <w:rPr>
          <w:rFonts w:ascii="Times New Roman" w:hAnsi="Times New Roman" w:cs="Times New Roman"/>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Pr>
          <w:rFonts w:ascii="Times New Roman" w:hAnsi="Times New Roman" w:cs="Times New Roman"/>
        </w:rPr>
        <w:t>Dr. Edward Greene,</w:t>
      </w:r>
      <w:r w:rsidRPr="00624659">
        <w:rPr>
          <w:rFonts w:ascii="Times New Roman" w:hAnsi="Times New Roman" w:cs="Times New Roman"/>
        </w:rPr>
        <w:t xml:space="preserve"> </w:t>
      </w:r>
      <w:r w:rsidRPr="00624659">
        <w:rPr>
          <w:rFonts w:ascii="Times New Roman" w:hAnsi="Times New Roman" w:cs="Times New Roman"/>
        </w:rPr>
        <w:t>“</w:t>
      </w:r>
      <w:r w:rsidRPr="0036669F">
        <w:rPr>
          <w:rFonts w:ascii="Times New Roman" w:hAnsi="Times New Roman" w:cs="Times New Roman"/>
          <w:iCs/>
        </w:rPr>
        <w:t>Global Solidarity and Reducing the Vicious Cycle of Inequality for the LGBTQ Community</w:t>
      </w:r>
      <w:r>
        <w:rPr>
          <w:rFonts w:ascii="Times New Roman" w:hAnsi="Times New Roman" w:cs="Times New Roman"/>
          <w:iCs/>
        </w:rPr>
        <w:t>,</w:t>
      </w:r>
      <w:r w:rsidRPr="00624659">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Pr>
          <w:rFonts w:ascii="Times New Roman" w:hAnsi="Times New Roman" w:cs="Times New Roman"/>
        </w:rPr>
        <w:t>, pp. 16- 22</w:t>
      </w:r>
      <w:r w:rsidRPr="00624659">
        <w:rPr>
          <w:rFonts w:ascii="Times New Roman" w:hAnsi="Times New Roman" w:cs="Times New Roman"/>
        </w:rPr>
        <w:t>.</w:t>
      </w:r>
    </w:p>
  </w:footnote>
  <w:footnote w:id="18">
    <w:p w14:paraId="28F1F7A1" w14:textId="5A3BD0BB" w:rsidR="0098777B" w:rsidRPr="00212D91" w:rsidRDefault="0098777B" w:rsidP="00BB59A5">
      <w:pPr>
        <w:pStyle w:val="FootnoteText"/>
        <w:rPr>
          <w:rFonts w:ascii="Times New Roman" w:hAnsi="Times New Roman" w:cs="Times New Roman"/>
        </w:rPr>
      </w:pPr>
      <w:r w:rsidRPr="00212D91">
        <w:rPr>
          <w:rStyle w:val="FootnoteReference"/>
          <w:rFonts w:ascii="Times New Roman" w:hAnsi="Times New Roman" w:cs="Times New Roman"/>
        </w:rPr>
        <w:footnoteRef/>
      </w:r>
      <w:r w:rsidRPr="00212D91">
        <w:rPr>
          <w:rFonts w:ascii="Times New Roman" w:hAnsi="Times New Roman" w:cs="Times New Roman"/>
        </w:rPr>
        <w:t xml:space="preserve"> </w:t>
      </w:r>
      <w:proofErr w:type="gramStart"/>
      <w:r>
        <w:rPr>
          <w:rFonts w:ascii="Times New Roman" w:hAnsi="Times New Roman" w:cs="Times New Roman"/>
        </w:rPr>
        <w:t>Richard Elliott,</w:t>
      </w:r>
      <w:r w:rsidRPr="00212D91">
        <w:rPr>
          <w:rFonts w:ascii="Times New Roman" w:hAnsi="Times New Roman" w:cs="Times New Roman"/>
        </w:rPr>
        <w:t xml:space="preserve"> </w:t>
      </w:r>
      <w:r>
        <w:rPr>
          <w:rFonts w:ascii="Times New Roman" w:hAnsi="Times New Roman" w:cs="Times New Roman"/>
        </w:rPr>
        <w:t>“</w:t>
      </w:r>
      <w:r w:rsidRPr="0036669F">
        <w:rPr>
          <w:rFonts w:ascii="Times New Roman" w:hAnsi="Times New Roman" w:cs="Times New Roman"/>
          <w:iCs/>
        </w:rPr>
        <w:t>Afterword</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ibid,</w:t>
      </w:r>
      <w:r w:rsidRPr="00212D91">
        <w:rPr>
          <w:rFonts w:ascii="Times New Roman" w:hAnsi="Times New Roman" w:cs="Times New Roman"/>
        </w:rPr>
        <w:t xml:space="preserve"> p. 116.</w:t>
      </w:r>
      <w:proofErr w:type="gramEnd"/>
    </w:p>
  </w:footnote>
  <w:footnote w:id="19">
    <w:p w14:paraId="725F5F2C" w14:textId="69465AAE" w:rsidR="0098777B" w:rsidRPr="00624659" w:rsidRDefault="0098777B" w:rsidP="00624659">
      <w:pPr>
        <w:pStyle w:val="FootnoteText"/>
        <w:jc w:val="both"/>
        <w:rPr>
          <w:rFonts w:ascii="Times New Roman" w:hAnsi="Times New Roman" w:cs="Times New Roman"/>
        </w:rPr>
      </w:pPr>
      <w:r w:rsidRPr="00624659">
        <w:rPr>
          <w:rStyle w:val="FootnoteReference"/>
          <w:rFonts w:ascii="Times New Roman" w:hAnsi="Times New Roman" w:cs="Times New Roman"/>
        </w:rPr>
        <w:footnoteRef/>
      </w:r>
      <w:r w:rsidRPr="00624659">
        <w:rPr>
          <w:rFonts w:ascii="Times New Roman" w:hAnsi="Times New Roman" w:cs="Times New Roman"/>
        </w:rPr>
        <w:t xml:space="preserve"> </w:t>
      </w:r>
      <w:r w:rsidRPr="00624659">
        <w:rPr>
          <w:rFonts w:ascii="Times New Roman" w:hAnsi="Times New Roman" w:cs="Times New Roman"/>
          <w:i/>
        </w:rPr>
        <w:t>Christian Medical and Dental Society of Canada v. College of Physicians and Surgeons of Ontario</w:t>
      </w:r>
      <w:r w:rsidRPr="00624659">
        <w:rPr>
          <w:rFonts w:ascii="Times New Roman" w:hAnsi="Times New Roman" w:cs="Times New Roman"/>
        </w:rPr>
        <w:t xml:space="preserve">, 2019 ONCA 393.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Long">
    <w15:presenceInfo w15:providerId="None" w15:userId="Megan 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CE"/>
    <w:rsid w:val="00026669"/>
    <w:rsid w:val="00031CA0"/>
    <w:rsid w:val="00060BBC"/>
    <w:rsid w:val="00066E6E"/>
    <w:rsid w:val="000B2D9E"/>
    <w:rsid w:val="000D5ED9"/>
    <w:rsid w:val="00105CCC"/>
    <w:rsid w:val="0011106D"/>
    <w:rsid w:val="001119BC"/>
    <w:rsid w:val="0011326F"/>
    <w:rsid w:val="00115F46"/>
    <w:rsid w:val="00116166"/>
    <w:rsid w:val="00124AE9"/>
    <w:rsid w:val="00140610"/>
    <w:rsid w:val="0015742A"/>
    <w:rsid w:val="00184061"/>
    <w:rsid w:val="001876EE"/>
    <w:rsid w:val="00192C2F"/>
    <w:rsid w:val="00196B24"/>
    <w:rsid w:val="00197C38"/>
    <w:rsid w:val="001D7960"/>
    <w:rsid w:val="001F4B3F"/>
    <w:rsid w:val="0021188E"/>
    <w:rsid w:val="00212D91"/>
    <w:rsid w:val="0023253E"/>
    <w:rsid w:val="00246FD6"/>
    <w:rsid w:val="00252A6E"/>
    <w:rsid w:val="0025698B"/>
    <w:rsid w:val="00276F02"/>
    <w:rsid w:val="00297E09"/>
    <w:rsid w:val="002A3EC1"/>
    <w:rsid w:val="002B2FEE"/>
    <w:rsid w:val="002B63A1"/>
    <w:rsid w:val="002D5DCB"/>
    <w:rsid w:val="002E20F9"/>
    <w:rsid w:val="002E3507"/>
    <w:rsid w:val="00330A2C"/>
    <w:rsid w:val="00362864"/>
    <w:rsid w:val="0036669F"/>
    <w:rsid w:val="0036793B"/>
    <w:rsid w:val="003700D4"/>
    <w:rsid w:val="0037397B"/>
    <w:rsid w:val="003747A8"/>
    <w:rsid w:val="00387047"/>
    <w:rsid w:val="003B46D2"/>
    <w:rsid w:val="003C7A67"/>
    <w:rsid w:val="00410F85"/>
    <w:rsid w:val="0042007C"/>
    <w:rsid w:val="00427C33"/>
    <w:rsid w:val="004352DC"/>
    <w:rsid w:val="00452FCA"/>
    <w:rsid w:val="00466575"/>
    <w:rsid w:val="00471A4E"/>
    <w:rsid w:val="00472A30"/>
    <w:rsid w:val="0047623C"/>
    <w:rsid w:val="004C3546"/>
    <w:rsid w:val="004D5AA1"/>
    <w:rsid w:val="00547FE2"/>
    <w:rsid w:val="005507B7"/>
    <w:rsid w:val="00593095"/>
    <w:rsid w:val="00593F0E"/>
    <w:rsid w:val="005B364C"/>
    <w:rsid w:val="005C3D84"/>
    <w:rsid w:val="005F4271"/>
    <w:rsid w:val="00601000"/>
    <w:rsid w:val="0061011B"/>
    <w:rsid w:val="00615995"/>
    <w:rsid w:val="006173AF"/>
    <w:rsid w:val="00621353"/>
    <w:rsid w:val="00624659"/>
    <w:rsid w:val="00626A00"/>
    <w:rsid w:val="00631892"/>
    <w:rsid w:val="00632725"/>
    <w:rsid w:val="00643441"/>
    <w:rsid w:val="006532C8"/>
    <w:rsid w:val="00655053"/>
    <w:rsid w:val="00656AAF"/>
    <w:rsid w:val="00685965"/>
    <w:rsid w:val="006979DB"/>
    <w:rsid w:val="006A5E29"/>
    <w:rsid w:val="006B3BA8"/>
    <w:rsid w:val="006C2C01"/>
    <w:rsid w:val="006C4A65"/>
    <w:rsid w:val="006D234B"/>
    <w:rsid w:val="006D27A5"/>
    <w:rsid w:val="007075A9"/>
    <w:rsid w:val="00711E7A"/>
    <w:rsid w:val="007138CF"/>
    <w:rsid w:val="0072063D"/>
    <w:rsid w:val="00727129"/>
    <w:rsid w:val="00751AA2"/>
    <w:rsid w:val="00785241"/>
    <w:rsid w:val="007C53D6"/>
    <w:rsid w:val="008102AE"/>
    <w:rsid w:val="0083479F"/>
    <w:rsid w:val="00851930"/>
    <w:rsid w:val="0086729A"/>
    <w:rsid w:val="008801B5"/>
    <w:rsid w:val="00893322"/>
    <w:rsid w:val="00895407"/>
    <w:rsid w:val="008C23E3"/>
    <w:rsid w:val="008C7F38"/>
    <w:rsid w:val="009116F6"/>
    <w:rsid w:val="00921408"/>
    <w:rsid w:val="00963A98"/>
    <w:rsid w:val="00975F84"/>
    <w:rsid w:val="00985698"/>
    <w:rsid w:val="0098777B"/>
    <w:rsid w:val="00997FA6"/>
    <w:rsid w:val="009A5C9E"/>
    <w:rsid w:val="009B59E5"/>
    <w:rsid w:val="009E5671"/>
    <w:rsid w:val="00A0154E"/>
    <w:rsid w:val="00A348CD"/>
    <w:rsid w:val="00A6751C"/>
    <w:rsid w:val="00A84BB6"/>
    <w:rsid w:val="00AC6469"/>
    <w:rsid w:val="00AD1F78"/>
    <w:rsid w:val="00AE2F83"/>
    <w:rsid w:val="00AE3928"/>
    <w:rsid w:val="00AE5675"/>
    <w:rsid w:val="00AF5B6B"/>
    <w:rsid w:val="00B31D71"/>
    <w:rsid w:val="00B519FA"/>
    <w:rsid w:val="00B62C76"/>
    <w:rsid w:val="00B83D8C"/>
    <w:rsid w:val="00BB59A5"/>
    <w:rsid w:val="00BC3058"/>
    <w:rsid w:val="00BD2989"/>
    <w:rsid w:val="00BE03CE"/>
    <w:rsid w:val="00BF359F"/>
    <w:rsid w:val="00C00141"/>
    <w:rsid w:val="00C14EAA"/>
    <w:rsid w:val="00C266A3"/>
    <w:rsid w:val="00C343A8"/>
    <w:rsid w:val="00C46CB1"/>
    <w:rsid w:val="00C47303"/>
    <w:rsid w:val="00C67768"/>
    <w:rsid w:val="00C833C4"/>
    <w:rsid w:val="00C9139C"/>
    <w:rsid w:val="00C96760"/>
    <w:rsid w:val="00CB232C"/>
    <w:rsid w:val="00CD1D5F"/>
    <w:rsid w:val="00CF5F94"/>
    <w:rsid w:val="00D36896"/>
    <w:rsid w:val="00D44E23"/>
    <w:rsid w:val="00D47394"/>
    <w:rsid w:val="00D5162A"/>
    <w:rsid w:val="00D76E07"/>
    <w:rsid w:val="00D87F6C"/>
    <w:rsid w:val="00DB1919"/>
    <w:rsid w:val="00DC44B6"/>
    <w:rsid w:val="00DD76E4"/>
    <w:rsid w:val="00E109D5"/>
    <w:rsid w:val="00E1201E"/>
    <w:rsid w:val="00E1458A"/>
    <w:rsid w:val="00E20BD6"/>
    <w:rsid w:val="00E24721"/>
    <w:rsid w:val="00E4563B"/>
    <w:rsid w:val="00E520E6"/>
    <w:rsid w:val="00E551A0"/>
    <w:rsid w:val="00E61D20"/>
    <w:rsid w:val="00E67EA8"/>
    <w:rsid w:val="00E76E72"/>
    <w:rsid w:val="00E97189"/>
    <w:rsid w:val="00EA6EF0"/>
    <w:rsid w:val="00EB60EC"/>
    <w:rsid w:val="00ED0089"/>
    <w:rsid w:val="00EE3D82"/>
    <w:rsid w:val="00EF3ECC"/>
    <w:rsid w:val="00F12424"/>
    <w:rsid w:val="00F2450F"/>
    <w:rsid w:val="00F552A9"/>
    <w:rsid w:val="00F6087D"/>
    <w:rsid w:val="00F771F2"/>
    <w:rsid w:val="00F86896"/>
    <w:rsid w:val="00FB11A7"/>
    <w:rsid w:val="00FE16CF"/>
    <w:rsid w:val="00FE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FBD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3CE"/>
    <w:rPr>
      <w:color w:val="0000FF" w:themeColor="hyperlink"/>
      <w:u w:val="single"/>
    </w:rPr>
  </w:style>
  <w:style w:type="paragraph" w:styleId="NormalWeb">
    <w:name w:val="Normal (Web)"/>
    <w:basedOn w:val="Normal"/>
    <w:uiPriority w:val="99"/>
    <w:unhideWhenUsed/>
    <w:rsid w:val="00BE03C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46FD6"/>
    <w:rPr>
      <w:b/>
      <w:bCs/>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qFormat/>
    <w:rsid w:val="00CD1D5F"/>
    <w:rPr>
      <w:vertAlign w:val="superscript"/>
    </w:rPr>
  </w:style>
  <w:style w:type="paragraph" w:styleId="ListParagraph">
    <w:name w:val="List Paragraph"/>
    <w:basedOn w:val="Normal"/>
    <w:uiPriority w:val="34"/>
    <w:qFormat/>
    <w:rsid w:val="00CD1D5F"/>
    <w:pPr>
      <w:ind w:left="720"/>
      <w:contextualSpacing/>
    </w:pPr>
    <w:rPr>
      <w:rFonts w:eastAsiaTheme="minorHAnsi"/>
    </w:rPr>
  </w:style>
  <w:style w:type="paragraph" w:styleId="FootnoteText">
    <w:name w:val="footnote text"/>
    <w:basedOn w:val="Normal"/>
    <w:link w:val="FootnoteTextChar"/>
    <w:uiPriority w:val="99"/>
    <w:unhideWhenUsed/>
    <w:rsid w:val="00CD1D5F"/>
    <w:rPr>
      <w:rFonts w:eastAsiaTheme="minorHAnsi"/>
      <w:sz w:val="20"/>
      <w:szCs w:val="20"/>
    </w:rPr>
  </w:style>
  <w:style w:type="character" w:customStyle="1" w:styleId="FootnoteTextChar">
    <w:name w:val="Footnote Text Char"/>
    <w:basedOn w:val="DefaultParagraphFont"/>
    <w:link w:val="FootnoteText"/>
    <w:uiPriority w:val="99"/>
    <w:rsid w:val="00CD1D5F"/>
    <w:rPr>
      <w:rFonts w:eastAsiaTheme="minorHAnsi"/>
      <w:sz w:val="20"/>
      <w:szCs w:val="20"/>
    </w:rPr>
  </w:style>
  <w:style w:type="character" w:customStyle="1" w:styleId="normaltextrun">
    <w:name w:val="normaltextrun"/>
    <w:basedOn w:val="DefaultParagraphFont"/>
    <w:rsid w:val="00547FE2"/>
  </w:style>
  <w:style w:type="paragraph" w:customStyle="1" w:styleId="Default">
    <w:name w:val="Default"/>
    <w:rsid w:val="00D44E23"/>
    <w:pPr>
      <w:widowControl w:val="0"/>
      <w:autoSpaceDE w:val="0"/>
      <w:autoSpaceDN w:val="0"/>
      <w:adjustRightInd w:val="0"/>
    </w:pPr>
    <w:rPr>
      <w:rFonts w:ascii="Arial" w:hAnsi="Arial" w:cs="Arial"/>
      <w:color w:val="000000"/>
    </w:rPr>
  </w:style>
  <w:style w:type="paragraph" w:styleId="Revision">
    <w:name w:val="Revision"/>
    <w:hidden/>
    <w:uiPriority w:val="99"/>
    <w:semiHidden/>
    <w:rsid w:val="00C833C4"/>
  </w:style>
  <w:style w:type="character" w:styleId="CommentReference">
    <w:name w:val="annotation reference"/>
    <w:basedOn w:val="DefaultParagraphFont"/>
    <w:uiPriority w:val="99"/>
    <w:semiHidden/>
    <w:unhideWhenUsed/>
    <w:rsid w:val="00427C33"/>
    <w:rPr>
      <w:sz w:val="16"/>
      <w:szCs w:val="16"/>
    </w:rPr>
  </w:style>
  <w:style w:type="paragraph" w:styleId="CommentText">
    <w:name w:val="annotation text"/>
    <w:basedOn w:val="Normal"/>
    <w:link w:val="CommentTextChar"/>
    <w:uiPriority w:val="99"/>
    <w:unhideWhenUsed/>
    <w:rsid w:val="00427C33"/>
    <w:rPr>
      <w:sz w:val="20"/>
      <w:szCs w:val="20"/>
    </w:rPr>
  </w:style>
  <w:style w:type="character" w:customStyle="1" w:styleId="CommentTextChar">
    <w:name w:val="Comment Text Char"/>
    <w:basedOn w:val="DefaultParagraphFont"/>
    <w:link w:val="CommentText"/>
    <w:uiPriority w:val="99"/>
    <w:rsid w:val="00427C33"/>
    <w:rPr>
      <w:sz w:val="20"/>
      <w:szCs w:val="20"/>
    </w:rPr>
  </w:style>
  <w:style w:type="paragraph" w:styleId="CommentSubject">
    <w:name w:val="annotation subject"/>
    <w:basedOn w:val="CommentText"/>
    <w:next w:val="CommentText"/>
    <w:link w:val="CommentSubjectChar"/>
    <w:uiPriority w:val="99"/>
    <w:semiHidden/>
    <w:unhideWhenUsed/>
    <w:rsid w:val="00427C33"/>
    <w:rPr>
      <w:b/>
      <w:bCs/>
    </w:rPr>
  </w:style>
  <w:style w:type="character" w:customStyle="1" w:styleId="CommentSubjectChar">
    <w:name w:val="Comment Subject Char"/>
    <w:basedOn w:val="CommentTextChar"/>
    <w:link w:val="CommentSubject"/>
    <w:uiPriority w:val="99"/>
    <w:semiHidden/>
    <w:rsid w:val="00427C33"/>
    <w:rPr>
      <w:b/>
      <w:bCs/>
      <w:sz w:val="20"/>
      <w:szCs w:val="20"/>
    </w:rPr>
  </w:style>
  <w:style w:type="paragraph" w:styleId="BalloonText">
    <w:name w:val="Balloon Text"/>
    <w:basedOn w:val="Normal"/>
    <w:link w:val="BalloonTextChar"/>
    <w:uiPriority w:val="99"/>
    <w:semiHidden/>
    <w:unhideWhenUsed/>
    <w:rsid w:val="00C26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6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3CE"/>
    <w:rPr>
      <w:color w:val="0000FF" w:themeColor="hyperlink"/>
      <w:u w:val="single"/>
    </w:rPr>
  </w:style>
  <w:style w:type="paragraph" w:styleId="NormalWeb">
    <w:name w:val="Normal (Web)"/>
    <w:basedOn w:val="Normal"/>
    <w:uiPriority w:val="99"/>
    <w:unhideWhenUsed/>
    <w:rsid w:val="00BE03C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46FD6"/>
    <w:rPr>
      <w:b/>
      <w:bCs/>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qFormat/>
    <w:rsid w:val="00CD1D5F"/>
    <w:rPr>
      <w:vertAlign w:val="superscript"/>
    </w:rPr>
  </w:style>
  <w:style w:type="paragraph" w:styleId="ListParagraph">
    <w:name w:val="List Paragraph"/>
    <w:basedOn w:val="Normal"/>
    <w:uiPriority w:val="34"/>
    <w:qFormat/>
    <w:rsid w:val="00CD1D5F"/>
    <w:pPr>
      <w:ind w:left="720"/>
      <w:contextualSpacing/>
    </w:pPr>
    <w:rPr>
      <w:rFonts w:eastAsiaTheme="minorHAnsi"/>
    </w:rPr>
  </w:style>
  <w:style w:type="paragraph" w:styleId="FootnoteText">
    <w:name w:val="footnote text"/>
    <w:basedOn w:val="Normal"/>
    <w:link w:val="FootnoteTextChar"/>
    <w:uiPriority w:val="99"/>
    <w:unhideWhenUsed/>
    <w:rsid w:val="00CD1D5F"/>
    <w:rPr>
      <w:rFonts w:eastAsiaTheme="minorHAnsi"/>
      <w:sz w:val="20"/>
      <w:szCs w:val="20"/>
    </w:rPr>
  </w:style>
  <w:style w:type="character" w:customStyle="1" w:styleId="FootnoteTextChar">
    <w:name w:val="Footnote Text Char"/>
    <w:basedOn w:val="DefaultParagraphFont"/>
    <w:link w:val="FootnoteText"/>
    <w:uiPriority w:val="99"/>
    <w:rsid w:val="00CD1D5F"/>
    <w:rPr>
      <w:rFonts w:eastAsiaTheme="minorHAnsi"/>
      <w:sz w:val="20"/>
      <w:szCs w:val="20"/>
    </w:rPr>
  </w:style>
  <w:style w:type="character" w:customStyle="1" w:styleId="normaltextrun">
    <w:name w:val="normaltextrun"/>
    <w:basedOn w:val="DefaultParagraphFont"/>
    <w:rsid w:val="00547FE2"/>
  </w:style>
  <w:style w:type="paragraph" w:customStyle="1" w:styleId="Default">
    <w:name w:val="Default"/>
    <w:rsid w:val="00D44E23"/>
    <w:pPr>
      <w:widowControl w:val="0"/>
      <w:autoSpaceDE w:val="0"/>
      <w:autoSpaceDN w:val="0"/>
      <w:adjustRightInd w:val="0"/>
    </w:pPr>
    <w:rPr>
      <w:rFonts w:ascii="Arial" w:hAnsi="Arial" w:cs="Arial"/>
      <w:color w:val="000000"/>
    </w:rPr>
  </w:style>
  <w:style w:type="paragraph" w:styleId="Revision">
    <w:name w:val="Revision"/>
    <w:hidden/>
    <w:uiPriority w:val="99"/>
    <w:semiHidden/>
    <w:rsid w:val="00C833C4"/>
  </w:style>
  <w:style w:type="character" w:styleId="CommentReference">
    <w:name w:val="annotation reference"/>
    <w:basedOn w:val="DefaultParagraphFont"/>
    <w:uiPriority w:val="99"/>
    <w:semiHidden/>
    <w:unhideWhenUsed/>
    <w:rsid w:val="00427C33"/>
    <w:rPr>
      <w:sz w:val="16"/>
      <w:szCs w:val="16"/>
    </w:rPr>
  </w:style>
  <w:style w:type="paragraph" w:styleId="CommentText">
    <w:name w:val="annotation text"/>
    <w:basedOn w:val="Normal"/>
    <w:link w:val="CommentTextChar"/>
    <w:uiPriority w:val="99"/>
    <w:unhideWhenUsed/>
    <w:rsid w:val="00427C33"/>
    <w:rPr>
      <w:sz w:val="20"/>
      <w:szCs w:val="20"/>
    </w:rPr>
  </w:style>
  <w:style w:type="character" w:customStyle="1" w:styleId="CommentTextChar">
    <w:name w:val="Comment Text Char"/>
    <w:basedOn w:val="DefaultParagraphFont"/>
    <w:link w:val="CommentText"/>
    <w:uiPriority w:val="99"/>
    <w:rsid w:val="00427C33"/>
    <w:rPr>
      <w:sz w:val="20"/>
      <w:szCs w:val="20"/>
    </w:rPr>
  </w:style>
  <w:style w:type="paragraph" w:styleId="CommentSubject">
    <w:name w:val="annotation subject"/>
    <w:basedOn w:val="CommentText"/>
    <w:next w:val="CommentText"/>
    <w:link w:val="CommentSubjectChar"/>
    <w:uiPriority w:val="99"/>
    <w:semiHidden/>
    <w:unhideWhenUsed/>
    <w:rsid w:val="00427C33"/>
    <w:rPr>
      <w:b/>
      <w:bCs/>
    </w:rPr>
  </w:style>
  <w:style w:type="character" w:customStyle="1" w:styleId="CommentSubjectChar">
    <w:name w:val="Comment Subject Char"/>
    <w:basedOn w:val="CommentTextChar"/>
    <w:link w:val="CommentSubject"/>
    <w:uiPriority w:val="99"/>
    <w:semiHidden/>
    <w:rsid w:val="00427C33"/>
    <w:rPr>
      <w:b/>
      <w:bCs/>
      <w:sz w:val="20"/>
      <w:szCs w:val="20"/>
    </w:rPr>
  </w:style>
  <w:style w:type="paragraph" w:styleId="BalloonText">
    <w:name w:val="Balloon Text"/>
    <w:basedOn w:val="Normal"/>
    <w:link w:val="BalloonTextChar"/>
    <w:uiPriority w:val="99"/>
    <w:semiHidden/>
    <w:unhideWhenUsed/>
    <w:rsid w:val="00C26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6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429">
      <w:bodyDiv w:val="1"/>
      <w:marLeft w:val="0"/>
      <w:marRight w:val="0"/>
      <w:marTop w:val="0"/>
      <w:marBottom w:val="0"/>
      <w:divBdr>
        <w:top w:val="none" w:sz="0" w:space="0" w:color="auto"/>
        <w:left w:val="none" w:sz="0" w:space="0" w:color="auto"/>
        <w:bottom w:val="none" w:sz="0" w:space="0" w:color="auto"/>
        <w:right w:val="none" w:sz="0" w:space="0" w:color="auto"/>
      </w:divBdr>
    </w:div>
    <w:div w:id="543954912">
      <w:bodyDiv w:val="1"/>
      <w:marLeft w:val="0"/>
      <w:marRight w:val="0"/>
      <w:marTop w:val="0"/>
      <w:marBottom w:val="0"/>
      <w:divBdr>
        <w:top w:val="none" w:sz="0" w:space="0" w:color="auto"/>
        <w:left w:val="none" w:sz="0" w:space="0" w:color="auto"/>
        <w:bottom w:val="none" w:sz="0" w:space="0" w:color="auto"/>
        <w:right w:val="none" w:sz="0" w:space="0" w:color="auto"/>
      </w:divBdr>
    </w:div>
    <w:div w:id="1061053995">
      <w:bodyDiv w:val="1"/>
      <w:marLeft w:val="0"/>
      <w:marRight w:val="0"/>
      <w:marTop w:val="0"/>
      <w:marBottom w:val="0"/>
      <w:divBdr>
        <w:top w:val="none" w:sz="0" w:space="0" w:color="auto"/>
        <w:left w:val="none" w:sz="0" w:space="0" w:color="auto"/>
        <w:bottom w:val="none" w:sz="0" w:space="0" w:color="auto"/>
        <w:right w:val="none" w:sz="0" w:space="0" w:color="auto"/>
      </w:divBdr>
    </w:div>
    <w:div w:id="1290628980">
      <w:bodyDiv w:val="1"/>
      <w:marLeft w:val="0"/>
      <w:marRight w:val="0"/>
      <w:marTop w:val="0"/>
      <w:marBottom w:val="0"/>
      <w:divBdr>
        <w:top w:val="none" w:sz="0" w:space="0" w:color="auto"/>
        <w:left w:val="none" w:sz="0" w:space="0" w:color="auto"/>
        <w:bottom w:val="none" w:sz="0" w:space="0" w:color="auto"/>
        <w:right w:val="none" w:sz="0" w:space="0" w:color="auto"/>
      </w:divBdr>
    </w:div>
    <w:div w:id="1293711017">
      <w:bodyDiv w:val="1"/>
      <w:marLeft w:val="0"/>
      <w:marRight w:val="0"/>
      <w:marTop w:val="0"/>
      <w:marBottom w:val="0"/>
      <w:divBdr>
        <w:top w:val="none" w:sz="0" w:space="0" w:color="auto"/>
        <w:left w:val="none" w:sz="0" w:space="0" w:color="auto"/>
        <w:bottom w:val="none" w:sz="0" w:space="0" w:color="auto"/>
        <w:right w:val="none" w:sz="0" w:space="0" w:color="auto"/>
      </w:divBdr>
    </w:div>
    <w:div w:id="1347098499">
      <w:bodyDiv w:val="1"/>
      <w:marLeft w:val="0"/>
      <w:marRight w:val="0"/>
      <w:marTop w:val="0"/>
      <w:marBottom w:val="0"/>
      <w:divBdr>
        <w:top w:val="none" w:sz="0" w:space="0" w:color="auto"/>
        <w:left w:val="none" w:sz="0" w:space="0" w:color="auto"/>
        <w:bottom w:val="none" w:sz="0" w:space="0" w:color="auto"/>
        <w:right w:val="none" w:sz="0" w:space="0" w:color="auto"/>
      </w:divBdr>
    </w:div>
    <w:div w:id="1965773924">
      <w:bodyDiv w:val="1"/>
      <w:marLeft w:val="0"/>
      <w:marRight w:val="0"/>
      <w:marTop w:val="0"/>
      <w:marBottom w:val="0"/>
      <w:divBdr>
        <w:top w:val="none" w:sz="0" w:space="0" w:color="auto"/>
        <w:left w:val="none" w:sz="0" w:space="0" w:color="auto"/>
        <w:bottom w:val="none" w:sz="0" w:space="0" w:color="auto"/>
        <w:right w:val="none" w:sz="0" w:space="0" w:color="auto"/>
      </w:divBdr>
    </w:div>
    <w:div w:id="2025473357">
      <w:bodyDiv w:val="1"/>
      <w:marLeft w:val="0"/>
      <w:marRight w:val="0"/>
      <w:marTop w:val="0"/>
      <w:marBottom w:val="0"/>
      <w:divBdr>
        <w:top w:val="none" w:sz="0" w:space="0" w:color="auto"/>
        <w:left w:val="none" w:sz="0" w:space="0" w:color="auto"/>
        <w:bottom w:val="none" w:sz="0" w:space="0" w:color="auto"/>
        <w:right w:val="none" w:sz="0" w:space="0" w:color="auto"/>
      </w:divBdr>
    </w:div>
    <w:div w:id="2052342624">
      <w:bodyDiv w:val="1"/>
      <w:marLeft w:val="0"/>
      <w:marRight w:val="0"/>
      <w:marTop w:val="0"/>
      <w:marBottom w:val="0"/>
      <w:divBdr>
        <w:top w:val="none" w:sz="0" w:space="0" w:color="auto"/>
        <w:left w:val="none" w:sz="0" w:space="0" w:color="auto"/>
        <w:bottom w:val="none" w:sz="0" w:space="0" w:color="auto"/>
        <w:right w:val="none" w:sz="0" w:space="0" w:color="auto"/>
      </w:divBdr>
      <w:divsChild>
        <w:div w:id="2024698799">
          <w:marLeft w:val="0"/>
          <w:marRight w:val="0"/>
          <w:marTop w:val="0"/>
          <w:marBottom w:val="0"/>
          <w:divBdr>
            <w:top w:val="none" w:sz="0" w:space="0" w:color="auto"/>
            <w:left w:val="none" w:sz="0" w:space="0" w:color="auto"/>
            <w:bottom w:val="none" w:sz="0" w:space="0" w:color="auto"/>
            <w:right w:val="none" w:sz="0" w:space="0" w:color="auto"/>
          </w:divBdr>
        </w:div>
        <w:div w:id="1037392045">
          <w:marLeft w:val="0"/>
          <w:marRight w:val="0"/>
          <w:marTop w:val="0"/>
          <w:marBottom w:val="0"/>
          <w:divBdr>
            <w:top w:val="none" w:sz="0" w:space="0" w:color="auto"/>
            <w:left w:val="none" w:sz="0" w:space="0" w:color="auto"/>
            <w:bottom w:val="none" w:sz="0" w:space="0" w:color="auto"/>
            <w:right w:val="none" w:sz="0" w:space="0" w:color="auto"/>
          </w:divBdr>
        </w:div>
        <w:div w:id="137579572">
          <w:marLeft w:val="0"/>
          <w:marRight w:val="0"/>
          <w:marTop w:val="0"/>
          <w:marBottom w:val="0"/>
          <w:divBdr>
            <w:top w:val="none" w:sz="0" w:space="0" w:color="auto"/>
            <w:left w:val="none" w:sz="0" w:space="0" w:color="auto"/>
            <w:bottom w:val="none" w:sz="0" w:space="0" w:color="auto"/>
            <w:right w:val="none" w:sz="0" w:space="0" w:color="auto"/>
          </w:divBdr>
        </w:div>
        <w:div w:id="257831100">
          <w:marLeft w:val="0"/>
          <w:marRight w:val="0"/>
          <w:marTop w:val="0"/>
          <w:marBottom w:val="0"/>
          <w:divBdr>
            <w:top w:val="none" w:sz="0" w:space="0" w:color="auto"/>
            <w:left w:val="none" w:sz="0" w:space="0" w:color="auto"/>
            <w:bottom w:val="none" w:sz="0" w:space="0" w:color="auto"/>
            <w:right w:val="none" w:sz="0" w:space="0" w:color="auto"/>
          </w:divBdr>
        </w:div>
        <w:div w:id="721364207">
          <w:marLeft w:val="0"/>
          <w:marRight w:val="0"/>
          <w:marTop w:val="0"/>
          <w:marBottom w:val="0"/>
          <w:divBdr>
            <w:top w:val="none" w:sz="0" w:space="0" w:color="auto"/>
            <w:left w:val="none" w:sz="0" w:space="0" w:color="auto"/>
            <w:bottom w:val="none" w:sz="0" w:space="0" w:color="auto"/>
            <w:right w:val="none" w:sz="0" w:space="0" w:color="auto"/>
          </w:divBdr>
        </w:div>
        <w:div w:id="35938346">
          <w:marLeft w:val="0"/>
          <w:marRight w:val="0"/>
          <w:marTop w:val="0"/>
          <w:marBottom w:val="0"/>
          <w:divBdr>
            <w:top w:val="none" w:sz="0" w:space="0" w:color="auto"/>
            <w:left w:val="none" w:sz="0" w:space="0" w:color="auto"/>
            <w:bottom w:val="none" w:sz="0" w:space="0" w:color="auto"/>
            <w:right w:val="none" w:sz="0" w:space="0" w:color="auto"/>
          </w:divBdr>
        </w:div>
        <w:div w:id="1307853199">
          <w:marLeft w:val="0"/>
          <w:marRight w:val="0"/>
          <w:marTop w:val="0"/>
          <w:marBottom w:val="0"/>
          <w:divBdr>
            <w:top w:val="none" w:sz="0" w:space="0" w:color="auto"/>
            <w:left w:val="none" w:sz="0" w:space="0" w:color="auto"/>
            <w:bottom w:val="none" w:sz="0" w:space="0" w:color="auto"/>
            <w:right w:val="none" w:sz="0" w:space="0" w:color="auto"/>
          </w:divBdr>
        </w:div>
        <w:div w:id="480583631">
          <w:marLeft w:val="0"/>
          <w:marRight w:val="0"/>
          <w:marTop w:val="0"/>
          <w:marBottom w:val="0"/>
          <w:divBdr>
            <w:top w:val="none" w:sz="0" w:space="0" w:color="auto"/>
            <w:left w:val="none" w:sz="0" w:space="0" w:color="auto"/>
            <w:bottom w:val="none" w:sz="0" w:space="0" w:color="auto"/>
            <w:right w:val="none" w:sz="0" w:space="0" w:color="auto"/>
          </w:divBdr>
        </w:div>
        <w:div w:id="1655597635">
          <w:marLeft w:val="0"/>
          <w:marRight w:val="0"/>
          <w:marTop w:val="0"/>
          <w:marBottom w:val="0"/>
          <w:divBdr>
            <w:top w:val="none" w:sz="0" w:space="0" w:color="auto"/>
            <w:left w:val="none" w:sz="0" w:space="0" w:color="auto"/>
            <w:bottom w:val="none" w:sz="0" w:space="0" w:color="auto"/>
            <w:right w:val="none" w:sz="0" w:space="0" w:color="auto"/>
          </w:divBdr>
        </w:div>
        <w:div w:id="1193962152">
          <w:marLeft w:val="0"/>
          <w:marRight w:val="0"/>
          <w:marTop w:val="0"/>
          <w:marBottom w:val="0"/>
          <w:divBdr>
            <w:top w:val="none" w:sz="0" w:space="0" w:color="auto"/>
            <w:left w:val="none" w:sz="0" w:space="0" w:color="auto"/>
            <w:bottom w:val="none" w:sz="0" w:space="0" w:color="auto"/>
            <w:right w:val="none" w:sz="0" w:space="0" w:color="auto"/>
          </w:divBdr>
        </w:div>
        <w:div w:id="14274571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www.hivlegalnetwork.ca/site/?lang=en" TargetMode="External"/><Relationship Id="rId13" Type="http://schemas.openxmlformats.org/officeDocument/2006/relationships/hyperlink" Target="https://www.hivlegalnetwork.ca/site/intimate-conviction-volume/?lang=en" TargetMode="External"/><Relationship Id="rId14" Type="http://schemas.openxmlformats.org/officeDocument/2006/relationships/hyperlink" Target="https://www.hivlegalnetwork.ca/site/intimate-conviction-2-continuing-the-decriminalization-dialogue-volume/?lang=en" TargetMode="External"/><Relationship Id="rId15" Type="http://schemas.openxmlformats.org/officeDocument/2006/relationships/hyperlink" Target="https://www.hivlegalnetwork.ca/site/statement-religious-beliefs-must-not-interfere-with-patients-rights-to-accessible-health-care/?lang=en" TargetMode="External"/><Relationship Id="rId16" Type="http://schemas.openxmlformats.org/officeDocument/2006/relationships/hyperlink" Target="https://www.ontariocourts.ca/decisions/2019/2019ONCA0393.pdf"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HIV Legal Network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23CAD6A-D13B-422F-BAEB-0E3A3D89F165}">
  <ds:schemaRefs>
    <ds:schemaRef ds:uri="http://schemas.microsoft.com/sharepoint/v3/contenttype/forms"/>
  </ds:schemaRefs>
</ds:datastoreItem>
</file>

<file path=customXml/itemProps2.xml><?xml version="1.0" encoding="utf-8"?>
<ds:datastoreItem xmlns:ds="http://schemas.openxmlformats.org/officeDocument/2006/customXml" ds:itemID="{DFBB4416-6E19-4C07-8ADA-5D4C3B96D008}"/>
</file>

<file path=customXml/itemProps3.xml><?xml version="1.0" encoding="utf-8"?>
<ds:datastoreItem xmlns:ds="http://schemas.openxmlformats.org/officeDocument/2006/customXml" ds:itemID="{436FA100-9E2E-46D5-857E-804C0EBB84EA}">
  <ds:schemaRefs>
    <ds:schemaRef ds:uri="http://www.w3.org/XML/1998/namespace"/>
    <ds:schemaRef ds:uri="d39e21ed-f393-486b-82e6-8d08409405d7"/>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5da7a9a8-e7eb-45bc-8ba6-14ee8430172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2395</Words>
  <Characters>13658</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Capretti</dc:creator>
  <cp:keywords/>
  <dc:description/>
  <cp:lastModifiedBy>Andre Capretti</cp:lastModifiedBy>
  <cp:revision>2</cp:revision>
  <dcterms:created xsi:type="dcterms:W3CDTF">2023-01-13T00:22:00Z</dcterms:created>
  <dcterms:modified xsi:type="dcterms:W3CDTF">2023-01-13T00:22:00Z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