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BF384" w14:textId="630D3188" w:rsidR="004E2354" w:rsidRPr="009C5C39" w:rsidRDefault="00251811">
      <w:pPr>
        <w:rPr>
          <w:rFonts w:cstheme="minorHAnsi"/>
          <w:b/>
          <w:bCs/>
          <w:i/>
          <w:iCs/>
        </w:rPr>
      </w:pPr>
      <w:r w:rsidRPr="009C5C39">
        <w:rPr>
          <w:rFonts w:cstheme="minorHAnsi"/>
          <w:b/>
          <w:bCs/>
          <w:i/>
          <w:iCs/>
        </w:rPr>
        <w:t>The Heritage Foundation’s Response to “Call for input to a thematic report: freedom of religion or belief (</w:t>
      </w:r>
      <w:proofErr w:type="spellStart"/>
      <w:r w:rsidRPr="009C5C39">
        <w:rPr>
          <w:rFonts w:cstheme="minorHAnsi"/>
          <w:b/>
          <w:bCs/>
          <w:i/>
          <w:iCs/>
        </w:rPr>
        <w:t>FoRB</w:t>
      </w:r>
      <w:proofErr w:type="spellEnd"/>
      <w:r w:rsidRPr="009C5C39">
        <w:rPr>
          <w:rFonts w:cstheme="minorHAnsi"/>
          <w:b/>
          <w:bCs/>
          <w:i/>
          <w:iCs/>
        </w:rPr>
        <w:t xml:space="preserve">) and sexual orientation and gender identity (SOGI)” from UN Independent Expert on protection against violence and discrimination based on sexual orientation and gender identity </w:t>
      </w:r>
    </w:p>
    <w:p w14:paraId="0C32204D" w14:textId="7A0DE10B" w:rsidR="00251811" w:rsidRPr="00391D05" w:rsidRDefault="00251811">
      <w:pPr>
        <w:rPr>
          <w:rFonts w:cstheme="minorHAnsi"/>
        </w:rPr>
      </w:pPr>
    </w:p>
    <w:p w14:paraId="3E24D594" w14:textId="26225DBE" w:rsidR="00545D7A" w:rsidRPr="00391D05" w:rsidRDefault="00545D7A">
      <w:pPr>
        <w:rPr>
          <w:rFonts w:cstheme="minorHAnsi"/>
        </w:rPr>
      </w:pPr>
    </w:p>
    <w:p w14:paraId="0F7306BC" w14:textId="750D5AAE" w:rsidR="00545D7A" w:rsidRPr="00685C90" w:rsidRDefault="00545D7A">
      <w:pPr>
        <w:rPr>
          <w:rFonts w:cstheme="minorHAnsi"/>
        </w:rPr>
      </w:pPr>
      <w:r w:rsidRPr="00685C90">
        <w:rPr>
          <w:rFonts w:cstheme="minorHAnsi"/>
        </w:rPr>
        <w:t xml:space="preserve">In the call for input to this upcoming thematic report </w:t>
      </w:r>
      <w:r w:rsidR="00EE3CAC" w:rsidRPr="00685C90">
        <w:rPr>
          <w:rFonts w:cstheme="minorHAnsi"/>
        </w:rPr>
        <w:t xml:space="preserve">exploring the right </w:t>
      </w:r>
      <w:r w:rsidR="009742E9" w:rsidRPr="00685C90">
        <w:rPr>
          <w:rFonts w:cstheme="minorHAnsi"/>
        </w:rPr>
        <w:t>to freedom of religion or belief (</w:t>
      </w:r>
      <w:proofErr w:type="spellStart"/>
      <w:r w:rsidR="009742E9" w:rsidRPr="00685C90">
        <w:rPr>
          <w:rFonts w:cstheme="minorHAnsi"/>
        </w:rPr>
        <w:t>FoRB</w:t>
      </w:r>
      <w:proofErr w:type="spellEnd"/>
      <w:r w:rsidR="009742E9" w:rsidRPr="00685C90">
        <w:rPr>
          <w:rFonts w:cstheme="minorHAnsi"/>
        </w:rPr>
        <w:t>) in relation to sexual orientation and gender identity</w:t>
      </w:r>
      <w:r w:rsidR="009E35B1" w:rsidRPr="00685C90">
        <w:rPr>
          <w:rFonts w:cstheme="minorHAnsi"/>
        </w:rPr>
        <w:t xml:space="preserve"> (SOGI)</w:t>
      </w:r>
      <w:r w:rsidR="00420686" w:rsidRPr="00685C90">
        <w:rPr>
          <w:rFonts w:cstheme="minorHAnsi"/>
        </w:rPr>
        <w:t>,</w:t>
      </w:r>
      <w:r w:rsidR="009E35B1" w:rsidRPr="00685C90">
        <w:rPr>
          <w:rFonts w:cstheme="minorHAnsi"/>
        </w:rPr>
        <w:t xml:space="preserve"> the Independent Expert </w:t>
      </w:r>
      <w:r w:rsidR="00AB6AC9" w:rsidRPr="00685C90">
        <w:rPr>
          <w:rFonts w:cstheme="minorHAnsi"/>
        </w:rPr>
        <w:t xml:space="preserve">stated his intention to “explore the legal, political, and ethical dynamics </w:t>
      </w:r>
      <w:r w:rsidR="00FE77DE" w:rsidRPr="00685C90">
        <w:rPr>
          <w:rFonts w:cstheme="minorHAnsi"/>
        </w:rPr>
        <w:t xml:space="preserve">between the human rights of persons with diverse sexual orientations and gender identities and the human </w:t>
      </w:r>
      <w:r w:rsidR="00E672DB" w:rsidRPr="00685C90">
        <w:rPr>
          <w:rFonts w:cstheme="minorHAnsi"/>
        </w:rPr>
        <w:t>right</w:t>
      </w:r>
      <w:r w:rsidR="00FE77DE" w:rsidRPr="00685C90">
        <w:rPr>
          <w:rFonts w:cstheme="minorHAnsi"/>
        </w:rPr>
        <w:t xml:space="preserve"> to freedom of religion or belief, as well as the </w:t>
      </w:r>
      <w:r w:rsidR="00E672DB" w:rsidRPr="00685C90">
        <w:rPr>
          <w:rFonts w:cstheme="minorHAnsi"/>
        </w:rPr>
        <w:t>narratives</w:t>
      </w:r>
      <w:r w:rsidR="00FE77DE" w:rsidRPr="00685C90">
        <w:rPr>
          <w:rFonts w:cstheme="minorHAnsi"/>
        </w:rPr>
        <w:t xml:space="preserve"> surrounding the </w:t>
      </w:r>
      <w:r w:rsidR="00E672DB" w:rsidRPr="00685C90">
        <w:rPr>
          <w:rFonts w:cstheme="minorHAnsi"/>
        </w:rPr>
        <w:t>implementation</w:t>
      </w:r>
      <w:r w:rsidR="00FE77DE" w:rsidRPr="00685C90">
        <w:rPr>
          <w:rFonts w:cstheme="minorHAnsi"/>
        </w:rPr>
        <w:t xml:space="preserve"> of these sets of rights.” </w:t>
      </w:r>
    </w:p>
    <w:p w14:paraId="43F8DAE5" w14:textId="3CF25670" w:rsidR="00FE77DE" w:rsidRPr="00685C90" w:rsidRDefault="00FE77DE">
      <w:pPr>
        <w:rPr>
          <w:rFonts w:cstheme="minorHAnsi"/>
        </w:rPr>
      </w:pPr>
    </w:p>
    <w:p w14:paraId="37EAD8F6" w14:textId="31840A75" w:rsidR="00FE77DE" w:rsidRPr="00685C90" w:rsidRDefault="00FE77DE">
      <w:pPr>
        <w:rPr>
          <w:rFonts w:cstheme="minorHAnsi"/>
        </w:rPr>
      </w:pPr>
      <w:r w:rsidRPr="00685C90">
        <w:rPr>
          <w:rFonts w:cstheme="minorHAnsi"/>
        </w:rPr>
        <w:t>As the I</w:t>
      </w:r>
      <w:r w:rsidR="008D6DF8" w:rsidRPr="00685C90">
        <w:rPr>
          <w:rFonts w:cstheme="minorHAnsi"/>
        </w:rPr>
        <w:t xml:space="preserve">ndependent </w:t>
      </w:r>
      <w:r w:rsidRPr="00685C90">
        <w:rPr>
          <w:rFonts w:cstheme="minorHAnsi"/>
        </w:rPr>
        <w:t>E</w:t>
      </w:r>
      <w:r w:rsidR="008D6DF8" w:rsidRPr="00685C90">
        <w:rPr>
          <w:rFonts w:cstheme="minorHAnsi"/>
        </w:rPr>
        <w:t>xpert</w:t>
      </w:r>
      <w:r w:rsidRPr="00685C90">
        <w:rPr>
          <w:rFonts w:cstheme="minorHAnsi"/>
        </w:rPr>
        <w:t xml:space="preserve"> certainly agrees, individuals are </w:t>
      </w:r>
      <w:r w:rsidR="00A91C3E" w:rsidRPr="00685C90">
        <w:rPr>
          <w:rFonts w:cstheme="minorHAnsi"/>
        </w:rPr>
        <w:t xml:space="preserve">all </w:t>
      </w:r>
      <w:r w:rsidRPr="00685C90">
        <w:rPr>
          <w:rFonts w:cstheme="minorHAnsi"/>
        </w:rPr>
        <w:t xml:space="preserve">equally entitled to </w:t>
      </w:r>
      <w:r w:rsidR="001273BF" w:rsidRPr="00685C90">
        <w:rPr>
          <w:rFonts w:cstheme="minorHAnsi"/>
        </w:rPr>
        <w:t xml:space="preserve">human rights. Such rights are due to all human beings by virtue of our </w:t>
      </w:r>
      <w:r w:rsidR="00B8228F" w:rsidRPr="00685C90">
        <w:rPr>
          <w:rFonts w:cstheme="minorHAnsi"/>
        </w:rPr>
        <w:t xml:space="preserve">human dignity. </w:t>
      </w:r>
      <w:r w:rsidR="00EE387E" w:rsidRPr="00685C90">
        <w:rPr>
          <w:rFonts w:cstheme="minorHAnsi"/>
        </w:rPr>
        <w:t xml:space="preserve">In other words, individuals with “diverse sexual orientations and gender identities” </w:t>
      </w:r>
      <w:r w:rsidR="005E05A1" w:rsidRPr="00685C90">
        <w:rPr>
          <w:rFonts w:cstheme="minorHAnsi"/>
        </w:rPr>
        <w:t xml:space="preserve">are deserving of </w:t>
      </w:r>
      <w:r w:rsidR="002212DD" w:rsidRPr="00685C90">
        <w:rPr>
          <w:rFonts w:cstheme="minorHAnsi"/>
        </w:rPr>
        <w:t>the same rights—no more and no less—than anyone else.</w:t>
      </w:r>
    </w:p>
    <w:p w14:paraId="54882583" w14:textId="061401A3" w:rsidR="002A637A" w:rsidRPr="00685C90" w:rsidRDefault="002A637A">
      <w:pPr>
        <w:rPr>
          <w:rFonts w:cstheme="minorHAnsi"/>
        </w:rPr>
      </w:pPr>
    </w:p>
    <w:p w14:paraId="44EF744C" w14:textId="4AC485B6" w:rsidR="002A637A" w:rsidRPr="00685C90" w:rsidRDefault="002A637A" w:rsidP="002A637A">
      <w:pPr>
        <w:rPr>
          <w:rFonts w:cstheme="minorHAnsi"/>
          <w:color w:val="000000"/>
          <w:shd w:val="clear" w:color="auto" w:fill="FFFFFF"/>
        </w:rPr>
      </w:pPr>
      <w:r w:rsidRPr="00685C90">
        <w:rPr>
          <w:rFonts w:cstheme="minorHAnsi"/>
          <w:color w:val="000000"/>
          <w:shd w:val="clear" w:color="auto" w:fill="FFFFFF"/>
        </w:rPr>
        <w:t>The</w:t>
      </w:r>
      <w:r w:rsidRPr="00685C90">
        <w:rPr>
          <w:rStyle w:val="apple-converted-space"/>
          <w:rFonts w:cstheme="minorHAnsi"/>
          <w:color w:val="000000"/>
          <w:shd w:val="clear" w:color="auto" w:fill="FFFFFF"/>
        </w:rPr>
        <w:t> </w:t>
      </w:r>
      <w:r w:rsidRPr="00685C90">
        <w:rPr>
          <w:rFonts w:cstheme="minorHAnsi"/>
          <w:bdr w:val="none" w:sz="0" w:space="0" w:color="auto" w:frame="1"/>
        </w:rPr>
        <w:t>right to free</w:t>
      </w:r>
      <w:r w:rsidRPr="00685C90">
        <w:rPr>
          <w:rFonts w:cstheme="minorHAnsi"/>
          <w:bdr w:val="none" w:sz="0" w:space="0" w:color="auto" w:frame="1"/>
        </w:rPr>
        <w:t>d</w:t>
      </w:r>
      <w:r w:rsidRPr="00685C90">
        <w:rPr>
          <w:rFonts w:cstheme="minorHAnsi"/>
          <w:bdr w:val="none" w:sz="0" w:space="0" w:color="auto" w:frame="1"/>
        </w:rPr>
        <w:t>om of religion</w:t>
      </w:r>
      <w:r w:rsidR="003E00F4" w:rsidRPr="00685C90">
        <w:rPr>
          <w:rFonts w:cstheme="minorHAnsi"/>
          <w:color w:val="000000"/>
          <w:shd w:val="clear" w:color="auto" w:fill="FFFFFF"/>
        </w:rPr>
        <w:t xml:space="preserve"> is foundational to the entire system of human rights</w:t>
      </w:r>
      <w:r w:rsidRPr="00685C90">
        <w:rPr>
          <w:rFonts w:cstheme="minorHAnsi"/>
          <w:color w:val="000000"/>
          <w:shd w:val="clear" w:color="auto" w:fill="FFFFFF"/>
        </w:rPr>
        <w:t>.</w:t>
      </w:r>
      <w:r w:rsidR="000D0DA1" w:rsidRPr="00685C90">
        <w:rPr>
          <w:rStyle w:val="EndnoteReference"/>
          <w:rFonts w:cstheme="minorHAnsi"/>
          <w:color w:val="000000"/>
          <w:shd w:val="clear" w:color="auto" w:fill="FFFFFF"/>
        </w:rPr>
        <w:endnoteReference w:id="1"/>
      </w:r>
      <w:r w:rsidRPr="00685C90">
        <w:rPr>
          <w:rFonts w:cstheme="minorHAnsi"/>
          <w:color w:val="000000"/>
          <w:shd w:val="clear" w:color="auto" w:fill="FFFFFF"/>
        </w:rPr>
        <w:t xml:space="preserve"> </w:t>
      </w:r>
      <w:r w:rsidR="00C15743" w:rsidRPr="00685C90">
        <w:rPr>
          <w:rFonts w:cstheme="minorHAnsi"/>
          <w:color w:val="000000"/>
          <w:shd w:val="clear" w:color="auto" w:fill="FFFFFF"/>
        </w:rPr>
        <w:t>T</w:t>
      </w:r>
      <w:r w:rsidRPr="00685C90">
        <w:rPr>
          <w:rFonts w:cstheme="minorHAnsi"/>
          <w:color w:val="000000"/>
          <w:shd w:val="clear" w:color="auto" w:fill="FFFFFF"/>
        </w:rPr>
        <w:t>he Universal Declaration of Human Rights (UDHR) and the</w:t>
      </w:r>
      <w:r w:rsidRPr="00685C90">
        <w:rPr>
          <w:rStyle w:val="apple-converted-space"/>
          <w:rFonts w:cstheme="minorHAnsi"/>
          <w:color w:val="000000"/>
          <w:shd w:val="clear" w:color="auto" w:fill="FFFFFF"/>
        </w:rPr>
        <w:t> </w:t>
      </w:r>
      <w:r w:rsidRPr="00685C90">
        <w:rPr>
          <w:rFonts w:cstheme="minorHAnsi"/>
          <w:bdr w:val="none" w:sz="0" w:space="0" w:color="auto" w:frame="1"/>
        </w:rPr>
        <w:t>Inter</w:t>
      </w:r>
      <w:r w:rsidRPr="00685C90">
        <w:rPr>
          <w:rFonts w:cstheme="minorHAnsi"/>
          <w:bdr w:val="none" w:sz="0" w:space="0" w:color="auto" w:frame="1"/>
        </w:rPr>
        <w:t>n</w:t>
      </w:r>
      <w:r w:rsidRPr="00685C90">
        <w:rPr>
          <w:rFonts w:cstheme="minorHAnsi"/>
          <w:bdr w:val="none" w:sz="0" w:space="0" w:color="auto" w:frame="1"/>
        </w:rPr>
        <w:t>ational Covenant on Civil and Political Rights</w:t>
      </w:r>
      <w:r w:rsidRPr="00685C90">
        <w:rPr>
          <w:rStyle w:val="apple-converted-space"/>
          <w:rFonts w:cstheme="minorHAnsi"/>
          <w:color w:val="000000"/>
          <w:shd w:val="clear" w:color="auto" w:fill="FFFFFF"/>
        </w:rPr>
        <w:t> </w:t>
      </w:r>
      <w:r w:rsidR="00C15743" w:rsidRPr="00685C90">
        <w:rPr>
          <w:rStyle w:val="apple-converted-space"/>
          <w:rFonts w:cstheme="minorHAnsi"/>
          <w:color w:val="000000"/>
          <w:shd w:val="clear" w:color="auto" w:fill="FFFFFF"/>
        </w:rPr>
        <w:t xml:space="preserve">(ICCPR) </w:t>
      </w:r>
      <w:r w:rsidRPr="00685C90">
        <w:rPr>
          <w:rFonts w:cstheme="minorHAnsi"/>
          <w:color w:val="000000"/>
          <w:shd w:val="clear" w:color="auto" w:fill="FFFFFF"/>
        </w:rPr>
        <w:t>explicitly protect the freedom to manifest one’s religious beliefs in private and in public, as well as individually or in community. Furthermore, international law emphasizes the importance of conscience</w:t>
      </w:r>
      <w:r w:rsidR="001642A7">
        <w:rPr>
          <w:rFonts w:cstheme="minorHAnsi"/>
          <w:color w:val="000000"/>
          <w:shd w:val="clear" w:color="auto" w:fill="FFFFFF"/>
        </w:rPr>
        <w:t xml:space="preserve">; </w:t>
      </w:r>
      <w:r w:rsidR="00AA009B">
        <w:rPr>
          <w:rFonts w:cstheme="minorHAnsi"/>
          <w:color w:val="000000"/>
          <w:shd w:val="clear" w:color="auto" w:fill="FFFFFF"/>
        </w:rPr>
        <w:t xml:space="preserve">in fact, </w:t>
      </w:r>
      <w:r w:rsidRPr="00685C90">
        <w:rPr>
          <w:rFonts w:cstheme="minorHAnsi"/>
          <w:color w:val="000000"/>
          <w:shd w:val="clear" w:color="auto" w:fill="FFFFFF"/>
        </w:rPr>
        <w:t xml:space="preserve">freedom of conscience </w:t>
      </w:r>
      <w:r w:rsidR="00622A90" w:rsidRPr="00685C90">
        <w:rPr>
          <w:rFonts w:cstheme="minorHAnsi"/>
          <w:color w:val="000000"/>
          <w:shd w:val="clear" w:color="auto" w:fill="FFFFFF"/>
        </w:rPr>
        <w:t>is considered</w:t>
      </w:r>
      <w:r w:rsidR="00B54AB4" w:rsidRPr="00685C90">
        <w:rPr>
          <w:rFonts w:cstheme="minorHAnsi"/>
          <w:color w:val="000000"/>
          <w:shd w:val="clear" w:color="auto" w:fill="FFFFFF"/>
        </w:rPr>
        <w:t xml:space="preserve"> a</w:t>
      </w:r>
      <w:r w:rsidRPr="00685C90">
        <w:rPr>
          <w:rFonts w:cstheme="minorHAnsi"/>
          <w:color w:val="000000"/>
          <w:shd w:val="clear" w:color="auto" w:fill="FFFFFF"/>
        </w:rPr>
        <w:t xml:space="preserve"> non-</w:t>
      </w:r>
      <w:proofErr w:type="spellStart"/>
      <w:r w:rsidRPr="00685C90">
        <w:rPr>
          <w:rFonts w:cstheme="minorHAnsi"/>
          <w:color w:val="000000"/>
          <w:shd w:val="clear" w:color="auto" w:fill="FFFFFF"/>
        </w:rPr>
        <w:t>derogable</w:t>
      </w:r>
      <w:proofErr w:type="spellEnd"/>
      <w:r w:rsidRPr="00685C90">
        <w:rPr>
          <w:rFonts w:cstheme="minorHAnsi"/>
          <w:color w:val="000000"/>
          <w:shd w:val="clear" w:color="auto" w:fill="FFFFFF"/>
        </w:rPr>
        <w:t xml:space="preserve"> right that governments cannot limit even during times of emergency.</w:t>
      </w:r>
      <w:r w:rsidR="00B54AB4" w:rsidRPr="00685C90">
        <w:rPr>
          <w:rFonts w:cstheme="minorHAnsi"/>
          <w:color w:val="000000"/>
          <w:shd w:val="clear" w:color="auto" w:fill="FFFFFF"/>
        </w:rPr>
        <w:t xml:space="preserve"> </w:t>
      </w:r>
      <w:r w:rsidRPr="00685C90">
        <w:rPr>
          <w:rFonts w:cstheme="minorHAnsi"/>
          <w:color w:val="000000"/>
          <w:shd w:val="clear" w:color="auto" w:fill="FFFFFF"/>
        </w:rPr>
        <w:t xml:space="preserve">Regardless of prevailing sentiment </w:t>
      </w:r>
      <w:r w:rsidR="003B1DF2" w:rsidRPr="00685C90">
        <w:rPr>
          <w:rFonts w:cstheme="minorHAnsi"/>
          <w:color w:val="000000"/>
          <w:shd w:val="clear" w:color="auto" w:fill="FFFFFF"/>
        </w:rPr>
        <w:t xml:space="preserve">among secular </w:t>
      </w:r>
      <w:r w:rsidRPr="00685C90">
        <w:rPr>
          <w:rFonts w:cstheme="minorHAnsi"/>
          <w:color w:val="000000"/>
          <w:shd w:val="clear" w:color="auto" w:fill="FFFFFF"/>
        </w:rPr>
        <w:t xml:space="preserve">elites, </w:t>
      </w:r>
      <w:r w:rsidR="003B1DF2" w:rsidRPr="00685C90">
        <w:rPr>
          <w:rFonts w:cstheme="minorHAnsi"/>
          <w:color w:val="000000"/>
          <w:shd w:val="clear" w:color="auto" w:fill="FFFFFF"/>
        </w:rPr>
        <w:t>the</w:t>
      </w:r>
      <w:r w:rsidRPr="00685C90">
        <w:rPr>
          <w:rFonts w:cstheme="minorHAnsi"/>
          <w:color w:val="000000"/>
          <w:shd w:val="clear" w:color="auto" w:fill="FFFFFF"/>
        </w:rPr>
        <w:t xml:space="preserve"> right to manifest one’s beliefs </w:t>
      </w:r>
      <w:r w:rsidR="003B1DF2" w:rsidRPr="00685C90">
        <w:rPr>
          <w:rFonts w:cstheme="minorHAnsi"/>
          <w:color w:val="000000"/>
          <w:shd w:val="clear" w:color="auto" w:fill="FFFFFF"/>
        </w:rPr>
        <w:t>also</w:t>
      </w:r>
      <w:r w:rsidRPr="00685C90">
        <w:rPr>
          <w:rFonts w:cstheme="minorHAnsi"/>
          <w:color w:val="000000"/>
          <w:shd w:val="clear" w:color="auto" w:fill="FFFFFF"/>
        </w:rPr>
        <w:t xml:space="preserve"> appl</w:t>
      </w:r>
      <w:r w:rsidR="003B1DF2" w:rsidRPr="00685C90">
        <w:rPr>
          <w:rFonts w:cstheme="minorHAnsi"/>
          <w:color w:val="000000"/>
          <w:shd w:val="clear" w:color="auto" w:fill="FFFFFF"/>
        </w:rPr>
        <w:t>ies</w:t>
      </w:r>
      <w:r w:rsidRPr="00685C90">
        <w:rPr>
          <w:rFonts w:cstheme="minorHAnsi"/>
          <w:color w:val="000000"/>
          <w:shd w:val="clear" w:color="auto" w:fill="FFFFFF"/>
        </w:rPr>
        <w:t xml:space="preserve"> to those who </w:t>
      </w:r>
      <w:r w:rsidR="00AA009B">
        <w:rPr>
          <w:rFonts w:cstheme="minorHAnsi"/>
          <w:color w:val="000000"/>
          <w:shd w:val="clear" w:color="auto" w:fill="FFFFFF"/>
        </w:rPr>
        <w:t>profess</w:t>
      </w:r>
      <w:r w:rsidRPr="00685C90">
        <w:rPr>
          <w:rFonts w:cstheme="minorHAnsi"/>
          <w:color w:val="000000"/>
          <w:shd w:val="clear" w:color="auto" w:fill="FFFFFF"/>
        </w:rPr>
        <w:t xml:space="preserve"> traditional beliefs about the creation of man and woman,</w:t>
      </w:r>
      <w:r w:rsidRPr="00685C90">
        <w:rPr>
          <w:rStyle w:val="apple-converted-space"/>
          <w:rFonts w:cstheme="minorHAnsi"/>
          <w:color w:val="000000"/>
          <w:shd w:val="clear" w:color="auto" w:fill="FFFFFF"/>
        </w:rPr>
        <w:t> </w:t>
      </w:r>
      <w:r w:rsidRPr="00685C90">
        <w:rPr>
          <w:rFonts w:cstheme="minorHAnsi"/>
          <w:color w:val="000000"/>
          <w:shd w:val="clear" w:color="auto" w:fill="FFFFFF"/>
        </w:rPr>
        <w:t>the definition of marriage, and the sanctity of</w:t>
      </w:r>
      <w:r w:rsidR="008A5718" w:rsidRPr="00685C90">
        <w:rPr>
          <w:rFonts w:cstheme="minorHAnsi"/>
          <w:color w:val="000000"/>
          <w:shd w:val="clear" w:color="auto" w:fill="FFFFFF"/>
        </w:rPr>
        <w:t xml:space="preserve"> human</w:t>
      </w:r>
      <w:r w:rsidRPr="00685C90">
        <w:rPr>
          <w:rFonts w:cstheme="minorHAnsi"/>
          <w:color w:val="000000"/>
          <w:shd w:val="clear" w:color="auto" w:fill="FFFFFF"/>
        </w:rPr>
        <w:t xml:space="preserve"> life</w:t>
      </w:r>
      <w:r w:rsidR="008A5718" w:rsidRPr="00685C90">
        <w:rPr>
          <w:rFonts w:cstheme="minorHAnsi"/>
          <w:color w:val="000000"/>
          <w:shd w:val="clear" w:color="auto" w:fill="FFFFFF"/>
        </w:rPr>
        <w:t xml:space="preserve"> from conception</w:t>
      </w:r>
      <w:r w:rsidRPr="00685C90">
        <w:rPr>
          <w:rFonts w:cstheme="minorHAnsi"/>
          <w:color w:val="000000"/>
          <w:shd w:val="clear" w:color="auto" w:fill="FFFFFF"/>
        </w:rPr>
        <w:t>.</w:t>
      </w:r>
      <w:r w:rsidR="005A1C09" w:rsidRPr="00685C90">
        <w:rPr>
          <w:rFonts w:cstheme="minorHAnsi"/>
          <w:color w:val="000000"/>
          <w:shd w:val="clear" w:color="auto" w:fill="FFFFFF"/>
        </w:rPr>
        <w:t xml:space="preserve"> </w:t>
      </w:r>
    </w:p>
    <w:p w14:paraId="488F8509" w14:textId="77777777" w:rsidR="002A637A" w:rsidRPr="00685C90" w:rsidRDefault="002A637A">
      <w:pPr>
        <w:rPr>
          <w:rFonts w:cstheme="minorHAnsi"/>
        </w:rPr>
      </w:pPr>
    </w:p>
    <w:p w14:paraId="304DAED2" w14:textId="0824D0BE" w:rsidR="00E465F6" w:rsidRPr="00685C90" w:rsidRDefault="009D0041" w:rsidP="00E465F6">
      <w:pPr>
        <w:rPr>
          <w:rFonts w:cstheme="minorHAnsi"/>
        </w:rPr>
      </w:pPr>
      <w:r w:rsidRPr="00685C90">
        <w:rPr>
          <w:rFonts w:cstheme="minorHAnsi"/>
        </w:rPr>
        <w:t xml:space="preserve">This forthcoming report </w:t>
      </w:r>
      <w:r w:rsidR="00E465F6" w:rsidRPr="00685C90">
        <w:rPr>
          <w:rFonts w:cstheme="minorHAnsi"/>
        </w:rPr>
        <w:t xml:space="preserve">by </w:t>
      </w:r>
      <w:r w:rsidR="0043318C">
        <w:rPr>
          <w:rFonts w:cstheme="minorHAnsi"/>
        </w:rPr>
        <w:t>the Independent Expert</w:t>
      </w:r>
      <w:r w:rsidR="00E465F6" w:rsidRPr="00685C90">
        <w:rPr>
          <w:rFonts w:cstheme="minorHAnsi"/>
        </w:rPr>
        <w:t xml:space="preserve"> </w:t>
      </w:r>
      <w:r w:rsidRPr="00685C90">
        <w:rPr>
          <w:rFonts w:cstheme="minorHAnsi"/>
        </w:rPr>
        <w:t xml:space="preserve">appears to build upon the 2020 </w:t>
      </w:r>
      <w:r w:rsidR="007145D6" w:rsidRPr="00685C90">
        <w:rPr>
          <w:rFonts w:cstheme="minorHAnsi"/>
        </w:rPr>
        <w:t>report</w:t>
      </w:r>
      <w:r w:rsidR="00F719EC" w:rsidRPr="00685C90">
        <w:rPr>
          <w:rFonts w:cstheme="minorHAnsi"/>
        </w:rPr>
        <w:t xml:space="preserve"> on religious freedom and gender equality</w:t>
      </w:r>
      <w:r w:rsidR="007145D6" w:rsidRPr="00685C90">
        <w:rPr>
          <w:rFonts w:cstheme="minorHAnsi"/>
        </w:rPr>
        <w:t xml:space="preserve"> by Mr. Ahmed Shaheed, the S</w:t>
      </w:r>
      <w:r w:rsidR="005445DD" w:rsidRPr="00685C90">
        <w:rPr>
          <w:rFonts w:cstheme="minorHAnsi"/>
        </w:rPr>
        <w:t xml:space="preserve">pecial </w:t>
      </w:r>
      <w:r w:rsidR="007145D6" w:rsidRPr="00685C90">
        <w:rPr>
          <w:rFonts w:cstheme="minorHAnsi"/>
        </w:rPr>
        <w:t>R</w:t>
      </w:r>
      <w:r w:rsidR="005445DD" w:rsidRPr="00685C90">
        <w:rPr>
          <w:rFonts w:cstheme="minorHAnsi"/>
        </w:rPr>
        <w:t>apporteur</w:t>
      </w:r>
      <w:r w:rsidR="007145D6" w:rsidRPr="00685C90">
        <w:rPr>
          <w:rFonts w:cstheme="minorHAnsi"/>
        </w:rPr>
        <w:t xml:space="preserve"> on </w:t>
      </w:r>
      <w:r w:rsidR="00F719EC" w:rsidRPr="00685C90">
        <w:rPr>
          <w:rFonts w:cstheme="minorHAnsi"/>
        </w:rPr>
        <w:t>the freedom of religion or belief</w:t>
      </w:r>
      <w:r w:rsidR="007145D6" w:rsidRPr="00685C90">
        <w:rPr>
          <w:rFonts w:cstheme="minorHAnsi"/>
        </w:rPr>
        <w:t>.</w:t>
      </w:r>
      <w:r w:rsidR="006301D1" w:rsidRPr="00685C90">
        <w:rPr>
          <w:rStyle w:val="EndnoteReference"/>
          <w:rFonts w:cstheme="minorHAnsi"/>
        </w:rPr>
        <w:endnoteReference w:id="2"/>
      </w:r>
      <w:r w:rsidR="00E96D64" w:rsidRPr="00685C90">
        <w:rPr>
          <w:rFonts w:cstheme="minorHAnsi"/>
        </w:rPr>
        <w:t xml:space="preserve"> </w:t>
      </w:r>
      <w:r w:rsidR="006631A5" w:rsidRPr="00685C90">
        <w:rPr>
          <w:rFonts w:cstheme="minorHAnsi"/>
        </w:rPr>
        <w:t xml:space="preserve">The Independent Expert ought to take care to avoid the </w:t>
      </w:r>
      <w:r w:rsidR="00947E5E" w:rsidRPr="00685C90">
        <w:rPr>
          <w:rFonts w:cstheme="minorHAnsi"/>
        </w:rPr>
        <w:t xml:space="preserve">critical </w:t>
      </w:r>
      <w:r w:rsidR="006631A5" w:rsidRPr="00685C90">
        <w:rPr>
          <w:rFonts w:cstheme="minorHAnsi"/>
        </w:rPr>
        <w:t>error</w:t>
      </w:r>
      <w:r w:rsidR="00947E5E" w:rsidRPr="00685C90">
        <w:rPr>
          <w:rFonts w:cstheme="minorHAnsi"/>
        </w:rPr>
        <w:t>s</w:t>
      </w:r>
      <w:r w:rsidR="006631A5" w:rsidRPr="00685C90">
        <w:rPr>
          <w:rFonts w:cstheme="minorHAnsi"/>
        </w:rPr>
        <w:t xml:space="preserve"> </w:t>
      </w:r>
      <w:r w:rsidR="00E74292" w:rsidRPr="00685C90">
        <w:rPr>
          <w:rFonts w:cstheme="minorHAnsi"/>
        </w:rPr>
        <w:t>of that report</w:t>
      </w:r>
      <w:r w:rsidR="004A4030" w:rsidRPr="00685C90">
        <w:rPr>
          <w:rFonts w:cstheme="minorHAnsi"/>
        </w:rPr>
        <w:t xml:space="preserve">, namely equating </w:t>
      </w:r>
      <w:proofErr w:type="spellStart"/>
      <w:r w:rsidR="00E465F6" w:rsidRPr="00685C90">
        <w:rPr>
          <w:rFonts w:cstheme="minorHAnsi"/>
        </w:rPr>
        <w:t>FoRB</w:t>
      </w:r>
      <w:proofErr w:type="spellEnd"/>
      <w:r w:rsidR="00E465F6" w:rsidRPr="00685C90">
        <w:rPr>
          <w:rFonts w:cstheme="minorHAnsi"/>
        </w:rPr>
        <w:t xml:space="preserve"> – a human right enshrined in international law – with policies or preferences based on SOGI, and </w:t>
      </w:r>
      <w:r w:rsidR="00947E5E" w:rsidRPr="00685C90">
        <w:rPr>
          <w:rFonts w:cstheme="minorHAnsi"/>
        </w:rPr>
        <w:t xml:space="preserve">further </w:t>
      </w:r>
      <w:r w:rsidR="00E465F6" w:rsidRPr="00685C90">
        <w:rPr>
          <w:rFonts w:cstheme="minorHAnsi"/>
        </w:rPr>
        <w:t>suggest</w:t>
      </w:r>
      <w:r w:rsidR="00947E5E" w:rsidRPr="00685C90">
        <w:rPr>
          <w:rFonts w:cstheme="minorHAnsi"/>
        </w:rPr>
        <w:t>ing</w:t>
      </w:r>
      <w:r w:rsidR="00E465F6" w:rsidRPr="00685C90">
        <w:rPr>
          <w:rFonts w:cstheme="minorHAnsi"/>
        </w:rPr>
        <w:t xml:space="preserve"> that in conflicts between them, </w:t>
      </w:r>
      <w:r w:rsidR="00A313E3" w:rsidRPr="00685C90">
        <w:rPr>
          <w:rFonts w:cstheme="minorHAnsi"/>
        </w:rPr>
        <w:t xml:space="preserve">the </w:t>
      </w:r>
      <w:r w:rsidR="00947E5E" w:rsidRPr="00685C90">
        <w:rPr>
          <w:rFonts w:cstheme="minorHAnsi"/>
        </w:rPr>
        <w:t>freedom of religion or belief</w:t>
      </w:r>
      <w:r w:rsidR="00E465F6" w:rsidRPr="00685C90">
        <w:rPr>
          <w:rFonts w:cstheme="minorHAnsi"/>
        </w:rPr>
        <w:t xml:space="preserve"> should </w:t>
      </w:r>
      <w:r w:rsidR="00411D30" w:rsidRPr="00685C90">
        <w:rPr>
          <w:rFonts w:cstheme="minorHAnsi"/>
        </w:rPr>
        <w:t>give way to</w:t>
      </w:r>
      <w:r w:rsidR="00912E9B" w:rsidRPr="00685C90">
        <w:rPr>
          <w:rFonts w:cstheme="minorHAnsi"/>
        </w:rPr>
        <w:t xml:space="preserve"> the demands of </w:t>
      </w:r>
      <w:r w:rsidR="00BE6093" w:rsidRPr="00685C90">
        <w:rPr>
          <w:rFonts w:cstheme="minorHAnsi"/>
        </w:rPr>
        <w:t xml:space="preserve">sexual autonomy and subjective </w:t>
      </w:r>
      <w:r w:rsidR="009E79F3" w:rsidRPr="00685C90">
        <w:rPr>
          <w:rFonts w:cstheme="minorHAnsi"/>
        </w:rPr>
        <w:t>identities.</w:t>
      </w:r>
      <w:r w:rsidR="00AB0626" w:rsidRPr="00685C90">
        <w:rPr>
          <w:rStyle w:val="EndnoteReference"/>
          <w:rFonts w:cstheme="minorHAnsi"/>
        </w:rPr>
        <w:endnoteReference w:id="3"/>
      </w:r>
      <w:r w:rsidR="00BE6093" w:rsidRPr="00685C90">
        <w:rPr>
          <w:rFonts w:cstheme="minorHAnsi"/>
        </w:rPr>
        <w:t xml:space="preserve"> </w:t>
      </w:r>
    </w:p>
    <w:p w14:paraId="5EF9CD81" w14:textId="25A44E7F" w:rsidR="00E465F6" w:rsidRDefault="00E465F6">
      <w:pPr>
        <w:rPr>
          <w:rFonts w:cstheme="minorHAnsi"/>
        </w:rPr>
      </w:pPr>
    </w:p>
    <w:p w14:paraId="5F4F55B0" w14:textId="75F9A0F6" w:rsidR="00FA2967" w:rsidRPr="00685C90" w:rsidRDefault="00FA2967" w:rsidP="00FA2967">
      <w:pPr>
        <w:rPr>
          <w:rFonts w:cstheme="minorHAnsi"/>
          <w:color w:val="000000"/>
          <w:shd w:val="clear" w:color="auto" w:fill="FFFFFF"/>
        </w:rPr>
      </w:pPr>
      <w:r w:rsidRPr="00685C90">
        <w:rPr>
          <w:rFonts w:cstheme="minorHAnsi"/>
          <w:color w:val="000000"/>
          <w:shd w:val="clear" w:color="auto" w:fill="FFFFFF"/>
        </w:rPr>
        <w:t xml:space="preserve">It is imperative that the Independent Expert’s report not consider sincere religious believers as perpetrators of discrimination simply for acting on the tenets of their faith. While no person should be discriminated against simply because he or she identifies as gay or transgender, support for </w:t>
      </w:r>
      <w:r>
        <w:rPr>
          <w:rFonts w:cstheme="minorHAnsi"/>
          <w:color w:val="000000"/>
          <w:shd w:val="clear" w:color="auto" w:fill="FFFFFF"/>
        </w:rPr>
        <w:t>traditional</w:t>
      </w:r>
      <w:r w:rsidRPr="00685C90">
        <w:rPr>
          <w:rFonts w:cstheme="minorHAnsi"/>
          <w:color w:val="000000"/>
          <w:shd w:val="clear" w:color="auto" w:fill="FFFFFF"/>
        </w:rPr>
        <w:t xml:space="preserve"> marriage and biological sex is not discrimination. </w:t>
      </w:r>
    </w:p>
    <w:p w14:paraId="2B642D56" w14:textId="77777777" w:rsidR="00FA2967" w:rsidRPr="00685C90" w:rsidRDefault="00FA2967">
      <w:pPr>
        <w:rPr>
          <w:rFonts w:cstheme="minorHAnsi"/>
        </w:rPr>
      </w:pPr>
    </w:p>
    <w:p w14:paraId="20C58DF2" w14:textId="10695142" w:rsidR="00A05CD0" w:rsidRPr="00FE36FE" w:rsidRDefault="00745806">
      <w:pPr>
        <w:rPr>
          <w:rFonts w:cstheme="minorHAnsi"/>
          <w:color w:val="000000"/>
          <w:shd w:val="clear" w:color="auto" w:fill="FFFFFF"/>
        </w:rPr>
      </w:pPr>
      <w:r>
        <w:rPr>
          <w:rFonts w:cstheme="minorHAnsi"/>
          <w:color w:val="000000"/>
          <w:shd w:val="clear" w:color="auto" w:fill="FFFFFF"/>
        </w:rPr>
        <w:t xml:space="preserve">Furthermore, </w:t>
      </w:r>
      <w:r w:rsidR="003E7358" w:rsidRPr="00685C90">
        <w:rPr>
          <w:rFonts w:cstheme="minorHAnsi"/>
          <w:color w:val="000000"/>
          <w:shd w:val="clear" w:color="auto" w:fill="FFFFFF"/>
        </w:rPr>
        <w:t xml:space="preserve">UN human rights </w:t>
      </w:r>
      <w:r w:rsidR="00EF6301" w:rsidRPr="00685C90">
        <w:rPr>
          <w:rFonts w:cstheme="minorHAnsi"/>
          <w:color w:val="000000"/>
          <w:shd w:val="clear" w:color="auto" w:fill="FFFFFF"/>
        </w:rPr>
        <w:t>mechani</w:t>
      </w:r>
      <w:r w:rsidR="003E7358" w:rsidRPr="00685C90">
        <w:rPr>
          <w:rFonts w:cstheme="minorHAnsi"/>
          <w:color w:val="000000"/>
          <w:shd w:val="clear" w:color="auto" w:fill="FFFFFF"/>
        </w:rPr>
        <w:t>s</w:t>
      </w:r>
      <w:r w:rsidR="00EF6301" w:rsidRPr="00685C90">
        <w:rPr>
          <w:rFonts w:cstheme="minorHAnsi"/>
          <w:color w:val="000000"/>
          <w:shd w:val="clear" w:color="auto" w:fill="FFFFFF"/>
        </w:rPr>
        <w:t>ms</w:t>
      </w:r>
      <w:r w:rsidR="003E7358" w:rsidRPr="00685C90">
        <w:rPr>
          <w:rFonts w:cstheme="minorHAnsi"/>
          <w:color w:val="000000"/>
          <w:shd w:val="clear" w:color="auto" w:fill="FFFFFF"/>
        </w:rPr>
        <w:t xml:space="preserve"> ought neither create nor promote new rights without authorization from </w:t>
      </w:r>
      <w:r w:rsidR="00430FBB" w:rsidRPr="00685C90">
        <w:rPr>
          <w:rFonts w:cstheme="minorHAnsi"/>
          <w:color w:val="000000"/>
          <w:shd w:val="clear" w:color="auto" w:fill="FFFFFF"/>
        </w:rPr>
        <w:t>UN</w:t>
      </w:r>
      <w:r w:rsidR="003E7358" w:rsidRPr="00685C90">
        <w:rPr>
          <w:rFonts w:cstheme="minorHAnsi"/>
          <w:color w:val="000000"/>
          <w:shd w:val="clear" w:color="auto" w:fill="FFFFFF"/>
        </w:rPr>
        <w:t xml:space="preserve"> member states. </w:t>
      </w:r>
      <w:r w:rsidR="007A73F0" w:rsidRPr="00685C90">
        <w:rPr>
          <w:rFonts w:cstheme="minorHAnsi"/>
          <w:color w:val="000000"/>
          <w:shd w:val="clear" w:color="auto" w:fill="FFFFFF"/>
        </w:rPr>
        <w:t xml:space="preserve">Doing so results in the politicization of </w:t>
      </w:r>
      <w:r w:rsidR="003C5988" w:rsidRPr="00685C90">
        <w:rPr>
          <w:rFonts w:cstheme="minorHAnsi"/>
          <w:color w:val="000000"/>
          <w:shd w:val="clear" w:color="auto" w:fill="FFFFFF"/>
        </w:rPr>
        <w:t xml:space="preserve">human </w:t>
      </w:r>
      <w:r w:rsidR="006918AE" w:rsidRPr="00685C90">
        <w:rPr>
          <w:rFonts w:cstheme="minorHAnsi"/>
          <w:color w:val="000000"/>
          <w:shd w:val="clear" w:color="auto" w:fill="FFFFFF"/>
        </w:rPr>
        <w:t xml:space="preserve">rights. </w:t>
      </w:r>
      <w:r w:rsidR="003E7358" w:rsidRPr="00685C90">
        <w:rPr>
          <w:rFonts w:cstheme="minorHAnsi"/>
          <w:color w:val="000000"/>
          <w:shd w:val="clear" w:color="auto" w:fill="FFFFFF"/>
        </w:rPr>
        <w:t xml:space="preserve">This is especially true when </w:t>
      </w:r>
      <w:r w:rsidR="00430FBB" w:rsidRPr="00685C90">
        <w:rPr>
          <w:rFonts w:cstheme="minorHAnsi"/>
          <w:color w:val="000000"/>
          <w:shd w:val="clear" w:color="auto" w:fill="FFFFFF"/>
        </w:rPr>
        <w:t>proposed</w:t>
      </w:r>
      <w:r w:rsidR="003E7358" w:rsidRPr="00685C90">
        <w:rPr>
          <w:rFonts w:cstheme="minorHAnsi"/>
          <w:color w:val="000000"/>
          <w:shd w:val="clear" w:color="auto" w:fill="FFFFFF"/>
        </w:rPr>
        <w:t xml:space="preserve"> new rights undermine fundamental human </w:t>
      </w:r>
      <w:r w:rsidR="003E7358" w:rsidRPr="00685C90">
        <w:rPr>
          <w:rFonts w:cstheme="minorHAnsi"/>
          <w:color w:val="000000"/>
          <w:shd w:val="clear" w:color="auto" w:fill="FFFFFF"/>
        </w:rPr>
        <w:lastRenderedPageBreak/>
        <w:t xml:space="preserve">rights—such as life, freedom of religion, and conscience—that are enshrined in the UN’s </w:t>
      </w:r>
      <w:r w:rsidR="00AD79AC" w:rsidRPr="00685C90">
        <w:rPr>
          <w:rFonts w:cstheme="minorHAnsi"/>
          <w:color w:val="000000"/>
          <w:shd w:val="clear" w:color="auto" w:fill="FFFFFF"/>
        </w:rPr>
        <w:t>foundational</w:t>
      </w:r>
      <w:r w:rsidR="003E7358" w:rsidRPr="00685C90">
        <w:rPr>
          <w:rFonts w:cstheme="minorHAnsi"/>
          <w:color w:val="000000"/>
          <w:shd w:val="clear" w:color="auto" w:fill="FFFFFF"/>
        </w:rPr>
        <w:t xml:space="preserve"> documents and codified in international </w:t>
      </w:r>
      <w:r w:rsidR="00AD79AC" w:rsidRPr="00685C90">
        <w:rPr>
          <w:rFonts w:cstheme="minorHAnsi"/>
          <w:color w:val="000000"/>
          <w:shd w:val="clear" w:color="auto" w:fill="FFFFFF"/>
        </w:rPr>
        <w:t>treaties</w:t>
      </w:r>
      <w:r w:rsidR="003E7358" w:rsidRPr="00685C90">
        <w:rPr>
          <w:rFonts w:cstheme="minorHAnsi"/>
          <w:color w:val="000000"/>
          <w:shd w:val="clear" w:color="auto" w:fill="FFFFFF"/>
        </w:rPr>
        <w:t xml:space="preserve">. </w:t>
      </w:r>
      <w:r w:rsidR="00A05CD0" w:rsidRPr="00685C90">
        <w:rPr>
          <w:rFonts w:cstheme="minorHAnsi"/>
          <w:color w:val="000000"/>
          <w:shd w:val="clear" w:color="auto" w:fill="FFFFFF"/>
        </w:rPr>
        <w:t>Individuals who are victims of abuses against their fundamental human rights can and should be defended and protected</w:t>
      </w:r>
      <w:r w:rsidR="00A05CD0" w:rsidRPr="00685C90">
        <w:rPr>
          <w:rStyle w:val="apple-converted-space"/>
          <w:rFonts w:cstheme="minorHAnsi"/>
          <w:color w:val="000000"/>
          <w:shd w:val="clear" w:color="auto" w:fill="FFFFFF"/>
        </w:rPr>
        <w:t> </w:t>
      </w:r>
      <w:r w:rsidR="00A05CD0" w:rsidRPr="00685C90">
        <w:rPr>
          <w:rFonts w:cstheme="minorHAnsi"/>
          <w:bdr w:val="none" w:sz="0" w:space="0" w:color="auto" w:frame="1"/>
        </w:rPr>
        <w:t>using existing human rights laws and norms</w:t>
      </w:r>
      <w:r w:rsidR="00A05CD0" w:rsidRPr="00685C90">
        <w:rPr>
          <w:rFonts w:cstheme="minorHAnsi"/>
          <w:color w:val="000000"/>
          <w:shd w:val="clear" w:color="auto" w:fill="FFFFFF"/>
        </w:rPr>
        <w:t>, regardless of their race, nationality, gender, sexual orientation, or any other distinguishing characteristic.</w:t>
      </w:r>
      <w:r w:rsidR="00E46E21" w:rsidRPr="00685C90">
        <w:rPr>
          <w:rStyle w:val="EndnoteReference"/>
          <w:rFonts w:cstheme="minorHAnsi"/>
          <w:color w:val="000000"/>
          <w:shd w:val="clear" w:color="auto" w:fill="FFFFFF"/>
        </w:rPr>
        <w:endnoteReference w:id="4"/>
      </w:r>
    </w:p>
    <w:p w14:paraId="0FA71412" w14:textId="17B99EC7" w:rsidR="008B7980" w:rsidRPr="00685C90" w:rsidRDefault="008B7980">
      <w:pPr>
        <w:rPr>
          <w:rFonts w:cstheme="minorHAnsi"/>
          <w:i/>
          <w:iCs/>
          <w:color w:val="000000"/>
          <w:shd w:val="clear" w:color="auto" w:fill="FFFFFF"/>
        </w:rPr>
      </w:pPr>
    </w:p>
    <w:p w14:paraId="4E8012D0" w14:textId="1794D0EE" w:rsidR="000929C5" w:rsidRDefault="000929C5">
      <w:pPr>
        <w:rPr>
          <w:rFonts w:cstheme="minorHAnsi"/>
          <w:color w:val="000000"/>
          <w:shd w:val="clear" w:color="auto" w:fill="FFFFFF"/>
        </w:rPr>
      </w:pPr>
    </w:p>
    <w:p w14:paraId="7B510D47" w14:textId="6F775101" w:rsidR="007166D6" w:rsidRPr="00685C90" w:rsidRDefault="007166D6">
      <w:pPr>
        <w:rPr>
          <w:rFonts w:cstheme="minorHAnsi"/>
          <w:color w:val="000000"/>
          <w:shd w:val="clear" w:color="auto" w:fill="FFFFFF"/>
        </w:rPr>
      </w:pPr>
    </w:p>
    <w:p w14:paraId="49CE0867" w14:textId="00252772" w:rsidR="00A214D6" w:rsidRDefault="00A214D6">
      <w:pPr>
        <w:rPr>
          <w:rFonts w:ascii="Open Sans" w:hAnsi="Open Sans" w:cs="Open Sans"/>
          <w:i/>
          <w:iCs/>
          <w:color w:val="000000"/>
          <w:sz w:val="26"/>
          <w:szCs w:val="26"/>
          <w:shd w:val="clear" w:color="auto" w:fill="FFFFFF"/>
        </w:rPr>
      </w:pPr>
    </w:p>
    <w:p w14:paraId="2C66F397" w14:textId="090BEF43" w:rsidR="00A214D6" w:rsidRPr="009D7D21" w:rsidRDefault="00A214D6">
      <w:pPr>
        <w:rPr>
          <w:i/>
          <w:iCs/>
        </w:rPr>
      </w:pPr>
    </w:p>
    <w:sectPr w:rsidR="00A214D6" w:rsidRPr="009D7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ABE8D" w14:textId="77777777" w:rsidR="00D704D4" w:rsidRDefault="00D704D4" w:rsidP="000D0DA1">
      <w:r>
        <w:separator/>
      </w:r>
    </w:p>
  </w:endnote>
  <w:endnote w:type="continuationSeparator" w:id="0">
    <w:p w14:paraId="116268DD" w14:textId="77777777" w:rsidR="00D704D4" w:rsidRDefault="00D704D4" w:rsidP="000D0DA1">
      <w:r>
        <w:continuationSeparator/>
      </w:r>
    </w:p>
  </w:endnote>
  <w:endnote w:id="1">
    <w:p w14:paraId="177BDD41" w14:textId="6025DD76" w:rsidR="000D0DA1" w:rsidRDefault="000D0DA1">
      <w:pPr>
        <w:pStyle w:val="EndnoteText"/>
      </w:pPr>
      <w:r>
        <w:rPr>
          <w:rStyle w:val="EndnoteReference"/>
        </w:rPr>
        <w:endnoteRef/>
      </w:r>
      <w:r>
        <w:t xml:space="preserve"> </w:t>
      </w:r>
      <w:r w:rsidR="00A069BA">
        <w:t>Daniel Philpot, “</w:t>
      </w:r>
      <w:r w:rsidR="00C56B40">
        <w:t xml:space="preserve">Religious Freedom in International Human Rights Law,” Heritage Foundation </w:t>
      </w:r>
      <w:r w:rsidR="001351AF">
        <w:t>Report</w:t>
      </w:r>
      <w:r w:rsidR="00D8758F">
        <w:t xml:space="preserve">, September 1, 2020, </w:t>
      </w:r>
      <w:hyperlink r:id="rId1" w:history="1">
        <w:r w:rsidR="00D8758F" w:rsidRPr="00E1208B">
          <w:rPr>
            <w:rStyle w:val="Hyperlink"/>
          </w:rPr>
          <w:t>https://www.heritage.org/religious-liberty/report/religious-freedom-international-human-rights-law</w:t>
        </w:r>
      </w:hyperlink>
      <w:r w:rsidR="00D8758F">
        <w:t xml:space="preserve">. </w:t>
      </w:r>
    </w:p>
  </w:endnote>
  <w:endnote w:id="2">
    <w:p w14:paraId="214D58A9" w14:textId="5D556095" w:rsidR="006301D1" w:rsidRDefault="006301D1">
      <w:pPr>
        <w:pStyle w:val="EndnoteText"/>
      </w:pPr>
      <w:r>
        <w:rPr>
          <w:rStyle w:val="EndnoteReference"/>
        </w:rPr>
        <w:endnoteRef/>
      </w:r>
      <w:r>
        <w:t xml:space="preserve"> </w:t>
      </w:r>
      <w:r>
        <w:t>United Nations</w:t>
      </w:r>
      <w:r w:rsidR="00046601">
        <w:t xml:space="preserve"> </w:t>
      </w:r>
      <w:r>
        <w:t>Office of the High Commissioner for Human Rights</w:t>
      </w:r>
      <w:r w:rsidR="00366962">
        <w:t>,</w:t>
      </w:r>
      <w:r>
        <w:t xml:space="preserve"> </w:t>
      </w:r>
      <w:r w:rsidR="00366962">
        <w:t>“</w:t>
      </w:r>
      <w:r w:rsidR="0027381D">
        <w:t xml:space="preserve">Report on freedom of </w:t>
      </w:r>
      <w:r w:rsidRPr="00E1526A">
        <w:t xml:space="preserve">religion or belief </w:t>
      </w:r>
      <w:r w:rsidR="0027381D">
        <w:t>and gender equality</w:t>
      </w:r>
      <w:r w:rsidR="00366962">
        <w:t>,”</w:t>
      </w:r>
      <w:r w:rsidRPr="00E1526A">
        <w:t xml:space="preserve"> Report of the Special Rapporteur on freedom of religion or belief</w:t>
      </w:r>
      <w:r>
        <w:t>.  A/HRC/43/48, 2020.</w:t>
      </w:r>
    </w:p>
  </w:endnote>
  <w:endnote w:id="3">
    <w:p w14:paraId="7D3FA2D9" w14:textId="3E339E86" w:rsidR="00AB0626" w:rsidRPr="00755245" w:rsidRDefault="00AB0626">
      <w:pPr>
        <w:pStyle w:val="EndnoteText"/>
        <w:rPr>
          <w:iCs/>
        </w:rPr>
      </w:pPr>
      <w:r>
        <w:rPr>
          <w:rStyle w:val="EndnoteReference"/>
        </w:rPr>
        <w:endnoteRef/>
      </w:r>
      <w:r>
        <w:t xml:space="preserve"> </w:t>
      </w:r>
      <w:r w:rsidR="00BC7971">
        <w:t>Grace Melton</w:t>
      </w:r>
      <w:r w:rsidR="003800A5">
        <w:t>, “The Threat to Life and Liberty from the United Nations’ Abuse of Human Rights</w:t>
      </w:r>
      <w:r w:rsidR="00755245">
        <w:t xml:space="preserve">,” </w:t>
      </w:r>
      <w:r w:rsidR="00755245">
        <w:rPr>
          <w:i/>
        </w:rPr>
        <w:t>The Public Discourse</w:t>
      </w:r>
      <w:r w:rsidR="00755245">
        <w:rPr>
          <w:iCs/>
        </w:rPr>
        <w:t xml:space="preserve">, October 5, 2020, </w:t>
      </w:r>
      <w:hyperlink r:id="rId2" w:history="1">
        <w:r w:rsidR="00755245" w:rsidRPr="00E1208B">
          <w:rPr>
            <w:rStyle w:val="Hyperlink"/>
            <w:iCs/>
          </w:rPr>
          <w:t>https://www.thepublicdiscourse.com/2020/10/71919/</w:t>
        </w:r>
      </w:hyperlink>
      <w:r w:rsidR="00755245">
        <w:rPr>
          <w:iCs/>
        </w:rPr>
        <w:t xml:space="preserve"> (accessed</w:t>
      </w:r>
      <w:r w:rsidR="00982DAA">
        <w:rPr>
          <w:iCs/>
        </w:rPr>
        <w:t xml:space="preserve"> January 14, 2023). </w:t>
      </w:r>
    </w:p>
  </w:endnote>
  <w:endnote w:id="4">
    <w:p w14:paraId="6AB373B3" w14:textId="23165628" w:rsidR="00E46E21" w:rsidRDefault="00E46E21">
      <w:pPr>
        <w:pStyle w:val="EndnoteText"/>
      </w:pPr>
      <w:r>
        <w:rPr>
          <w:rStyle w:val="EndnoteReference"/>
        </w:rPr>
        <w:endnoteRef/>
      </w:r>
      <w:r>
        <w:t xml:space="preserve"> </w:t>
      </w:r>
      <w:r w:rsidR="00693501">
        <w:t>Emilie Kao and Grace Melton, “The U.S. Must Protect Human Rights of All Individuals Based on Human Dignity</w:t>
      </w:r>
      <w:r w:rsidR="00560209">
        <w:t xml:space="preserve">—Not Membership in Identity Groups,” Heritage Foundation Report, </w:t>
      </w:r>
      <w:r w:rsidR="00CE6C5F">
        <w:t xml:space="preserve">May 24, 2018, </w:t>
      </w:r>
      <w:hyperlink r:id="rId3" w:history="1">
        <w:r w:rsidR="00CE6C5F" w:rsidRPr="00E1208B">
          <w:rPr>
            <w:rStyle w:val="Hyperlink"/>
          </w:rPr>
          <w:t>https://www.heritage.org/global-politics/report/the-us-must-protect-human-rights-all-individuals-based-human-dignity-not</w:t>
        </w:r>
      </w:hyperlink>
      <w:r w:rsidR="00CE6C5F">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1B411" w14:textId="77777777" w:rsidR="00D704D4" w:rsidRDefault="00D704D4" w:rsidP="000D0DA1">
      <w:r>
        <w:separator/>
      </w:r>
    </w:p>
  </w:footnote>
  <w:footnote w:type="continuationSeparator" w:id="0">
    <w:p w14:paraId="6EFEEF6F" w14:textId="77777777" w:rsidR="00D704D4" w:rsidRDefault="00D704D4" w:rsidP="000D0D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811"/>
    <w:rsid w:val="000348B2"/>
    <w:rsid w:val="00046601"/>
    <w:rsid w:val="00055D21"/>
    <w:rsid w:val="00061E57"/>
    <w:rsid w:val="000929C5"/>
    <w:rsid w:val="000D0DA1"/>
    <w:rsid w:val="001273BF"/>
    <w:rsid w:val="001351AF"/>
    <w:rsid w:val="001642A7"/>
    <w:rsid w:val="002212DD"/>
    <w:rsid w:val="00251811"/>
    <w:rsid w:val="0027381D"/>
    <w:rsid w:val="002A637A"/>
    <w:rsid w:val="002B7FBB"/>
    <w:rsid w:val="00366962"/>
    <w:rsid w:val="003800A5"/>
    <w:rsid w:val="00391D05"/>
    <w:rsid w:val="003B1DF2"/>
    <w:rsid w:val="003C5988"/>
    <w:rsid w:val="003E00F4"/>
    <w:rsid w:val="003E7358"/>
    <w:rsid w:val="00406AE4"/>
    <w:rsid w:val="00411D30"/>
    <w:rsid w:val="00420686"/>
    <w:rsid w:val="004253D3"/>
    <w:rsid w:val="00430FBB"/>
    <w:rsid w:val="0043318C"/>
    <w:rsid w:val="004526A6"/>
    <w:rsid w:val="004A4030"/>
    <w:rsid w:val="004E2354"/>
    <w:rsid w:val="00505A92"/>
    <w:rsid w:val="005374FF"/>
    <w:rsid w:val="005445DD"/>
    <w:rsid w:val="00545D7A"/>
    <w:rsid w:val="00560209"/>
    <w:rsid w:val="005A1C09"/>
    <w:rsid w:val="005E05A1"/>
    <w:rsid w:val="00604509"/>
    <w:rsid w:val="006100B5"/>
    <w:rsid w:val="00622A90"/>
    <w:rsid w:val="006247E6"/>
    <w:rsid w:val="006301D1"/>
    <w:rsid w:val="006631A5"/>
    <w:rsid w:val="00685C90"/>
    <w:rsid w:val="006918AE"/>
    <w:rsid w:val="00693501"/>
    <w:rsid w:val="006B65DB"/>
    <w:rsid w:val="007145D6"/>
    <w:rsid w:val="0071465C"/>
    <w:rsid w:val="007166D6"/>
    <w:rsid w:val="00745806"/>
    <w:rsid w:val="00755245"/>
    <w:rsid w:val="007A73F0"/>
    <w:rsid w:val="007C0F44"/>
    <w:rsid w:val="0086680A"/>
    <w:rsid w:val="008A5718"/>
    <w:rsid w:val="008B7980"/>
    <w:rsid w:val="008D6DF8"/>
    <w:rsid w:val="00911C86"/>
    <w:rsid w:val="00912E9B"/>
    <w:rsid w:val="00947E5E"/>
    <w:rsid w:val="009742E9"/>
    <w:rsid w:val="009751E9"/>
    <w:rsid w:val="00982DAA"/>
    <w:rsid w:val="009C2DB7"/>
    <w:rsid w:val="009C5C39"/>
    <w:rsid w:val="009D0041"/>
    <w:rsid w:val="009D7D21"/>
    <w:rsid w:val="009E35B1"/>
    <w:rsid w:val="009E79F3"/>
    <w:rsid w:val="00A05CD0"/>
    <w:rsid w:val="00A069BA"/>
    <w:rsid w:val="00A214D6"/>
    <w:rsid w:val="00A313E3"/>
    <w:rsid w:val="00A50781"/>
    <w:rsid w:val="00A771CA"/>
    <w:rsid w:val="00A91C3E"/>
    <w:rsid w:val="00AA009B"/>
    <w:rsid w:val="00AB0626"/>
    <w:rsid w:val="00AB6AC9"/>
    <w:rsid w:val="00AD79AC"/>
    <w:rsid w:val="00B238E1"/>
    <w:rsid w:val="00B54AB4"/>
    <w:rsid w:val="00B8228F"/>
    <w:rsid w:val="00BB29FB"/>
    <w:rsid w:val="00BC7971"/>
    <w:rsid w:val="00BE6093"/>
    <w:rsid w:val="00C15743"/>
    <w:rsid w:val="00C56B40"/>
    <w:rsid w:val="00CA1817"/>
    <w:rsid w:val="00CE6C5F"/>
    <w:rsid w:val="00D704D4"/>
    <w:rsid w:val="00D84F42"/>
    <w:rsid w:val="00D8758F"/>
    <w:rsid w:val="00DC39D8"/>
    <w:rsid w:val="00DD1DF9"/>
    <w:rsid w:val="00E465F6"/>
    <w:rsid w:val="00E46E21"/>
    <w:rsid w:val="00E672DB"/>
    <w:rsid w:val="00E74292"/>
    <w:rsid w:val="00E81F0F"/>
    <w:rsid w:val="00E96D64"/>
    <w:rsid w:val="00EE387E"/>
    <w:rsid w:val="00EE3CAC"/>
    <w:rsid w:val="00EF6301"/>
    <w:rsid w:val="00F719EC"/>
    <w:rsid w:val="00F77E49"/>
    <w:rsid w:val="00F917D1"/>
    <w:rsid w:val="00FA2967"/>
    <w:rsid w:val="00FE36FE"/>
    <w:rsid w:val="00FE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E17A1C"/>
  <w15:chartTrackingRefBased/>
  <w15:docId w15:val="{96651D05-7D30-DA45-9655-CAE85688A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E7358"/>
  </w:style>
  <w:style w:type="character" w:styleId="Hyperlink">
    <w:name w:val="Hyperlink"/>
    <w:basedOn w:val="DefaultParagraphFont"/>
    <w:uiPriority w:val="99"/>
    <w:unhideWhenUsed/>
    <w:rsid w:val="003E7358"/>
    <w:rPr>
      <w:color w:val="0000FF"/>
      <w:u w:val="single"/>
    </w:rPr>
  </w:style>
  <w:style w:type="character" w:styleId="FollowedHyperlink">
    <w:name w:val="FollowedHyperlink"/>
    <w:basedOn w:val="DefaultParagraphFont"/>
    <w:uiPriority w:val="99"/>
    <w:semiHidden/>
    <w:unhideWhenUsed/>
    <w:rsid w:val="005445DD"/>
    <w:rPr>
      <w:color w:val="954F72" w:themeColor="followedHyperlink"/>
      <w:u w:val="single"/>
    </w:rPr>
  </w:style>
  <w:style w:type="character" w:styleId="UnresolvedMention">
    <w:name w:val="Unresolved Mention"/>
    <w:basedOn w:val="DefaultParagraphFont"/>
    <w:uiPriority w:val="99"/>
    <w:semiHidden/>
    <w:unhideWhenUsed/>
    <w:rsid w:val="005445DD"/>
    <w:rPr>
      <w:color w:val="605E5C"/>
      <w:shd w:val="clear" w:color="auto" w:fill="E1DFDD"/>
    </w:rPr>
  </w:style>
  <w:style w:type="paragraph" w:styleId="EndnoteText">
    <w:name w:val="endnote text"/>
    <w:basedOn w:val="Normal"/>
    <w:link w:val="EndnoteTextChar"/>
    <w:uiPriority w:val="99"/>
    <w:semiHidden/>
    <w:unhideWhenUsed/>
    <w:rsid w:val="000D0DA1"/>
    <w:rPr>
      <w:sz w:val="20"/>
      <w:szCs w:val="20"/>
    </w:rPr>
  </w:style>
  <w:style w:type="character" w:customStyle="1" w:styleId="EndnoteTextChar">
    <w:name w:val="Endnote Text Char"/>
    <w:basedOn w:val="DefaultParagraphFont"/>
    <w:link w:val="EndnoteText"/>
    <w:uiPriority w:val="99"/>
    <w:semiHidden/>
    <w:rsid w:val="000D0DA1"/>
    <w:rPr>
      <w:sz w:val="20"/>
      <w:szCs w:val="20"/>
    </w:rPr>
  </w:style>
  <w:style w:type="character" w:styleId="EndnoteReference">
    <w:name w:val="endnote reference"/>
    <w:basedOn w:val="DefaultParagraphFont"/>
    <w:uiPriority w:val="99"/>
    <w:semiHidden/>
    <w:unhideWhenUsed/>
    <w:rsid w:val="000D0D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_rels/endnotes.xml.rels><?xml version="1.0" encoding="UTF-8" standalone="yes"?>
<Relationships xmlns="http://schemas.openxmlformats.org/package/2006/relationships"><Relationship Id="rId3" Type="http://schemas.openxmlformats.org/officeDocument/2006/relationships/hyperlink" Target="https://www.heritage.org/global-politics/report/the-us-must-protect-human-rights-all-individuals-based-human-dignity-not" TargetMode="External"/><Relationship Id="rId2" Type="http://schemas.openxmlformats.org/officeDocument/2006/relationships/hyperlink" Target="https://www.thepublicdiscourse.com/2020/10/71919/" TargetMode="External"/><Relationship Id="rId1" Type="http://schemas.openxmlformats.org/officeDocument/2006/relationships/hyperlink" Target="https://www.heritage.org/religious-liberty/report/religious-freedom-international-human-rights-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Heritage Foundation</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E3695269-7DBD-354E-B272-67C050F071A9}">
  <ds:schemaRefs>
    <ds:schemaRef ds:uri="http://schemas.openxmlformats.org/officeDocument/2006/bibliography"/>
  </ds:schemaRefs>
</ds:datastoreItem>
</file>

<file path=customXml/itemProps2.xml><?xml version="1.0" encoding="utf-8"?>
<ds:datastoreItem xmlns:ds="http://schemas.openxmlformats.org/officeDocument/2006/customXml" ds:itemID="{07D1FAF6-CE59-4573-87D7-B6B2CE631356}"/>
</file>

<file path=customXml/itemProps3.xml><?xml version="1.0" encoding="utf-8"?>
<ds:datastoreItem xmlns:ds="http://schemas.openxmlformats.org/officeDocument/2006/customXml" ds:itemID="{6927B40B-8DD2-4A4B-8AF7-C213FB4D17EB}"/>
</file>

<file path=customXml/itemProps4.xml><?xml version="1.0" encoding="utf-8"?>
<ds:datastoreItem xmlns:ds="http://schemas.openxmlformats.org/officeDocument/2006/customXml" ds:itemID="{CD4BA721-D3AA-44EA-BAE9-9ACFC619749C}"/>
</file>

<file path=docProps/app.xml><?xml version="1.0" encoding="utf-8"?>
<Properties xmlns="http://schemas.openxmlformats.org/officeDocument/2006/extended-properties" xmlns:vt="http://schemas.openxmlformats.org/officeDocument/2006/docPropsVTypes">
  <Template>Normal.dotm</Template>
  <TotalTime>124</TotalTime>
  <Pages>2</Pages>
  <Words>531</Words>
  <Characters>3033</Characters>
  <Application>Microsoft Office Word</Application>
  <DocSecurity>0</DocSecurity>
  <Lines>25</Lines>
  <Paragraphs>7</Paragraphs>
  <ScaleCrop>false</ScaleCrop>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Melton, Grace</dc:creator>
  <cp:keywords/>
  <dc:description/>
  <cp:lastModifiedBy>Melton, Grace</cp:lastModifiedBy>
  <cp:revision>108</cp:revision>
  <dcterms:created xsi:type="dcterms:W3CDTF">2023-01-05T17:31:00Z</dcterms:created>
  <dcterms:modified xsi:type="dcterms:W3CDTF">2023-01-14T20:15:00Z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