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6847B" w14:textId="1C46B02D" w:rsidR="00AA6B07" w:rsidRPr="00AA6B07" w:rsidRDefault="00D2789F" w:rsidP="00AA6B07">
      <w:pPr>
        <w:autoSpaceDE w:val="0"/>
        <w:autoSpaceDN w:val="0"/>
        <w:adjustRightInd w:val="0"/>
        <w:rPr>
          <w:rFonts w:eastAsiaTheme="minorHAnsi"/>
        </w:rPr>
      </w:pPr>
      <w:r w:rsidRPr="003B29BB">
        <w:rPr>
          <w:noProof/>
        </w:rPr>
        <w:drawing>
          <wp:anchor distT="0" distB="0" distL="114300" distR="114300" simplePos="0" relativeHeight="251660288" behindDoc="0" locked="0" layoutInCell="1" allowOverlap="1" wp14:anchorId="6A101362" wp14:editId="0E1F0294">
            <wp:simplePos x="0" y="0"/>
            <wp:positionH relativeFrom="column">
              <wp:posOffset>269240</wp:posOffset>
            </wp:positionH>
            <wp:positionV relativeFrom="page">
              <wp:posOffset>288290</wp:posOffset>
            </wp:positionV>
            <wp:extent cx="1752600" cy="498475"/>
            <wp:effectExtent l="0" t="0" r="0" b="0"/>
            <wp:wrapTopAndBottom/>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498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65F4" w:rsidRPr="003B29BB">
        <w:rPr>
          <w:rFonts w:ascii="Calibri" w:hAnsi="Calibri" w:cs="Calibri"/>
          <w:noProof/>
          <w:sz w:val="22"/>
          <w:szCs w:val="22"/>
          <w:bdr w:val="none" w:sz="0" w:space="0" w:color="auto" w:frame="1"/>
        </w:rPr>
        <w:drawing>
          <wp:anchor distT="0" distB="0" distL="114300" distR="114300" simplePos="0" relativeHeight="251659264" behindDoc="0" locked="0" layoutInCell="1" allowOverlap="1" wp14:anchorId="5A71FC27" wp14:editId="5EE16844">
            <wp:simplePos x="0" y="0"/>
            <wp:positionH relativeFrom="column">
              <wp:posOffset>3505200</wp:posOffset>
            </wp:positionH>
            <wp:positionV relativeFrom="page">
              <wp:posOffset>301625</wp:posOffset>
            </wp:positionV>
            <wp:extent cx="1734820" cy="434340"/>
            <wp:effectExtent l="0" t="0" r="0" b="3810"/>
            <wp:wrapTopAndBottom/>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820" cy="434340"/>
                    </a:xfrm>
                    <a:prstGeom prst="rect">
                      <a:avLst/>
                    </a:prstGeom>
                    <a:noFill/>
                    <a:ln w="9525">
                      <a:noFill/>
                    </a:ln>
                  </pic:spPr>
                </pic:pic>
              </a:graphicData>
            </a:graphic>
          </wp:anchor>
        </w:drawing>
      </w:r>
    </w:p>
    <w:p w14:paraId="42348A37" w14:textId="64321D52" w:rsidR="00AA6B07" w:rsidRPr="003B29BB" w:rsidRDefault="00AA6B07" w:rsidP="00AA6B07">
      <w:pPr>
        <w:jc w:val="center"/>
      </w:pPr>
      <w:r w:rsidRPr="003B29BB">
        <w:rPr>
          <w:rFonts w:eastAsiaTheme="minorHAnsi"/>
          <w:b/>
          <w:bCs/>
          <w:sz w:val="28"/>
          <w:szCs w:val="28"/>
        </w:rPr>
        <w:t>Joint Submission to UN SOGI Expert’s Call for Input</w:t>
      </w:r>
    </w:p>
    <w:p w14:paraId="4ED219EB" w14:textId="77777777" w:rsidR="00AA6B07" w:rsidRPr="003B29BB" w:rsidRDefault="00AA6B07" w:rsidP="006C0E65"/>
    <w:p w14:paraId="74D942DC" w14:textId="34DDF609" w:rsidR="006C0E65" w:rsidRPr="00B57381" w:rsidRDefault="006C0E65" w:rsidP="00B84E5E">
      <w:r w:rsidRPr="00B57381">
        <w:t>Victor Madrigal-</w:t>
      </w:r>
      <w:proofErr w:type="spellStart"/>
      <w:r w:rsidRPr="00B57381">
        <w:t>Borloz</w:t>
      </w:r>
      <w:proofErr w:type="spellEnd"/>
    </w:p>
    <w:p w14:paraId="4DE6F38C" w14:textId="77777777" w:rsidR="006C0E65" w:rsidRPr="00B57381" w:rsidRDefault="006C0E65" w:rsidP="00B84E5E">
      <w:r w:rsidRPr="00B57381">
        <w:t>Independent Expert on protection against violence and discrimination based on sexual orientation and gender identity</w:t>
      </w:r>
    </w:p>
    <w:p w14:paraId="301A24FE" w14:textId="77777777" w:rsidR="006C0E65" w:rsidRPr="00B57381" w:rsidRDefault="006C0E65" w:rsidP="00B84E5E">
      <w:r w:rsidRPr="00B57381">
        <w:t>Office of the UN High Commissioner for Human Rights</w:t>
      </w:r>
    </w:p>
    <w:p w14:paraId="7609E3A9" w14:textId="5DF40DD9" w:rsidR="006C0E65" w:rsidRPr="00B57381" w:rsidRDefault="006C0E65" w:rsidP="00B84E5E">
      <w:r w:rsidRPr="00B57381">
        <w:t xml:space="preserve">via email </w:t>
      </w:r>
      <w:hyperlink r:id="rId10" w:history="1">
        <w:r w:rsidRPr="00B57381">
          <w:rPr>
            <w:u w:val="single"/>
          </w:rPr>
          <w:t>hrc-ie-sogi@un.org</w:t>
        </w:r>
      </w:hyperlink>
    </w:p>
    <w:p w14:paraId="746FBDDB" w14:textId="77777777" w:rsidR="006C0E65" w:rsidRPr="00B57381" w:rsidRDefault="006C0E65" w:rsidP="00B84E5E"/>
    <w:p w14:paraId="469B04E9" w14:textId="54B62DAF" w:rsidR="009A359B" w:rsidRPr="009A359B" w:rsidRDefault="006C0E65" w:rsidP="00B84E5E">
      <w:pPr>
        <w:rPr>
          <w:rFonts w:eastAsiaTheme="minorHAnsi"/>
        </w:rPr>
      </w:pPr>
      <w:r w:rsidRPr="00B57381">
        <w:t>Dear Mr. Madrigal-</w:t>
      </w:r>
      <w:proofErr w:type="spellStart"/>
      <w:r w:rsidRPr="00B57381">
        <w:t>Borloz</w:t>
      </w:r>
      <w:proofErr w:type="spellEnd"/>
      <w:r w:rsidRPr="00B57381">
        <w:t>,</w:t>
      </w:r>
    </w:p>
    <w:p w14:paraId="7BBDC974" w14:textId="030E74FB" w:rsidR="006C0E65" w:rsidRPr="00B57381" w:rsidRDefault="006C0E65" w:rsidP="00B84E5E">
      <w:pPr>
        <w:spacing w:before="100" w:beforeAutospacing="1" w:after="100" w:afterAutospacing="1"/>
        <w:outlineLvl w:val="1"/>
      </w:pPr>
      <w:r w:rsidRPr="00B57381">
        <w:t xml:space="preserve">Thank you for the opportunity to provide input </w:t>
      </w:r>
      <w:r w:rsidR="00A6158E" w:rsidRPr="00B57381">
        <w:t>for</w:t>
      </w:r>
      <w:r w:rsidRPr="00B57381">
        <w:t xml:space="preserve"> </w:t>
      </w:r>
      <w:r w:rsidRPr="00B57381">
        <w:t xml:space="preserve">your </w:t>
      </w:r>
      <w:r w:rsidR="00A6158E" w:rsidRPr="009A359B">
        <w:rPr>
          <w:rFonts w:eastAsiaTheme="minorHAnsi"/>
        </w:rPr>
        <w:t>forthcoming thematic</w:t>
      </w:r>
      <w:r w:rsidR="005F4F05" w:rsidRPr="00B57381">
        <w:rPr>
          <w:rFonts w:eastAsiaTheme="minorHAnsi"/>
        </w:rPr>
        <w:t xml:space="preserve"> report</w:t>
      </w:r>
      <w:r w:rsidR="003A6A40" w:rsidRPr="00B57381">
        <w:rPr>
          <w:rFonts w:eastAsiaTheme="minorHAnsi"/>
        </w:rPr>
        <w:t xml:space="preserve"> on</w:t>
      </w:r>
      <w:r w:rsidR="00A6158E" w:rsidRPr="009A359B">
        <w:rPr>
          <w:rFonts w:eastAsiaTheme="minorHAnsi"/>
        </w:rPr>
        <w:t xml:space="preserve"> </w:t>
      </w:r>
      <w:r w:rsidRPr="00B57381">
        <w:t>exploring the right to freedom of religion or belief (</w:t>
      </w:r>
      <w:proofErr w:type="spellStart"/>
      <w:r w:rsidRPr="00B57381">
        <w:t>FoRB</w:t>
      </w:r>
      <w:proofErr w:type="spellEnd"/>
      <w:r w:rsidRPr="00B57381">
        <w:t xml:space="preserve">) in relation to sexual orientation and gender identity (SOGI). </w:t>
      </w:r>
    </w:p>
    <w:p w14:paraId="15FD80E8" w14:textId="798DAD69" w:rsidR="00A6158E" w:rsidRPr="00B57381" w:rsidRDefault="00A6158E" w:rsidP="00B84E5E">
      <w:r w:rsidRPr="00B57381">
        <w:rPr>
          <w:rFonts w:eastAsiaTheme="minorHAnsi"/>
        </w:rPr>
        <w:t xml:space="preserve">Family Watch International, a non-governmental organization </w:t>
      </w:r>
      <w:r w:rsidRPr="00B57381">
        <w:t xml:space="preserve">with special consultative status with </w:t>
      </w:r>
      <w:r w:rsidRPr="00B57381">
        <w:rPr>
          <w:rFonts w:eastAsiaTheme="minorHAnsi"/>
        </w:rPr>
        <w:t>the Economic and Social Council of the United Nations,</w:t>
      </w:r>
      <w:r w:rsidR="00D95923" w:rsidRPr="00B57381">
        <w:rPr>
          <w:rStyle w:val="FootnoteReference"/>
          <w:rFonts w:eastAsiaTheme="minorHAnsi"/>
        </w:rPr>
        <w:footnoteReference w:id="1"/>
      </w:r>
      <w:r w:rsidRPr="00B57381">
        <w:rPr>
          <w:rFonts w:eastAsiaTheme="minorHAnsi"/>
        </w:rPr>
        <w:t xml:space="preserve"> and the UN Family Rights Caucus promote and protect fundamental human rights for all people in accordance with the nine core international human rights instruments and the founding documents of the UN.</w:t>
      </w:r>
      <w:r w:rsidR="002F330F" w:rsidRPr="00B57381">
        <w:rPr>
          <w:rStyle w:val="FootnoteReference"/>
          <w:rFonts w:eastAsiaTheme="minorHAnsi"/>
        </w:rPr>
        <w:footnoteReference w:id="2"/>
      </w:r>
      <w:r w:rsidRPr="00B57381">
        <w:rPr>
          <w:rFonts w:eastAsiaTheme="minorHAnsi"/>
        </w:rPr>
        <w:t xml:space="preserve"> </w:t>
      </w:r>
    </w:p>
    <w:p w14:paraId="585ABFF4" w14:textId="206D5D5E" w:rsidR="006C0E65" w:rsidRPr="00B57381" w:rsidRDefault="006C0E65" w:rsidP="00B84E5E">
      <w:pPr>
        <w:spacing w:before="100" w:beforeAutospacing="1" w:after="100" w:afterAutospacing="1"/>
        <w:outlineLvl w:val="1"/>
      </w:pPr>
      <w:r w:rsidRPr="00B57381">
        <w:t>We unequivocally condemn violence, harassment and unjust discrimination against all individuals</w:t>
      </w:r>
      <w:r w:rsidR="00F12E64" w:rsidRPr="00B57381">
        <w:t xml:space="preserve"> regardless of sexual orientation or gender identity</w:t>
      </w:r>
      <w:r w:rsidRPr="00B57381">
        <w:t>.</w:t>
      </w:r>
    </w:p>
    <w:p w14:paraId="792571FD" w14:textId="43AE2FCE" w:rsidR="00C63F21" w:rsidRPr="00B57381" w:rsidRDefault="00C63F21" w:rsidP="00B84E5E">
      <w:pPr>
        <w:spacing w:before="100" w:beforeAutospacing="1" w:after="100" w:afterAutospacing="1"/>
        <w:outlineLvl w:val="1"/>
      </w:pPr>
      <w:r w:rsidRPr="00B57381">
        <w:t xml:space="preserve">It is encouraging that </w:t>
      </w:r>
      <w:r w:rsidR="00C91DED" w:rsidRPr="00B57381">
        <w:t>the independent expert</w:t>
      </w:r>
      <w:r w:rsidRPr="00B57381">
        <w:t xml:space="preserve"> recognize</w:t>
      </w:r>
      <w:r w:rsidR="00C91DED" w:rsidRPr="00B57381">
        <w:t>s</w:t>
      </w:r>
      <w:r w:rsidR="000A0618" w:rsidRPr="00B57381">
        <w:t xml:space="preserve"> and acknowledge</w:t>
      </w:r>
      <w:r w:rsidR="00C91DED" w:rsidRPr="00B57381">
        <w:t>s</w:t>
      </w:r>
      <w:r w:rsidRPr="00B57381">
        <w:t xml:space="preserve"> that the </w:t>
      </w:r>
      <w:r w:rsidR="000A0618" w:rsidRPr="00B57381">
        <w:t>investigation</w:t>
      </w:r>
      <w:r w:rsidRPr="00B57381">
        <w:t xml:space="preserve"> of this topic should be grounded in international human rights law. UN human rights instruments are very clear on the topic of freedom of religion or belief.</w:t>
      </w:r>
    </w:p>
    <w:p w14:paraId="58CF1C5E" w14:textId="45C60F84" w:rsidR="000A0618" w:rsidRPr="00B57381" w:rsidRDefault="0062655B" w:rsidP="00B84E5E">
      <w:pPr>
        <w:spacing w:before="100" w:beforeAutospacing="1" w:after="100" w:afterAutospacing="1"/>
        <w:outlineLvl w:val="1"/>
        <w:rPr>
          <w:b/>
          <w:bCs/>
        </w:rPr>
      </w:pPr>
      <w:r w:rsidRPr="00B57381">
        <w:t>For example:</w:t>
      </w:r>
    </w:p>
    <w:p w14:paraId="580086C2" w14:textId="77777777" w:rsidR="00CF2AC0" w:rsidRPr="00B57381" w:rsidRDefault="00CF2AC0" w:rsidP="00B84E5E">
      <w:pPr>
        <w:pStyle w:val="Heading1"/>
        <w:rPr>
          <w:rFonts w:ascii="Times New Roman" w:hAnsi="Times New Roman" w:cs="Times New Roman"/>
          <w:b/>
          <w:bCs/>
          <w:color w:val="auto"/>
          <w:sz w:val="24"/>
          <w:szCs w:val="24"/>
        </w:rPr>
      </w:pPr>
      <w:r w:rsidRPr="00B57381">
        <w:rPr>
          <w:rFonts w:ascii="Times New Roman" w:hAnsi="Times New Roman" w:cs="Times New Roman"/>
          <w:b/>
          <w:bCs/>
          <w:color w:val="auto"/>
          <w:sz w:val="24"/>
          <w:szCs w:val="24"/>
        </w:rPr>
        <w:t>International Convention on the Protection of the Rights of All Migrant Workers and Members of Their Families</w:t>
      </w:r>
    </w:p>
    <w:p w14:paraId="60ECB45F" w14:textId="77777777" w:rsidR="00CF2AC0" w:rsidRPr="00B57381" w:rsidRDefault="00CF2AC0" w:rsidP="00B84E5E">
      <w:pPr>
        <w:pStyle w:val="Heading3"/>
        <w:rPr>
          <w:rFonts w:ascii="Times New Roman" w:hAnsi="Times New Roman" w:cs="Times New Roman"/>
          <w:b/>
          <w:bCs/>
          <w:color w:val="auto"/>
        </w:rPr>
      </w:pPr>
    </w:p>
    <w:p w14:paraId="2834A0FD" w14:textId="2F04A9A4" w:rsidR="00CF2AC0" w:rsidRPr="00B57381" w:rsidRDefault="00CF2AC0" w:rsidP="00B84E5E">
      <w:pPr>
        <w:pStyle w:val="Heading3"/>
        <w:rPr>
          <w:rFonts w:ascii="Times New Roman" w:hAnsi="Times New Roman" w:cs="Times New Roman"/>
          <w:color w:val="auto"/>
        </w:rPr>
      </w:pPr>
      <w:r w:rsidRPr="00B57381">
        <w:rPr>
          <w:rFonts w:ascii="Times New Roman" w:hAnsi="Times New Roman" w:cs="Times New Roman"/>
          <w:b/>
          <w:bCs/>
          <w:color w:val="auto"/>
        </w:rPr>
        <w:t>Article 12</w:t>
      </w:r>
    </w:p>
    <w:p w14:paraId="0610D0A5" w14:textId="77777777" w:rsidR="00CF2AC0" w:rsidRPr="00B57381" w:rsidRDefault="00CF2AC0" w:rsidP="00B84E5E">
      <w:pPr>
        <w:pStyle w:val="NormalWeb"/>
        <w:ind w:left="720"/>
      </w:pPr>
      <w:r w:rsidRPr="00B57381">
        <w:t xml:space="preserve">1. Migrant workers and members of their families shall have </w:t>
      </w:r>
      <w:r w:rsidRPr="00B57381">
        <w:rPr>
          <w:b/>
          <w:bCs/>
        </w:rPr>
        <w:t>the right to freedom of thought, conscience and religion.</w:t>
      </w:r>
      <w:r w:rsidRPr="00B57381">
        <w:t xml:space="preserve"> This right shall include </w:t>
      </w:r>
      <w:r w:rsidRPr="00B57381">
        <w:rPr>
          <w:b/>
          <w:bCs/>
        </w:rPr>
        <w:t>freedom to have or to adopt a religion or belief of their choice</w:t>
      </w:r>
      <w:r w:rsidRPr="00B57381">
        <w:t xml:space="preserve"> and </w:t>
      </w:r>
      <w:r w:rsidRPr="00B57381">
        <w:rPr>
          <w:b/>
          <w:bCs/>
        </w:rPr>
        <w:t>freedom either individually or in community with others and in public or private to manifest their religion or belief in worship, observance, practice and teaching.</w:t>
      </w:r>
    </w:p>
    <w:p w14:paraId="4E210F66" w14:textId="77777777" w:rsidR="00CF2AC0" w:rsidRPr="00B57381" w:rsidRDefault="00CF2AC0" w:rsidP="00B84E5E">
      <w:pPr>
        <w:pStyle w:val="NormalWeb"/>
        <w:ind w:left="720"/>
        <w:rPr>
          <w:b/>
          <w:bCs/>
        </w:rPr>
      </w:pPr>
      <w:r w:rsidRPr="00B57381">
        <w:lastRenderedPageBreak/>
        <w:t xml:space="preserve">2. Migrant workers and members of their families </w:t>
      </w:r>
      <w:r w:rsidRPr="00B57381">
        <w:rPr>
          <w:b/>
          <w:bCs/>
        </w:rPr>
        <w:t>shall not be subject to coercion that would impair their freedom to have or to adopt a religion or belief of their choice.</w:t>
      </w:r>
    </w:p>
    <w:p w14:paraId="6558A481" w14:textId="2919CDE2" w:rsidR="00CF2AC0" w:rsidRPr="00B57381" w:rsidRDefault="00CF2AC0" w:rsidP="00B84E5E">
      <w:pPr>
        <w:pStyle w:val="NormalWeb"/>
        <w:ind w:left="720"/>
      </w:pPr>
      <w:r w:rsidRPr="00B57381">
        <w:t xml:space="preserve">3. Freedom to manifest one's religion or belief may be subject only to such limitations as are prescribed by law and are necessary to protect public safety, order, health or morals or the </w:t>
      </w:r>
      <w:r w:rsidRPr="00B57381">
        <w:rPr>
          <w:b/>
          <w:bCs/>
        </w:rPr>
        <w:t>fundamental rights and freedoms</w:t>
      </w:r>
      <w:r w:rsidRPr="00B57381">
        <w:t xml:space="preserve"> of others.</w:t>
      </w:r>
      <w:r w:rsidR="003B1ED7" w:rsidRPr="00B57381">
        <w:rPr>
          <w:rStyle w:val="FootnoteReference"/>
        </w:rPr>
        <w:footnoteReference w:id="3"/>
      </w:r>
      <w:r w:rsidR="0062655B" w:rsidRPr="00B57381">
        <w:t xml:space="preserve"> </w:t>
      </w:r>
    </w:p>
    <w:p w14:paraId="14ABCAA6" w14:textId="77777777" w:rsidR="00CF2AC0" w:rsidRPr="00B57381" w:rsidRDefault="00CF2AC0" w:rsidP="00B84E5E">
      <w:pPr>
        <w:pStyle w:val="NormalWeb"/>
        <w:ind w:left="720"/>
      </w:pPr>
      <w:r w:rsidRPr="00B57381">
        <w:t xml:space="preserve">4. States Parties to the present Convention undertake to have respect for the liberty of parents, at least one of whom is a migrant worker, and, when applicable, legal guardians </w:t>
      </w:r>
      <w:r w:rsidRPr="00B57381">
        <w:rPr>
          <w:b/>
          <w:bCs/>
        </w:rPr>
        <w:t>to ensure the religious and moral education of their children in conformity with their own convictions.</w:t>
      </w:r>
    </w:p>
    <w:p w14:paraId="17D475CE" w14:textId="77777777" w:rsidR="00CF2AC0" w:rsidRPr="00B57381" w:rsidRDefault="00CF2AC0" w:rsidP="00B84E5E">
      <w:pPr>
        <w:pStyle w:val="Heading1"/>
        <w:rPr>
          <w:rFonts w:ascii="Times New Roman" w:hAnsi="Times New Roman" w:cs="Times New Roman"/>
          <w:b/>
          <w:bCs/>
          <w:color w:val="auto"/>
          <w:sz w:val="24"/>
          <w:szCs w:val="24"/>
        </w:rPr>
      </w:pPr>
      <w:r w:rsidRPr="00B57381">
        <w:rPr>
          <w:rFonts w:ascii="Times New Roman" w:hAnsi="Times New Roman" w:cs="Times New Roman"/>
          <w:b/>
          <w:bCs/>
          <w:color w:val="auto"/>
          <w:sz w:val="24"/>
          <w:szCs w:val="24"/>
        </w:rPr>
        <w:t>Convention on the Rights of the Child</w:t>
      </w:r>
    </w:p>
    <w:p w14:paraId="31534025" w14:textId="77777777" w:rsidR="00CF2AC0" w:rsidRPr="00B57381" w:rsidRDefault="00CF2AC0" w:rsidP="00B84E5E">
      <w:pPr>
        <w:pStyle w:val="Heading3"/>
        <w:rPr>
          <w:rFonts w:ascii="Times New Roman" w:hAnsi="Times New Roman" w:cs="Times New Roman"/>
          <w:b/>
          <w:bCs/>
          <w:color w:val="auto"/>
        </w:rPr>
      </w:pPr>
    </w:p>
    <w:p w14:paraId="5EC43C4E" w14:textId="24BE3DBD" w:rsidR="00CF2AC0" w:rsidRPr="00B57381" w:rsidRDefault="00CF2AC0" w:rsidP="00B84E5E">
      <w:pPr>
        <w:pStyle w:val="Heading3"/>
        <w:rPr>
          <w:rFonts w:ascii="Times New Roman" w:hAnsi="Times New Roman" w:cs="Times New Roman"/>
          <w:color w:val="auto"/>
        </w:rPr>
      </w:pPr>
      <w:r w:rsidRPr="00B57381">
        <w:rPr>
          <w:rFonts w:ascii="Times New Roman" w:hAnsi="Times New Roman" w:cs="Times New Roman"/>
          <w:b/>
          <w:bCs/>
          <w:color w:val="auto"/>
        </w:rPr>
        <w:t>Article 14</w:t>
      </w:r>
    </w:p>
    <w:p w14:paraId="294A56ED" w14:textId="77777777" w:rsidR="00CF2AC0" w:rsidRPr="00B57381" w:rsidRDefault="00CF2AC0" w:rsidP="00B84E5E">
      <w:pPr>
        <w:pStyle w:val="NormalWeb"/>
        <w:ind w:left="720"/>
        <w:rPr>
          <w:b/>
          <w:bCs/>
        </w:rPr>
      </w:pPr>
      <w:r w:rsidRPr="00B57381">
        <w:t xml:space="preserve">1. States Parties shall respect </w:t>
      </w:r>
      <w:r w:rsidRPr="00B57381">
        <w:rPr>
          <w:b/>
          <w:bCs/>
        </w:rPr>
        <w:t>the right of the child to freedom of thought, conscience and religion.</w:t>
      </w:r>
    </w:p>
    <w:p w14:paraId="1E24921D" w14:textId="028ED068" w:rsidR="00CF2AC0" w:rsidRPr="00B57381" w:rsidRDefault="00CF2AC0" w:rsidP="00B84E5E">
      <w:pPr>
        <w:pStyle w:val="NormalWeb"/>
        <w:ind w:left="720"/>
      </w:pPr>
      <w:r w:rsidRPr="00B57381">
        <w:t xml:space="preserve">3. Freedom to manifest one's religion or beliefs may be subject only to such limitations as are prescribed by law and are necessary to protect public safety, order, health or morals, or the </w:t>
      </w:r>
      <w:r w:rsidRPr="00B57381">
        <w:rPr>
          <w:b/>
          <w:bCs/>
        </w:rPr>
        <w:t>fundamental rights and freedoms</w:t>
      </w:r>
      <w:r w:rsidRPr="00B57381">
        <w:t xml:space="preserve"> of others.</w:t>
      </w:r>
      <w:r w:rsidR="007F7CA8" w:rsidRPr="00B57381">
        <w:rPr>
          <w:rStyle w:val="FootnoteReference"/>
        </w:rPr>
        <w:footnoteReference w:id="4"/>
      </w:r>
      <w:r w:rsidR="0062655B" w:rsidRPr="00B57381">
        <w:t xml:space="preserve"> </w:t>
      </w:r>
    </w:p>
    <w:p w14:paraId="32B97CDD" w14:textId="77777777" w:rsidR="00CF2AC0" w:rsidRPr="00B57381" w:rsidRDefault="00CF2AC0" w:rsidP="00B84E5E">
      <w:pPr>
        <w:pStyle w:val="Heading3"/>
        <w:rPr>
          <w:rFonts w:ascii="Times New Roman" w:hAnsi="Times New Roman" w:cs="Times New Roman"/>
          <w:color w:val="auto"/>
        </w:rPr>
      </w:pPr>
      <w:r w:rsidRPr="00B57381">
        <w:rPr>
          <w:rFonts w:ascii="Times New Roman" w:hAnsi="Times New Roman" w:cs="Times New Roman"/>
          <w:b/>
          <w:bCs/>
          <w:color w:val="auto"/>
        </w:rPr>
        <w:t>Article 30</w:t>
      </w:r>
    </w:p>
    <w:p w14:paraId="10F8063A" w14:textId="77777777" w:rsidR="00CF2AC0" w:rsidRPr="00B57381" w:rsidRDefault="00CF2AC0" w:rsidP="00B84E5E">
      <w:pPr>
        <w:pStyle w:val="NormalWeb"/>
        <w:ind w:left="720"/>
      </w:pPr>
      <w:r w:rsidRPr="00B57381">
        <w:t xml:space="preserve">In those States in which ethnic, religious or linguistic minorities or persons of indigenous origin exist, </w:t>
      </w:r>
      <w:r w:rsidRPr="00B57381">
        <w:rPr>
          <w:b/>
          <w:bCs/>
        </w:rPr>
        <w:t>a child belonging to such a minority or who is indigenous shall not be denied the right,</w:t>
      </w:r>
      <w:r w:rsidRPr="00B57381">
        <w:t xml:space="preserve"> in community with other members of his or her group, to enjoy his or her own culture, </w:t>
      </w:r>
      <w:r w:rsidRPr="00B57381">
        <w:rPr>
          <w:b/>
          <w:bCs/>
        </w:rPr>
        <w:t xml:space="preserve">to profess and </w:t>
      </w:r>
      <w:proofErr w:type="spellStart"/>
      <w:r w:rsidRPr="00B57381">
        <w:rPr>
          <w:b/>
          <w:bCs/>
        </w:rPr>
        <w:t>practise</w:t>
      </w:r>
      <w:proofErr w:type="spellEnd"/>
      <w:r w:rsidRPr="00B57381">
        <w:rPr>
          <w:b/>
          <w:bCs/>
        </w:rPr>
        <w:t xml:space="preserve"> his or her own religion,</w:t>
      </w:r>
      <w:r w:rsidRPr="00B57381">
        <w:t xml:space="preserve"> or to use his or her own language.</w:t>
      </w:r>
    </w:p>
    <w:p w14:paraId="2F850405" w14:textId="77777777" w:rsidR="000D5605" w:rsidRPr="00B57381" w:rsidRDefault="000D5605" w:rsidP="00B84E5E">
      <w:pPr>
        <w:pStyle w:val="Heading1"/>
        <w:rPr>
          <w:rFonts w:ascii="Times New Roman" w:hAnsi="Times New Roman" w:cs="Times New Roman"/>
          <w:b/>
          <w:bCs/>
          <w:color w:val="auto"/>
          <w:sz w:val="24"/>
          <w:szCs w:val="24"/>
        </w:rPr>
      </w:pPr>
      <w:r w:rsidRPr="00B57381">
        <w:rPr>
          <w:rFonts w:ascii="Times New Roman" w:hAnsi="Times New Roman" w:cs="Times New Roman"/>
          <w:b/>
          <w:bCs/>
          <w:color w:val="auto"/>
          <w:sz w:val="24"/>
          <w:szCs w:val="24"/>
        </w:rPr>
        <w:t>International Covenant on Civil and Political Rights</w:t>
      </w:r>
    </w:p>
    <w:p w14:paraId="54499C22" w14:textId="26F7B186" w:rsidR="006C0E65" w:rsidRPr="00B57381" w:rsidRDefault="006C0E65" w:rsidP="00B84E5E"/>
    <w:p w14:paraId="1C973563" w14:textId="77777777" w:rsidR="00CF2AC0" w:rsidRPr="00B57381" w:rsidRDefault="00CF2AC0" w:rsidP="00B84E5E">
      <w:pPr>
        <w:pStyle w:val="Heading4"/>
        <w:rPr>
          <w:rFonts w:ascii="Times New Roman" w:hAnsi="Times New Roman" w:cs="Times New Roman"/>
          <w:i w:val="0"/>
          <w:iCs w:val="0"/>
          <w:color w:val="auto"/>
        </w:rPr>
      </w:pPr>
      <w:r w:rsidRPr="00B57381">
        <w:rPr>
          <w:rFonts w:ascii="Times New Roman" w:hAnsi="Times New Roman" w:cs="Times New Roman"/>
          <w:b/>
          <w:bCs/>
          <w:i w:val="0"/>
          <w:iCs w:val="0"/>
          <w:color w:val="auto"/>
        </w:rPr>
        <w:t>Article 18</w:t>
      </w:r>
    </w:p>
    <w:p w14:paraId="6FE7D4DB" w14:textId="7BFC4CC3" w:rsidR="00CF2AC0" w:rsidRPr="00B57381" w:rsidRDefault="00CF2AC0" w:rsidP="00B84E5E">
      <w:pPr>
        <w:pStyle w:val="NormalWeb"/>
        <w:ind w:left="720"/>
      </w:pPr>
      <w:r w:rsidRPr="00B57381">
        <w:t xml:space="preserve">1. </w:t>
      </w:r>
      <w:r w:rsidRPr="00B57381">
        <w:rPr>
          <w:b/>
          <w:bCs/>
        </w:rPr>
        <w:t>Everyone shall have the right to freedom of thought, conscience and religion.</w:t>
      </w:r>
      <w:r w:rsidRPr="00B57381">
        <w:t xml:space="preserve"> This right shall </w:t>
      </w:r>
      <w:r w:rsidRPr="00B57381">
        <w:rPr>
          <w:b/>
          <w:bCs/>
        </w:rPr>
        <w:t>include freedom to have or to adopt a religion or belief of his choice, and freedom,</w:t>
      </w:r>
      <w:r w:rsidRPr="00B57381">
        <w:t xml:space="preserve"> either individually or in community with others and in public or private, </w:t>
      </w:r>
      <w:r w:rsidRPr="00B57381">
        <w:rPr>
          <w:b/>
          <w:bCs/>
        </w:rPr>
        <w:t>to manifest his religion or belief in worship, observance, practice and teaching.</w:t>
      </w:r>
    </w:p>
    <w:p w14:paraId="2BDDBC40" w14:textId="77777777" w:rsidR="00CF2AC0" w:rsidRPr="00B57381" w:rsidRDefault="00CF2AC0" w:rsidP="00B84E5E">
      <w:pPr>
        <w:pStyle w:val="NormalWeb"/>
        <w:ind w:left="720"/>
        <w:rPr>
          <w:b/>
          <w:bCs/>
        </w:rPr>
      </w:pPr>
      <w:r w:rsidRPr="00B57381">
        <w:t xml:space="preserve">2. </w:t>
      </w:r>
      <w:r w:rsidRPr="00B57381">
        <w:rPr>
          <w:b/>
          <w:bCs/>
        </w:rPr>
        <w:t>No one shall be subject to coercion which would impair his freedom to have or to adopt a religion or belief of his choice.</w:t>
      </w:r>
    </w:p>
    <w:p w14:paraId="748BA7A8" w14:textId="53E79781" w:rsidR="00CF2AC0" w:rsidRPr="00B57381" w:rsidRDefault="00CF2AC0" w:rsidP="00B84E5E">
      <w:pPr>
        <w:pStyle w:val="NormalWeb"/>
        <w:ind w:left="720"/>
      </w:pPr>
      <w:r w:rsidRPr="00B57381">
        <w:t xml:space="preserve">3. Freedom to manifest one's religion or beliefs may be subject only to such limitations as are prescribed by law and are necessary to protect public safety, order, health, or morals or the </w:t>
      </w:r>
      <w:r w:rsidRPr="00B57381">
        <w:rPr>
          <w:b/>
          <w:bCs/>
        </w:rPr>
        <w:t>fundamental rights and freedoms</w:t>
      </w:r>
      <w:r w:rsidRPr="00B57381">
        <w:t xml:space="preserve"> of others.</w:t>
      </w:r>
      <w:r w:rsidR="007F7CA8" w:rsidRPr="00B57381">
        <w:rPr>
          <w:rStyle w:val="FootnoteReference"/>
        </w:rPr>
        <w:footnoteReference w:id="5"/>
      </w:r>
      <w:r w:rsidR="0062655B" w:rsidRPr="00B57381">
        <w:t xml:space="preserve"> </w:t>
      </w:r>
    </w:p>
    <w:p w14:paraId="2CABD204" w14:textId="77777777" w:rsidR="00CF2AC0" w:rsidRPr="00B57381" w:rsidRDefault="00CF2AC0" w:rsidP="00B84E5E">
      <w:pPr>
        <w:pStyle w:val="NormalWeb"/>
        <w:ind w:left="720"/>
        <w:rPr>
          <w:b/>
          <w:bCs/>
        </w:rPr>
      </w:pPr>
      <w:r w:rsidRPr="00B57381">
        <w:lastRenderedPageBreak/>
        <w:t xml:space="preserve">4. The States Parties to the present Covenant undertake to have </w:t>
      </w:r>
      <w:r w:rsidRPr="00B57381">
        <w:rPr>
          <w:b/>
          <w:bCs/>
        </w:rPr>
        <w:t>respect for the liberty of parents and, when applicable, legal guardians to ensure the religious and moral education of their children in conformity with their own convictions.</w:t>
      </w:r>
    </w:p>
    <w:p w14:paraId="4DDFB286" w14:textId="6739D59D" w:rsidR="000D5605" w:rsidRPr="00B57381" w:rsidRDefault="000D5605" w:rsidP="00B84E5E">
      <w:pPr>
        <w:pStyle w:val="Heading4"/>
        <w:rPr>
          <w:rFonts w:ascii="Times New Roman" w:hAnsi="Times New Roman" w:cs="Times New Roman"/>
          <w:i w:val="0"/>
          <w:iCs w:val="0"/>
          <w:color w:val="auto"/>
        </w:rPr>
      </w:pPr>
      <w:r w:rsidRPr="00B57381">
        <w:rPr>
          <w:rFonts w:ascii="Times New Roman" w:hAnsi="Times New Roman" w:cs="Times New Roman"/>
          <w:b/>
          <w:bCs/>
          <w:i w:val="0"/>
          <w:iCs w:val="0"/>
          <w:color w:val="auto"/>
        </w:rPr>
        <w:t>Article 2</w:t>
      </w:r>
      <w:r w:rsidR="005E77D0" w:rsidRPr="00B57381">
        <w:rPr>
          <w:rFonts w:ascii="Times New Roman" w:hAnsi="Times New Roman" w:cs="Times New Roman"/>
          <w:b/>
          <w:bCs/>
          <w:i w:val="0"/>
          <w:iCs w:val="0"/>
          <w:color w:val="auto"/>
        </w:rPr>
        <w:t>7</w:t>
      </w:r>
    </w:p>
    <w:p w14:paraId="2C863BF2" w14:textId="77777777" w:rsidR="000D5605" w:rsidRPr="00B57381" w:rsidRDefault="000D5605" w:rsidP="00B84E5E">
      <w:pPr>
        <w:pStyle w:val="NormalWeb"/>
        <w:ind w:left="720"/>
      </w:pPr>
      <w:r w:rsidRPr="00B57381">
        <w:t xml:space="preserve">In those States in which </w:t>
      </w:r>
      <w:r w:rsidRPr="00B57381">
        <w:rPr>
          <w:b/>
          <w:bCs/>
        </w:rPr>
        <w:t>ethnic, religious or linguistic minorities</w:t>
      </w:r>
      <w:r w:rsidRPr="00B57381">
        <w:t xml:space="preserve"> exist, persons belonging to such minorities </w:t>
      </w:r>
      <w:r w:rsidRPr="00B57381">
        <w:rPr>
          <w:b/>
          <w:bCs/>
        </w:rPr>
        <w:t>shall not be denied the right</w:t>
      </w:r>
      <w:r w:rsidRPr="00B57381">
        <w:t xml:space="preserve">, in community with the other members of their group, to enjoy their own culture, </w:t>
      </w:r>
      <w:r w:rsidRPr="00B57381">
        <w:rPr>
          <w:b/>
          <w:bCs/>
        </w:rPr>
        <w:t xml:space="preserve">to profess and </w:t>
      </w:r>
      <w:proofErr w:type="spellStart"/>
      <w:r w:rsidRPr="00B57381">
        <w:rPr>
          <w:b/>
          <w:bCs/>
        </w:rPr>
        <w:t>practise</w:t>
      </w:r>
      <w:proofErr w:type="spellEnd"/>
      <w:r w:rsidRPr="00B57381">
        <w:rPr>
          <w:b/>
          <w:bCs/>
        </w:rPr>
        <w:t xml:space="preserve"> their own religion</w:t>
      </w:r>
      <w:r w:rsidRPr="00B57381">
        <w:t>, or to use their own language.</w:t>
      </w:r>
    </w:p>
    <w:p w14:paraId="21C50E79" w14:textId="77777777" w:rsidR="000D5605" w:rsidRPr="00B57381" w:rsidRDefault="000D5605" w:rsidP="00B84E5E">
      <w:pPr>
        <w:pStyle w:val="Heading1"/>
        <w:rPr>
          <w:rFonts w:ascii="Times New Roman" w:hAnsi="Times New Roman" w:cs="Times New Roman"/>
          <w:b/>
          <w:bCs/>
          <w:color w:val="auto"/>
          <w:sz w:val="24"/>
          <w:szCs w:val="24"/>
        </w:rPr>
      </w:pPr>
      <w:r w:rsidRPr="00B57381">
        <w:rPr>
          <w:rFonts w:ascii="Times New Roman" w:hAnsi="Times New Roman" w:cs="Times New Roman"/>
          <w:b/>
          <w:bCs/>
          <w:color w:val="auto"/>
          <w:sz w:val="24"/>
          <w:szCs w:val="24"/>
        </w:rPr>
        <w:t>International Convention on the Elimination of All Forms of Racial Discrimination</w:t>
      </w:r>
    </w:p>
    <w:p w14:paraId="7E269188" w14:textId="0B5C315D" w:rsidR="000D5605" w:rsidRPr="00B57381" w:rsidRDefault="005E77D0" w:rsidP="00B84E5E">
      <w:pPr>
        <w:pStyle w:val="Heading4"/>
        <w:rPr>
          <w:rFonts w:ascii="Times New Roman" w:hAnsi="Times New Roman" w:cs="Times New Roman"/>
          <w:i w:val="0"/>
          <w:iCs w:val="0"/>
          <w:color w:val="auto"/>
        </w:rPr>
      </w:pPr>
      <w:r w:rsidRPr="00B57381">
        <w:rPr>
          <w:rFonts w:ascii="Times New Roman" w:hAnsi="Times New Roman" w:cs="Times New Roman"/>
          <w:b/>
          <w:bCs/>
          <w:color w:val="auto"/>
        </w:rPr>
        <w:br/>
      </w:r>
      <w:r w:rsidR="000D5605" w:rsidRPr="00B57381">
        <w:rPr>
          <w:rFonts w:ascii="Times New Roman" w:hAnsi="Times New Roman" w:cs="Times New Roman"/>
          <w:b/>
          <w:bCs/>
          <w:i w:val="0"/>
          <w:iCs w:val="0"/>
          <w:color w:val="auto"/>
        </w:rPr>
        <w:t>Article 5</w:t>
      </w:r>
    </w:p>
    <w:p w14:paraId="28AA029F" w14:textId="77777777" w:rsidR="000D5605" w:rsidRPr="00B57381" w:rsidRDefault="000D5605" w:rsidP="00B84E5E">
      <w:pPr>
        <w:pStyle w:val="NormalWeb"/>
        <w:ind w:left="720"/>
      </w:pPr>
      <w:r w:rsidRPr="00B57381">
        <w:t xml:space="preserve">In compliance with the fundamental obligations laid down in article 2 of this Convention, States Parties undertake to prohibit and to eliminate racial discrimination in all its forms and to </w:t>
      </w:r>
      <w:r w:rsidRPr="00B57381">
        <w:rPr>
          <w:b/>
          <w:bCs/>
        </w:rPr>
        <w:t>guarantee the right of everyone</w:t>
      </w:r>
      <w:r w:rsidRPr="00B57381">
        <w:t xml:space="preserve">, without distinction as to race, </w:t>
      </w:r>
      <w:proofErr w:type="spellStart"/>
      <w:r w:rsidRPr="00B57381">
        <w:t>colour</w:t>
      </w:r>
      <w:proofErr w:type="spellEnd"/>
      <w:r w:rsidRPr="00B57381">
        <w:t>, or national or ethnic origin, to equality before the law, notably in the enjoyment of the following rights:</w:t>
      </w:r>
    </w:p>
    <w:p w14:paraId="4B6B4A25" w14:textId="77777777" w:rsidR="000D5605" w:rsidRPr="00B57381" w:rsidRDefault="000D5605" w:rsidP="00B84E5E">
      <w:pPr>
        <w:pStyle w:val="NormalWeb"/>
        <w:ind w:left="720"/>
      </w:pPr>
      <w:r w:rsidRPr="00B57381">
        <w:t xml:space="preserve">(vii) </w:t>
      </w:r>
      <w:r w:rsidRPr="00B57381">
        <w:rPr>
          <w:b/>
          <w:bCs/>
        </w:rPr>
        <w:t>The right to freedom of thought, conscience and religion</w:t>
      </w:r>
      <w:r w:rsidRPr="00B57381">
        <w:t>;</w:t>
      </w:r>
    </w:p>
    <w:p w14:paraId="00884AC0" w14:textId="77777777" w:rsidR="000A0618" w:rsidRPr="00B57381" w:rsidRDefault="000A0618" w:rsidP="00B84E5E">
      <w:pPr>
        <w:pStyle w:val="Heading1"/>
        <w:shd w:val="clear" w:color="auto" w:fill="FFFFFF"/>
        <w:rPr>
          <w:rFonts w:ascii="Times New Roman" w:hAnsi="Times New Roman" w:cs="Times New Roman"/>
          <w:b/>
          <w:bCs/>
          <w:color w:val="auto"/>
          <w:sz w:val="24"/>
          <w:szCs w:val="24"/>
        </w:rPr>
      </w:pPr>
      <w:r w:rsidRPr="00B57381">
        <w:rPr>
          <w:rFonts w:ascii="Times New Roman" w:hAnsi="Times New Roman" w:cs="Times New Roman"/>
          <w:b/>
          <w:bCs/>
          <w:color w:val="auto"/>
          <w:sz w:val="24"/>
          <w:szCs w:val="24"/>
        </w:rPr>
        <w:t>Universal Declaration of Human Rights</w:t>
      </w:r>
    </w:p>
    <w:p w14:paraId="62729E37" w14:textId="77777777" w:rsidR="000A0618" w:rsidRPr="00B57381" w:rsidRDefault="000A0618" w:rsidP="00B84E5E">
      <w:pPr>
        <w:pStyle w:val="Heading2"/>
        <w:shd w:val="clear" w:color="auto" w:fill="FFFFFF"/>
        <w:rPr>
          <w:spacing w:val="-12"/>
          <w:sz w:val="24"/>
          <w:szCs w:val="24"/>
        </w:rPr>
      </w:pPr>
      <w:r w:rsidRPr="00B57381">
        <w:rPr>
          <w:spacing w:val="-12"/>
          <w:sz w:val="24"/>
          <w:szCs w:val="24"/>
        </w:rPr>
        <w:t>Article 18</w:t>
      </w:r>
    </w:p>
    <w:p w14:paraId="11D46B1B" w14:textId="5B118570" w:rsidR="00CF2AC0" w:rsidRPr="00B57381" w:rsidRDefault="000A0618" w:rsidP="00B84E5E">
      <w:pPr>
        <w:pStyle w:val="NormalWeb"/>
        <w:shd w:val="clear" w:color="auto" w:fill="FFFFFF"/>
        <w:ind w:left="720"/>
        <w:rPr>
          <w:spacing w:val="-5"/>
        </w:rPr>
      </w:pPr>
      <w:r w:rsidRPr="00B57381">
        <w:rPr>
          <w:b/>
          <w:bCs/>
          <w:spacing w:val="-5"/>
        </w:rPr>
        <w:t>Everyone has the right to freedom of thought, conscience and religion</w:t>
      </w:r>
      <w:r w:rsidRPr="00B57381">
        <w:rPr>
          <w:spacing w:val="-5"/>
        </w:rPr>
        <w:t>; this right includes freedom to change his religion or belief, and freedom, either alone or in community with others and in public or private, to manifest his religion or belief in teaching, practice, worship and observance.</w:t>
      </w:r>
    </w:p>
    <w:p w14:paraId="4A390309" w14:textId="0D520FE7" w:rsidR="005E77D0" w:rsidRPr="00B57381" w:rsidRDefault="005E77D0" w:rsidP="00B84E5E">
      <w:pPr>
        <w:pStyle w:val="NormalWeb"/>
        <w:shd w:val="clear" w:color="auto" w:fill="FFFFFF"/>
        <w:rPr>
          <w:spacing w:val="-5"/>
        </w:rPr>
      </w:pPr>
      <w:r w:rsidRPr="00B57381">
        <w:rPr>
          <w:spacing w:val="-5"/>
        </w:rPr>
        <w:t>Clearly</w:t>
      </w:r>
      <w:r w:rsidR="00C65779" w:rsidRPr="00B57381">
        <w:rPr>
          <w:spacing w:val="-5"/>
        </w:rPr>
        <w:t>,</w:t>
      </w:r>
      <w:r w:rsidRPr="00B57381">
        <w:rPr>
          <w:spacing w:val="-5"/>
        </w:rPr>
        <w:t xml:space="preserve"> </w:t>
      </w:r>
      <w:r w:rsidR="007079E0" w:rsidRPr="00B57381">
        <w:rPr>
          <w:spacing w:val="-5"/>
        </w:rPr>
        <w:t xml:space="preserve">it is undeniable </w:t>
      </w:r>
      <w:r w:rsidRPr="00B57381">
        <w:rPr>
          <w:spacing w:val="-5"/>
        </w:rPr>
        <w:t>that the freedom of religion or belief is</w:t>
      </w:r>
      <w:r w:rsidR="00891641" w:rsidRPr="00B57381">
        <w:rPr>
          <w:spacing w:val="-5"/>
        </w:rPr>
        <w:t xml:space="preserve"> enshrined as an</w:t>
      </w:r>
      <w:r w:rsidR="000B2621" w:rsidRPr="00B57381">
        <w:rPr>
          <w:spacing w:val="-5"/>
        </w:rPr>
        <w:t xml:space="preserve"> absolute,</w:t>
      </w:r>
      <w:r w:rsidR="00891641" w:rsidRPr="00B57381">
        <w:rPr>
          <w:spacing w:val="-5"/>
        </w:rPr>
        <w:t xml:space="preserve"> inalienable</w:t>
      </w:r>
      <w:r w:rsidR="002844F8" w:rsidRPr="00B57381">
        <w:rPr>
          <w:spacing w:val="-5"/>
        </w:rPr>
        <w:t>,</w:t>
      </w:r>
      <w:r w:rsidR="00891641" w:rsidRPr="00B57381">
        <w:rPr>
          <w:spacing w:val="-5"/>
        </w:rPr>
        <w:t xml:space="preserve"> international human right as laid out in </w:t>
      </w:r>
      <w:r w:rsidR="007079E0" w:rsidRPr="00B57381">
        <w:rPr>
          <w:spacing w:val="-5"/>
        </w:rPr>
        <w:t>multiple</w:t>
      </w:r>
      <w:r w:rsidR="00891641" w:rsidRPr="00B57381">
        <w:rPr>
          <w:spacing w:val="-5"/>
        </w:rPr>
        <w:t xml:space="preserve"> internationally recognized human rights instruments</w:t>
      </w:r>
      <w:r w:rsidR="007079E0" w:rsidRPr="00B57381">
        <w:rPr>
          <w:spacing w:val="-5"/>
        </w:rPr>
        <w:t xml:space="preserve"> negotiated by UN Member States</w:t>
      </w:r>
      <w:r w:rsidR="00891641" w:rsidRPr="00B57381">
        <w:rPr>
          <w:spacing w:val="-5"/>
        </w:rPr>
        <w:t>.</w:t>
      </w:r>
    </w:p>
    <w:p w14:paraId="78BCEE2D" w14:textId="4C94A619" w:rsidR="007079E0" w:rsidRPr="00B57381" w:rsidRDefault="007079E0" w:rsidP="00B84E5E">
      <w:pPr>
        <w:pStyle w:val="Heading2"/>
        <w:shd w:val="clear" w:color="auto" w:fill="FFFFFF"/>
        <w:rPr>
          <w:b w:val="0"/>
          <w:bCs w:val="0"/>
          <w:sz w:val="24"/>
          <w:szCs w:val="24"/>
        </w:rPr>
      </w:pPr>
      <w:r w:rsidRPr="00B57381">
        <w:rPr>
          <w:b w:val="0"/>
          <w:bCs w:val="0"/>
          <w:spacing w:val="-5"/>
          <w:sz w:val="24"/>
          <w:szCs w:val="24"/>
        </w:rPr>
        <w:t xml:space="preserve">On the other hand, </w:t>
      </w:r>
      <w:r w:rsidR="008E35CE" w:rsidRPr="00B57381">
        <w:rPr>
          <w:b w:val="0"/>
          <w:bCs w:val="0"/>
          <w:sz w:val="24"/>
          <w:szCs w:val="24"/>
        </w:rPr>
        <w:t>w</w:t>
      </w:r>
      <w:r w:rsidR="008E35CE" w:rsidRPr="00B57381">
        <w:rPr>
          <w:b w:val="0"/>
          <w:bCs w:val="0"/>
          <w:sz w:val="24"/>
          <w:szCs w:val="24"/>
        </w:rPr>
        <w:t xml:space="preserve">hile we promote equal rights and treatment for all, including the right to freedom from violence and unjust discrimination, we do not support </w:t>
      </w:r>
      <w:r w:rsidR="008E35CE" w:rsidRPr="00B57381">
        <w:rPr>
          <w:b w:val="0"/>
          <w:bCs w:val="0"/>
          <w:i/>
          <w:iCs/>
          <w:sz w:val="24"/>
          <w:szCs w:val="24"/>
        </w:rPr>
        <w:t>special</w:t>
      </w:r>
      <w:r w:rsidR="008E35CE" w:rsidRPr="00B57381">
        <w:rPr>
          <w:b w:val="0"/>
          <w:bCs w:val="0"/>
          <w:sz w:val="24"/>
          <w:szCs w:val="24"/>
        </w:rPr>
        <w:t xml:space="preserve"> rights and treatment based on behaviors or feelings, and these </w:t>
      </w:r>
      <w:r w:rsidR="008E35CE" w:rsidRPr="00B57381">
        <w:rPr>
          <w:b w:val="0"/>
          <w:bCs w:val="0"/>
          <w:i/>
          <w:iCs/>
          <w:sz w:val="24"/>
          <w:szCs w:val="24"/>
        </w:rPr>
        <w:t>special</w:t>
      </w:r>
      <w:r w:rsidR="008E35CE" w:rsidRPr="00B57381">
        <w:rPr>
          <w:b w:val="0"/>
          <w:bCs w:val="0"/>
          <w:sz w:val="24"/>
          <w:szCs w:val="24"/>
        </w:rPr>
        <w:t xml:space="preserve"> rights are increasingly being put forward as legitimate rights in documents negotiated by</w:t>
      </w:r>
      <w:r w:rsidR="00C65779" w:rsidRPr="00B57381">
        <w:rPr>
          <w:b w:val="0"/>
          <w:bCs w:val="0"/>
          <w:sz w:val="24"/>
          <w:szCs w:val="24"/>
        </w:rPr>
        <w:t xml:space="preserve"> UN</w:t>
      </w:r>
      <w:r w:rsidR="008E35CE" w:rsidRPr="00B57381">
        <w:rPr>
          <w:b w:val="0"/>
          <w:bCs w:val="0"/>
          <w:sz w:val="24"/>
          <w:szCs w:val="24"/>
        </w:rPr>
        <w:t xml:space="preserve"> Member States. </w:t>
      </w:r>
      <w:r w:rsidR="009470A2" w:rsidRPr="00B57381">
        <w:rPr>
          <w:b w:val="0"/>
          <w:bCs w:val="0"/>
          <w:sz w:val="24"/>
          <w:szCs w:val="24"/>
        </w:rPr>
        <w:t>Simply stated, t</w:t>
      </w:r>
      <w:r w:rsidR="008E35CE" w:rsidRPr="00B57381">
        <w:rPr>
          <w:b w:val="0"/>
          <w:bCs w:val="0"/>
          <w:spacing w:val="-5"/>
          <w:sz w:val="24"/>
          <w:szCs w:val="24"/>
        </w:rPr>
        <w:t>h</w:t>
      </w:r>
      <w:r w:rsidRPr="00B57381">
        <w:rPr>
          <w:b w:val="0"/>
          <w:bCs w:val="0"/>
          <w:spacing w:val="-5"/>
          <w:sz w:val="24"/>
          <w:szCs w:val="24"/>
        </w:rPr>
        <w:t>ere is no internationally agreed upon right to engage in the behaviors associated with sexual orientation and gender identity.</w:t>
      </w:r>
    </w:p>
    <w:p w14:paraId="6579F19B" w14:textId="33855D94" w:rsidR="000F1069" w:rsidRPr="00B57381" w:rsidRDefault="00105D7B" w:rsidP="00B84E5E">
      <w:r w:rsidRPr="00B57381">
        <w:rPr>
          <w:spacing w:val="-5"/>
        </w:rPr>
        <w:t>Surely, the redefinition of “other status” by</w:t>
      </w:r>
      <w:r w:rsidR="00DC735F" w:rsidRPr="00B57381">
        <w:rPr>
          <w:spacing w:val="-5"/>
        </w:rPr>
        <w:t xml:space="preserve"> the Committee on </w:t>
      </w:r>
      <w:r w:rsidR="00DC735F" w:rsidRPr="00B57381">
        <w:t>Economic, Social and Cultural Rights</w:t>
      </w:r>
      <w:r w:rsidR="00AE1709" w:rsidRPr="00B57381">
        <w:t xml:space="preserve"> in General Comment #20</w:t>
      </w:r>
      <w:r w:rsidR="00B40725" w:rsidRPr="00B57381">
        <w:t xml:space="preserve"> to magically</w:t>
      </w:r>
      <w:r w:rsidR="00ED74EE" w:rsidRPr="00B57381">
        <w:t xml:space="preserve"> (</w:t>
      </w:r>
      <w:r w:rsidR="00C106AF" w:rsidRPr="00B57381">
        <w:t>now decades later</w:t>
      </w:r>
      <w:r w:rsidR="00ED74EE" w:rsidRPr="00B57381">
        <w:t>)</w:t>
      </w:r>
      <w:r w:rsidR="00B40725" w:rsidRPr="00B57381">
        <w:t xml:space="preserve"> include sexual orientation and gender identity can be considered nothing more than the opinion of a handful of unelected, </w:t>
      </w:r>
      <w:r w:rsidR="00B40725" w:rsidRPr="00B57381">
        <w:lastRenderedPageBreak/>
        <w:t>unaccountable individuals</w:t>
      </w:r>
      <w:r w:rsidR="00ED74EE" w:rsidRPr="00B57381">
        <w:t>.</w:t>
      </w:r>
      <w:r w:rsidR="00B93282" w:rsidRPr="00B57381">
        <w:t xml:space="preserve"> T</w:t>
      </w:r>
      <w:r w:rsidR="00B40725" w:rsidRPr="00B57381">
        <w:t>his interpretation</w:t>
      </w:r>
      <w:r w:rsidR="003D2BCB" w:rsidRPr="00B57381">
        <w:t xml:space="preserve"> of the term “other status”</w:t>
      </w:r>
      <w:r w:rsidR="00B40725" w:rsidRPr="00B57381">
        <w:t xml:space="preserve"> has never been agreed to by State parties to this treaty. </w:t>
      </w:r>
    </w:p>
    <w:p w14:paraId="55EAB3CD" w14:textId="77777777" w:rsidR="000F1069" w:rsidRPr="00B57381" w:rsidRDefault="000F1069" w:rsidP="00B84E5E"/>
    <w:p w14:paraId="754438BA" w14:textId="5F5F0E58" w:rsidR="00060B0E" w:rsidRPr="00B57381" w:rsidRDefault="00B11172" w:rsidP="00B744B9">
      <w:pPr>
        <w:rPr>
          <w:spacing w:val="-5"/>
        </w:rPr>
      </w:pPr>
      <w:r w:rsidRPr="00B57381">
        <w:rPr>
          <w:iCs/>
        </w:rPr>
        <w:t xml:space="preserve">General Comment #4 on “Adolescent Health and Development in the Context of the Convention on the Rights of the Child (CRC)” issued by the CRC Committee makes a similar claim—that States cannot discriminate based on the following categories listed in article 2 of the CRC: </w:t>
      </w:r>
      <w:r w:rsidRPr="00B57381">
        <w:rPr>
          <w:lang w:val="en-GB"/>
        </w:rPr>
        <w:t>“race, colour, sex, language, religion, political or other opinion, national, ethnic or social origin, property, disability, birth or other status</w:t>
      </w:r>
      <w:r w:rsidRPr="00B57381">
        <w:rPr>
          <w:i/>
          <w:iCs/>
          <w:lang w:val="en-GB"/>
        </w:rPr>
        <w:t>.</w:t>
      </w:r>
      <w:r w:rsidRPr="00B57381">
        <w:rPr>
          <w:iCs/>
          <w:lang w:val="en-GB"/>
        </w:rPr>
        <w:t xml:space="preserve">” Comment #4 then adds this ultra vires statement: </w:t>
      </w:r>
      <w:r w:rsidRPr="00B57381">
        <w:rPr>
          <w:i/>
          <w:iCs/>
          <w:lang w:val="en-GB"/>
        </w:rPr>
        <w:t>“These grounds also cover adolescents’ sexual orientation and health status</w:t>
      </w:r>
      <w:r w:rsidRPr="00B57381">
        <w:rPr>
          <w:iCs/>
          <w:lang w:val="en-GB"/>
        </w:rPr>
        <w:t>…</w:t>
      </w:r>
      <w:r w:rsidR="00456DF2" w:rsidRPr="00B57381">
        <w:rPr>
          <w:iCs/>
          <w:lang w:val="en-GB"/>
        </w:rPr>
        <w:t>,</w:t>
      </w:r>
      <w:r w:rsidRPr="00B57381">
        <w:rPr>
          <w:i/>
          <w:iCs/>
          <w:lang w:val="en-GB"/>
        </w:rPr>
        <w:t>”</w:t>
      </w:r>
      <w:r w:rsidRPr="00B57381">
        <w:rPr>
          <w:iCs/>
          <w:lang w:val="en-GB"/>
        </w:rPr>
        <w:t xml:space="preserve"> </w:t>
      </w:r>
      <w:r w:rsidR="00BC5EA7" w:rsidRPr="00B57381">
        <w:rPr>
          <w:iCs/>
          <w:lang w:val="en-GB"/>
        </w:rPr>
        <w:t>yet</w:t>
      </w:r>
      <w:r w:rsidRPr="00B57381">
        <w:rPr>
          <w:iCs/>
          <w:lang w:val="en-GB"/>
        </w:rPr>
        <w:t xml:space="preserve"> the CRC says nothing about sexual orientation. </w:t>
      </w:r>
      <w:r w:rsidR="00B84E5E" w:rsidRPr="00B57381">
        <w:rPr>
          <w:iCs/>
          <w:lang w:val="en-GB"/>
        </w:rPr>
        <w:br/>
      </w:r>
      <w:r w:rsidR="00B84E5E" w:rsidRPr="00B57381">
        <w:rPr>
          <w:iCs/>
          <w:lang w:val="en-GB"/>
        </w:rPr>
        <w:br/>
      </w:r>
      <w:r w:rsidR="000F077C" w:rsidRPr="00B57381">
        <w:rPr>
          <w:spacing w:val="-5"/>
        </w:rPr>
        <w:t xml:space="preserve">Likewise, </w:t>
      </w:r>
      <w:r w:rsidR="00C56DBD" w:rsidRPr="00B57381">
        <w:rPr>
          <w:spacing w:val="-5"/>
        </w:rPr>
        <w:t>an emerging</w:t>
      </w:r>
      <w:r w:rsidR="00740A13" w:rsidRPr="00B57381">
        <w:rPr>
          <w:spacing w:val="-5"/>
        </w:rPr>
        <w:t xml:space="preserve"> trend </w:t>
      </w:r>
      <w:r w:rsidR="00E70BE0" w:rsidRPr="00B57381">
        <w:rPr>
          <w:spacing w:val="-5"/>
        </w:rPr>
        <w:t>to</w:t>
      </w:r>
      <w:r w:rsidR="003064C6" w:rsidRPr="00B57381">
        <w:rPr>
          <w:spacing w:val="-5"/>
        </w:rPr>
        <w:t xml:space="preserve"> attempt to </w:t>
      </w:r>
      <w:r w:rsidR="000F077C" w:rsidRPr="00B57381">
        <w:rPr>
          <w:spacing w:val="-5"/>
        </w:rPr>
        <w:t>redefin</w:t>
      </w:r>
      <w:r w:rsidR="003064C6" w:rsidRPr="00B57381">
        <w:rPr>
          <w:spacing w:val="-5"/>
        </w:rPr>
        <w:t>e</w:t>
      </w:r>
      <w:r w:rsidR="000F077C" w:rsidRPr="00B57381">
        <w:rPr>
          <w:spacing w:val="-5"/>
        </w:rPr>
        <w:t xml:space="preserve"> the word “gender”</w:t>
      </w:r>
      <w:r w:rsidR="008D1995" w:rsidRPr="00B57381">
        <w:rPr>
          <w:spacing w:val="-5"/>
        </w:rPr>
        <w:t xml:space="preserve"> </w:t>
      </w:r>
      <w:r w:rsidR="008D1995" w:rsidRPr="00B57381">
        <w:rPr>
          <w:spacing w:val="-5"/>
        </w:rPr>
        <w:t>by treaty bodies</w:t>
      </w:r>
      <w:r w:rsidR="00D729FC" w:rsidRPr="00B57381">
        <w:rPr>
          <w:spacing w:val="-5"/>
        </w:rPr>
        <w:t>,</w:t>
      </w:r>
      <w:r w:rsidR="008D1995" w:rsidRPr="00B57381">
        <w:rPr>
          <w:spacing w:val="-5"/>
        </w:rPr>
        <w:t xml:space="preserve"> special procedures mandate holders</w:t>
      </w:r>
      <w:r w:rsidR="00D729FC" w:rsidRPr="00B57381">
        <w:rPr>
          <w:spacing w:val="-5"/>
        </w:rPr>
        <w:t xml:space="preserve">, and UN agencies </w:t>
      </w:r>
      <w:r w:rsidR="006759AF" w:rsidRPr="00B57381">
        <w:rPr>
          <w:spacing w:val="-5"/>
        </w:rPr>
        <w:t xml:space="preserve">to include transgender individuals </w:t>
      </w:r>
      <w:r w:rsidR="00D42C2F" w:rsidRPr="00B57381">
        <w:rPr>
          <w:spacing w:val="-5"/>
        </w:rPr>
        <w:t>is concerning.</w:t>
      </w:r>
      <w:r w:rsidR="00E830A5" w:rsidRPr="00B57381">
        <w:rPr>
          <w:spacing w:val="-5"/>
        </w:rPr>
        <w:t xml:space="preserve"> This </w:t>
      </w:r>
      <w:r w:rsidR="000227DE" w:rsidRPr="00B57381">
        <w:rPr>
          <w:spacing w:val="-5"/>
        </w:rPr>
        <w:t xml:space="preserve">redefinition of “gender” </w:t>
      </w:r>
      <w:r w:rsidR="00793C0D" w:rsidRPr="00BC6CEA">
        <w:rPr>
          <w:rFonts w:eastAsiaTheme="minorHAnsi"/>
        </w:rPr>
        <w:t>undermine</w:t>
      </w:r>
      <w:r w:rsidR="00793C0D" w:rsidRPr="00B57381">
        <w:rPr>
          <w:rFonts w:eastAsiaTheme="minorHAnsi"/>
        </w:rPr>
        <w:t>s</w:t>
      </w:r>
      <w:r w:rsidR="00793C0D" w:rsidRPr="00BC6CEA">
        <w:rPr>
          <w:rFonts w:eastAsiaTheme="minorHAnsi"/>
        </w:rPr>
        <w:t xml:space="preserve"> the hard-earned gains and sex-based rights for which women have tirelessly worked for decades. </w:t>
      </w:r>
      <w:r w:rsidR="00B84E5E" w:rsidRPr="00B57381">
        <w:rPr>
          <w:rFonts w:eastAsiaTheme="minorHAnsi"/>
        </w:rPr>
        <w:br/>
      </w:r>
      <w:r w:rsidR="00B84E5E" w:rsidRPr="00B57381">
        <w:rPr>
          <w:rFonts w:eastAsiaTheme="minorHAnsi"/>
        </w:rPr>
        <w:br/>
      </w:r>
      <w:r w:rsidR="003064C6" w:rsidRPr="003064C6">
        <w:rPr>
          <w:rFonts w:eastAsiaTheme="minorHAnsi"/>
        </w:rPr>
        <w:t>In eight of the nine core international human rights instruments mentioned previously, taken together, the word “gender” appears exactly one time (only in the context of mandating balanced representation on the CPED committee).</w:t>
      </w:r>
      <w:r w:rsidR="003C5855" w:rsidRPr="00B57381">
        <w:rPr>
          <w:rStyle w:val="FootnoteReference"/>
          <w:rFonts w:eastAsiaTheme="minorHAnsi"/>
        </w:rPr>
        <w:footnoteReference w:id="6"/>
      </w:r>
      <w:r w:rsidR="003064C6" w:rsidRPr="003064C6">
        <w:rPr>
          <w:rFonts w:eastAsiaTheme="minorHAnsi"/>
        </w:rPr>
        <w:t xml:space="preserve"> Further, the Charter of the United Nations and the Universal Declaration of Human Rights also make no mention of “gender.” However, the word </w:t>
      </w:r>
      <w:r w:rsidR="003064C6" w:rsidRPr="00B57381">
        <w:rPr>
          <w:rFonts w:eastAsiaTheme="minorHAnsi"/>
        </w:rPr>
        <w:t>“sex” or “sexes” appears in these documents a total of 22 times, which says a great deal about the intent of the framers of these foundational UN documents.</w:t>
      </w:r>
      <w:r w:rsidR="006D11AA" w:rsidRPr="00B57381">
        <w:rPr>
          <w:rFonts w:eastAsiaTheme="minorHAnsi"/>
        </w:rPr>
        <w:br/>
      </w:r>
      <w:r w:rsidR="006D11AA" w:rsidRPr="00B57381">
        <w:rPr>
          <w:rFonts w:eastAsiaTheme="minorHAnsi"/>
        </w:rPr>
        <w:br/>
      </w:r>
      <w:r w:rsidR="00060B0E" w:rsidRPr="00B57381">
        <w:rPr>
          <w:spacing w:val="-5"/>
        </w:rPr>
        <w:t>Yet another</w:t>
      </w:r>
      <w:r w:rsidR="00E84998" w:rsidRPr="00B57381">
        <w:rPr>
          <w:spacing w:val="-5"/>
        </w:rPr>
        <w:t xml:space="preserve"> redefinition </w:t>
      </w:r>
      <w:r w:rsidR="00B54064" w:rsidRPr="00B57381">
        <w:rPr>
          <w:spacing w:val="-5"/>
        </w:rPr>
        <w:t>emerging</w:t>
      </w:r>
      <w:r w:rsidR="00E84998" w:rsidRPr="00B57381">
        <w:rPr>
          <w:spacing w:val="-5"/>
        </w:rPr>
        <w:t xml:space="preserve"> in recent years is the </w:t>
      </w:r>
      <w:r w:rsidR="001661E1" w:rsidRPr="00B57381">
        <w:rPr>
          <w:spacing w:val="-5"/>
        </w:rPr>
        <w:t>“v</w:t>
      </w:r>
      <w:r w:rsidR="00C977F3" w:rsidRPr="00B57381">
        <w:rPr>
          <w:spacing w:val="-5"/>
        </w:rPr>
        <w:t>iolence.</w:t>
      </w:r>
      <w:r w:rsidR="001661E1" w:rsidRPr="00B57381">
        <w:rPr>
          <w:spacing w:val="-5"/>
        </w:rPr>
        <w:t>”</w:t>
      </w:r>
      <w:r w:rsidR="00C977F3" w:rsidRPr="00B57381">
        <w:rPr>
          <w:spacing w:val="-5"/>
        </w:rPr>
        <w:t xml:space="preserve"> It </w:t>
      </w:r>
      <w:r w:rsidR="002407F0" w:rsidRPr="00B57381">
        <w:rPr>
          <w:spacing w:val="-5"/>
        </w:rPr>
        <w:t>was once universally understood to mean</w:t>
      </w:r>
      <w:r w:rsidR="00342EC6" w:rsidRPr="00B57381">
        <w:rPr>
          <w:spacing w:val="-5"/>
        </w:rPr>
        <w:t xml:space="preserve"> intense</w:t>
      </w:r>
      <w:r w:rsidR="00C8584C" w:rsidRPr="00B57381">
        <w:rPr>
          <w:spacing w:val="-5"/>
        </w:rPr>
        <w:t xml:space="preserve"> physical</w:t>
      </w:r>
      <w:r w:rsidR="00342EC6" w:rsidRPr="00B57381">
        <w:rPr>
          <w:spacing w:val="-5"/>
        </w:rPr>
        <w:t xml:space="preserve"> </w:t>
      </w:r>
      <w:r w:rsidR="00C8584C" w:rsidRPr="00B57381">
        <w:rPr>
          <w:spacing w:val="-5"/>
        </w:rPr>
        <w:t>force</w:t>
      </w:r>
      <w:r w:rsidR="00E740B5" w:rsidRPr="00B57381">
        <w:rPr>
          <w:spacing w:val="-5"/>
        </w:rPr>
        <w:t xml:space="preserve"> that causes</w:t>
      </w:r>
      <w:r w:rsidR="00612931" w:rsidRPr="00B57381">
        <w:rPr>
          <w:spacing w:val="-5"/>
        </w:rPr>
        <w:t xml:space="preserve"> bodily</w:t>
      </w:r>
      <w:r w:rsidR="00E740B5" w:rsidRPr="00B57381">
        <w:rPr>
          <w:spacing w:val="-5"/>
        </w:rPr>
        <w:t xml:space="preserve"> injury, damage or destruction.</w:t>
      </w:r>
      <w:r w:rsidR="00FD5359" w:rsidRPr="00B57381">
        <w:rPr>
          <w:spacing w:val="-5"/>
        </w:rPr>
        <w:t xml:space="preserve"> </w:t>
      </w:r>
      <w:r w:rsidR="00612931" w:rsidRPr="00B57381">
        <w:rPr>
          <w:spacing w:val="-5"/>
        </w:rPr>
        <w:t>It is</w:t>
      </w:r>
      <w:r w:rsidR="001661E1" w:rsidRPr="00B57381">
        <w:rPr>
          <w:spacing w:val="-5"/>
        </w:rPr>
        <w:t xml:space="preserve"> also</w:t>
      </w:r>
      <w:r w:rsidR="00612931" w:rsidRPr="00B57381">
        <w:rPr>
          <w:spacing w:val="-5"/>
        </w:rPr>
        <w:t xml:space="preserve"> understood to include psychological </w:t>
      </w:r>
      <w:r w:rsidR="006F5599" w:rsidRPr="00B57381">
        <w:rPr>
          <w:spacing w:val="-5"/>
        </w:rPr>
        <w:t>abuse which encompasses chronic verbal aggression.</w:t>
      </w:r>
      <w:r w:rsidR="003C6DE7" w:rsidRPr="00B57381">
        <w:rPr>
          <w:spacing w:val="-5"/>
        </w:rPr>
        <w:t xml:space="preserve"> </w:t>
      </w:r>
      <w:r w:rsidR="006F5599" w:rsidRPr="00B57381">
        <w:rPr>
          <w:spacing w:val="-5"/>
        </w:rPr>
        <w:t xml:space="preserve">“Violence” </w:t>
      </w:r>
      <w:r w:rsidR="00FD5359" w:rsidRPr="00B57381">
        <w:rPr>
          <w:spacing w:val="-5"/>
        </w:rPr>
        <w:t>has</w:t>
      </w:r>
      <w:r w:rsidR="00AD04BF" w:rsidRPr="00B57381">
        <w:rPr>
          <w:spacing w:val="-5"/>
        </w:rPr>
        <w:t xml:space="preserve"> now</w:t>
      </w:r>
      <w:r w:rsidR="00FD5359" w:rsidRPr="00B57381">
        <w:rPr>
          <w:spacing w:val="-5"/>
        </w:rPr>
        <w:t xml:space="preserve"> been redefined to include any act that hurts someone’s feelings.</w:t>
      </w:r>
    </w:p>
    <w:p w14:paraId="76CEDA23" w14:textId="0C158AFC" w:rsidR="00E90ECE" w:rsidRPr="00B57381" w:rsidRDefault="003D531B" w:rsidP="005E77D0">
      <w:pPr>
        <w:pStyle w:val="NormalWeb"/>
        <w:shd w:val="clear" w:color="auto" w:fill="FFFFFF"/>
        <w:rPr>
          <w:spacing w:val="-5"/>
        </w:rPr>
      </w:pPr>
      <w:r w:rsidRPr="00B57381">
        <w:rPr>
          <w:spacing w:val="-5"/>
        </w:rPr>
        <w:t xml:space="preserve">The reality is that </w:t>
      </w:r>
      <w:r w:rsidR="00117F2A" w:rsidRPr="00B57381">
        <w:rPr>
          <w:spacing w:val="-5"/>
        </w:rPr>
        <w:t xml:space="preserve">while </w:t>
      </w:r>
      <w:r w:rsidRPr="00B57381">
        <w:rPr>
          <w:spacing w:val="-5"/>
        </w:rPr>
        <w:t>all people are equal, should be treated equally, with equal human rights</w:t>
      </w:r>
      <w:r w:rsidR="00117F2A" w:rsidRPr="00B57381">
        <w:rPr>
          <w:spacing w:val="-5"/>
        </w:rPr>
        <w:t xml:space="preserve">, all </w:t>
      </w:r>
      <w:r w:rsidRPr="00B57381">
        <w:rPr>
          <w:spacing w:val="-5"/>
        </w:rPr>
        <w:t>behaviors and choices are not equal</w:t>
      </w:r>
      <w:r w:rsidR="00E77CA3" w:rsidRPr="00B57381">
        <w:rPr>
          <w:spacing w:val="-5"/>
        </w:rPr>
        <w:t xml:space="preserve"> and do not result in the same benefits to individuals and society</w:t>
      </w:r>
      <w:r w:rsidRPr="00B57381">
        <w:rPr>
          <w:spacing w:val="-5"/>
        </w:rPr>
        <w:t>.</w:t>
      </w:r>
      <w:r w:rsidR="009C0DA5" w:rsidRPr="00B57381">
        <w:rPr>
          <w:spacing w:val="-5"/>
        </w:rPr>
        <w:t xml:space="preserve"> </w:t>
      </w:r>
      <w:r w:rsidR="00EE2DF3" w:rsidRPr="00B57381">
        <w:rPr>
          <w:spacing w:val="-5"/>
        </w:rPr>
        <w:t>And there is indeed an actual point of tension when a right for an individual to not have their feelings hurt trumps another individual’s right to d</w:t>
      </w:r>
      <w:r w:rsidR="00E90ECE" w:rsidRPr="00B57381">
        <w:rPr>
          <w:spacing w:val="-5"/>
        </w:rPr>
        <w:t>eeply held religious</w:t>
      </w:r>
      <w:r w:rsidR="00EE2DF3" w:rsidRPr="00B57381">
        <w:rPr>
          <w:spacing w:val="-5"/>
        </w:rPr>
        <w:t xml:space="preserve"> beliefs</w:t>
      </w:r>
      <w:r w:rsidR="00E90ECE" w:rsidRPr="00B57381">
        <w:rPr>
          <w:spacing w:val="-5"/>
        </w:rPr>
        <w:t xml:space="preserve"> regarding marriage and sexual expression</w:t>
      </w:r>
      <w:r w:rsidR="009323D4" w:rsidRPr="00B57381">
        <w:rPr>
          <w:spacing w:val="-5"/>
        </w:rPr>
        <w:t>—religious beliefs</w:t>
      </w:r>
      <w:r w:rsidR="00FA02D0" w:rsidRPr="00B57381">
        <w:rPr>
          <w:spacing w:val="-5"/>
        </w:rPr>
        <w:t xml:space="preserve"> that are</w:t>
      </w:r>
      <w:r w:rsidR="00B5623B" w:rsidRPr="00B57381">
        <w:rPr>
          <w:spacing w:val="-5"/>
        </w:rPr>
        <w:t xml:space="preserve"> </w:t>
      </w:r>
      <w:r w:rsidR="00DC2353" w:rsidRPr="00B57381">
        <w:rPr>
          <w:spacing w:val="-5"/>
        </w:rPr>
        <w:t xml:space="preserve">indisputably </w:t>
      </w:r>
      <w:r w:rsidR="009323D4" w:rsidRPr="00B57381">
        <w:rPr>
          <w:spacing w:val="-5"/>
        </w:rPr>
        <w:t>protected</w:t>
      </w:r>
      <w:r w:rsidR="00B5623B" w:rsidRPr="00B57381">
        <w:rPr>
          <w:spacing w:val="-5"/>
        </w:rPr>
        <w:t xml:space="preserve"> in international law</w:t>
      </w:r>
      <w:r w:rsidR="00EE2DF3" w:rsidRPr="00B57381">
        <w:rPr>
          <w:spacing w:val="-5"/>
        </w:rPr>
        <w:t>.</w:t>
      </w:r>
    </w:p>
    <w:p w14:paraId="73E92873" w14:textId="26AD8348" w:rsidR="003C3023" w:rsidRPr="00B57381" w:rsidRDefault="00E77028" w:rsidP="005E77D0">
      <w:pPr>
        <w:pStyle w:val="NormalWeb"/>
        <w:shd w:val="clear" w:color="auto" w:fill="FFFFFF"/>
        <w:rPr>
          <w:spacing w:val="-5"/>
        </w:rPr>
      </w:pPr>
      <w:r w:rsidRPr="00B57381">
        <w:rPr>
          <w:spacing w:val="-5"/>
        </w:rPr>
        <w:t xml:space="preserve">There are </w:t>
      </w:r>
      <w:r w:rsidR="00300D64" w:rsidRPr="00B57381">
        <w:rPr>
          <w:spacing w:val="-5"/>
        </w:rPr>
        <w:t>significant reasons why the freedom of religion or belief should be</w:t>
      </w:r>
      <w:r w:rsidR="003C3023" w:rsidRPr="00B57381">
        <w:rPr>
          <w:spacing w:val="-5"/>
        </w:rPr>
        <w:t xml:space="preserve"> protected at all costs. Decades of s</w:t>
      </w:r>
      <w:r w:rsidR="00434DD6" w:rsidRPr="00B57381">
        <w:rPr>
          <w:spacing w:val="-5"/>
        </w:rPr>
        <w:t xml:space="preserve">ocial </w:t>
      </w:r>
      <w:r w:rsidR="009F55F2" w:rsidRPr="00B57381">
        <w:rPr>
          <w:spacing w:val="-5"/>
        </w:rPr>
        <w:t>science research provides a wealth of data confirming the benefits of religious observance</w:t>
      </w:r>
      <w:r w:rsidR="003C3023" w:rsidRPr="00B57381">
        <w:rPr>
          <w:spacing w:val="-5"/>
        </w:rPr>
        <w:t xml:space="preserve">. </w:t>
      </w:r>
    </w:p>
    <w:p w14:paraId="287FBB5D" w14:textId="16B68A6D" w:rsidR="00344057" w:rsidRPr="00B57381" w:rsidRDefault="003C3023" w:rsidP="005E77D0">
      <w:pPr>
        <w:pStyle w:val="NormalWeb"/>
        <w:shd w:val="clear" w:color="auto" w:fill="FFFFFF"/>
        <w:rPr>
          <w:spacing w:val="-5"/>
        </w:rPr>
      </w:pPr>
      <w:r w:rsidRPr="00B57381">
        <w:rPr>
          <w:spacing w:val="-5"/>
        </w:rPr>
        <w:t>For example:</w:t>
      </w:r>
    </w:p>
    <w:p w14:paraId="26DA91E1" w14:textId="58F76FCB" w:rsidR="00C760B5" w:rsidRPr="00B57381" w:rsidRDefault="00C760B5" w:rsidP="003B29BB">
      <w:pPr>
        <w:pStyle w:val="NormalWeb"/>
        <w:numPr>
          <w:ilvl w:val="0"/>
          <w:numId w:val="3"/>
        </w:numPr>
        <w:shd w:val="clear" w:color="auto" w:fill="FFFFFF"/>
        <w:spacing w:before="0" w:beforeAutospacing="0" w:after="0" w:afterAutospacing="0"/>
        <w:rPr>
          <w:spacing w:val="-5"/>
        </w:rPr>
      </w:pPr>
      <w:r w:rsidRPr="00B57381">
        <w:rPr>
          <w:spacing w:val="-5"/>
        </w:rPr>
        <w:t>Increased physical health</w:t>
      </w:r>
      <w:r w:rsidR="003D15F8" w:rsidRPr="00B57381">
        <w:rPr>
          <w:rStyle w:val="FootnoteReference"/>
          <w:spacing w:val="-5"/>
        </w:rPr>
        <w:footnoteReference w:id="7"/>
      </w:r>
    </w:p>
    <w:p w14:paraId="68851A39" w14:textId="24F699C9" w:rsidR="00C760B5" w:rsidRPr="00B57381" w:rsidRDefault="00C760B5" w:rsidP="003B29BB">
      <w:pPr>
        <w:pStyle w:val="NormalWeb"/>
        <w:numPr>
          <w:ilvl w:val="0"/>
          <w:numId w:val="3"/>
        </w:numPr>
        <w:shd w:val="clear" w:color="auto" w:fill="FFFFFF"/>
        <w:spacing w:before="0" w:beforeAutospacing="0" w:after="0" w:afterAutospacing="0"/>
        <w:rPr>
          <w:spacing w:val="-5"/>
        </w:rPr>
      </w:pPr>
      <w:r w:rsidRPr="00B57381">
        <w:rPr>
          <w:spacing w:val="-5"/>
        </w:rPr>
        <w:t>Increased mental health</w:t>
      </w:r>
      <w:r w:rsidR="00DC03AE" w:rsidRPr="00B57381">
        <w:rPr>
          <w:rStyle w:val="FootnoteReference"/>
          <w:spacing w:val="-5"/>
        </w:rPr>
        <w:footnoteReference w:id="8"/>
      </w:r>
    </w:p>
    <w:p w14:paraId="072122C6" w14:textId="56B645E9" w:rsidR="004310F9" w:rsidRPr="00B57381" w:rsidRDefault="004310F9" w:rsidP="003B29BB">
      <w:pPr>
        <w:pStyle w:val="NormalWeb"/>
        <w:numPr>
          <w:ilvl w:val="0"/>
          <w:numId w:val="3"/>
        </w:numPr>
        <w:shd w:val="clear" w:color="auto" w:fill="FFFFFF"/>
        <w:spacing w:before="0" w:beforeAutospacing="0" w:after="0" w:afterAutospacing="0"/>
        <w:rPr>
          <w:spacing w:val="-5"/>
        </w:rPr>
      </w:pPr>
      <w:r w:rsidRPr="00B57381">
        <w:rPr>
          <w:spacing w:val="-5"/>
        </w:rPr>
        <w:t>Less depression</w:t>
      </w:r>
      <w:r w:rsidR="0082057A" w:rsidRPr="00B57381">
        <w:rPr>
          <w:rStyle w:val="FootnoteReference"/>
          <w:spacing w:val="-5"/>
        </w:rPr>
        <w:footnoteReference w:id="9"/>
      </w:r>
    </w:p>
    <w:p w14:paraId="49650823" w14:textId="5522C788" w:rsidR="004310F9" w:rsidRPr="00B57381" w:rsidRDefault="004310F9" w:rsidP="003B29BB">
      <w:pPr>
        <w:pStyle w:val="NormalWeb"/>
        <w:numPr>
          <w:ilvl w:val="0"/>
          <w:numId w:val="3"/>
        </w:numPr>
        <w:shd w:val="clear" w:color="auto" w:fill="FFFFFF"/>
        <w:spacing w:before="0" w:beforeAutospacing="0" w:after="0" w:afterAutospacing="0"/>
        <w:rPr>
          <w:spacing w:val="-5"/>
        </w:rPr>
      </w:pPr>
      <w:r w:rsidRPr="00B57381">
        <w:rPr>
          <w:spacing w:val="-5"/>
        </w:rPr>
        <w:t>Less suicide</w:t>
      </w:r>
      <w:r w:rsidR="0038342D" w:rsidRPr="00B57381">
        <w:rPr>
          <w:rStyle w:val="FootnoteReference"/>
          <w:spacing w:val="-5"/>
        </w:rPr>
        <w:footnoteReference w:id="10"/>
      </w:r>
    </w:p>
    <w:p w14:paraId="75299D68" w14:textId="45B07399" w:rsidR="00B03C9B" w:rsidRPr="00B57381" w:rsidRDefault="00B03C9B" w:rsidP="003B29BB">
      <w:pPr>
        <w:pStyle w:val="NormalWeb"/>
        <w:numPr>
          <w:ilvl w:val="0"/>
          <w:numId w:val="3"/>
        </w:numPr>
        <w:shd w:val="clear" w:color="auto" w:fill="FFFFFF"/>
        <w:spacing w:before="0" w:beforeAutospacing="0" w:after="0" w:afterAutospacing="0"/>
        <w:rPr>
          <w:spacing w:val="-5"/>
        </w:rPr>
      </w:pPr>
      <w:r w:rsidRPr="00B57381">
        <w:rPr>
          <w:spacing w:val="-5"/>
        </w:rPr>
        <w:t>Increased self-esteem and well-being</w:t>
      </w:r>
      <w:r w:rsidRPr="00B57381">
        <w:rPr>
          <w:rStyle w:val="FootnoteReference"/>
          <w:spacing w:val="-5"/>
        </w:rPr>
        <w:footnoteReference w:id="11"/>
      </w:r>
    </w:p>
    <w:p w14:paraId="44FD5B01" w14:textId="1F7B5417" w:rsidR="008A218C" w:rsidRPr="00B57381" w:rsidRDefault="008A218C" w:rsidP="003B29BB">
      <w:pPr>
        <w:pStyle w:val="NormalWeb"/>
        <w:numPr>
          <w:ilvl w:val="0"/>
          <w:numId w:val="3"/>
        </w:numPr>
        <w:shd w:val="clear" w:color="auto" w:fill="FFFFFF"/>
        <w:spacing w:before="0" w:beforeAutospacing="0" w:after="0" w:afterAutospacing="0"/>
        <w:rPr>
          <w:spacing w:val="-5"/>
        </w:rPr>
      </w:pPr>
      <w:r w:rsidRPr="00B57381">
        <w:rPr>
          <w:spacing w:val="-5"/>
        </w:rPr>
        <w:t>Decreased mortality rates</w:t>
      </w:r>
      <w:r w:rsidR="00D260C5" w:rsidRPr="00B57381">
        <w:rPr>
          <w:rStyle w:val="FootnoteReference"/>
          <w:spacing w:val="-5"/>
        </w:rPr>
        <w:footnoteReference w:id="12"/>
      </w:r>
    </w:p>
    <w:p w14:paraId="5A6EDE2E" w14:textId="0E0BE4B1" w:rsidR="006F22E5" w:rsidRPr="00B57381" w:rsidRDefault="006F22E5" w:rsidP="003B29BB">
      <w:pPr>
        <w:pStyle w:val="NormalWeb"/>
        <w:numPr>
          <w:ilvl w:val="0"/>
          <w:numId w:val="3"/>
        </w:numPr>
        <w:shd w:val="clear" w:color="auto" w:fill="FFFFFF"/>
        <w:spacing w:before="0" w:beforeAutospacing="0" w:after="0" w:afterAutospacing="0"/>
        <w:rPr>
          <w:spacing w:val="-5"/>
        </w:rPr>
      </w:pPr>
      <w:r w:rsidRPr="00B57381">
        <w:rPr>
          <w:spacing w:val="-5"/>
        </w:rPr>
        <w:lastRenderedPageBreak/>
        <w:t>Greater academic achievement for youth</w:t>
      </w:r>
      <w:r w:rsidRPr="00B57381">
        <w:rPr>
          <w:rStyle w:val="FootnoteReference"/>
          <w:spacing w:val="-5"/>
        </w:rPr>
        <w:footnoteReference w:id="13"/>
      </w:r>
    </w:p>
    <w:p w14:paraId="138C0E88" w14:textId="4DB8A142" w:rsidR="00D83FFF" w:rsidRPr="00B57381" w:rsidRDefault="00D83FFF" w:rsidP="003B29BB">
      <w:pPr>
        <w:pStyle w:val="NormalWeb"/>
        <w:numPr>
          <w:ilvl w:val="0"/>
          <w:numId w:val="3"/>
        </w:numPr>
        <w:shd w:val="clear" w:color="auto" w:fill="FFFFFF"/>
        <w:spacing w:before="0" w:beforeAutospacing="0" w:after="0" w:afterAutospacing="0"/>
        <w:rPr>
          <w:spacing w:val="-5"/>
        </w:rPr>
      </w:pPr>
      <w:r w:rsidRPr="00B57381">
        <w:rPr>
          <w:spacing w:val="-5"/>
        </w:rPr>
        <w:t>Less commission of crime</w:t>
      </w:r>
      <w:r w:rsidRPr="00B57381">
        <w:rPr>
          <w:rStyle w:val="FootnoteReference"/>
          <w:spacing w:val="-5"/>
        </w:rPr>
        <w:footnoteReference w:id="14"/>
      </w:r>
    </w:p>
    <w:p w14:paraId="2C61F8F3" w14:textId="6E312D80" w:rsidR="004C0F5A" w:rsidRPr="00B57381" w:rsidRDefault="004C0F5A" w:rsidP="003B29BB">
      <w:pPr>
        <w:pStyle w:val="NormalWeb"/>
        <w:numPr>
          <w:ilvl w:val="0"/>
          <w:numId w:val="3"/>
        </w:numPr>
        <w:shd w:val="clear" w:color="auto" w:fill="FFFFFF"/>
        <w:spacing w:before="0" w:beforeAutospacing="0" w:after="0" w:afterAutospacing="0"/>
        <w:rPr>
          <w:spacing w:val="-5"/>
        </w:rPr>
      </w:pPr>
      <w:r w:rsidRPr="00B57381">
        <w:rPr>
          <w:spacing w:val="-5"/>
        </w:rPr>
        <w:t>Less substance abuse</w:t>
      </w:r>
      <w:r w:rsidRPr="00B57381">
        <w:rPr>
          <w:rStyle w:val="FootnoteReference"/>
          <w:spacing w:val="-5"/>
        </w:rPr>
        <w:footnoteReference w:id="15"/>
      </w:r>
    </w:p>
    <w:p w14:paraId="7656112F" w14:textId="77777777" w:rsidR="00B744B9" w:rsidRPr="00B57381" w:rsidRDefault="00B744B9" w:rsidP="00B744B9">
      <w:pPr>
        <w:pStyle w:val="ListParagraph"/>
        <w:rPr>
          <w:rFonts w:eastAsiaTheme="minorHAnsi"/>
        </w:rPr>
      </w:pPr>
    </w:p>
    <w:p w14:paraId="4D461EC3" w14:textId="0319EEC0" w:rsidR="000C118E" w:rsidRDefault="00E87A73" w:rsidP="00B744B9">
      <w:pPr>
        <w:rPr>
          <w:rFonts w:eastAsiaTheme="minorHAnsi"/>
        </w:rPr>
      </w:pPr>
      <w:r>
        <w:rPr>
          <w:rFonts w:eastAsiaTheme="minorHAnsi"/>
        </w:rPr>
        <w:t>The</w:t>
      </w:r>
      <w:r w:rsidR="00BD3C39">
        <w:rPr>
          <w:rFonts w:eastAsiaTheme="minorHAnsi"/>
        </w:rPr>
        <w:t xml:space="preserve">se are but a few </w:t>
      </w:r>
      <w:r w:rsidR="00AB18CA">
        <w:rPr>
          <w:rFonts w:eastAsiaTheme="minorHAnsi"/>
        </w:rPr>
        <w:t xml:space="preserve">of the myriad of positive </w:t>
      </w:r>
      <w:r w:rsidR="00BD3C39">
        <w:rPr>
          <w:rFonts w:eastAsiaTheme="minorHAnsi"/>
        </w:rPr>
        <w:t>outcomes</w:t>
      </w:r>
      <w:r>
        <w:rPr>
          <w:rFonts w:eastAsiaTheme="minorHAnsi"/>
        </w:rPr>
        <w:t xml:space="preserve"> of religious observance</w:t>
      </w:r>
      <w:r w:rsidR="00B020C3">
        <w:rPr>
          <w:rFonts w:eastAsiaTheme="minorHAnsi"/>
        </w:rPr>
        <w:t xml:space="preserve"> that benefit </w:t>
      </w:r>
      <w:r w:rsidR="006477D3">
        <w:rPr>
          <w:rFonts w:eastAsiaTheme="minorHAnsi"/>
        </w:rPr>
        <w:t>individuals, families, and society at large</w:t>
      </w:r>
      <w:r w:rsidR="002872B5">
        <w:rPr>
          <w:rFonts w:eastAsiaTheme="minorHAnsi"/>
        </w:rPr>
        <w:t>.</w:t>
      </w:r>
      <w:r w:rsidR="00D07E81">
        <w:rPr>
          <w:rFonts w:eastAsiaTheme="minorHAnsi"/>
        </w:rPr>
        <w:t xml:space="preserve"> </w:t>
      </w:r>
    </w:p>
    <w:p w14:paraId="083B34D0" w14:textId="77777777" w:rsidR="000C118E" w:rsidRDefault="000C118E" w:rsidP="00B744B9">
      <w:pPr>
        <w:rPr>
          <w:rFonts w:eastAsiaTheme="minorHAnsi"/>
        </w:rPr>
      </w:pPr>
    </w:p>
    <w:p w14:paraId="24747F72" w14:textId="1616EAD2" w:rsidR="00B744B9" w:rsidRPr="00B57381" w:rsidRDefault="00B744B9" w:rsidP="00B744B9">
      <w:pPr>
        <w:rPr>
          <w:rFonts w:eastAsiaTheme="minorHAnsi"/>
        </w:rPr>
      </w:pPr>
      <w:r w:rsidRPr="00B57381">
        <w:rPr>
          <w:rFonts w:eastAsiaTheme="minorHAnsi"/>
        </w:rPr>
        <w:t>We call upon all UN Member States t</w:t>
      </w:r>
      <w:r w:rsidR="007E52C4" w:rsidRPr="00B57381">
        <w:rPr>
          <w:rFonts w:eastAsiaTheme="minorHAnsi"/>
        </w:rPr>
        <w:t xml:space="preserve">o </w:t>
      </w:r>
      <w:r w:rsidRPr="00B57381">
        <w:rPr>
          <w:rFonts w:eastAsiaTheme="minorHAnsi"/>
        </w:rPr>
        <w:t xml:space="preserve">reject the past and forthcoming reports issued by </w:t>
      </w:r>
      <w:r w:rsidR="00760FFF" w:rsidRPr="00B57381">
        <w:rPr>
          <w:rFonts w:eastAsiaTheme="minorHAnsi"/>
        </w:rPr>
        <w:t>UN human rights mechanisms</w:t>
      </w:r>
      <w:r w:rsidR="00CA13B0" w:rsidRPr="00B57381">
        <w:rPr>
          <w:rFonts w:eastAsiaTheme="minorHAnsi"/>
        </w:rPr>
        <w:t>,</w:t>
      </w:r>
      <w:r w:rsidR="00760FFF" w:rsidRPr="00B57381">
        <w:rPr>
          <w:rFonts w:eastAsiaTheme="minorHAnsi"/>
        </w:rPr>
        <w:t xml:space="preserve"> including special procedures</w:t>
      </w:r>
      <w:r w:rsidR="005C0F4B" w:rsidRPr="00B57381">
        <w:rPr>
          <w:rFonts w:eastAsiaTheme="minorHAnsi"/>
        </w:rPr>
        <w:t xml:space="preserve"> and</w:t>
      </w:r>
      <w:r w:rsidR="00055BF3" w:rsidRPr="00B57381">
        <w:rPr>
          <w:rFonts w:eastAsiaTheme="minorHAnsi"/>
        </w:rPr>
        <w:t xml:space="preserve"> treaty bodies</w:t>
      </w:r>
      <w:r w:rsidR="00CA13B0" w:rsidRPr="00B57381">
        <w:rPr>
          <w:rFonts w:eastAsiaTheme="minorHAnsi"/>
        </w:rPr>
        <w:t>,</w:t>
      </w:r>
      <w:r w:rsidR="00055BF3" w:rsidRPr="00B57381">
        <w:rPr>
          <w:rFonts w:eastAsiaTheme="minorHAnsi"/>
        </w:rPr>
        <w:t xml:space="preserve"> that are increasingly seeking to redefine human rights in ways that seriously undermine indisputable, well-established</w:t>
      </w:r>
      <w:r w:rsidR="00CA13B0" w:rsidRPr="00B57381">
        <w:rPr>
          <w:rFonts w:eastAsiaTheme="minorHAnsi"/>
        </w:rPr>
        <w:t>,</w:t>
      </w:r>
      <w:r w:rsidR="00055BF3" w:rsidRPr="00B57381">
        <w:rPr>
          <w:rFonts w:eastAsiaTheme="minorHAnsi"/>
        </w:rPr>
        <w:t xml:space="preserve"> universally recognized right</w:t>
      </w:r>
      <w:r w:rsidR="002977E1" w:rsidRPr="00B57381">
        <w:rPr>
          <w:rFonts w:eastAsiaTheme="minorHAnsi"/>
        </w:rPr>
        <w:t>s</w:t>
      </w:r>
      <w:r w:rsidR="00055BF3" w:rsidRPr="00B57381">
        <w:rPr>
          <w:rFonts w:eastAsiaTheme="minorHAnsi"/>
        </w:rPr>
        <w:t xml:space="preserve"> with regard to freedom of religion or belief.</w:t>
      </w:r>
      <w:r w:rsidR="00A67C7D" w:rsidRPr="00B57381">
        <w:rPr>
          <w:rFonts w:eastAsiaTheme="minorHAnsi"/>
        </w:rPr>
        <w:t xml:space="preserve"> We especially condemn all efforts to redefine </w:t>
      </w:r>
      <w:r w:rsidR="00BC64FB" w:rsidRPr="00B57381">
        <w:rPr>
          <w:rFonts w:eastAsiaTheme="minorHAnsi"/>
        </w:rPr>
        <w:t xml:space="preserve">“gender” which only serves to </w:t>
      </w:r>
      <w:r w:rsidRPr="00B57381">
        <w:rPr>
          <w:rFonts w:eastAsiaTheme="minorHAnsi"/>
        </w:rPr>
        <w:t>denigrate and abolish the many hard-won, sex-based rights for women and girls</w:t>
      </w:r>
      <w:r w:rsidR="002977E1" w:rsidRPr="00B57381">
        <w:rPr>
          <w:rFonts w:eastAsiaTheme="minorHAnsi"/>
        </w:rPr>
        <w:t xml:space="preserve"> and will also</w:t>
      </w:r>
      <w:r w:rsidRPr="00B57381">
        <w:rPr>
          <w:rFonts w:eastAsiaTheme="minorHAnsi"/>
        </w:rPr>
        <w:t xml:space="preserve"> lead to the destruction of the natural family</w:t>
      </w:r>
      <w:r w:rsidR="002977E1" w:rsidRPr="00B57381">
        <w:rPr>
          <w:rFonts w:eastAsiaTheme="minorHAnsi"/>
        </w:rPr>
        <w:t>.</w:t>
      </w:r>
    </w:p>
    <w:p w14:paraId="364EC01D" w14:textId="77777777" w:rsidR="000453E8" w:rsidRDefault="000453E8" w:rsidP="00B744B9">
      <w:pPr>
        <w:rPr>
          <w:rFonts w:eastAsiaTheme="minorHAnsi"/>
          <w:sz w:val="23"/>
          <w:szCs w:val="23"/>
        </w:rPr>
      </w:pPr>
    </w:p>
    <w:p w14:paraId="5B579AD8" w14:textId="77777777" w:rsidR="004310F9" w:rsidRPr="003B29BB" w:rsidRDefault="004310F9" w:rsidP="005E77D0">
      <w:pPr>
        <w:pStyle w:val="NormalWeb"/>
        <w:shd w:val="clear" w:color="auto" w:fill="FFFFFF"/>
        <w:rPr>
          <w:spacing w:val="-5"/>
        </w:rPr>
      </w:pPr>
    </w:p>
    <w:p w14:paraId="07622E1C" w14:textId="77777777" w:rsidR="006C0E65" w:rsidRPr="003B29BB" w:rsidRDefault="006C0E65"/>
    <w:sectPr w:rsidR="006C0E65" w:rsidRPr="003B29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73E68" w14:textId="77777777" w:rsidR="00D95923" w:rsidRDefault="00D95923" w:rsidP="00D95923">
      <w:r>
        <w:separator/>
      </w:r>
    </w:p>
  </w:endnote>
  <w:endnote w:type="continuationSeparator" w:id="0">
    <w:p w14:paraId="4386F842" w14:textId="77777777" w:rsidR="00D95923" w:rsidRDefault="00D95923" w:rsidP="00D9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NLCZ A+ Book Antiqua">
    <w:altName w:val="Book Antiqu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50C43" w14:textId="77777777" w:rsidR="00D95923" w:rsidRDefault="00D95923" w:rsidP="00D95923">
      <w:r>
        <w:separator/>
      </w:r>
    </w:p>
  </w:footnote>
  <w:footnote w:type="continuationSeparator" w:id="0">
    <w:p w14:paraId="2791823C" w14:textId="77777777" w:rsidR="00D95923" w:rsidRDefault="00D95923" w:rsidP="00D95923">
      <w:r>
        <w:continuationSeparator/>
      </w:r>
    </w:p>
  </w:footnote>
  <w:footnote w:id="1">
    <w:p w14:paraId="6D8ACD98" w14:textId="384943D2" w:rsidR="00D95923" w:rsidRPr="00FE5EAE" w:rsidRDefault="00D95923" w:rsidP="002F330F">
      <w:pPr>
        <w:pStyle w:val="Default"/>
        <w:rPr>
          <w:rFonts w:asciiTheme="minorHAnsi" w:hAnsiTheme="minorHAnsi" w:cstheme="minorHAnsi"/>
          <w:color w:val="auto"/>
          <w:sz w:val="18"/>
          <w:szCs w:val="18"/>
        </w:rPr>
      </w:pPr>
      <w:r w:rsidRPr="00FE5EAE">
        <w:rPr>
          <w:rStyle w:val="FootnoteReference"/>
          <w:rFonts w:asciiTheme="minorHAnsi" w:hAnsiTheme="minorHAnsi" w:cstheme="minorHAnsi"/>
          <w:color w:val="auto"/>
          <w:sz w:val="18"/>
          <w:szCs w:val="18"/>
        </w:rPr>
        <w:footnoteRef/>
      </w:r>
      <w:r w:rsidRPr="00FE5EAE">
        <w:rPr>
          <w:rFonts w:asciiTheme="minorHAnsi" w:hAnsiTheme="minorHAnsi" w:cstheme="minorHAnsi"/>
          <w:color w:val="auto"/>
          <w:sz w:val="18"/>
          <w:szCs w:val="18"/>
        </w:rPr>
        <w:t xml:space="preserve"> </w:t>
      </w:r>
      <w:r w:rsidRPr="00FE5EAE">
        <w:rPr>
          <w:rFonts w:asciiTheme="minorHAnsi" w:eastAsiaTheme="minorHAnsi" w:hAnsiTheme="minorHAnsi" w:cstheme="minorHAnsi"/>
          <w:color w:val="auto"/>
          <w:sz w:val="18"/>
          <w:szCs w:val="18"/>
        </w:rPr>
        <w:t xml:space="preserve">Family Watch International is the DBA for Global Helping to Advance Women and Children. </w:t>
      </w:r>
    </w:p>
  </w:footnote>
  <w:footnote w:id="2">
    <w:p w14:paraId="4B427D98" w14:textId="5E9031D7" w:rsidR="002F330F" w:rsidRPr="003B29BB" w:rsidRDefault="002F330F">
      <w:pPr>
        <w:pStyle w:val="FootnoteText"/>
      </w:pPr>
      <w:r w:rsidRPr="00FE5EAE">
        <w:rPr>
          <w:rStyle w:val="FootnoteReference"/>
          <w:rFonts w:asciiTheme="minorHAnsi" w:hAnsiTheme="minorHAnsi" w:cstheme="minorHAnsi"/>
          <w:sz w:val="18"/>
          <w:szCs w:val="18"/>
        </w:rPr>
        <w:footnoteRef/>
      </w:r>
      <w:r w:rsidRPr="00FE5EAE">
        <w:rPr>
          <w:rFonts w:asciiTheme="minorHAnsi" w:hAnsiTheme="minorHAnsi" w:cstheme="minorHAnsi"/>
          <w:sz w:val="18"/>
          <w:szCs w:val="18"/>
        </w:rPr>
        <w:t xml:space="preserve"> </w:t>
      </w:r>
      <w:r w:rsidRPr="00FE5EAE">
        <w:rPr>
          <w:rFonts w:asciiTheme="minorHAnsi" w:eastAsiaTheme="minorHAnsi" w:hAnsiTheme="minorHAnsi" w:cstheme="minorHAnsi"/>
          <w:sz w:val="18"/>
          <w:szCs w:val="18"/>
        </w:rPr>
        <w:t>The mission of the United Nations Family Rights Caucus (UNFRC) is to protect and promote the natural family as the fundamental unit of society as called for in Article 16 of the UN Declaration of Human Rights. UNFRC membership includes concerned citizens, government, religious, and civil society leaders, and non-governmental organizations representing every region of the world and over 10 million people worldwide.</w:t>
      </w:r>
      <w:r w:rsidRPr="00FE5EAE">
        <w:rPr>
          <w:rFonts w:ascii="Calibri" w:eastAsiaTheme="minorHAnsi" w:hAnsi="Calibri" w:cs="Calibri"/>
          <w:sz w:val="18"/>
          <w:szCs w:val="18"/>
        </w:rPr>
        <w:t xml:space="preserve"> </w:t>
      </w:r>
      <w:r w:rsidRPr="00FE5EAE">
        <w:rPr>
          <w:rFonts w:ascii="Calibri" w:eastAsiaTheme="minorHAnsi" w:hAnsi="Calibri" w:cs="Calibri"/>
          <w:sz w:val="24"/>
          <w:szCs w:val="24"/>
        </w:rPr>
        <w:t xml:space="preserve"> </w:t>
      </w:r>
    </w:p>
  </w:footnote>
  <w:footnote w:id="3">
    <w:p w14:paraId="4982A848" w14:textId="36E40F9E" w:rsidR="003B1ED7" w:rsidRPr="0078613B" w:rsidRDefault="003B1ED7">
      <w:pPr>
        <w:pStyle w:val="FootnoteText"/>
        <w:rPr>
          <w:rFonts w:asciiTheme="minorHAnsi" w:hAnsiTheme="minorHAnsi" w:cstheme="minorHAnsi"/>
          <w:sz w:val="18"/>
          <w:szCs w:val="18"/>
        </w:rPr>
      </w:pPr>
      <w:r w:rsidRPr="0078613B">
        <w:rPr>
          <w:rStyle w:val="FootnoteReference"/>
          <w:rFonts w:asciiTheme="minorHAnsi" w:hAnsiTheme="minorHAnsi" w:cstheme="minorHAnsi"/>
          <w:sz w:val="18"/>
          <w:szCs w:val="18"/>
        </w:rPr>
        <w:footnoteRef/>
      </w:r>
      <w:r w:rsidRPr="0078613B">
        <w:rPr>
          <w:rFonts w:asciiTheme="minorHAnsi" w:hAnsiTheme="minorHAnsi" w:cstheme="minorHAnsi"/>
          <w:sz w:val="18"/>
          <w:szCs w:val="18"/>
        </w:rPr>
        <w:t xml:space="preserve"> It should be noted that “fundamental </w:t>
      </w:r>
      <w:r w:rsidR="00C90860" w:rsidRPr="0078613B">
        <w:rPr>
          <w:rFonts w:asciiTheme="minorHAnsi" w:hAnsiTheme="minorHAnsi" w:cstheme="minorHAnsi"/>
          <w:sz w:val="18"/>
          <w:szCs w:val="18"/>
        </w:rPr>
        <w:t>rights and freedoms” are defined in the nine</w:t>
      </w:r>
      <w:r w:rsidR="00433648" w:rsidRPr="0078613B">
        <w:rPr>
          <w:rFonts w:asciiTheme="minorHAnsi" w:hAnsiTheme="minorHAnsi" w:cstheme="minorHAnsi"/>
          <w:sz w:val="18"/>
          <w:szCs w:val="18"/>
        </w:rPr>
        <w:t xml:space="preserve"> core human rights instruments. It should also be noted that some have opined that </w:t>
      </w:r>
      <w:r w:rsidR="00C26E04" w:rsidRPr="0078613B">
        <w:rPr>
          <w:rFonts w:asciiTheme="minorHAnsi" w:hAnsiTheme="minorHAnsi" w:cstheme="minorHAnsi"/>
          <w:sz w:val="18"/>
          <w:szCs w:val="18"/>
        </w:rPr>
        <w:t>claims, new interpretations</w:t>
      </w:r>
      <w:r w:rsidR="00E44767">
        <w:rPr>
          <w:rFonts w:asciiTheme="minorHAnsi" w:hAnsiTheme="minorHAnsi" w:cstheme="minorHAnsi"/>
          <w:sz w:val="18"/>
          <w:szCs w:val="18"/>
        </w:rPr>
        <w:t>,</w:t>
      </w:r>
      <w:r w:rsidR="00C26E04" w:rsidRPr="0078613B">
        <w:rPr>
          <w:rFonts w:asciiTheme="minorHAnsi" w:hAnsiTheme="minorHAnsi" w:cstheme="minorHAnsi"/>
          <w:sz w:val="18"/>
          <w:szCs w:val="18"/>
        </w:rPr>
        <w:t xml:space="preserve"> or ultra vires additions</w:t>
      </w:r>
      <w:r w:rsidR="006D189D" w:rsidRPr="0078613B">
        <w:rPr>
          <w:rFonts w:asciiTheme="minorHAnsi" w:hAnsiTheme="minorHAnsi" w:cstheme="minorHAnsi"/>
          <w:sz w:val="18"/>
          <w:szCs w:val="18"/>
        </w:rPr>
        <w:t xml:space="preserve"> from human rights</w:t>
      </w:r>
      <w:r w:rsidR="00C26E04" w:rsidRPr="0078613B">
        <w:rPr>
          <w:rFonts w:asciiTheme="minorHAnsi" w:hAnsiTheme="minorHAnsi" w:cstheme="minorHAnsi"/>
          <w:sz w:val="18"/>
          <w:szCs w:val="18"/>
        </w:rPr>
        <w:t xml:space="preserve"> mech</w:t>
      </w:r>
      <w:r w:rsidR="00E44767">
        <w:rPr>
          <w:rFonts w:asciiTheme="minorHAnsi" w:hAnsiTheme="minorHAnsi" w:cstheme="minorHAnsi"/>
          <w:sz w:val="18"/>
          <w:szCs w:val="18"/>
        </w:rPr>
        <w:t>a</w:t>
      </w:r>
      <w:r w:rsidR="00C26E04" w:rsidRPr="0078613B">
        <w:rPr>
          <w:rFonts w:asciiTheme="minorHAnsi" w:hAnsiTheme="minorHAnsi" w:cstheme="minorHAnsi"/>
          <w:sz w:val="18"/>
          <w:szCs w:val="18"/>
        </w:rPr>
        <w:t>nisms</w:t>
      </w:r>
      <w:r w:rsidR="00634D14">
        <w:rPr>
          <w:rFonts w:asciiTheme="minorHAnsi" w:hAnsiTheme="minorHAnsi" w:cstheme="minorHAnsi"/>
          <w:sz w:val="18"/>
          <w:szCs w:val="18"/>
        </w:rPr>
        <w:t>,</w:t>
      </w:r>
      <w:r w:rsidR="007B4024" w:rsidRPr="0078613B">
        <w:rPr>
          <w:rFonts w:asciiTheme="minorHAnsi" w:hAnsiTheme="minorHAnsi" w:cstheme="minorHAnsi"/>
          <w:sz w:val="18"/>
          <w:szCs w:val="18"/>
        </w:rPr>
        <w:t xml:space="preserve"> including treaty bodies</w:t>
      </w:r>
      <w:r w:rsidR="00634D14">
        <w:rPr>
          <w:rFonts w:asciiTheme="minorHAnsi" w:hAnsiTheme="minorHAnsi" w:cstheme="minorHAnsi"/>
          <w:sz w:val="18"/>
          <w:szCs w:val="18"/>
        </w:rPr>
        <w:t>,</w:t>
      </w:r>
      <w:r w:rsidR="006D189D" w:rsidRPr="0078613B">
        <w:rPr>
          <w:rFonts w:asciiTheme="minorHAnsi" w:hAnsiTheme="minorHAnsi" w:cstheme="minorHAnsi"/>
          <w:sz w:val="18"/>
          <w:szCs w:val="18"/>
        </w:rPr>
        <w:t xml:space="preserve"> represent juris prudence with regard to universally accepted human </w:t>
      </w:r>
      <w:r w:rsidR="007B4024" w:rsidRPr="0078613B">
        <w:rPr>
          <w:rFonts w:asciiTheme="minorHAnsi" w:hAnsiTheme="minorHAnsi" w:cstheme="minorHAnsi"/>
          <w:sz w:val="18"/>
          <w:szCs w:val="18"/>
        </w:rPr>
        <w:t>r</w:t>
      </w:r>
      <w:r w:rsidR="006D189D" w:rsidRPr="0078613B">
        <w:rPr>
          <w:rFonts w:asciiTheme="minorHAnsi" w:hAnsiTheme="minorHAnsi" w:cstheme="minorHAnsi"/>
          <w:sz w:val="18"/>
          <w:szCs w:val="18"/>
        </w:rPr>
        <w:t>ights</w:t>
      </w:r>
      <w:r w:rsidR="007B4024" w:rsidRPr="0078613B">
        <w:rPr>
          <w:rFonts w:asciiTheme="minorHAnsi" w:hAnsiTheme="minorHAnsi" w:cstheme="minorHAnsi"/>
          <w:sz w:val="18"/>
          <w:szCs w:val="18"/>
        </w:rPr>
        <w:t>. However</w:t>
      </w:r>
      <w:r w:rsidR="00634D14">
        <w:rPr>
          <w:rFonts w:asciiTheme="minorHAnsi" w:hAnsiTheme="minorHAnsi" w:cstheme="minorHAnsi"/>
          <w:sz w:val="18"/>
          <w:szCs w:val="18"/>
        </w:rPr>
        <w:t>,</w:t>
      </w:r>
      <w:r w:rsidR="007B4024" w:rsidRPr="0078613B">
        <w:rPr>
          <w:rFonts w:asciiTheme="minorHAnsi" w:hAnsiTheme="minorHAnsi" w:cstheme="minorHAnsi"/>
          <w:sz w:val="18"/>
          <w:szCs w:val="18"/>
        </w:rPr>
        <w:t xml:space="preserve"> such opinions are merely that—opinions and do not create any new </w:t>
      </w:r>
      <w:r w:rsidR="00B41797" w:rsidRPr="0078613B">
        <w:rPr>
          <w:rFonts w:asciiTheme="minorHAnsi" w:hAnsiTheme="minorHAnsi" w:cstheme="minorHAnsi"/>
          <w:sz w:val="18"/>
          <w:szCs w:val="18"/>
        </w:rPr>
        <w:t>human rights or obligations on States, as only the UN General Assembly has the authority to do so.</w:t>
      </w:r>
    </w:p>
  </w:footnote>
  <w:footnote w:id="4">
    <w:p w14:paraId="3BDDEAA4" w14:textId="261FFDE1" w:rsidR="007F7CA8" w:rsidRDefault="007F7CA8">
      <w:pPr>
        <w:pStyle w:val="FootnoteText"/>
      </w:pPr>
      <w:r w:rsidRPr="0078613B">
        <w:rPr>
          <w:rStyle w:val="FootnoteReference"/>
          <w:rFonts w:asciiTheme="minorHAnsi" w:hAnsiTheme="minorHAnsi" w:cstheme="minorHAnsi"/>
          <w:sz w:val="18"/>
          <w:szCs w:val="18"/>
        </w:rPr>
        <w:footnoteRef/>
      </w:r>
      <w:r w:rsidRPr="0078613B">
        <w:rPr>
          <w:rFonts w:asciiTheme="minorHAnsi" w:hAnsiTheme="minorHAnsi" w:cstheme="minorHAnsi"/>
          <w:sz w:val="18"/>
          <w:szCs w:val="18"/>
        </w:rPr>
        <w:t xml:space="preserve"> </w:t>
      </w:r>
      <w:r w:rsidR="00B57381" w:rsidRPr="0078613B">
        <w:rPr>
          <w:rFonts w:asciiTheme="minorHAnsi" w:hAnsiTheme="minorHAnsi" w:cstheme="minorHAnsi"/>
          <w:sz w:val="18"/>
          <w:szCs w:val="18"/>
        </w:rPr>
        <w:t>I</w:t>
      </w:r>
      <w:r w:rsidRPr="0078613B">
        <w:rPr>
          <w:rFonts w:asciiTheme="minorHAnsi" w:hAnsiTheme="minorHAnsi" w:cstheme="minorHAnsi"/>
          <w:sz w:val="18"/>
          <w:szCs w:val="18"/>
        </w:rPr>
        <w:t>bid</w:t>
      </w:r>
      <w:r w:rsidR="00B57381">
        <w:rPr>
          <w:rFonts w:asciiTheme="minorHAnsi" w:hAnsiTheme="minorHAnsi" w:cstheme="minorHAnsi"/>
          <w:sz w:val="18"/>
          <w:szCs w:val="18"/>
        </w:rPr>
        <w:t>.</w:t>
      </w:r>
    </w:p>
  </w:footnote>
  <w:footnote w:id="5">
    <w:p w14:paraId="701858E8" w14:textId="26E07D59" w:rsidR="007F7CA8" w:rsidRPr="00B57381" w:rsidRDefault="007F7CA8">
      <w:pPr>
        <w:pStyle w:val="FootnoteText"/>
        <w:rPr>
          <w:rFonts w:asciiTheme="minorHAnsi" w:hAnsiTheme="minorHAnsi" w:cstheme="minorHAnsi"/>
          <w:sz w:val="18"/>
          <w:szCs w:val="18"/>
        </w:rPr>
      </w:pPr>
      <w:r w:rsidRPr="00B57381">
        <w:rPr>
          <w:rStyle w:val="FootnoteReference"/>
          <w:rFonts w:asciiTheme="minorHAnsi" w:hAnsiTheme="minorHAnsi" w:cstheme="minorHAnsi"/>
          <w:sz w:val="18"/>
          <w:szCs w:val="18"/>
        </w:rPr>
        <w:footnoteRef/>
      </w:r>
      <w:r w:rsidRPr="00B57381">
        <w:rPr>
          <w:rFonts w:asciiTheme="minorHAnsi" w:hAnsiTheme="minorHAnsi" w:cstheme="minorHAnsi"/>
          <w:sz w:val="18"/>
          <w:szCs w:val="18"/>
        </w:rPr>
        <w:t xml:space="preserve"> </w:t>
      </w:r>
      <w:r w:rsidR="00D739C7" w:rsidRPr="00B57381">
        <w:rPr>
          <w:rFonts w:asciiTheme="minorHAnsi" w:hAnsiTheme="minorHAnsi" w:cstheme="minorHAnsi"/>
          <w:sz w:val="18"/>
          <w:szCs w:val="18"/>
        </w:rPr>
        <w:t>Ibid</w:t>
      </w:r>
      <w:r w:rsidR="005628D1" w:rsidRPr="00B57381">
        <w:rPr>
          <w:rFonts w:asciiTheme="minorHAnsi" w:hAnsiTheme="minorHAnsi" w:cstheme="minorHAnsi"/>
          <w:sz w:val="18"/>
          <w:szCs w:val="18"/>
        </w:rPr>
        <w:t>.</w:t>
      </w:r>
    </w:p>
  </w:footnote>
  <w:footnote w:id="6">
    <w:p w14:paraId="44E36B0F" w14:textId="705D89A3" w:rsidR="003C5855" w:rsidRPr="003B29BB" w:rsidRDefault="003C5855">
      <w:pPr>
        <w:pStyle w:val="FootnoteText"/>
        <w:rPr>
          <w:rFonts w:asciiTheme="minorHAnsi" w:hAnsiTheme="minorHAnsi" w:cstheme="minorHAnsi"/>
          <w:sz w:val="18"/>
          <w:szCs w:val="18"/>
        </w:rPr>
      </w:pPr>
      <w:r w:rsidRPr="003B29BB">
        <w:rPr>
          <w:rStyle w:val="FootnoteReference"/>
          <w:rFonts w:asciiTheme="minorHAnsi" w:hAnsiTheme="minorHAnsi" w:cstheme="minorHAnsi"/>
          <w:sz w:val="18"/>
          <w:szCs w:val="18"/>
        </w:rPr>
        <w:footnoteRef/>
      </w:r>
      <w:r w:rsidRPr="003B29BB">
        <w:rPr>
          <w:rFonts w:asciiTheme="minorHAnsi" w:hAnsiTheme="minorHAnsi" w:cstheme="minorHAnsi"/>
          <w:sz w:val="18"/>
          <w:szCs w:val="18"/>
        </w:rPr>
        <w:t xml:space="preserve"> </w:t>
      </w:r>
      <w:r w:rsidRPr="003B29BB">
        <w:rPr>
          <w:rFonts w:asciiTheme="minorHAnsi" w:hAnsiTheme="minorHAnsi" w:cstheme="minorHAnsi"/>
          <w:sz w:val="18"/>
          <w:szCs w:val="18"/>
        </w:rPr>
        <w:t>International Convention for the Protection of All Persons from Enforced Disappearance, Article 26(1).</w:t>
      </w:r>
    </w:p>
  </w:footnote>
  <w:footnote w:id="7">
    <w:p w14:paraId="2788AEFE" w14:textId="1AA15C5C" w:rsidR="003D15F8" w:rsidRPr="003B29BB" w:rsidRDefault="003D15F8" w:rsidP="00D16246">
      <w:pPr>
        <w:shd w:val="clear" w:color="auto" w:fill="FFFFFF"/>
        <w:rPr>
          <w:rFonts w:asciiTheme="minorHAnsi" w:hAnsiTheme="minorHAnsi" w:cstheme="minorHAnsi"/>
          <w:sz w:val="18"/>
          <w:szCs w:val="18"/>
        </w:rPr>
      </w:pPr>
      <w:r w:rsidRPr="003B29BB">
        <w:rPr>
          <w:rStyle w:val="FootnoteReference"/>
          <w:rFonts w:asciiTheme="minorHAnsi" w:hAnsiTheme="minorHAnsi" w:cstheme="minorHAnsi"/>
          <w:sz w:val="18"/>
          <w:szCs w:val="18"/>
        </w:rPr>
        <w:footnoteRef/>
      </w:r>
      <w:r w:rsidRPr="003B29BB">
        <w:rPr>
          <w:rFonts w:asciiTheme="minorHAnsi" w:hAnsiTheme="minorHAnsi" w:cstheme="minorHAnsi"/>
          <w:sz w:val="18"/>
          <w:szCs w:val="18"/>
        </w:rPr>
        <w:t xml:space="preserve"> </w:t>
      </w:r>
      <w:r w:rsidRPr="003B29BB">
        <w:rPr>
          <w:rFonts w:asciiTheme="minorHAnsi" w:hAnsiTheme="minorHAnsi" w:cstheme="minorHAnsi"/>
          <w:sz w:val="18"/>
          <w:szCs w:val="18"/>
        </w:rPr>
        <w:t>Jeffrey S. Levin and Preston L. Schiller, “Is There a Religious Factor in Health?” </w:t>
      </w:r>
      <w:r w:rsidRPr="003B29BB">
        <w:rPr>
          <w:rStyle w:val="Emphasis"/>
          <w:rFonts w:asciiTheme="minorHAnsi" w:hAnsiTheme="minorHAnsi" w:cstheme="minorHAnsi"/>
          <w:sz w:val="18"/>
          <w:szCs w:val="18"/>
        </w:rPr>
        <w:t>Journal of Religion and Health</w:t>
      </w:r>
      <w:r w:rsidRPr="003B29BB">
        <w:rPr>
          <w:rFonts w:asciiTheme="minorHAnsi" w:hAnsiTheme="minorHAnsi" w:cstheme="minorHAnsi"/>
          <w:sz w:val="18"/>
          <w:szCs w:val="18"/>
        </w:rPr>
        <w:t> 26, no. 1 (March 1987): 9–35</w:t>
      </w:r>
      <w:r w:rsidR="00D16246">
        <w:rPr>
          <w:rFonts w:asciiTheme="minorHAnsi" w:hAnsiTheme="minorHAnsi" w:cstheme="minorHAnsi"/>
          <w:sz w:val="18"/>
          <w:szCs w:val="18"/>
        </w:rPr>
        <w:t xml:space="preserve">; </w:t>
      </w:r>
      <w:r w:rsidRPr="003B29BB">
        <w:rPr>
          <w:rFonts w:asciiTheme="minorHAnsi" w:hAnsiTheme="minorHAnsi" w:cstheme="minorHAnsi"/>
          <w:sz w:val="18"/>
          <w:szCs w:val="18"/>
        </w:rPr>
        <w:t xml:space="preserve">George W. Comstock and Kay B. </w:t>
      </w:r>
      <w:proofErr w:type="spellStart"/>
      <w:r w:rsidRPr="003B29BB">
        <w:rPr>
          <w:rFonts w:asciiTheme="minorHAnsi" w:hAnsiTheme="minorHAnsi" w:cstheme="minorHAnsi"/>
          <w:sz w:val="18"/>
          <w:szCs w:val="18"/>
        </w:rPr>
        <w:t>Patridge</w:t>
      </w:r>
      <w:proofErr w:type="spellEnd"/>
      <w:r w:rsidRPr="003B29BB">
        <w:rPr>
          <w:rFonts w:asciiTheme="minorHAnsi" w:hAnsiTheme="minorHAnsi" w:cstheme="minorHAnsi"/>
          <w:sz w:val="18"/>
          <w:szCs w:val="18"/>
        </w:rPr>
        <w:t>, “Church Attendance and Health,” </w:t>
      </w:r>
      <w:r w:rsidRPr="003B29BB">
        <w:rPr>
          <w:rStyle w:val="Emphasis"/>
          <w:rFonts w:asciiTheme="minorHAnsi" w:hAnsiTheme="minorHAnsi" w:cstheme="minorHAnsi"/>
          <w:sz w:val="18"/>
          <w:szCs w:val="18"/>
        </w:rPr>
        <w:t>Journal of Chronic Diseases</w:t>
      </w:r>
      <w:r w:rsidRPr="003B29BB">
        <w:rPr>
          <w:rFonts w:asciiTheme="minorHAnsi" w:hAnsiTheme="minorHAnsi" w:cstheme="minorHAnsi"/>
          <w:sz w:val="18"/>
          <w:szCs w:val="18"/>
        </w:rPr>
        <w:t> 25, no. 12 (December 1972): 665–672.</w:t>
      </w:r>
    </w:p>
  </w:footnote>
  <w:footnote w:id="8">
    <w:p w14:paraId="23768CBD" w14:textId="3C17953E" w:rsidR="00DC03AE" w:rsidRPr="003B29BB" w:rsidRDefault="00DC03AE" w:rsidP="00B744B9">
      <w:pPr>
        <w:shd w:val="clear" w:color="auto" w:fill="FFFFFF"/>
        <w:rPr>
          <w:rFonts w:asciiTheme="minorHAnsi" w:hAnsiTheme="minorHAnsi" w:cstheme="minorHAnsi"/>
          <w:sz w:val="18"/>
          <w:szCs w:val="18"/>
        </w:rPr>
      </w:pPr>
      <w:r w:rsidRPr="003B29BB">
        <w:rPr>
          <w:rStyle w:val="FootnoteReference"/>
          <w:rFonts w:asciiTheme="minorHAnsi" w:hAnsiTheme="minorHAnsi" w:cstheme="minorHAnsi"/>
          <w:sz w:val="18"/>
          <w:szCs w:val="18"/>
        </w:rPr>
        <w:footnoteRef/>
      </w:r>
      <w:r w:rsidRPr="003B29BB">
        <w:rPr>
          <w:rFonts w:asciiTheme="minorHAnsi" w:hAnsiTheme="minorHAnsi" w:cstheme="minorHAnsi"/>
          <w:sz w:val="18"/>
          <w:szCs w:val="18"/>
        </w:rPr>
        <w:t xml:space="preserve"> </w:t>
      </w:r>
      <w:r w:rsidRPr="00851E11">
        <w:rPr>
          <w:rFonts w:asciiTheme="minorHAnsi" w:hAnsiTheme="minorHAnsi" w:cstheme="minorHAnsi"/>
          <w:sz w:val="18"/>
          <w:szCs w:val="18"/>
        </w:rPr>
        <w:t>Manhattan Institute for Policy Research, Center for Research on Religion and Urban Civil Society, Byron R. Johnson, Ralph Brett Tompkins, and Derek Webb</w:t>
      </w:r>
      <w:r w:rsidR="004C5238" w:rsidRPr="003B29BB">
        <w:rPr>
          <w:rFonts w:asciiTheme="minorHAnsi" w:hAnsiTheme="minorHAnsi" w:cstheme="minorHAnsi"/>
          <w:sz w:val="18"/>
          <w:szCs w:val="18"/>
        </w:rPr>
        <w:t xml:space="preserve"> </w:t>
      </w:r>
      <w:r w:rsidRPr="00851E11">
        <w:rPr>
          <w:rFonts w:asciiTheme="minorHAnsi" w:hAnsiTheme="minorHAnsi" w:cstheme="minorHAnsi"/>
          <w:i/>
          <w:iCs/>
          <w:sz w:val="18"/>
          <w:szCs w:val="18"/>
        </w:rPr>
        <w:t>Objective Hope—Assessing the Effectiveness of Faith-Based Organizations: A Systematic Review of the Literature</w:t>
      </w:r>
      <w:r w:rsidRPr="00851E11">
        <w:rPr>
          <w:rFonts w:asciiTheme="minorHAnsi" w:hAnsiTheme="minorHAnsi" w:cstheme="minorHAnsi"/>
          <w:sz w:val="18"/>
          <w:szCs w:val="18"/>
        </w:rPr>
        <w:t>, (2002)</w:t>
      </w:r>
      <w:r w:rsidR="000D2C4C" w:rsidRPr="003B29BB">
        <w:rPr>
          <w:rFonts w:asciiTheme="minorHAnsi" w:hAnsiTheme="minorHAnsi" w:cstheme="minorHAnsi"/>
          <w:sz w:val="18"/>
          <w:szCs w:val="18"/>
        </w:rPr>
        <w:t xml:space="preserve">; </w:t>
      </w:r>
      <w:r w:rsidR="000D2C4C" w:rsidRPr="00851E11">
        <w:rPr>
          <w:rFonts w:asciiTheme="minorHAnsi" w:hAnsiTheme="minorHAnsi" w:cstheme="minorHAnsi"/>
          <w:sz w:val="18"/>
          <w:szCs w:val="18"/>
        </w:rPr>
        <w:t>Byron R. Johnson, Ralph Brett Tompkins, and Derek Webb, </w:t>
      </w:r>
      <w:r w:rsidR="000D2C4C" w:rsidRPr="00851E11">
        <w:rPr>
          <w:rFonts w:asciiTheme="minorHAnsi" w:hAnsiTheme="minorHAnsi" w:cstheme="minorHAnsi"/>
          <w:i/>
          <w:iCs/>
          <w:sz w:val="18"/>
          <w:szCs w:val="18"/>
        </w:rPr>
        <w:t>Objective Hope—Assessing the Effectiveness of Faith-Based Organizations: A Systematic Review of the Literature</w:t>
      </w:r>
      <w:r w:rsidR="000D2C4C" w:rsidRPr="00851E11">
        <w:rPr>
          <w:rFonts w:asciiTheme="minorHAnsi" w:hAnsiTheme="minorHAnsi" w:cstheme="minorHAnsi"/>
          <w:sz w:val="18"/>
          <w:szCs w:val="18"/>
        </w:rPr>
        <w:t xml:space="preserve"> Manhattan Institute for Policy Research, Center for Research on Religion and Urban Civil Society, (2002). </w:t>
      </w:r>
    </w:p>
  </w:footnote>
  <w:footnote w:id="9">
    <w:p w14:paraId="29A4EAB1" w14:textId="707DA655" w:rsidR="0082057A" w:rsidRPr="003B29BB" w:rsidRDefault="0082057A" w:rsidP="00D16246">
      <w:pPr>
        <w:shd w:val="clear" w:color="auto" w:fill="FFFFFF"/>
        <w:rPr>
          <w:rFonts w:asciiTheme="minorHAnsi" w:hAnsiTheme="minorHAnsi" w:cstheme="minorHAnsi"/>
          <w:sz w:val="18"/>
          <w:szCs w:val="18"/>
        </w:rPr>
      </w:pPr>
      <w:r w:rsidRPr="003B29BB">
        <w:rPr>
          <w:rStyle w:val="FootnoteReference"/>
          <w:rFonts w:asciiTheme="minorHAnsi" w:hAnsiTheme="minorHAnsi" w:cstheme="minorHAnsi"/>
          <w:sz w:val="18"/>
          <w:szCs w:val="18"/>
        </w:rPr>
        <w:footnoteRef/>
      </w:r>
      <w:r w:rsidRPr="003B29BB">
        <w:rPr>
          <w:rFonts w:asciiTheme="minorHAnsi" w:hAnsiTheme="minorHAnsi" w:cstheme="minorHAnsi"/>
          <w:sz w:val="18"/>
          <w:szCs w:val="18"/>
        </w:rPr>
        <w:t xml:space="preserve"> </w:t>
      </w:r>
      <w:r w:rsidRPr="003B29BB">
        <w:rPr>
          <w:rFonts w:asciiTheme="minorHAnsi" w:hAnsiTheme="minorHAnsi" w:cstheme="minorHAnsi"/>
          <w:sz w:val="18"/>
          <w:szCs w:val="18"/>
        </w:rPr>
        <w:t xml:space="preserve">Li, Shanshan, Olivia I. Okereke, Shun-Chiao Chang, Ichiro </w:t>
      </w:r>
      <w:proofErr w:type="spellStart"/>
      <w:r w:rsidRPr="003B29BB">
        <w:rPr>
          <w:rFonts w:asciiTheme="minorHAnsi" w:hAnsiTheme="minorHAnsi" w:cstheme="minorHAnsi"/>
          <w:sz w:val="18"/>
          <w:szCs w:val="18"/>
        </w:rPr>
        <w:t>Kawachi</w:t>
      </w:r>
      <w:proofErr w:type="spellEnd"/>
      <w:r w:rsidRPr="003B29BB">
        <w:rPr>
          <w:rFonts w:asciiTheme="minorHAnsi" w:hAnsiTheme="minorHAnsi" w:cstheme="minorHAnsi"/>
          <w:sz w:val="18"/>
          <w:szCs w:val="18"/>
        </w:rPr>
        <w:t xml:space="preserve">, and Tyler J. </w:t>
      </w:r>
      <w:proofErr w:type="spellStart"/>
      <w:r w:rsidRPr="003B29BB">
        <w:rPr>
          <w:rFonts w:asciiTheme="minorHAnsi" w:hAnsiTheme="minorHAnsi" w:cstheme="minorHAnsi"/>
          <w:sz w:val="18"/>
          <w:szCs w:val="18"/>
        </w:rPr>
        <w:t>VanderWeele</w:t>
      </w:r>
      <w:proofErr w:type="spellEnd"/>
      <w:r w:rsidRPr="003B29BB">
        <w:rPr>
          <w:rFonts w:asciiTheme="minorHAnsi" w:hAnsiTheme="minorHAnsi" w:cstheme="minorHAnsi"/>
          <w:sz w:val="18"/>
          <w:szCs w:val="18"/>
        </w:rPr>
        <w:t>, “Religious Service Attendance and Lower Depression among Women—A Prospective Cohort Study”, </w:t>
      </w:r>
      <w:r w:rsidRPr="003B29BB">
        <w:rPr>
          <w:rStyle w:val="Emphasis"/>
          <w:rFonts w:asciiTheme="minorHAnsi" w:hAnsiTheme="minorHAnsi" w:cstheme="minorHAnsi"/>
          <w:sz w:val="18"/>
          <w:szCs w:val="18"/>
        </w:rPr>
        <w:t>Annals of Behavioral Medicine</w:t>
      </w:r>
      <w:r w:rsidRPr="003B29BB">
        <w:rPr>
          <w:rFonts w:asciiTheme="minorHAnsi" w:hAnsiTheme="minorHAnsi" w:cstheme="minorHAnsi"/>
          <w:sz w:val="18"/>
          <w:szCs w:val="18"/>
        </w:rPr>
        <w:t> 50, no. 6 (2016): 876-884</w:t>
      </w:r>
      <w:r w:rsidR="003D0EAB">
        <w:rPr>
          <w:rFonts w:asciiTheme="minorHAnsi" w:hAnsiTheme="minorHAnsi" w:cstheme="minorHAnsi"/>
          <w:sz w:val="18"/>
          <w:szCs w:val="18"/>
        </w:rPr>
        <w:t>;</w:t>
      </w:r>
      <w:r w:rsidRPr="003B29BB">
        <w:rPr>
          <w:rFonts w:asciiTheme="minorHAnsi" w:hAnsiTheme="minorHAnsi" w:cstheme="minorHAnsi"/>
          <w:sz w:val="18"/>
          <w:szCs w:val="18"/>
        </w:rPr>
        <w:t xml:space="preserve"> </w:t>
      </w:r>
      <w:proofErr w:type="spellStart"/>
      <w:r w:rsidRPr="003B29BB">
        <w:rPr>
          <w:rFonts w:asciiTheme="minorHAnsi" w:hAnsiTheme="minorHAnsi" w:cstheme="minorHAnsi"/>
          <w:sz w:val="18"/>
          <w:szCs w:val="18"/>
        </w:rPr>
        <w:t>VanderWeele</w:t>
      </w:r>
      <w:proofErr w:type="spellEnd"/>
      <w:r w:rsidRPr="003B29BB">
        <w:rPr>
          <w:rFonts w:asciiTheme="minorHAnsi" w:hAnsiTheme="minorHAnsi" w:cstheme="minorHAnsi"/>
          <w:sz w:val="18"/>
          <w:szCs w:val="18"/>
        </w:rPr>
        <w:t>, T. J., “Religion and Health: A Synthesis”, </w:t>
      </w:r>
      <w:r w:rsidRPr="003B29BB">
        <w:rPr>
          <w:rStyle w:val="Emphasis"/>
          <w:rFonts w:asciiTheme="minorHAnsi" w:hAnsiTheme="minorHAnsi" w:cstheme="minorHAnsi"/>
          <w:sz w:val="18"/>
          <w:szCs w:val="18"/>
        </w:rPr>
        <w:t>Spirituality and Religion Within the Culture of Medicine: From Evidence to Practice</w:t>
      </w:r>
      <w:r w:rsidRPr="003B29BB">
        <w:rPr>
          <w:rFonts w:asciiTheme="minorHAnsi" w:hAnsiTheme="minorHAnsi" w:cstheme="minorHAnsi"/>
          <w:sz w:val="18"/>
          <w:szCs w:val="18"/>
        </w:rPr>
        <w:t>, New York, NY: Oxford University Press</w:t>
      </w:r>
      <w:r w:rsidR="00C84C0A" w:rsidRPr="003B29BB">
        <w:rPr>
          <w:rFonts w:asciiTheme="minorHAnsi" w:hAnsiTheme="minorHAnsi" w:cstheme="minorHAnsi"/>
          <w:sz w:val="18"/>
          <w:szCs w:val="18"/>
        </w:rPr>
        <w:t xml:space="preserve">; </w:t>
      </w:r>
      <w:r w:rsidRPr="003B29BB">
        <w:rPr>
          <w:rFonts w:asciiTheme="minorHAnsi" w:hAnsiTheme="minorHAnsi" w:cstheme="minorHAnsi"/>
          <w:sz w:val="18"/>
          <w:szCs w:val="18"/>
        </w:rPr>
        <w:t>Christopher G. Ellison, “Race, Religious Involvement, and Depressive Symptomatology in a Southeastern U.S. Community,” </w:t>
      </w:r>
      <w:r w:rsidRPr="003B29BB">
        <w:rPr>
          <w:rStyle w:val="Emphasis"/>
          <w:rFonts w:asciiTheme="minorHAnsi" w:hAnsiTheme="minorHAnsi" w:cstheme="minorHAnsi"/>
          <w:sz w:val="18"/>
          <w:szCs w:val="18"/>
        </w:rPr>
        <w:t>Social Science and Medicine</w:t>
      </w:r>
      <w:r w:rsidRPr="003B29BB">
        <w:rPr>
          <w:rFonts w:asciiTheme="minorHAnsi" w:hAnsiTheme="minorHAnsi" w:cstheme="minorHAnsi"/>
          <w:sz w:val="18"/>
          <w:szCs w:val="18"/>
        </w:rPr>
        <w:t> 40, no. 11 (June 1995): 1561–1572</w:t>
      </w:r>
      <w:r w:rsidR="00C84C0A" w:rsidRPr="003B29BB">
        <w:rPr>
          <w:rFonts w:asciiTheme="minorHAnsi" w:hAnsiTheme="minorHAnsi" w:cstheme="minorHAnsi"/>
          <w:sz w:val="18"/>
          <w:szCs w:val="18"/>
        </w:rPr>
        <w:t xml:space="preserve">; </w:t>
      </w:r>
      <w:proofErr w:type="spellStart"/>
      <w:r w:rsidRPr="003B29BB">
        <w:rPr>
          <w:rFonts w:asciiTheme="minorHAnsi" w:hAnsiTheme="minorHAnsi" w:cstheme="minorHAnsi"/>
          <w:sz w:val="18"/>
          <w:szCs w:val="18"/>
        </w:rPr>
        <w:t>Loyd</w:t>
      </w:r>
      <w:proofErr w:type="spellEnd"/>
      <w:r w:rsidRPr="003B29BB">
        <w:rPr>
          <w:rFonts w:asciiTheme="minorHAnsi" w:hAnsiTheme="minorHAnsi" w:cstheme="minorHAnsi"/>
          <w:sz w:val="18"/>
          <w:szCs w:val="18"/>
        </w:rPr>
        <w:t xml:space="preserve"> S. Wright, Christopher J. Frost, and Stephen J. </w:t>
      </w:r>
      <w:proofErr w:type="spellStart"/>
      <w:r w:rsidRPr="003B29BB">
        <w:rPr>
          <w:rFonts w:asciiTheme="minorHAnsi" w:hAnsiTheme="minorHAnsi" w:cstheme="minorHAnsi"/>
          <w:sz w:val="18"/>
          <w:szCs w:val="18"/>
        </w:rPr>
        <w:t>Wisecarver</w:t>
      </w:r>
      <w:proofErr w:type="spellEnd"/>
      <w:r w:rsidRPr="003B29BB">
        <w:rPr>
          <w:rFonts w:asciiTheme="minorHAnsi" w:hAnsiTheme="minorHAnsi" w:cstheme="minorHAnsi"/>
          <w:sz w:val="18"/>
          <w:szCs w:val="18"/>
        </w:rPr>
        <w:t>, “Church Attendance, Meaningfulness of Religion, and Depressive Symptomatology Among Adolescents,” </w:t>
      </w:r>
      <w:r w:rsidRPr="003B29BB">
        <w:rPr>
          <w:rStyle w:val="Emphasis"/>
          <w:rFonts w:asciiTheme="minorHAnsi" w:hAnsiTheme="minorHAnsi" w:cstheme="minorHAnsi"/>
          <w:sz w:val="18"/>
          <w:szCs w:val="18"/>
        </w:rPr>
        <w:t>Journal of Youth and Adoles</w:t>
      </w:r>
      <w:r w:rsidR="003D0EAB">
        <w:rPr>
          <w:rStyle w:val="Emphasis"/>
          <w:rFonts w:asciiTheme="minorHAnsi" w:hAnsiTheme="minorHAnsi" w:cstheme="minorHAnsi"/>
          <w:sz w:val="18"/>
          <w:szCs w:val="18"/>
        </w:rPr>
        <w:t>c</w:t>
      </w:r>
      <w:r w:rsidRPr="003B29BB">
        <w:rPr>
          <w:rStyle w:val="Emphasis"/>
          <w:rFonts w:asciiTheme="minorHAnsi" w:hAnsiTheme="minorHAnsi" w:cstheme="minorHAnsi"/>
          <w:sz w:val="18"/>
          <w:szCs w:val="18"/>
        </w:rPr>
        <w:t>ence</w:t>
      </w:r>
      <w:r w:rsidRPr="003B29BB">
        <w:rPr>
          <w:rFonts w:asciiTheme="minorHAnsi" w:hAnsiTheme="minorHAnsi" w:cstheme="minorHAnsi"/>
          <w:sz w:val="18"/>
          <w:szCs w:val="18"/>
        </w:rPr>
        <w:t> 22, no. 5 (October 1993): 559–568.</w:t>
      </w:r>
    </w:p>
  </w:footnote>
  <w:footnote w:id="10">
    <w:p w14:paraId="324D9EBF" w14:textId="224D1E6D" w:rsidR="0038342D" w:rsidRPr="003B29BB" w:rsidRDefault="0038342D">
      <w:pPr>
        <w:pStyle w:val="FootnoteText"/>
        <w:rPr>
          <w:rFonts w:asciiTheme="minorHAnsi" w:hAnsiTheme="minorHAnsi" w:cstheme="minorHAnsi"/>
          <w:sz w:val="18"/>
          <w:szCs w:val="18"/>
        </w:rPr>
      </w:pPr>
      <w:r w:rsidRPr="003B29BB">
        <w:rPr>
          <w:rStyle w:val="FootnoteReference"/>
          <w:rFonts w:asciiTheme="minorHAnsi" w:hAnsiTheme="minorHAnsi" w:cstheme="minorHAnsi"/>
          <w:sz w:val="18"/>
          <w:szCs w:val="18"/>
        </w:rPr>
        <w:footnoteRef/>
      </w:r>
      <w:r w:rsidRPr="003B29BB">
        <w:rPr>
          <w:rFonts w:asciiTheme="minorHAnsi" w:hAnsiTheme="minorHAnsi" w:cstheme="minorHAnsi"/>
          <w:sz w:val="18"/>
          <w:szCs w:val="18"/>
        </w:rPr>
        <w:t xml:space="preserve"> </w:t>
      </w:r>
      <w:proofErr w:type="spellStart"/>
      <w:r w:rsidRPr="003B29BB">
        <w:rPr>
          <w:rFonts w:asciiTheme="minorHAnsi" w:hAnsiTheme="minorHAnsi" w:cstheme="minorHAnsi"/>
          <w:sz w:val="18"/>
          <w:szCs w:val="18"/>
          <w:shd w:val="clear" w:color="auto" w:fill="FFFFFF"/>
        </w:rPr>
        <w:t>VanderWeele</w:t>
      </w:r>
      <w:proofErr w:type="spellEnd"/>
      <w:r w:rsidRPr="003B29BB">
        <w:rPr>
          <w:rFonts w:asciiTheme="minorHAnsi" w:hAnsiTheme="minorHAnsi" w:cstheme="minorHAnsi"/>
          <w:sz w:val="18"/>
          <w:szCs w:val="18"/>
          <w:shd w:val="clear" w:color="auto" w:fill="FFFFFF"/>
        </w:rPr>
        <w:t xml:space="preserve">, Tyler J., Shanshan Li, Alexander C. Tsai, and Ichiro </w:t>
      </w:r>
      <w:proofErr w:type="spellStart"/>
      <w:r w:rsidRPr="003B29BB">
        <w:rPr>
          <w:rFonts w:asciiTheme="minorHAnsi" w:hAnsiTheme="minorHAnsi" w:cstheme="minorHAnsi"/>
          <w:sz w:val="18"/>
          <w:szCs w:val="18"/>
          <w:shd w:val="clear" w:color="auto" w:fill="FFFFFF"/>
        </w:rPr>
        <w:t>Kawachi</w:t>
      </w:r>
      <w:proofErr w:type="spellEnd"/>
      <w:r w:rsidRPr="003B29BB">
        <w:rPr>
          <w:rFonts w:asciiTheme="minorHAnsi" w:hAnsiTheme="minorHAnsi" w:cstheme="minorHAnsi"/>
          <w:sz w:val="18"/>
          <w:szCs w:val="18"/>
          <w:shd w:val="clear" w:color="auto" w:fill="FFFFFF"/>
        </w:rPr>
        <w:t>, “Association Between Religious Service Attendance and Lower Suicide Rates Among US Women</w:t>
      </w:r>
      <w:r w:rsidR="00447A7D">
        <w:rPr>
          <w:rFonts w:asciiTheme="minorHAnsi" w:hAnsiTheme="minorHAnsi" w:cstheme="minorHAnsi"/>
          <w:sz w:val="18"/>
          <w:szCs w:val="18"/>
          <w:shd w:val="clear" w:color="auto" w:fill="FFFFFF"/>
        </w:rPr>
        <w:t>,</w:t>
      </w:r>
      <w:r w:rsidRPr="003B29BB">
        <w:rPr>
          <w:rFonts w:asciiTheme="minorHAnsi" w:hAnsiTheme="minorHAnsi" w:cstheme="minorHAnsi"/>
          <w:sz w:val="18"/>
          <w:szCs w:val="18"/>
          <w:shd w:val="clear" w:color="auto" w:fill="FFFFFF"/>
        </w:rPr>
        <w:t>” </w:t>
      </w:r>
      <w:r w:rsidRPr="003B29BB">
        <w:rPr>
          <w:rStyle w:val="Emphasis"/>
          <w:rFonts w:asciiTheme="minorHAnsi" w:hAnsiTheme="minorHAnsi" w:cstheme="minorHAnsi"/>
          <w:sz w:val="18"/>
          <w:szCs w:val="18"/>
          <w:shd w:val="clear" w:color="auto" w:fill="FFFFFF"/>
        </w:rPr>
        <w:t>JAMA Psychiatry</w:t>
      </w:r>
      <w:r w:rsidRPr="003B29BB">
        <w:rPr>
          <w:rFonts w:asciiTheme="minorHAnsi" w:hAnsiTheme="minorHAnsi" w:cstheme="minorHAnsi"/>
          <w:sz w:val="18"/>
          <w:szCs w:val="18"/>
          <w:shd w:val="clear" w:color="auto" w:fill="FFFFFF"/>
        </w:rPr>
        <w:t> 73, no. 8 (2016): 845-851.</w:t>
      </w:r>
    </w:p>
  </w:footnote>
  <w:footnote w:id="11">
    <w:p w14:paraId="1D4F84D5" w14:textId="26EE38AF" w:rsidR="00B03C9B" w:rsidRPr="003B29BB" w:rsidRDefault="00B03C9B" w:rsidP="00D16246">
      <w:pPr>
        <w:shd w:val="clear" w:color="auto" w:fill="FFFFFF"/>
        <w:rPr>
          <w:rFonts w:asciiTheme="minorHAnsi" w:hAnsiTheme="minorHAnsi" w:cstheme="minorHAnsi"/>
          <w:sz w:val="18"/>
          <w:szCs w:val="18"/>
        </w:rPr>
      </w:pPr>
      <w:r w:rsidRPr="003B29BB">
        <w:rPr>
          <w:rStyle w:val="FootnoteReference"/>
          <w:rFonts w:asciiTheme="minorHAnsi" w:hAnsiTheme="minorHAnsi" w:cstheme="minorHAnsi"/>
          <w:sz w:val="18"/>
          <w:szCs w:val="18"/>
        </w:rPr>
        <w:footnoteRef/>
      </w:r>
      <w:r w:rsidRPr="003B29BB">
        <w:rPr>
          <w:rFonts w:asciiTheme="minorHAnsi" w:hAnsiTheme="minorHAnsi" w:cstheme="minorHAnsi"/>
          <w:sz w:val="18"/>
          <w:szCs w:val="18"/>
        </w:rPr>
        <w:t xml:space="preserve"> </w:t>
      </w:r>
      <w:r w:rsidRPr="002837F2">
        <w:rPr>
          <w:rFonts w:asciiTheme="minorHAnsi" w:hAnsiTheme="minorHAnsi" w:cstheme="minorHAnsi"/>
          <w:sz w:val="18"/>
          <w:szCs w:val="18"/>
        </w:rPr>
        <w:t>Byron R. Johnson, Ralph Brett Tompkins, and Derek Webb, “Objective Hope-Assessing the Effectiveness of Faith-Based Organizations: A Systematic Review of the Literature,” Manhattan Institute for Policy Research, Center for Research on Religion and Urban Civil Society, 2002</w:t>
      </w:r>
      <w:r w:rsidR="00091BB0">
        <w:rPr>
          <w:rFonts w:asciiTheme="minorHAnsi" w:hAnsiTheme="minorHAnsi" w:cstheme="minorHAnsi"/>
          <w:sz w:val="18"/>
          <w:szCs w:val="18"/>
        </w:rPr>
        <w:t>.</w:t>
      </w:r>
    </w:p>
  </w:footnote>
  <w:footnote w:id="12">
    <w:p w14:paraId="5955C507" w14:textId="00660475" w:rsidR="00D260C5" w:rsidRPr="003B29BB" w:rsidRDefault="00D260C5" w:rsidP="00D16246">
      <w:pPr>
        <w:shd w:val="clear" w:color="auto" w:fill="FFFFFF"/>
        <w:rPr>
          <w:rFonts w:asciiTheme="minorHAnsi" w:hAnsiTheme="minorHAnsi" w:cstheme="minorHAnsi"/>
          <w:sz w:val="18"/>
          <w:szCs w:val="18"/>
        </w:rPr>
      </w:pPr>
      <w:r w:rsidRPr="003B29BB">
        <w:rPr>
          <w:rStyle w:val="FootnoteReference"/>
          <w:rFonts w:asciiTheme="minorHAnsi" w:hAnsiTheme="minorHAnsi" w:cstheme="minorHAnsi"/>
          <w:sz w:val="18"/>
          <w:szCs w:val="18"/>
        </w:rPr>
        <w:footnoteRef/>
      </w:r>
      <w:r w:rsidRPr="003B29BB">
        <w:rPr>
          <w:rFonts w:asciiTheme="minorHAnsi" w:hAnsiTheme="minorHAnsi" w:cstheme="minorHAnsi"/>
          <w:sz w:val="18"/>
          <w:szCs w:val="18"/>
        </w:rPr>
        <w:t xml:space="preserve"> </w:t>
      </w:r>
      <w:r w:rsidRPr="00851E11">
        <w:rPr>
          <w:rFonts w:asciiTheme="minorHAnsi" w:hAnsiTheme="minorHAnsi" w:cstheme="minorHAnsi"/>
          <w:sz w:val="18"/>
          <w:szCs w:val="18"/>
        </w:rPr>
        <w:t>Robert A. Hummer, Christopher G. Ellison, Richard G. Rogers, Benjamin E. Moulton, and Ron R. Romero, “Religious Involvement and Adult Mortality in the United States: Review and Perspective,” </w:t>
      </w:r>
      <w:r w:rsidRPr="00851E11">
        <w:rPr>
          <w:rFonts w:asciiTheme="minorHAnsi" w:hAnsiTheme="minorHAnsi" w:cstheme="minorHAnsi"/>
          <w:i/>
          <w:iCs/>
          <w:sz w:val="18"/>
          <w:szCs w:val="18"/>
        </w:rPr>
        <w:t>Southern Medical Journal</w:t>
      </w:r>
      <w:r w:rsidRPr="00851E11">
        <w:rPr>
          <w:rFonts w:asciiTheme="minorHAnsi" w:hAnsiTheme="minorHAnsi" w:cstheme="minorHAnsi"/>
          <w:sz w:val="18"/>
          <w:szCs w:val="18"/>
        </w:rPr>
        <w:t> 97, no. 12 (December 2004): 1223-1230.</w:t>
      </w:r>
    </w:p>
  </w:footnote>
  <w:footnote w:id="13">
    <w:p w14:paraId="79511DE2" w14:textId="7A5DA70E" w:rsidR="006F22E5" w:rsidRPr="003B29BB" w:rsidRDefault="006F22E5" w:rsidP="00D16246">
      <w:pPr>
        <w:shd w:val="clear" w:color="auto" w:fill="FFFFFF"/>
        <w:rPr>
          <w:rFonts w:asciiTheme="minorHAnsi" w:hAnsiTheme="minorHAnsi" w:cstheme="minorHAnsi"/>
          <w:sz w:val="18"/>
          <w:szCs w:val="18"/>
        </w:rPr>
      </w:pPr>
      <w:r w:rsidRPr="003B29BB">
        <w:rPr>
          <w:rStyle w:val="FootnoteReference"/>
          <w:rFonts w:asciiTheme="minorHAnsi" w:hAnsiTheme="minorHAnsi" w:cstheme="minorHAnsi"/>
          <w:sz w:val="18"/>
          <w:szCs w:val="18"/>
        </w:rPr>
        <w:footnoteRef/>
      </w:r>
      <w:r w:rsidRPr="003B29BB">
        <w:rPr>
          <w:rFonts w:asciiTheme="minorHAnsi" w:hAnsiTheme="minorHAnsi" w:cstheme="minorHAnsi"/>
          <w:sz w:val="18"/>
          <w:szCs w:val="18"/>
        </w:rPr>
        <w:t xml:space="preserve"> </w:t>
      </w:r>
      <w:r w:rsidRPr="002837F2">
        <w:rPr>
          <w:rFonts w:asciiTheme="minorHAnsi" w:hAnsiTheme="minorHAnsi" w:cstheme="minorHAnsi"/>
          <w:sz w:val="18"/>
          <w:szCs w:val="18"/>
        </w:rPr>
        <w:t xml:space="preserve">Jennifer L. Glanville, David </w:t>
      </w:r>
      <w:proofErr w:type="spellStart"/>
      <w:r w:rsidRPr="002837F2">
        <w:rPr>
          <w:rFonts w:asciiTheme="minorHAnsi" w:hAnsiTheme="minorHAnsi" w:cstheme="minorHAnsi"/>
          <w:sz w:val="18"/>
          <w:szCs w:val="18"/>
        </w:rPr>
        <w:t>Sikkink</w:t>
      </w:r>
      <w:proofErr w:type="spellEnd"/>
      <w:r w:rsidRPr="002837F2">
        <w:rPr>
          <w:rFonts w:asciiTheme="minorHAnsi" w:hAnsiTheme="minorHAnsi" w:cstheme="minorHAnsi"/>
          <w:sz w:val="18"/>
          <w:szCs w:val="18"/>
        </w:rPr>
        <w:t>, and Edwin I. Hernandez, “Religious Involvement and Educational Outcomes: The Role of Social Capital and Extracurricular Participation,” </w:t>
      </w:r>
      <w:r w:rsidRPr="002837F2">
        <w:rPr>
          <w:rFonts w:asciiTheme="minorHAnsi" w:hAnsiTheme="minorHAnsi" w:cstheme="minorHAnsi"/>
          <w:i/>
          <w:iCs/>
          <w:sz w:val="18"/>
          <w:szCs w:val="18"/>
        </w:rPr>
        <w:t>The Sociological Quarterly</w:t>
      </w:r>
      <w:r w:rsidRPr="002837F2">
        <w:rPr>
          <w:rFonts w:asciiTheme="minorHAnsi" w:hAnsiTheme="minorHAnsi" w:cstheme="minorHAnsi"/>
          <w:sz w:val="18"/>
          <w:szCs w:val="18"/>
        </w:rPr>
        <w:t> 49, no. 1 (2008): 105-137</w:t>
      </w:r>
      <w:r w:rsidR="0055737D" w:rsidRPr="003B29BB">
        <w:rPr>
          <w:rFonts w:asciiTheme="minorHAnsi" w:hAnsiTheme="minorHAnsi" w:cstheme="minorHAnsi"/>
          <w:sz w:val="18"/>
          <w:szCs w:val="18"/>
        </w:rPr>
        <w:t xml:space="preserve">; </w:t>
      </w:r>
      <w:r w:rsidR="0055737D" w:rsidRPr="002837F2">
        <w:rPr>
          <w:rFonts w:asciiTheme="minorHAnsi" w:hAnsiTheme="minorHAnsi" w:cstheme="minorHAnsi"/>
          <w:sz w:val="18"/>
          <w:szCs w:val="18"/>
        </w:rPr>
        <w:t>Mark D. Regnerus, “Making the Grade: The Influence of Religion upon the Academic Performance of Youth in Disadvantaged Communities,” University of Pennsylvania, Center for Research on Religion and Urban Civil Society Report No.3, 2001.</w:t>
      </w:r>
    </w:p>
  </w:footnote>
  <w:footnote w:id="14">
    <w:p w14:paraId="3F0F3B57" w14:textId="71157397" w:rsidR="00D83FFF" w:rsidRPr="003B29BB" w:rsidRDefault="00D83FFF" w:rsidP="00D16246">
      <w:pPr>
        <w:shd w:val="clear" w:color="auto" w:fill="FFFFFF"/>
        <w:rPr>
          <w:rFonts w:asciiTheme="minorHAnsi" w:hAnsiTheme="minorHAnsi" w:cstheme="minorHAnsi"/>
          <w:sz w:val="18"/>
          <w:szCs w:val="18"/>
        </w:rPr>
      </w:pPr>
      <w:r w:rsidRPr="003B29BB">
        <w:rPr>
          <w:rStyle w:val="FootnoteReference"/>
          <w:rFonts w:asciiTheme="minorHAnsi" w:hAnsiTheme="minorHAnsi" w:cstheme="minorHAnsi"/>
          <w:sz w:val="18"/>
          <w:szCs w:val="18"/>
        </w:rPr>
        <w:footnoteRef/>
      </w:r>
      <w:r w:rsidRPr="003B29BB">
        <w:rPr>
          <w:rFonts w:asciiTheme="minorHAnsi" w:hAnsiTheme="minorHAnsi" w:cstheme="minorHAnsi"/>
          <w:sz w:val="18"/>
          <w:szCs w:val="18"/>
        </w:rPr>
        <w:t xml:space="preserve"> </w:t>
      </w:r>
      <w:r w:rsidRPr="002837F2">
        <w:rPr>
          <w:rFonts w:asciiTheme="minorHAnsi" w:hAnsiTheme="minorHAnsi" w:cstheme="minorHAnsi"/>
          <w:sz w:val="18"/>
          <w:szCs w:val="18"/>
        </w:rPr>
        <w:t>Byron R. Johnson, David B. Larson, Spencer De Li, and Sung Joon Jang, “Escaping from the Crime of Inner Cities: Church Attendance and Religious Salience Among Disadvantaged Youth,” </w:t>
      </w:r>
      <w:r w:rsidRPr="002837F2">
        <w:rPr>
          <w:rFonts w:asciiTheme="minorHAnsi" w:hAnsiTheme="minorHAnsi" w:cstheme="minorHAnsi"/>
          <w:i/>
          <w:iCs/>
          <w:sz w:val="18"/>
          <w:szCs w:val="18"/>
        </w:rPr>
        <w:t>Justice Quarterly</w:t>
      </w:r>
      <w:r w:rsidRPr="002837F2">
        <w:rPr>
          <w:rFonts w:asciiTheme="minorHAnsi" w:hAnsiTheme="minorHAnsi" w:cstheme="minorHAnsi"/>
          <w:sz w:val="18"/>
          <w:szCs w:val="18"/>
        </w:rPr>
        <w:t> 17, no. 2 (June 2000): 377-339.</w:t>
      </w:r>
    </w:p>
  </w:footnote>
  <w:footnote w:id="15">
    <w:p w14:paraId="37AC3A67" w14:textId="7289975F" w:rsidR="004C0F5A" w:rsidRPr="002837F2" w:rsidRDefault="004C0F5A" w:rsidP="00D16246">
      <w:pPr>
        <w:shd w:val="clear" w:color="auto" w:fill="FFFFFF"/>
        <w:rPr>
          <w:rFonts w:asciiTheme="minorHAnsi" w:hAnsiTheme="minorHAnsi" w:cstheme="minorHAnsi"/>
          <w:sz w:val="18"/>
          <w:szCs w:val="18"/>
        </w:rPr>
      </w:pPr>
      <w:r w:rsidRPr="003B29BB">
        <w:rPr>
          <w:rStyle w:val="FootnoteReference"/>
          <w:rFonts w:asciiTheme="minorHAnsi" w:hAnsiTheme="minorHAnsi" w:cstheme="minorHAnsi"/>
          <w:sz w:val="18"/>
          <w:szCs w:val="18"/>
        </w:rPr>
        <w:footnoteRef/>
      </w:r>
      <w:r w:rsidRPr="003B29BB">
        <w:rPr>
          <w:rFonts w:asciiTheme="minorHAnsi" w:hAnsiTheme="minorHAnsi" w:cstheme="minorHAnsi"/>
          <w:sz w:val="18"/>
          <w:szCs w:val="18"/>
        </w:rPr>
        <w:t xml:space="preserve"> </w:t>
      </w:r>
      <w:r w:rsidRPr="002837F2">
        <w:rPr>
          <w:rFonts w:asciiTheme="minorHAnsi" w:hAnsiTheme="minorHAnsi" w:cstheme="minorHAnsi"/>
          <w:sz w:val="18"/>
          <w:szCs w:val="18"/>
        </w:rPr>
        <w:t>John Gartner, David B. Larson, and George Allen, “Religious Commitment and Mental Health: A Review of the Empirical Literature,” </w:t>
      </w:r>
      <w:r w:rsidRPr="002837F2">
        <w:rPr>
          <w:rFonts w:asciiTheme="minorHAnsi" w:hAnsiTheme="minorHAnsi" w:cstheme="minorHAnsi"/>
          <w:i/>
          <w:iCs/>
          <w:sz w:val="18"/>
          <w:szCs w:val="18"/>
        </w:rPr>
        <w:t>Journal of Psychology and Theology</w:t>
      </w:r>
      <w:r w:rsidRPr="002837F2">
        <w:rPr>
          <w:rFonts w:asciiTheme="minorHAnsi" w:hAnsiTheme="minorHAnsi" w:cstheme="minorHAnsi"/>
          <w:sz w:val="18"/>
          <w:szCs w:val="18"/>
        </w:rPr>
        <w:t> 19, no. 1 (Spring 1991): 6–25</w:t>
      </w:r>
      <w:r w:rsidRPr="003B29BB">
        <w:rPr>
          <w:rFonts w:asciiTheme="minorHAnsi" w:hAnsiTheme="minorHAnsi" w:cstheme="minorHAnsi"/>
          <w:sz w:val="18"/>
          <w:szCs w:val="18"/>
        </w:rPr>
        <w:t xml:space="preserve">; </w:t>
      </w:r>
      <w:r w:rsidRPr="002837F2">
        <w:rPr>
          <w:rFonts w:asciiTheme="minorHAnsi" w:hAnsiTheme="minorHAnsi" w:cstheme="minorHAnsi"/>
          <w:sz w:val="18"/>
          <w:szCs w:val="18"/>
        </w:rPr>
        <w:t xml:space="preserve">Deborah </w:t>
      </w:r>
      <w:proofErr w:type="spellStart"/>
      <w:r w:rsidRPr="002837F2">
        <w:rPr>
          <w:rFonts w:asciiTheme="minorHAnsi" w:hAnsiTheme="minorHAnsi" w:cstheme="minorHAnsi"/>
          <w:sz w:val="18"/>
          <w:szCs w:val="18"/>
        </w:rPr>
        <w:t>Hasin</w:t>
      </w:r>
      <w:proofErr w:type="spellEnd"/>
      <w:r w:rsidRPr="002837F2">
        <w:rPr>
          <w:rFonts w:asciiTheme="minorHAnsi" w:hAnsiTheme="minorHAnsi" w:cstheme="minorHAnsi"/>
          <w:sz w:val="18"/>
          <w:szCs w:val="18"/>
        </w:rPr>
        <w:t>, Jean Endicott, and Collins Lewis, “Alcohol and Drug Abuse in Patients with Affective Syndrome,” </w:t>
      </w:r>
      <w:r w:rsidRPr="002837F2">
        <w:rPr>
          <w:rFonts w:asciiTheme="minorHAnsi" w:hAnsiTheme="minorHAnsi" w:cstheme="minorHAnsi"/>
          <w:i/>
          <w:iCs/>
          <w:sz w:val="18"/>
          <w:szCs w:val="18"/>
        </w:rPr>
        <w:t>Comprehensive Psychiatry</w:t>
      </w:r>
      <w:r w:rsidRPr="002837F2">
        <w:rPr>
          <w:rFonts w:asciiTheme="minorHAnsi" w:hAnsiTheme="minorHAnsi" w:cstheme="minorHAnsi"/>
          <w:sz w:val="18"/>
          <w:szCs w:val="18"/>
        </w:rPr>
        <w:t> 26, no. 3 (May–June 1985): 283–295.</w:t>
      </w:r>
    </w:p>
    <w:p w14:paraId="6FAB70EC" w14:textId="654947EC" w:rsidR="004C0F5A" w:rsidRPr="003B29BB" w:rsidRDefault="004C0F5A">
      <w:pPr>
        <w:pStyle w:val="FootnoteText"/>
        <w:rPr>
          <w:rFonts w:asciiTheme="minorHAnsi" w:hAnsiTheme="minorHAnsi" w:cstheme="minorHAnsi"/>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F4F2E"/>
    <w:multiLevelType w:val="hybridMultilevel"/>
    <w:tmpl w:val="A874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466D4"/>
    <w:multiLevelType w:val="multilevel"/>
    <w:tmpl w:val="277C35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EE2F29"/>
    <w:multiLevelType w:val="hybridMultilevel"/>
    <w:tmpl w:val="F3AE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4229714">
    <w:abstractNumId w:val="1"/>
  </w:num>
  <w:num w:numId="2" w16cid:durableId="719477200">
    <w:abstractNumId w:val="2"/>
  </w:num>
  <w:num w:numId="3" w16cid:durableId="1048338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65"/>
    <w:rsid w:val="00020F77"/>
    <w:rsid w:val="000227DE"/>
    <w:rsid w:val="000319A5"/>
    <w:rsid w:val="000453E8"/>
    <w:rsid w:val="00055BF3"/>
    <w:rsid w:val="00060B0E"/>
    <w:rsid w:val="00091BB0"/>
    <w:rsid w:val="000A0618"/>
    <w:rsid w:val="000A073D"/>
    <w:rsid w:val="000B2621"/>
    <w:rsid w:val="000C118E"/>
    <w:rsid w:val="000D2C4C"/>
    <w:rsid w:val="000D5605"/>
    <w:rsid w:val="000E2133"/>
    <w:rsid w:val="000E4A8B"/>
    <w:rsid w:val="000F077C"/>
    <w:rsid w:val="000F1069"/>
    <w:rsid w:val="00104EBE"/>
    <w:rsid w:val="00105D7B"/>
    <w:rsid w:val="00117F2A"/>
    <w:rsid w:val="001364ED"/>
    <w:rsid w:val="001661E1"/>
    <w:rsid w:val="002407F0"/>
    <w:rsid w:val="00264461"/>
    <w:rsid w:val="002831EE"/>
    <w:rsid w:val="002844F8"/>
    <w:rsid w:val="002872B5"/>
    <w:rsid w:val="002977E1"/>
    <w:rsid w:val="002A36FA"/>
    <w:rsid w:val="002E604F"/>
    <w:rsid w:val="002E7185"/>
    <w:rsid w:val="002F330F"/>
    <w:rsid w:val="00300D64"/>
    <w:rsid w:val="003064C6"/>
    <w:rsid w:val="00312B0A"/>
    <w:rsid w:val="00342EC6"/>
    <w:rsid w:val="00344057"/>
    <w:rsid w:val="0038342D"/>
    <w:rsid w:val="00396FB6"/>
    <w:rsid w:val="003A6A40"/>
    <w:rsid w:val="003B1ED7"/>
    <w:rsid w:val="003B29BB"/>
    <w:rsid w:val="003C3023"/>
    <w:rsid w:val="003C5855"/>
    <w:rsid w:val="003C6DE7"/>
    <w:rsid w:val="003D0EAB"/>
    <w:rsid w:val="003D15F8"/>
    <w:rsid w:val="003D2BCB"/>
    <w:rsid w:val="003D531B"/>
    <w:rsid w:val="00430F52"/>
    <w:rsid w:val="004310F9"/>
    <w:rsid w:val="00433648"/>
    <w:rsid w:val="00434DD6"/>
    <w:rsid w:val="00447A7D"/>
    <w:rsid w:val="00456DF2"/>
    <w:rsid w:val="00477810"/>
    <w:rsid w:val="004C0F5A"/>
    <w:rsid w:val="004C5238"/>
    <w:rsid w:val="00536F3A"/>
    <w:rsid w:val="00554C73"/>
    <w:rsid w:val="0055737D"/>
    <w:rsid w:val="005628D1"/>
    <w:rsid w:val="005C0F4B"/>
    <w:rsid w:val="005E77D0"/>
    <w:rsid w:val="005F4F05"/>
    <w:rsid w:val="00612931"/>
    <w:rsid w:val="0062655B"/>
    <w:rsid w:val="00634D14"/>
    <w:rsid w:val="006477D3"/>
    <w:rsid w:val="006759AF"/>
    <w:rsid w:val="00690067"/>
    <w:rsid w:val="006B7F9C"/>
    <w:rsid w:val="006C0E65"/>
    <w:rsid w:val="006D11AA"/>
    <w:rsid w:val="006D189D"/>
    <w:rsid w:val="006F22E5"/>
    <w:rsid w:val="006F5599"/>
    <w:rsid w:val="006F56BF"/>
    <w:rsid w:val="007079E0"/>
    <w:rsid w:val="00740A13"/>
    <w:rsid w:val="00760FFF"/>
    <w:rsid w:val="0078613B"/>
    <w:rsid w:val="00793C0D"/>
    <w:rsid w:val="007B4024"/>
    <w:rsid w:val="007E52C4"/>
    <w:rsid w:val="007F7CA8"/>
    <w:rsid w:val="0082057A"/>
    <w:rsid w:val="0082652F"/>
    <w:rsid w:val="0086739A"/>
    <w:rsid w:val="00891641"/>
    <w:rsid w:val="008A218C"/>
    <w:rsid w:val="008A5020"/>
    <w:rsid w:val="008D1995"/>
    <w:rsid w:val="008E35CE"/>
    <w:rsid w:val="009323D4"/>
    <w:rsid w:val="00941FDA"/>
    <w:rsid w:val="009470A2"/>
    <w:rsid w:val="0095165C"/>
    <w:rsid w:val="0095329C"/>
    <w:rsid w:val="00984726"/>
    <w:rsid w:val="009A359B"/>
    <w:rsid w:val="009A50ED"/>
    <w:rsid w:val="009C0DA5"/>
    <w:rsid w:val="009F55F2"/>
    <w:rsid w:val="00A10A2C"/>
    <w:rsid w:val="00A41AEB"/>
    <w:rsid w:val="00A53774"/>
    <w:rsid w:val="00A6158E"/>
    <w:rsid w:val="00A67C7D"/>
    <w:rsid w:val="00A67F65"/>
    <w:rsid w:val="00A71EDF"/>
    <w:rsid w:val="00A80605"/>
    <w:rsid w:val="00AA532F"/>
    <w:rsid w:val="00AA6B07"/>
    <w:rsid w:val="00AB18CA"/>
    <w:rsid w:val="00AC78F6"/>
    <w:rsid w:val="00AD04BF"/>
    <w:rsid w:val="00AD2F0C"/>
    <w:rsid w:val="00AE1709"/>
    <w:rsid w:val="00B020C3"/>
    <w:rsid w:val="00B03C9B"/>
    <w:rsid w:val="00B11172"/>
    <w:rsid w:val="00B206B3"/>
    <w:rsid w:val="00B265F4"/>
    <w:rsid w:val="00B40725"/>
    <w:rsid w:val="00B41797"/>
    <w:rsid w:val="00B54064"/>
    <w:rsid w:val="00B5623B"/>
    <w:rsid w:val="00B57381"/>
    <w:rsid w:val="00B744B9"/>
    <w:rsid w:val="00B84E5E"/>
    <w:rsid w:val="00B93282"/>
    <w:rsid w:val="00B977A9"/>
    <w:rsid w:val="00BC5EA7"/>
    <w:rsid w:val="00BC64FB"/>
    <w:rsid w:val="00BC6CEA"/>
    <w:rsid w:val="00BD3C39"/>
    <w:rsid w:val="00BD5C9E"/>
    <w:rsid w:val="00C106AF"/>
    <w:rsid w:val="00C26E04"/>
    <w:rsid w:val="00C36557"/>
    <w:rsid w:val="00C518DE"/>
    <w:rsid w:val="00C56DBD"/>
    <w:rsid w:val="00C63F21"/>
    <w:rsid w:val="00C65779"/>
    <w:rsid w:val="00C760B5"/>
    <w:rsid w:val="00C84C0A"/>
    <w:rsid w:val="00C8584C"/>
    <w:rsid w:val="00C90860"/>
    <w:rsid w:val="00C91DED"/>
    <w:rsid w:val="00C977F3"/>
    <w:rsid w:val="00CA13B0"/>
    <w:rsid w:val="00CD19F1"/>
    <w:rsid w:val="00CF27A0"/>
    <w:rsid w:val="00CF2AC0"/>
    <w:rsid w:val="00D07E81"/>
    <w:rsid w:val="00D12C2F"/>
    <w:rsid w:val="00D16246"/>
    <w:rsid w:val="00D260C5"/>
    <w:rsid w:val="00D2789F"/>
    <w:rsid w:val="00D35213"/>
    <w:rsid w:val="00D42C2F"/>
    <w:rsid w:val="00D62E59"/>
    <w:rsid w:val="00D64034"/>
    <w:rsid w:val="00D729FC"/>
    <w:rsid w:val="00D739C7"/>
    <w:rsid w:val="00D83FFF"/>
    <w:rsid w:val="00D95923"/>
    <w:rsid w:val="00DC03AE"/>
    <w:rsid w:val="00DC1387"/>
    <w:rsid w:val="00DC2353"/>
    <w:rsid w:val="00DC735F"/>
    <w:rsid w:val="00E44767"/>
    <w:rsid w:val="00E70BE0"/>
    <w:rsid w:val="00E740B5"/>
    <w:rsid w:val="00E77028"/>
    <w:rsid w:val="00E77CA3"/>
    <w:rsid w:val="00E830A5"/>
    <w:rsid w:val="00E84998"/>
    <w:rsid w:val="00E87A73"/>
    <w:rsid w:val="00E90ECE"/>
    <w:rsid w:val="00EA11DD"/>
    <w:rsid w:val="00ED74EE"/>
    <w:rsid w:val="00EE2DF3"/>
    <w:rsid w:val="00F10EBC"/>
    <w:rsid w:val="00F12E64"/>
    <w:rsid w:val="00F150DA"/>
    <w:rsid w:val="00F26DED"/>
    <w:rsid w:val="00FA02D0"/>
    <w:rsid w:val="00FA4ADF"/>
    <w:rsid w:val="00FA7AEB"/>
    <w:rsid w:val="00FD5359"/>
    <w:rsid w:val="00FD59D7"/>
    <w:rsid w:val="00FE5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DDE34"/>
  <w15:chartTrackingRefBased/>
  <w15:docId w15:val="{BA218231-D483-4218-AE3B-83B00A3D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1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2A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C0E6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CF2AC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F2AC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0E65"/>
    <w:rPr>
      <w:rFonts w:ascii="Times New Roman" w:eastAsia="Times New Roman" w:hAnsi="Times New Roman" w:cs="Times New Roman"/>
      <w:b/>
      <w:bCs/>
      <w:sz w:val="36"/>
      <w:szCs w:val="36"/>
    </w:rPr>
  </w:style>
  <w:style w:type="character" w:styleId="Hyperlink">
    <w:name w:val="Hyperlink"/>
    <w:uiPriority w:val="99"/>
    <w:rsid w:val="006C0E65"/>
    <w:rPr>
      <w:color w:val="0000FF"/>
      <w:u w:val="single"/>
    </w:rPr>
  </w:style>
  <w:style w:type="character" w:customStyle="1" w:styleId="Heading3Char">
    <w:name w:val="Heading 3 Char"/>
    <w:basedOn w:val="DefaultParagraphFont"/>
    <w:link w:val="Heading3"/>
    <w:uiPriority w:val="9"/>
    <w:semiHidden/>
    <w:rsid w:val="00CF2AC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CF2AC0"/>
    <w:pPr>
      <w:spacing w:before="100" w:beforeAutospacing="1" w:after="100" w:afterAutospacing="1"/>
    </w:pPr>
  </w:style>
  <w:style w:type="character" w:customStyle="1" w:styleId="Heading1Char">
    <w:name w:val="Heading 1 Char"/>
    <w:basedOn w:val="DefaultParagraphFont"/>
    <w:link w:val="Heading1"/>
    <w:uiPriority w:val="9"/>
    <w:rsid w:val="00CF2AC0"/>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CF2AC0"/>
    <w:rPr>
      <w:rFonts w:asciiTheme="majorHAnsi" w:eastAsiaTheme="majorEastAsia" w:hAnsiTheme="majorHAnsi" w:cstheme="majorBidi"/>
      <w:i/>
      <w:iCs/>
      <w:color w:val="2F5496" w:themeColor="accent1" w:themeShade="BF"/>
      <w:sz w:val="24"/>
      <w:szCs w:val="24"/>
    </w:rPr>
  </w:style>
  <w:style w:type="paragraph" w:customStyle="1" w:styleId="Default">
    <w:name w:val="Default"/>
    <w:rsid w:val="00105D7B"/>
    <w:pPr>
      <w:widowControl w:val="0"/>
      <w:autoSpaceDE w:val="0"/>
      <w:autoSpaceDN w:val="0"/>
      <w:adjustRightInd w:val="0"/>
      <w:spacing w:after="0" w:line="240" w:lineRule="auto"/>
    </w:pPr>
    <w:rPr>
      <w:rFonts w:ascii="YNLCZ A+ Book Antiqua" w:eastAsia="Times New Roman" w:hAnsi="YNLCZ A+ Book Antiqua" w:cs="YNLCZ A+ Book Antiqua"/>
      <w:color w:val="000000"/>
      <w:sz w:val="24"/>
      <w:szCs w:val="24"/>
    </w:rPr>
  </w:style>
  <w:style w:type="paragraph" w:styleId="ListParagraph">
    <w:name w:val="List Paragraph"/>
    <w:aliases w:val="References,Dot pt,F5 List Paragraph,List Paragraph Char Char Char,Indicator Text,Numbered Para 1,Bullet 1,Bullet Points,List Paragraph2,MAIN CONTENT,Normal numbered,List Paragraph1,Colorful List - Accent 11,Issue Action POC,3,Bullet Style"/>
    <w:basedOn w:val="Normal"/>
    <w:link w:val="ListParagraphChar"/>
    <w:uiPriority w:val="34"/>
    <w:qFormat/>
    <w:rsid w:val="00105D7B"/>
    <w:pPr>
      <w:ind w:left="720"/>
      <w:contextualSpacing/>
    </w:pPr>
  </w:style>
  <w:style w:type="character" w:customStyle="1" w:styleId="apple-converted-space">
    <w:name w:val="apple-converted-space"/>
    <w:rsid w:val="00105D7B"/>
  </w:style>
  <w:style w:type="character" w:customStyle="1" w:styleId="ListParagraphChar">
    <w:name w:val="List Paragraph Char"/>
    <w:aliases w:val="References Char,Dot pt Char,F5 List Paragraph Char,List Paragraph Char Char Char Char,Indicator Text Char,Numbered Para 1 Char,Bullet 1 Char,Bullet Points Char,List Paragraph2 Char,MAIN CONTENT Char,Normal numbered Char,3 Char"/>
    <w:link w:val="ListParagraph"/>
    <w:uiPriority w:val="34"/>
    <w:locked/>
    <w:rsid w:val="00105D7B"/>
    <w:rPr>
      <w:rFonts w:ascii="Times New Roman" w:eastAsia="Times New Roman" w:hAnsi="Times New Roman" w:cs="Times New Roman"/>
      <w:sz w:val="24"/>
      <w:szCs w:val="24"/>
    </w:rPr>
  </w:style>
  <w:style w:type="character" w:customStyle="1" w:styleId="dt">
    <w:name w:val="dt"/>
    <w:basedOn w:val="DefaultParagraphFont"/>
    <w:rsid w:val="00430F52"/>
  </w:style>
  <w:style w:type="character" w:customStyle="1" w:styleId="dttext">
    <w:name w:val="dttext"/>
    <w:basedOn w:val="DefaultParagraphFont"/>
    <w:rsid w:val="00430F52"/>
  </w:style>
  <w:style w:type="character" w:customStyle="1" w:styleId="letter">
    <w:name w:val="letter"/>
    <w:basedOn w:val="DefaultParagraphFont"/>
    <w:rsid w:val="00430F52"/>
  </w:style>
  <w:style w:type="character" w:styleId="Strong">
    <w:name w:val="Strong"/>
    <w:basedOn w:val="DefaultParagraphFont"/>
    <w:uiPriority w:val="22"/>
    <w:qFormat/>
    <w:rsid w:val="00430F52"/>
    <w:rPr>
      <w:b/>
      <w:bCs/>
    </w:rPr>
  </w:style>
  <w:style w:type="character" w:customStyle="1" w:styleId="text-uppercase">
    <w:name w:val="text-uppercase"/>
    <w:basedOn w:val="DefaultParagraphFont"/>
    <w:rsid w:val="00430F52"/>
  </w:style>
  <w:style w:type="character" w:customStyle="1" w:styleId="ex-sent">
    <w:name w:val="ex-sent"/>
    <w:basedOn w:val="DefaultParagraphFont"/>
    <w:rsid w:val="00430F52"/>
  </w:style>
  <w:style w:type="character" w:customStyle="1" w:styleId="mwtwi">
    <w:name w:val="mw_t_wi"/>
    <w:basedOn w:val="DefaultParagraphFont"/>
    <w:rsid w:val="00430F52"/>
  </w:style>
  <w:style w:type="character" w:customStyle="1" w:styleId="sd">
    <w:name w:val="sd"/>
    <w:basedOn w:val="DefaultParagraphFont"/>
    <w:rsid w:val="00430F52"/>
  </w:style>
  <w:style w:type="character" w:styleId="FollowedHyperlink">
    <w:name w:val="FollowedHyperlink"/>
    <w:basedOn w:val="DefaultParagraphFont"/>
    <w:uiPriority w:val="99"/>
    <w:semiHidden/>
    <w:unhideWhenUsed/>
    <w:rsid w:val="009A359B"/>
    <w:rPr>
      <w:color w:val="954F72" w:themeColor="followedHyperlink"/>
      <w:u w:val="single"/>
    </w:rPr>
  </w:style>
  <w:style w:type="paragraph" w:styleId="FootnoteText">
    <w:name w:val="footnote text"/>
    <w:basedOn w:val="Normal"/>
    <w:link w:val="FootnoteTextChar"/>
    <w:uiPriority w:val="99"/>
    <w:semiHidden/>
    <w:unhideWhenUsed/>
    <w:rsid w:val="00D95923"/>
    <w:rPr>
      <w:sz w:val="20"/>
      <w:szCs w:val="20"/>
    </w:rPr>
  </w:style>
  <w:style w:type="character" w:customStyle="1" w:styleId="FootnoteTextChar">
    <w:name w:val="Footnote Text Char"/>
    <w:basedOn w:val="DefaultParagraphFont"/>
    <w:link w:val="FootnoteText"/>
    <w:uiPriority w:val="99"/>
    <w:semiHidden/>
    <w:rsid w:val="00D9592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95923"/>
    <w:rPr>
      <w:vertAlign w:val="superscript"/>
    </w:rPr>
  </w:style>
  <w:style w:type="character" w:styleId="Emphasis">
    <w:name w:val="Emphasis"/>
    <w:basedOn w:val="DefaultParagraphFont"/>
    <w:uiPriority w:val="20"/>
    <w:qFormat/>
    <w:rsid w:val="003834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016">
      <w:bodyDiv w:val="1"/>
      <w:marLeft w:val="0"/>
      <w:marRight w:val="0"/>
      <w:marTop w:val="0"/>
      <w:marBottom w:val="0"/>
      <w:divBdr>
        <w:top w:val="none" w:sz="0" w:space="0" w:color="auto"/>
        <w:left w:val="none" w:sz="0" w:space="0" w:color="auto"/>
        <w:bottom w:val="none" w:sz="0" w:space="0" w:color="auto"/>
        <w:right w:val="none" w:sz="0" w:space="0" w:color="auto"/>
      </w:divBdr>
    </w:div>
    <w:div w:id="114832196">
      <w:bodyDiv w:val="1"/>
      <w:marLeft w:val="0"/>
      <w:marRight w:val="0"/>
      <w:marTop w:val="0"/>
      <w:marBottom w:val="0"/>
      <w:divBdr>
        <w:top w:val="none" w:sz="0" w:space="0" w:color="auto"/>
        <w:left w:val="none" w:sz="0" w:space="0" w:color="auto"/>
        <w:bottom w:val="none" w:sz="0" w:space="0" w:color="auto"/>
        <w:right w:val="none" w:sz="0" w:space="0" w:color="auto"/>
      </w:divBdr>
    </w:div>
    <w:div w:id="456339295">
      <w:bodyDiv w:val="1"/>
      <w:marLeft w:val="0"/>
      <w:marRight w:val="0"/>
      <w:marTop w:val="0"/>
      <w:marBottom w:val="0"/>
      <w:divBdr>
        <w:top w:val="none" w:sz="0" w:space="0" w:color="auto"/>
        <w:left w:val="none" w:sz="0" w:space="0" w:color="auto"/>
        <w:bottom w:val="none" w:sz="0" w:space="0" w:color="auto"/>
        <w:right w:val="none" w:sz="0" w:space="0" w:color="auto"/>
      </w:divBdr>
      <w:divsChild>
        <w:div w:id="404110576">
          <w:marLeft w:val="0"/>
          <w:marRight w:val="0"/>
          <w:marTop w:val="0"/>
          <w:marBottom w:val="0"/>
          <w:divBdr>
            <w:top w:val="none" w:sz="0" w:space="0" w:color="auto"/>
            <w:left w:val="none" w:sz="0" w:space="0" w:color="auto"/>
            <w:bottom w:val="none" w:sz="0" w:space="0" w:color="auto"/>
            <w:right w:val="none" w:sz="0" w:space="0" w:color="auto"/>
          </w:divBdr>
          <w:divsChild>
            <w:div w:id="574821204">
              <w:marLeft w:val="0"/>
              <w:marRight w:val="0"/>
              <w:marTop w:val="0"/>
              <w:marBottom w:val="0"/>
              <w:divBdr>
                <w:top w:val="none" w:sz="0" w:space="0" w:color="auto"/>
                <w:left w:val="none" w:sz="0" w:space="0" w:color="auto"/>
                <w:bottom w:val="none" w:sz="0" w:space="0" w:color="auto"/>
                <w:right w:val="none" w:sz="0" w:space="0" w:color="auto"/>
              </w:divBdr>
            </w:div>
          </w:divsChild>
        </w:div>
        <w:div w:id="423651443">
          <w:marLeft w:val="0"/>
          <w:marRight w:val="0"/>
          <w:marTop w:val="0"/>
          <w:marBottom w:val="0"/>
          <w:divBdr>
            <w:top w:val="none" w:sz="0" w:space="0" w:color="auto"/>
            <w:left w:val="none" w:sz="0" w:space="0" w:color="auto"/>
            <w:bottom w:val="none" w:sz="0" w:space="0" w:color="auto"/>
            <w:right w:val="none" w:sz="0" w:space="0" w:color="auto"/>
          </w:divBdr>
          <w:divsChild>
            <w:div w:id="17839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00631">
      <w:bodyDiv w:val="1"/>
      <w:marLeft w:val="0"/>
      <w:marRight w:val="0"/>
      <w:marTop w:val="0"/>
      <w:marBottom w:val="0"/>
      <w:divBdr>
        <w:top w:val="none" w:sz="0" w:space="0" w:color="auto"/>
        <w:left w:val="none" w:sz="0" w:space="0" w:color="auto"/>
        <w:bottom w:val="none" w:sz="0" w:space="0" w:color="auto"/>
        <w:right w:val="none" w:sz="0" w:space="0" w:color="auto"/>
      </w:divBdr>
    </w:div>
    <w:div w:id="656566857">
      <w:bodyDiv w:val="1"/>
      <w:marLeft w:val="0"/>
      <w:marRight w:val="0"/>
      <w:marTop w:val="0"/>
      <w:marBottom w:val="0"/>
      <w:divBdr>
        <w:top w:val="none" w:sz="0" w:space="0" w:color="auto"/>
        <w:left w:val="none" w:sz="0" w:space="0" w:color="auto"/>
        <w:bottom w:val="none" w:sz="0" w:space="0" w:color="auto"/>
        <w:right w:val="none" w:sz="0" w:space="0" w:color="auto"/>
      </w:divBdr>
    </w:div>
    <w:div w:id="694039749">
      <w:bodyDiv w:val="1"/>
      <w:marLeft w:val="0"/>
      <w:marRight w:val="0"/>
      <w:marTop w:val="0"/>
      <w:marBottom w:val="0"/>
      <w:divBdr>
        <w:top w:val="none" w:sz="0" w:space="0" w:color="auto"/>
        <w:left w:val="none" w:sz="0" w:space="0" w:color="auto"/>
        <w:bottom w:val="none" w:sz="0" w:space="0" w:color="auto"/>
        <w:right w:val="none" w:sz="0" w:space="0" w:color="auto"/>
      </w:divBdr>
      <w:divsChild>
        <w:div w:id="917134755">
          <w:marLeft w:val="0"/>
          <w:marRight w:val="0"/>
          <w:marTop w:val="0"/>
          <w:marBottom w:val="0"/>
          <w:divBdr>
            <w:top w:val="none" w:sz="0" w:space="0" w:color="auto"/>
            <w:left w:val="none" w:sz="0" w:space="0" w:color="auto"/>
            <w:bottom w:val="none" w:sz="0" w:space="0" w:color="auto"/>
            <w:right w:val="none" w:sz="0" w:space="0" w:color="auto"/>
          </w:divBdr>
          <w:divsChild>
            <w:div w:id="386954173">
              <w:marLeft w:val="0"/>
              <w:marRight w:val="0"/>
              <w:marTop w:val="0"/>
              <w:marBottom w:val="0"/>
              <w:divBdr>
                <w:top w:val="none" w:sz="0" w:space="0" w:color="auto"/>
                <w:left w:val="none" w:sz="0" w:space="0" w:color="auto"/>
                <w:bottom w:val="none" w:sz="0" w:space="0" w:color="auto"/>
                <w:right w:val="none" w:sz="0" w:space="0" w:color="auto"/>
              </w:divBdr>
            </w:div>
          </w:divsChild>
        </w:div>
        <w:div w:id="2000764294">
          <w:marLeft w:val="0"/>
          <w:marRight w:val="0"/>
          <w:marTop w:val="0"/>
          <w:marBottom w:val="0"/>
          <w:divBdr>
            <w:top w:val="none" w:sz="0" w:space="0" w:color="auto"/>
            <w:left w:val="none" w:sz="0" w:space="0" w:color="auto"/>
            <w:bottom w:val="none" w:sz="0" w:space="0" w:color="auto"/>
            <w:right w:val="none" w:sz="0" w:space="0" w:color="auto"/>
          </w:divBdr>
          <w:divsChild>
            <w:div w:id="1806504334">
              <w:marLeft w:val="0"/>
              <w:marRight w:val="0"/>
              <w:marTop w:val="0"/>
              <w:marBottom w:val="0"/>
              <w:divBdr>
                <w:top w:val="none" w:sz="0" w:space="0" w:color="auto"/>
                <w:left w:val="none" w:sz="0" w:space="0" w:color="auto"/>
                <w:bottom w:val="none" w:sz="0" w:space="0" w:color="auto"/>
                <w:right w:val="none" w:sz="0" w:space="0" w:color="auto"/>
              </w:divBdr>
            </w:div>
          </w:divsChild>
        </w:div>
        <w:div w:id="1109006666">
          <w:marLeft w:val="0"/>
          <w:marRight w:val="0"/>
          <w:marTop w:val="0"/>
          <w:marBottom w:val="0"/>
          <w:divBdr>
            <w:top w:val="none" w:sz="0" w:space="0" w:color="auto"/>
            <w:left w:val="none" w:sz="0" w:space="0" w:color="auto"/>
            <w:bottom w:val="none" w:sz="0" w:space="0" w:color="auto"/>
            <w:right w:val="none" w:sz="0" w:space="0" w:color="auto"/>
          </w:divBdr>
          <w:divsChild>
            <w:div w:id="15802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4250">
      <w:bodyDiv w:val="1"/>
      <w:marLeft w:val="0"/>
      <w:marRight w:val="0"/>
      <w:marTop w:val="0"/>
      <w:marBottom w:val="0"/>
      <w:divBdr>
        <w:top w:val="none" w:sz="0" w:space="0" w:color="auto"/>
        <w:left w:val="none" w:sz="0" w:space="0" w:color="auto"/>
        <w:bottom w:val="none" w:sz="0" w:space="0" w:color="auto"/>
        <w:right w:val="none" w:sz="0" w:space="0" w:color="auto"/>
      </w:divBdr>
    </w:div>
    <w:div w:id="874806195">
      <w:bodyDiv w:val="1"/>
      <w:marLeft w:val="0"/>
      <w:marRight w:val="0"/>
      <w:marTop w:val="0"/>
      <w:marBottom w:val="0"/>
      <w:divBdr>
        <w:top w:val="none" w:sz="0" w:space="0" w:color="auto"/>
        <w:left w:val="none" w:sz="0" w:space="0" w:color="auto"/>
        <w:bottom w:val="none" w:sz="0" w:space="0" w:color="auto"/>
        <w:right w:val="none" w:sz="0" w:space="0" w:color="auto"/>
      </w:divBdr>
    </w:div>
    <w:div w:id="906037605">
      <w:bodyDiv w:val="1"/>
      <w:marLeft w:val="0"/>
      <w:marRight w:val="0"/>
      <w:marTop w:val="0"/>
      <w:marBottom w:val="0"/>
      <w:divBdr>
        <w:top w:val="none" w:sz="0" w:space="0" w:color="auto"/>
        <w:left w:val="none" w:sz="0" w:space="0" w:color="auto"/>
        <w:bottom w:val="none" w:sz="0" w:space="0" w:color="auto"/>
        <w:right w:val="none" w:sz="0" w:space="0" w:color="auto"/>
      </w:divBdr>
      <w:divsChild>
        <w:div w:id="1102724396">
          <w:marLeft w:val="0"/>
          <w:marRight w:val="0"/>
          <w:marTop w:val="0"/>
          <w:marBottom w:val="0"/>
          <w:divBdr>
            <w:top w:val="none" w:sz="0" w:space="0" w:color="auto"/>
            <w:left w:val="none" w:sz="0" w:space="0" w:color="auto"/>
            <w:bottom w:val="none" w:sz="0" w:space="0" w:color="auto"/>
            <w:right w:val="none" w:sz="0" w:space="0" w:color="auto"/>
          </w:divBdr>
          <w:divsChild>
            <w:div w:id="1473018313">
              <w:marLeft w:val="150"/>
              <w:marRight w:val="0"/>
              <w:marTop w:val="0"/>
              <w:marBottom w:val="0"/>
              <w:divBdr>
                <w:top w:val="none" w:sz="0" w:space="0" w:color="auto"/>
                <w:left w:val="none" w:sz="0" w:space="0" w:color="auto"/>
                <w:bottom w:val="none" w:sz="0" w:space="0" w:color="auto"/>
                <w:right w:val="none" w:sz="0" w:space="0" w:color="auto"/>
              </w:divBdr>
              <w:divsChild>
                <w:div w:id="1030716855">
                  <w:marLeft w:val="0"/>
                  <w:marRight w:val="0"/>
                  <w:marTop w:val="0"/>
                  <w:marBottom w:val="0"/>
                  <w:divBdr>
                    <w:top w:val="none" w:sz="0" w:space="0" w:color="auto"/>
                    <w:left w:val="none" w:sz="0" w:space="0" w:color="auto"/>
                    <w:bottom w:val="none" w:sz="0" w:space="0" w:color="auto"/>
                    <w:right w:val="none" w:sz="0" w:space="0" w:color="auto"/>
                  </w:divBdr>
                  <w:divsChild>
                    <w:div w:id="1800604968">
                      <w:marLeft w:val="0"/>
                      <w:marRight w:val="0"/>
                      <w:marTop w:val="0"/>
                      <w:marBottom w:val="0"/>
                      <w:divBdr>
                        <w:top w:val="none" w:sz="0" w:space="0" w:color="auto"/>
                        <w:left w:val="none" w:sz="0" w:space="0" w:color="auto"/>
                        <w:bottom w:val="none" w:sz="0" w:space="0" w:color="auto"/>
                        <w:right w:val="none" w:sz="0" w:space="0" w:color="auto"/>
                      </w:divBdr>
                      <w:divsChild>
                        <w:div w:id="14999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93369">
                  <w:marLeft w:val="0"/>
                  <w:marRight w:val="0"/>
                  <w:marTop w:val="0"/>
                  <w:marBottom w:val="0"/>
                  <w:divBdr>
                    <w:top w:val="none" w:sz="0" w:space="0" w:color="auto"/>
                    <w:left w:val="none" w:sz="0" w:space="0" w:color="auto"/>
                    <w:bottom w:val="none" w:sz="0" w:space="0" w:color="auto"/>
                    <w:right w:val="none" w:sz="0" w:space="0" w:color="auto"/>
                  </w:divBdr>
                  <w:divsChild>
                    <w:div w:id="1727030468">
                      <w:marLeft w:val="0"/>
                      <w:marRight w:val="0"/>
                      <w:marTop w:val="0"/>
                      <w:marBottom w:val="0"/>
                      <w:divBdr>
                        <w:top w:val="none" w:sz="0" w:space="0" w:color="auto"/>
                        <w:left w:val="none" w:sz="0" w:space="0" w:color="auto"/>
                        <w:bottom w:val="none" w:sz="0" w:space="0" w:color="auto"/>
                        <w:right w:val="none" w:sz="0" w:space="0" w:color="auto"/>
                      </w:divBdr>
                      <w:divsChild>
                        <w:div w:id="2883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48781">
          <w:marLeft w:val="0"/>
          <w:marRight w:val="0"/>
          <w:marTop w:val="0"/>
          <w:marBottom w:val="0"/>
          <w:divBdr>
            <w:top w:val="none" w:sz="0" w:space="0" w:color="auto"/>
            <w:left w:val="none" w:sz="0" w:space="0" w:color="auto"/>
            <w:bottom w:val="none" w:sz="0" w:space="0" w:color="auto"/>
            <w:right w:val="none" w:sz="0" w:space="0" w:color="auto"/>
          </w:divBdr>
          <w:divsChild>
            <w:div w:id="1569194628">
              <w:marLeft w:val="150"/>
              <w:marRight w:val="0"/>
              <w:marTop w:val="0"/>
              <w:marBottom w:val="0"/>
              <w:divBdr>
                <w:top w:val="none" w:sz="0" w:space="0" w:color="auto"/>
                <w:left w:val="none" w:sz="0" w:space="0" w:color="auto"/>
                <w:bottom w:val="none" w:sz="0" w:space="0" w:color="auto"/>
                <w:right w:val="none" w:sz="0" w:space="0" w:color="auto"/>
              </w:divBdr>
              <w:divsChild>
                <w:div w:id="253246904">
                  <w:marLeft w:val="0"/>
                  <w:marRight w:val="0"/>
                  <w:marTop w:val="0"/>
                  <w:marBottom w:val="0"/>
                  <w:divBdr>
                    <w:top w:val="none" w:sz="0" w:space="0" w:color="auto"/>
                    <w:left w:val="none" w:sz="0" w:space="0" w:color="auto"/>
                    <w:bottom w:val="none" w:sz="0" w:space="0" w:color="auto"/>
                    <w:right w:val="none" w:sz="0" w:space="0" w:color="auto"/>
                  </w:divBdr>
                  <w:divsChild>
                    <w:div w:id="377969470">
                      <w:marLeft w:val="0"/>
                      <w:marRight w:val="0"/>
                      <w:marTop w:val="0"/>
                      <w:marBottom w:val="0"/>
                      <w:divBdr>
                        <w:top w:val="none" w:sz="0" w:space="0" w:color="auto"/>
                        <w:left w:val="none" w:sz="0" w:space="0" w:color="auto"/>
                        <w:bottom w:val="none" w:sz="0" w:space="0" w:color="auto"/>
                        <w:right w:val="none" w:sz="0" w:space="0" w:color="auto"/>
                      </w:divBdr>
                      <w:divsChild>
                        <w:div w:id="18302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93445">
          <w:marLeft w:val="0"/>
          <w:marRight w:val="0"/>
          <w:marTop w:val="0"/>
          <w:marBottom w:val="0"/>
          <w:divBdr>
            <w:top w:val="none" w:sz="0" w:space="0" w:color="auto"/>
            <w:left w:val="none" w:sz="0" w:space="0" w:color="auto"/>
            <w:bottom w:val="none" w:sz="0" w:space="0" w:color="auto"/>
            <w:right w:val="none" w:sz="0" w:space="0" w:color="auto"/>
          </w:divBdr>
          <w:divsChild>
            <w:div w:id="1006438173">
              <w:marLeft w:val="150"/>
              <w:marRight w:val="0"/>
              <w:marTop w:val="0"/>
              <w:marBottom w:val="0"/>
              <w:divBdr>
                <w:top w:val="none" w:sz="0" w:space="0" w:color="auto"/>
                <w:left w:val="none" w:sz="0" w:space="0" w:color="auto"/>
                <w:bottom w:val="none" w:sz="0" w:space="0" w:color="auto"/>
                <w:right w:val="none" w:sz="0" w:space="0" w:color="auto"/>
              </w:divBdr>
              <w:divsChild>
                <w:div w:id="963658735">
                  <w:marLeft w:val="0"/>
                  <w:marRight w:val="0"/>
                  <w:marTop w:val="0"/>
                  <w:marBottom w:val="0"/>
                  <w:divBdr>
                    <w:top w:val="none" w:sz="0" w:space="0" w:color="auto"/>
                    <w:left w:val="none" w:sz="0" w:space="0" w:color="auto"/>
                    <w:bottom w:val="none" w:sz="0" w:space="0" w:color="auto"/>
                    <w:right w:val="none" w:sz="0" w:space="0" w:color="auto"/>
                  </w:divBdr>
                  <w:divsChild>
                    <w:div w:id="2088114923">
                      <w:marLeft w:val="0"/>
                      <w:marRight w:val="0"/>
                      <w:marTop w:val="0"/>
                      <w:marBottom w:val="0"/>
                      <w:divBdr>
                        <w:top w:val="none" w:sz="0" w:space="0" w:color="auto"/>
                        <w:left w:val="none" w:sz="0" w:space="0" w:color="auto"/>
                        <w:bottom w:val="none" w:sz="0" w:space="0" w:color="auto"/>
                        <w:right w:val="none" w:sz="0" w:space="0" w:color="auto"/>
                      </w:divBdr>
                      <w:divsChild>
                        <w:div w:id="1775398633">
                          <w:marLeft w:val="0"/>
                          <w:marRight w:val="0"/>
                          <w:marTop w:val="0"/>
                          <w:marBottom w:val="0"/>
                          <w:divBdr>
                            <w:top w:val="none" w:sz="0" w:space="0" w:color="auto"/>
                            <w:left w:val="none" w:sz="0" w:space="0" w:color="auto"/>
                            <w:bottom w:val="none" w:sz="0" w:space="0" w:color="auto"/>
                            <w:right w:val="none" w:sz="0" w:space="0" w:color="auto"/>
                          </w:divBdr>
                          <w:divsChild>
                            <w:div w:id="18162163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93512430">
                  <w:marLeft w:val="0"/>
                  <w:marRight w:val="0"/>
                  <w:marTop w:val="0"/>
                  <w:marBottom w:val="0"/>
                  <w:divBdr>
                    <w:top w:val="none" w:sz="0" w:space="0" w:color="auto"/>
                    <w:left w:val="none" w:sz="0" w:space="0" w:color="auto"/>
                    <w:bottom w:val="none" w:sz="0" w:space="0" w:color="auto"/>
                    <w:right w:val="none" w:sz="0" w:space="0" w:color="auto"/>
                  </w:divBdr>
                  <w:divsChild>
                    <w:div w:id="1597204400">
                      <w:marLeft w:val="0"/>
                      <w:marRight w:val="0"/>
                      <w:marTop w:val="0"/>
                      <w:marBottom w:val="0"/>
                      <w:divBdr>
                        <w:top w:val="none" w:sz="0" w:space="0" w:color="auto"/>
                        <w:left w:val="none" w:sz="0" w:space="0" w:color="auto"/>
                        <w:bottom w:val="none" w:sz="0" w:space="0" w:color="auto"/>
                        <w:right w:val="none" w:sz="0" w:space="0" w:color="auto"/>
                      </w:divBdr>
                      <w:divsChild>
                        <w:div w:id="275865512">
                          <w:marLeft w:val="0"/>
                          <w:marRight w:val="0"/>
                          <w:marTop w:val="0"/>
                          <w:marBottom w:val="0"/>
                          <w:divBdr>
                            <w:top w:val="none" w:sz="0" w:space="0" w:color="auto"/>
                            <w:left w:val="none" w:sz="0" w:space="0" w:color="auto"/>
                            <w:bottom w:val="none" w:sz="0" w:space="0" w:color="auto"/>
                            <w:right w:val="none" w:sz="0" w:space="0" w:color="auto"/>
                          </w:divBdr>
                          <w:divsChild>
                            <w:div w:id="9084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66976">
                  <w:marLeft w:val="0"/>
                  <w:marRight w:val="0"/>
                  <w:marTop w:val="0"/>
                  <w:marBottom w:val="0"/>
                  <w:divBdr>
                    <w:top w:val="none" w:sz="0" w:space="0" w:color="auto"/>
                    <w:left w:val="none" w:sz="0" w:space="0" w:color="auto"/>
                    <w:bottom w:val="none" w:sz="0" w:space="0" w:color="auto"/>
                    <w:right w:val="none" w:sz="0" w:space="0" w:color="auto"/>
                  </w:divBdr>
                  <w:divsChild>
                    <w:div w:id="1950812464">
                      <w:marLeft w:val="0"/>
                      <w:marRight w:val="0"/>
                      <w:marTop w:val="0"/>
                      <w:marBottom w:val="0"/>
                      <w:divBdr>
                        <w:top w:val="none" w:sz="0" w:space="0" w:color="auto"/>
                        <w:left w:val="none" w:sz="0" w:space="0" w:color="auto"/>
                        <w:bottom w:val="none" w:sz="0" w:space="0" w:color="auto"/>
                        <w:right w:val="none" w:sz="0" w:space="0" w:color="auto"/>
                      </w:divBdr>
                      <w:divsChild>
                        <w:div w:id="14209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4631">
      <w:bodyDiv w:val="1"/>
      <w:marLeft w:val="0"/>
      <w:marRight w:val="0"/>
      <w:marTop w:val="0"/>
      <w:marBottom w:val="0"/>
      <w:divBdr>
        <w:top w:val="none" w:sz="0" w:space="0" w:color="auto"/>
        <w:left w:val="none" w:sz="0" w:space="0" w:color="auto"/>
        <w:bottom w:val="none" w:sz="0" w:space="0" w:color="auto"/>
        <w:right w:val="none" w:sz="0" w:space="0" w:color="auto"/>
      </w:divBdr>
    </w:div>
    <w:div w:id="1146818988">
      <w:bodyDiv w:val="1"/>
      <w:marLeft w:val="0"/>
      <w:marRight w:val="0"/>
      <w:marTop w:val="0"/>
      <w:marBottom w:val="0"/>
      <w:divBdr>
        <w:top w:val="none" w:sz="0" w:space="0" w:color="auto"/>
        <w:left w:val="none" w:sz="0" w:space="0" w:color="auto"/>
        <w:bottom w:val="none" w:sz="0" w:space="0" w:color="auto"/>
        <w:right w:val="none" w:sz="0" w:space="0" w:color="auto"/>
      </w:divBdr>
    </w:div>
    <w:div w:id="1239972956">
      <w:bodyDiv w:val="1"/>
      <w:marLeft w:val="0"/>
      <w:marRight w:val="0"/>
      <w:marTop w:val="0"/>
      <w:marBottom w:val="0"/>
      <w:divBdr>
        <w:top w:val="none" w:sz="0" w:space="0" w:color="auto"/>
        <w:left w:val="none" w:sz="0" w:space="0" w:color="auto"/>
        <w:bottom w:val="none" w:sz="0" w:space="0" w:color="auto"/>
        <w:right w:val="none" w:sz="0" w:space="0" w:color="auto"/>
      </w:divBdr>
    </w:div>
    <w:div w:id="1369642283">
      <w:bodyDiv w:val="1"/>
      <w:marLeft w:val="0"/>
      <w:marRight w:val="0"/>
      <w:marTop w:val="0"/>
      <w:marBottom w:val="0"/>
      <w:divBdr>
        <w:top w:val="none" w:sz="0" w:space="0" w:color="auto"/>
        <w:left w:val="none" w:sz="0" w:space="0" w:color="auto"/>
        <w:bottom w:val="none" w:sz="0" w:space="0" w:color="auto"/>
        <w:right w:val="none" w:sz="0" w:space="0" w:color="auto"/>
      </w:divBdr>
    </w:div>
    <w:div w:id="1371758948">
      <w:bodyDiv w:val="1"/>
      <w:marLeft w:val="0"/>
      <w:marRight w:val="0"/>
      <w:marTop w:val="0"/>
      <w:marBottom w:val="0"/>
      <w:divBdr>
        <w:top w:val="none" w:sz="0" w:space="0" w:color="auto"/>
        <w:left w:val="none" w:sz="0" w:space="0" w:color="auto"/>
        <w:bottom w:val="none" w:sz="0" w:space="0" w:color="auto"/>
        <w:right w:val="none" w:sz="0" w:space="0" w:color="auto"/>
      </w:divBdr>
    </w:div>
    <w:div w:id="1431394046">
      <w:bodyDiv w:val="1"/>
      <w:marLeft w:val="0"/>
      <w:marRight w:val="0"/>
      <w:marTop w:val="0"/>
      <w:marBottom w:val="0"/>
      <w:divBdr>
        <w:top w:val="none" w:sz="0" w:space="0" w:color="auto"/>
        <w:left w:val="none" w:sz="0" w:space="0" w:color="auto"/>
        <w:bottom w:val="none" w:sz="0" w:space="0" w:color="auto"/>
        <w:right w:val="none" w:sz="0" w:space="0" w:color="auto"/>
      </w:divBdr>
    </w:div>
    <w:div w:id="174761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mailto:hrc-ie-sogi@un.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Family Watch International</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F99FCEF2-92DE-4C21-9915-C9D9B5B59154}">
  <ds:schemaRefs>
    <ds:schemaRef ds:uri="http://schemas.openxmlformats.org/officeDocument/2006/bibliography"/>
  </ds:schemaRefs>
</ds:datastoreItem>
</file>

<file path=customXml/itemProps2.xml><?xml version="1.0" encoding="utf-8"?>
<ds:datastoreItem xmlns:ds="http://schemas.openxmlformats.org/officeDocument/2006/customXml" ds:itemID="{6F3918C0-B763-4C7A-B217-292A111BD23D}"/>
</file>

<file path=customXml/itemProps3.xml><?xml version="1.0" encoding="utf-8"?>
<ds:datastoreItem xmlns:ds="http://schemas.openxmlformats.org/officeDocument/2006/customXml" ds:itemID="{EBEAFC26-EFCD-48D2-AD33-2BFF660BAE9C}"/>
</file>

<file path=customXml/itemProps4.xml><?xml version="1.0" encoding="utf-8"?>
<ds:datastoreItem xmlns:ds="http://schemas.openxmlformats.org/officeDocument/2006/customXml" ds:itemID="{CE353710-1BC4-402C-AD6F-D5720DEB534C}"/>
</file>

<file path=docProps/app.xml><?xml version="1.0" encoding="utf-8"?>
<Properties xmlns="http://schemas.openxmlformats.org/officeDocument/2006/extended-properties" xmlns:vt="http://schemas.openxmlformats.org/officeDocument/2006/docPropsVTypes">
  <Template>Normal</Template>
  <TotalTime>401</TotalTime>
  <Pages>6</Pages>
  <Words>1585</Words>
  <Characters>8529</Characters>
  <Application>Microsoft Office Word</Application>
  <DocSecurity>0</DocSecurity>
  <Lines>160</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Allred</dc:creator>
  <cp:keywords/>
  <dc:description/>
  <cp:lastModifiedBy>Lynn Allred</cp:lastModifiedBy>
  <cp:revision>183</cp:revision>
  <dcterms:created xsi:type="dcterms:W3CDTF">2023-01-15T03:59:00Z</dcterms:created>
  <dcterms:modified xsi:type="dcterms:W3CDTF">2023-01-16T00:22:00Z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