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58083" w14:textId="6290A069" w:rsidR="00887DD8" w:rsidRPr="0011501D" w:rsidRDefault="00887DD8" w:rsidP="00A114B6">
      <w:pPr>
        <w:rPr>
          <w:rFonts w:ascii="Garamond" w:hAnsi="Garamond"/>
        </w:rPr>
      </w:pPr>
    </w:p>
    <w:p w14:paraId="6166BC47" w14:textId="3D51CB5B" w:rsidR="00887DD8" w:rsidRPr="0011501D" w:rsidRDefault="00887DD8" w:rsidP="00A114B6">
      <w:pPr>
        <w:rPr>
          <w:rFonts w:ascii="Garamond" w:hAnsi="Garamond"/>
        </w:rPr>
      </w:pPr>
    </w:p>
    <w:p w14:paraId="62983C94" w14:textId="2EE7EF3E" w:rsidR="00887DD8" w:rsidRPr="007F7177" w:rsidRDefault="00887DD8" w:rsidP="00A114B6">
      <w:pPr>
        <w:rPr>
          <w:rFonts w:ascii="Garamond" w:hAnsi="Garamond"/>
          <w:b/>
          <w:bCs/>
          <w:lang w:val="en-US"/>
        </w:rPr>
      </w:pPr>
      <w:r w:rsidRPr="007F7177">
        <w:rPr>
          <w:rFonts w:ascii="Garamond" w:hAnsi="Garamond"/>
          <w:b/>
          <w:bCs/>
          <w:lang w:val="en-US"/>
        </w:rPr>
        <w:t xml:space="preserve">                </w:t>
      </w:r>
      <w:r w:rsidRPr="0011501D">
        <w:rPr>
          <w:rFonts w:ascii="Garamond" w:hAnsi="Garamond"/>
          <w:b/>
          <w:bCs/>
          <w:noProof/>
        </w:rPr>
        <w:drawing>
          <wp:inline distT="0" distB="0" distL="0" distR="0" wp14:anchorId="79914134" wp14:editId="2E6864B9">
            <wp:extent cx="851119" cy="851119"/>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5532" cy="865532"/>
                    </a:xfrm>
                    <a:prstGeom prst="rect">
                      <a:avLst/>
                    </a:prstGeom>
                    <a:noFill/>
                    <a:ln>
                      <a:noFill/>
                    </a:ln>
                  </pic:spPr>
                </pic:pic>
              </a:graphicData>
            </a:graphic>
          </wp:inline>
        </w:drawing>
      </w:r>
      <w:r w:rsidRPr="007F7177">
        <w:rPr>
          <w:rFonts w:ascii="Garamond" w:hAnsi="Garamond"/>
          <w:b/>
          <w:bCs/>
          <w:lang w:val="en-US"/>
        </w:rPr>
        <w:t xml:space="preserve">  </w:t>
      </w:r>
      <w:r w:rsidRPr="007F7177">
        <w:rPr>
          <w:rFonts w:ascii="Garamond" w:hAnsi="Garamond"/>
          <w:b/>
          <w:bCs/>
          <w:lang w:val="en-US"/>
        </w:rPr>
        <w:tab/>
        <w:t xml:space="preserve"> </w:t>
      </w:r>
      <w:r w:rsidRPr="007F7177">
        <w:rPr>
          <w:rFonts w:ascii="Garamond" w:hAnsi="Garamond"/>
          <w:b/>
          <w:bCs/>
          <w:lang w:val="en-US"/>
        </w:rPr>
        <w:tab/>
      </w:r>
      <w:r w:rsidRPr="007F7177">
        <w:rPr>
          <w:rFonts w:ascii="Garamond" w:hAnsi="Garamond"/>
          <w:b/>
          <w:bCs/>
          <w:lang w:val="en-US"/>
        </w:rPr>
        <w:tab/>
      </w:r>
      <w:r w:rsidRPr="007F7177">
        <w:rPr>
          <w:rFonts w:ascii="Garamond" w:hAnsi="Garamond"/>
          <w:b/>
          <w:bCs/>
          <w:lang w:val="en-US"/>
        </w:rPr>
        <w:tab/>
      </w:r>
      <w:r w:rsidRPr="007F7177">
        <w:rPr>
          <w:rFonts w:ascii="Garamond" w:hAnsi="Garamond"/>
          <w:b/>
          <w:bCs/>
          <w:lang w:val="en-US"/>
        </w:rPr>
        <w:tab/>
        <w:t xml:space="preserve">  </w:t>
      </w:r>
      <w:r w:rsidRPr="0011501D">
        <w:rPr>
          <w:rFonts w:ascii="Garamond" w:hAnsi="Garamond"/>
          <w:b/>
          <w:bCs/>
          <w:noProof/>
        </w:rPr>
        <w:drawing>
          <wp:inline distT="0" distB="0" distL="0" distR="0" wp14:anchorId="427860F4" wp14:editId="280F2BF5">
            <wp:extent cx="966470" cy="851338"/>
            <wp:effectExtent l="0" t="0" r="0" b="0"/>
            <wp:docPr id="2" name="Picture 2" descr="NOVA School of Law - Home | Facebook">
              <a:extLst xmlns:a="http://schemas.openxmlformats.org/drawingml/2006/main">
                <a:ext uri="{FF2B5EF4-FFF2-40B4-BE49-F238E27FC236}">
                  <a16:creationId xmlns:a16="http://schemas.microsoft.com/office/drawing/2014/main" id="{791C4B25-5FC6-3A43-B08A-2097C5A111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OVA School of Law - Home | Facebook">
                      <a:extLst>
                        <a:ext uri="{FF2B5EF4-FFF2-40B4-BE49-F238E27FC236}">
                          <a16:creationId xmlns:a16="http://schemas.microsoft.com/office/drawing/2014/main" id="{791C4B25-5FC6-3A43-B08A-2097C5A11105}"/>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5220" cy="867854"/>
                    </a:xfrm>
                    <a:prstGeom prst="rect">
                      <a:avLst/>
                    </a:prstGeom>
                    <a:noFill/>
                  </pic:spPr>
                </pic:pic>
              </a:graphicData>
            </a:graphic>
          </wp:inline>
        </w:drawing>
      </w:r>
    </w:p>
    <w:p w14:paraId="4060BD71" w14:textId="77777777" w:rsidR="00887DD8" w:rsidRPr="0011501D" w:rsidRDefault="00887DD8" w:rsidP="00A114B6">
      <w:pPr>
        <w:rPr>
          <w:rFonts w:ascii="Garamond" w:hAnsi="Garamond"/>
          <w:b/>
          <w:bCs/>
        </w:rPr>
      </w:pPr>
    </w:p>
    <w:p w14:paraId="3A5A2A29" w14:textId="77777777" w:rsidR="00A97580" w:rsidRDefault="00A97580" w:rsidP="0011501D">
      <w:pPr>
        <w:rPr>
          <w:rFonts w:ascii="Garamond" w:hAnsi="Garamond" w:cs="Devanagari Sangam MN"/>
          <w:b/>
          <w:bCs/>
        </w:rPr>
      </w:pPr>
    </w:p>
    <w:p w14:paraId="05F33A8E" w14:textId="285DF587" w:rsidR="00887DD8" w:rsidRPr="0011501D" w:rsidRDefault="00887DD8" w:rsidP="00BD6CE4">
      <w:pPr>
        <w:rPr>
          <w:rFonts w:ascii="Garamond" w:hAnsi="Garamond" w:cs="Devanagari Sangam MN"/>
          <w:b/>
          <w:bCs/>
        </w:rPr>
      </w:pPr>
      <w:r w:rsidRPr="0011501D">
        <w:rPr>
          <w:rFonts w:ascii="Garamond" w:hAnsi="Garamond" w:cs="Devanagari Sangam MN"/>
          <w:b/>
          <w:bCs/>
        </w:rPr>
        <w:t>Call for input</w:t>
      </w:r>
      <w:r w:rsidR="00BD6CE4">
        <w:rPr>
          <w:rFonts w:ascii="Garamond" w:hAnsi="Garamond" w:cs="Devanagari Sangam MN"/>
          <w:b/>
          <w:bCs/>
          <w:lang w:val="en-US"/>
        </w:rPr>
        <w:t xml:space="preserve"> on</w:t>
      </w:r>
      <w:r w:rsidR="005D0A2E">
        <w:rPr>
          <w:rFonts w:ascii="Garamond" w:hAnsi="Garamond" w:cs="Devanagari Sangam MN"/>
          <w:b/>
          <w:bCs/>
          <w:lang w:val="en-US"/>
        </w:rPr>
        <w:t>:</w:t>
      </w:r>
      <w:r w:rsidR="00BD6CE4">
        <w:rPr>
          <w:rFonts w:ascii="Garamond" w:hAnsi="Garamond" w:cs="Devanagari Sangam MN"/>
          <w:b/>
          <w:bCs/>
          <w:lang w:val="en-US"/>
        </w:rPr>
        <w:t xml:space="preserve"> </w:t>
      </w:r>
      <w:r w:rsidRPr="0011501D">
        <w:rPr>
          <w:rFonts w:ascii="Garamond" w:hAnsi="Garamond" w:cs="Devanagari Sangam MN"/>
          <w:b/>
          <w:bCs/>
          <w:lang w:val="en-US"/>
        </w:rPr>
        <w:t>T</w:t>
      </w:r>
      <w:r w:rsidRPr="0011501D">
        <w:rPr>
          <w:rFonts w:ascii="Garamond" w:hAnsi="Garamond" w:cs="Devanagari Sangam MN"/>
          <w:b/>
          <w:bCs/>
        </w:rPr>
        <w:t xml:space="preserve">hematic </w:t>
      </w:r>
      <w:r w:rsidRPr="0011501D">
        <w:rPr>
          <w:rFonts w:ascii="Garamond" w:hAnsi="Garamond" w:cs="Devanagari Sangam MN"/>
          <w:b/>
          <w:bCs/>
          <w:lang w:val="en-US"/>
        </w:rPr>
        <w:t>R</w:t>
      </w:r>
      <w:r w:rsidRPr="0011501D">
        <w:rPr>
          <w:rFonts w:ascii="Garamond" w:hAnsi="Garamond" w:cs="Devanagari Sangam MN"/>
          <w:b/>
          <w:bCs/>
        </w:rPr>
        <w:t xml:space="preserve">eport: </w:t>
      </w:r>
      <w:r w:rsidRPr="0011501D">
        <w:rPr>
          <w:rFonts w:ascii="Garamond" w:hAnsi="Garamond" w:cs="Devanagari Sangam MN"/>
          <w:b/>
          <w:bCs/>
          <w:lang w:val="en-US"/>
        </w:rPr>
        <w:t>F</w:t>
      </w:r>
      <w:r w:rsidRPr="0011501D">
        <w:rPr>
          <w:rFonts w:ascii="Garamond" w:hAnsi="Garamond" w:cs="Devanagari Sangam MN"/>
          <w:b/>
          <w:bCs/>
        </w:rPr>
        <w:t>reedom of religion or belief (FoRB) and sexual orientation and gender identity (SOGI)</w:t>
      </w:r>
    </w:p>
    <w:p w14:paraId="5D3CD10C" w14:textId="77777777" w:rsidR="00887DD8" w:rsidRPr="0011501D" w:rsidRDefault="00887DD8" w:rsidP="0011501D">
      <w:pPr>
        <w:rPr>
          <w:rFonts w:ascii="Garamond" w:hAnsi="Garamond" w:cs="Devanagari Sangam MN"/>
          <w:b/>
          <w:bCs/>
        </w:rPr>
      </w:pPr>
    </w:p>
    <w:p w14:paraId="6E7B9B82" w14:textId="24034F6E" w:rsidR="00887DD8" w:rsidRPr="0011501D" w:rsidRDefault="00887DD8" w:rsidP="00A114B6">
      <w:pPr>
        <w:rPr>
          <w:rFonts w:ascii="Garamond" w:hAnsi="Garamond" w:cs="Devanagari Sangam MN"/>
          <w:b/>
          <w:bCs/>
        </w:rPr>
      </w:pPr>
      <w:r w:rsidRPr="0011501D">
        <w:rPr>
          <w:rFonts w:ascii="Garamond" w:hAnsi="Garamond" w:cs="Devanagari Sangam MN"/>
          <w:b/>
          <w:bCs/>
          <w:lang w:val="en-US"/>
        </w:rPr>
        <w:t xml:space="preserve">Addressed to: </w:t>
      </w:r>
      <w:r w:rsidRPr="0011501D">
        <w:rPr>
          <w:rFonts w:ascii="Garamond" w:hAnsi="Garamond" w:cs="Devanagari Sangam MN"/>
          <w:b/>
          <w:bCs/>
        </w:rPr>
        <w:t>Independent Expert on protection against violence and discrimination based on sexual orientation and gender identity</w:t>
      </w:r>
    </w:p>
    <w:p w14:paraId="0E9E980A" w14:textId="753B682F" w:rsidR="00887DD8" w:rsidRPr="0011501D" w:rsidRDefault="00887DD8" w:rsidP="00A114B6">
      <w:pPr>
        <w:rPr>
          <w:rFonts w:ascii="Garamond" w:hAnsi="Garamond" w:cs="Devanagari Sangam MN"/>
          <w:b/>
          <w:bCs/>
        </w:rPr>
      </w:pPr>
    </w:p>
    <w:p w14:paraId="0318C7E4" w14:textId="67B76824" w:rsidR="00887DD8" w:rsidRPr="0011501D" w:rsidRDefault="00887DD8" w:rsidP="00A114B6">
      <w:pPr>
        <w:rPr>
          <w:rFonts w:ascii="Garamond" w:hAnsi="Garamond" w:cs="Devanagari Sangam MN"/>
          <w:b/>
          <w:bCs/>
          <w:lang w:val="en-US"/>
        </w:rPr>
      </w:pPr>
      <w:r w:rsidRPr="0011501D">
        <w:rPr>
          <w:rFonts w:ascii="Garamond" w:hAnsi="Garamond" w:cs="Devanagari Sangam MN"/>
          <w:b/>
          <w:bCs/>
          <w:lang w:val="en-US"/>
        </w:rPr>
        <w:t>Authors: Nausica Palazzo, Jeffrey A. Redding</w:t>
      </w:r>
    </w:p>
    <w:p w14:paraId="02232844" w14:textId="19CC5D7F" w:rsidR="00887DD8" w:rsidRPr="0011501D" w:rsidRDefault="00887DD8" w:rsidP="00A114B6">
      <w:pPr>
        <w:rPr>
          <w:rFonts w:ascii="Garamond" w:hAnsi="Garamond" w:cs="Devanagari Sangam MN"/>
          <w:b/>
          <w:bCs/>
          <w:lang w:val="en-US"/>
        </w:rPr>
      </w:pPr>
    </w:p>
    <w:p w14:paraId="6DFCE3ED" w14:textId="5F3A155D" w:rsidR="00887DD8" w:rsidRPr="0011501D" w:rsidRDefault="00887DD8" w:rsidP="00A114B6">
      <w:pPr>
        <w:rPr>
          <w:rFonts w:ascii="Garamond" w:hAnsi="Garamond" w:cs="Devanagari Sangam MN"/>
          <w:b/>
          <w:bCs/>
          <w:lang w:val="en-US"/>
        </w:rPr>
      </w:pPr>
      <w:r w:rsidRPr="0011501D">
        <w:rPr>
          <w:rFonts w:ascii="Garamond" w:hAnsi="Garamond" w:cs="Devanagari Sangam MN"/>
          <w:b/>
          <w:bCs/>
          <w:lang w:val="en-US"/>
        </w:rPr>
        <w:t>Relevant Questions:</w:t>
      </w:r>
    </w:p>
    <w:p w14:paraId="12A178A6" w14:textId="708794AC" w:rsidR="00887DD8" w:rsidRPr="0011501D" w:rsidRDefault="00887DD8" w:rsidP="00A114B6">
      <w:pPr>
        <w:rPr>
          <w:rFonts w:ascii="Garamond" w:hAnsi="Garamond" w:cs="Devanagari Sangam MN"/>
          <w:i/>
          <w:iCs/>
          <w:lang w:val="en-GB"/>
        </w:rPr>
      </w:pPr>
      <w:r w:rsidRPr="0011501D">
        <w:rPr>
          <w:rFonts w:ascii="Garamond" w:hAnsi="Garamond" w:cs="Devanagari Sangam MN"/>
          <w:i/>
          <w:iCs/>
          <w:lang w:val="en-GB"/>
        </w:rPr>
        <w:t>2. Are there any ways in which the right to freedom of religion or belief, and freedom from violence and discrimination based on sexual orientation and gender identity are mutually reinforcing?</w:t>
      </w:r>
    </w:p>
    <w:p w14:paraId="66EC2AED" w14:textId="5AC2EEE2" w:rsidR="00887DD8" w:rsidRPr="0011501D" w:rsidRDefault="00887DD8" w:rsidP="00A114B6">
      <w:pPr>
        <w:rPr>
          <w:rFonts w:ascii="Garamond" w:hAnsi="Garamond" w:cs="Devanagari Sangam MN"/>
          <w:i/>
          <w:iCs/>
          <w:lang w:val="en-GB"/>
        </w:rPr>
      </w:pPr>
      <w:r w:rsidRPr="0011501D">
        <w:rPr>
          <w:rFonts w:ascii="Garamond" w:hAnsi="Garamond" w:cs="Devanagari Sangam MN"/>
          <w:i/>
          <w:iCs/>
          <w:lang w:val="en-GB"/>
        </w:rPr>
        <w:t xml:space="preserve">3. Are there examples where gender and sexual diversity has been used in religious, traditional, or indigenous narratives or values in a manner which promotes the acceptance of LGBT+ individuals, or protects LGBT+ individuals from violence and discrimination? Has this informed any legal interventions or public policies? </w:t>
      </w:r>
    </w:p>
    <w:p w14:paraId="706B22CB" w14:textId="0BDA4156" w:rsidR="00887DD8" w:rsidRPr="0011501D" w:rsidRDefault="00887DD8" w:rsidP="0011501D">
      <w:pPr>
        <w:rPr>
          <w:rFonts w:ascii="Garamond" w:hAnsi="Garamond" w:cs="Devanagari Sangam MN"/>
          <w:i/>
          <w:iCs/>
          <w:lang w:val="en-GB"/>
        </w:rPr>
      </w:pPr>
    </w:p>
    <w:p w14:paraId="514EB2DB" w14:textId="443EDB2C" w:rsidR="00887DD8" w:rsidRPr="0011501D" w:rsidRDefault="001A1B40" w:rsidP="0011501D">
      <w:pPr>
        <w:rPr>
          <w:rFonts w:ascii="Garamond" w:hAnsi="Garamond" w:cs="Devanagari Sangam MN"/>
          <w:b/>
          <w:bCs/>
          <w:lang w:val="en-GB"/>
        </w:rPr>
      </w:pPr>
      <w:r w:rsidRPr="0011501D">
        <w:rPr>
          <w:rFonts w:ascii="Garamond" w:hAnsi="Garamond" w:cs="Devanagari Sangam MN"/>
          <w:b/>
          <w:bCs/>
          <w:lang w:val="en-GB"/>
        </w:rPr>
        <w:t>Comments</w:t>
      </w:r>
      <w:r w:rsidR="00887DD8" w:rsidRPr="0011501D">
        <w:rPr>
          <w:rFonts w:ascii="Garamond" w:hAnsi="Garamond" w:cs="Devanagari Sangam MN"/>
          <w:b/>
          <w:bCs/>
          <w:lang w:val="en-GB"/>
        </w:rPr>
        <w:t>:</w:t>
      </w:r>
    </w:p>
    <w:p w14:paraId="36E77FD5" w14:textId="6A1FE55E" w:rsidR="00887DD8" w:rsidRPr="0011501D" w:rsidRDefault="00887DD8" w:rsidP="0011501D">
      <w:pPr>
        <w:rPr>
          <w:rFonts w:ascii="Garamond" w:hAnsi="Garamond" w:cs="Devanagari Sangam MN"/>
          <w:b/>
          <w:bCs/>
          <w:lang w:val="en-GB"/>
        </w:rPr>
      </w:pPr>
    </w:p>
    <w:p w14:paraId="447D7D1B" w14:textId="34508575" w:rsidR="0003634D" w:rsidRPr="0011501D" w:rsidRDefault="006B09ED" w:rsidP="0011501D">
      <w:pPr>
        <w:rPr>
          <w:rFonts w:ascii="Garamond" w:hAnsi="Garamond" w:cs="Devanagari Sangam MN"/>
          <w:bCs/>
          <w:lang w:val="en-US"/>
        </w:rPr>
      </w:pPr>
      <w:r w:rsidRPr="0011501D">
        <w:rPr>
          <w:rFonts w:ascii="Garamond" w:hAnsi="Garamond" w:cs="Devanagari Sangam MN"/>
          <w:lang w:val="en-GB"/>
        </w:rPr>
        <w:t xml:space="preserve">The objective of these brief comments is to bring to the attention of the </w:t>
      </w:r>
      <w:r w:rsidR="004A561A" w:rsidRPr="0011501D">
        <w:rPr>
          <w:rFonts w:ascii="Garamond" w:hAnsi="Garamond" w:cs="Devanagari Sangam MN"/>
          <w:lang w:val="en-GB"/>
        </w:rPr>
        <w:t>Independent Expert on SOGI</w:t>
      </w:r>
      <w:r w:rsidRPr="0011501D">
        <w:rPr>
          <w:rFonts w:ascii="Garamond" w:hAnsi="Garamond" w:cs="Devanagari Sangam MN"/>
          <w:lang w:val="en-GB"/>
        </w:rPr>
        <w:t xml:space="preserve"> </w:t>
      </w:r>
      <w:r w:rsidRPr="0011501D">
        <w:rPr>
          <w:rFonts w:ascii="Garamond" w:hAnsi="Garamond" w:cs="Devanagari Sangam MN"/>
          <w:b/>
          <w:lang w:val="en-US"/>
        </w:rPr>
        <w:t xml:space="preserve">the overlooked potential for conservative religious and progressive queer groups to work together towards expanding family law’s </w:t>
      </w:r>
      <w:r w:rsidRPr="00364858">
        <w:rPr>
          <w:rFonts w:ascii="Garamond" w:hAnsi="Garamond" w:cs="Devanagari Sangam MN"/>
          <w:b/>
          <w:lang w:val="en-US"/>
        </w:rPr>
        <w:t>recognition</w:t>
      </w:r>
      <w:r w:rsidR="00364858" w:rsidRPr="007F7177">
        <w:rPr>
          <w:rFonts w:ascii="Garamond" w:hAnsi="Garamond" w:cs="Devanagari Sangam MN"/>
          <w:b/>
          <w:lang w:val="en-US"/>
        </w:rPr>
        <w:t xml:space="preserve"> and on other projects too.</w:t>
      </w:r>
    </w:p>
    <w:p w14:paraId="439CB728" w14:textId="6E2B4C2D" w:rsidR="006B09ED" w:rsidRPr="0011501D" w:rsidRDefault="006B09ED" w:rsidP="0011501D">
      <w:pPr>
        <w:rPr>
          <w:rFonts w:ascii="Garamond" w:hAnsi="Garamond" w:cs="Devanagari Sangam MN"/>
          <w:bCs/>
          <w:lang w:val="en-US"/>
        </w:rPr>
      </w:pPr>
    </w:p>
    <w:p w14:paraId="0E16419A" w14:textId="0B5A7F4E" w:rsidR="006B09ED" w:rsidRPr="0055032D" w:rsidRDefault="006B09ED" w:rsidP="0011501D">
      <w:pPr>
        <w:rPr>
          <w:rFonts w:ascii="Garamond" w:hAnsi="Garamond" w:cs="Devanagari Sangam MN"/>
          <w:bCs/>
          <w:lang w:val="en-US"/>
        </w:rPr>
      </w:pPr>
      <w:r w:rsidRPr="0011501D">
        <w:rPr>
          <w:rFonts w:ascii="Garamond" w:hAnsi="Garamond" w:cs="Devanagari Sangam MN"/>
          <w:bCs/>
          <w:lang w:val="en-US"/>
        </w:rPr>
        <w:t>We explored this overlooked potential in the edited collection annexed to our comments</w:t>
      </w:r>
      <w:r w:rsidR="00A15ED9">
        <w:rPr>
          <w:rFonts w:ascii="Garamond" w:hAnsi="Garamond" w:cs="Devanagari Sangam MN"/>
          <w:bCs/>
          <w:lang w:val="en-US"/>
        </w:rPr>
        <w:t xml:space="preserve"> here, namely</w:t>
      </w:r>
      <w:r w:rsidRPr="0011501D">
        <w:rPr>
          <w:rFonts w:ascii="Garamond" w:hAnsi="Garamond" w:cs="Devanagari Sangam MN"/>
          <w:bCs/>
          <w:lang w:val="en-US"/>
        </w:rPr>
        <w:t xml:space="preserve"> </w:t>
      </w:r>
      <w:r w:rsidRPr="0011501D">
        <w:rPr>
          <w:rFonts w:ascii="Garamond" w:hAnsi="Garamond" w:cs="Devanagari Sangam MN"/>
          <w:bCs/>
          <w:i/>
          <w:iCs/>
          <w:lang w:val="en-US"/>
        </w:rPr>
        <w:t>Queer and Religious Alliances in Family Law Politics and Beyond</w:t>
      </w:r>
      <w:r w:rsidRPr="0011501D">
        <w:rPr>
          <w:rFonts w:ascii="Garamond" w:hAnsi="Garamond" w:cs="Devanagari Sangam MN"/>
          <w:bCs/>
          <w:lang w:val="en-US"/>
        </w:rPr>
        <w:t xml:space="preserve"> (Nausica Palazzo and Jeffrey A. Redding, eds.),</w:t>
      </w:r>
      <w:r w:rsidR="002B648B">
        <w:rPr>
          <w:rFonts w:ascii="Garamond" w:hAnsi="Garamond" w:cs="Devanagari Sangam MN"/>
          <w:bCs/>
          <w:lang w:val="en-US"/>
        </w:rPr>
        <w:t xml:space="preserve"> New York:</w:t>
      </w:r>
      <w:r w:rsidRPr="0011501D">
        <w:rPr>
          <w:rFonts w:ascii="Garamond" w:hAnsi="Garamond" w:cs="Devanagari Sangam MN"/>
          <w:bCs/>
          <w:lang w:val="en-US"/>
        </w:rPr>
        <w:t xml:space="preserve"> Anthem Press, 2022.</w:t>
      </w:r>
      <w:r w:rsidR="0003634D" w:rsidRPr="0011501D">
        <w:rPr>
          <w:rFonts w:ascii="Garamond" w:hAnsi="Garamond" w:cs="Devanagari Sangam MN"/>
          <w:bCs/>
          <w:lang w:val="en-US"/>
        </w:rPr>
        <w:t xml:space="preserve"> </w:t>
      </w:r>
      <w:r w:rsidR="00A15ED9">
        <w:rPr>
          <w:rFonts w:ascii="Garamond" w:hAnsi="Garamond" w:cs="Devanagari Sangam MN"/>
          <w:bCs/>
          <w:lang w:val="en-US"/>
        </w:rPr>
        <w:t>Our edited</w:t>
      </w:r>
      <w:r w:rsidR="0003634D" w:rsidRPr="0055032D">
        <w:rPr>
          <w:rFonts w:ascii="Garamond" w:hAnsi="Garamond" w:cs="Devanagari Sangam MN"/>
          <w:bCs/>
          <w:lang w:val="en-US"/>
        </w:rPr>
        <w:t xml:space="preserve"> </w:t>
      </w:r>
      <w:r w:rsidR="004C194E">
        <w:rPr>
          <w:rFonts w:ascii="Garamond" w:hAnsi="Garamond" w:cs="Devanagari Sangam MN"/>
          <w:bCs/>
          <w:lang w:val="en-US"/>
        </w:rPr>
        <w:t>volume</w:t>
      </w:r>
      <w:r w:rsidR="0003634D" w:rsidRPr="0055032D">
        <w:rPr>
          <w:rFonts w:ascii="Garamond" w:hAnsi="Garamond" w:cs="Devanagari Sangam MN"/>
          <w:bCs/>
          <w:lang w:val="en-US"/>
        </w:rPr>
        <w:t xml:space="preserve"> offers an </w:t>
      </w:r>
      <w:r w:rsidR="0003634D" w:rsidRPr="0055032D">
        <w:rPr>
          <w:rFonts w:ascii="Garamond" w:hAnsi="Garamond" w:cs="Devanagari Sangam MN"/>
          <w:bCs/>
          <w:iCs/>
          <w:lang w:val="en-US"/>
        </w:rPr>
        <w:t>in-depth study of past</w:t>
      </w:r>
      <w:r w:rsidR="002272E9">
        <w:rPr>
          <w:rFonts w:ascii="Garamond" w:hAnsi="Garamond" w:cs="Devanagari Sangam MN"/>
          <w:bCs/>
          <w:iCs/>
          <w:lang w:val="en-US"/>
        </w:rPr>
        <w:t xml:space="preserve"> </w:t>
      </w:r>
      <w:r w:rsidR="0003634D" w:rsidRPr="0055032D">
        <w:rPr>
          <w:rFonts w:ascii="Garamond" w:hAnsi="Garamond" w:cs="Devanagari Sangam MN"/>
          <w:bCs/>
          <w:iCs/>
          <w:lang w:val="en-US"/>
        </w:rPr>
        <w:t xml:space="preserve">experiences </w:t>
      </w:r>
      <w:r w:rsidR="000100F9" w:rsidRPr="0055032D">
        <w:rPr>
          <w:rFonts w:ascii="Garamond" w:hAnsi="Garamond" w:cs="Devanagari Sangam MN"/>
          <w:bCs/>
          <w:iCs/>
          <w:lang w:val="en-US"/>
        </w:rPr>
        <w:t>and</w:t>
      </w:r>
      <w:r w:rsidR="0003634D" w:rsidRPr="0055032D">
        <w:rPr>
          <w:rFonts w:ascii="Garamond" w:hAnsi="Garamond" w:cs="Devanagari Sangam MN"/>
          <w:bCs/>
          <w:iCs/>
          <w:lang w:val="en-US"/>
        </w:rPr>
        <w:t xml:space="preserve"> prospective </w:t>
      </w:r>
      <w:r w:rsidR="00CE2B71">
        <w:rPr>
          <w:rFonts w:ascii="Garamond" w:hAnsi="Garamond" w:cs="Devanagari Sangam MN"/>
          <w:bCs/>
          <w:iCs/>
          <w:lang w:val="en-US"/>
        </w:rPr>
        <w:t>queer</w:t>
      </w:r>
      <w:r w:rsidR="00EB796D">
        <w:rPr>
          <w:rFonts w:ascii="Garamond" w:hAnsi="Garamond" w:cs="Devanagari Sangam MN"/>
          <w:bCs/>
          <w:iCs/>
          <w:lang w:val="en-US"/>
        </w:rPr>
        <w:t>–</w:t>
      </w:r>
      <w:r w:rsidR="00CE2B71">
        <w:rPr>
          <w:rFonts w:ascii="Garamond" w:hAnsi="Garamond" w:cs="Devanagari Sangam MN"/>
          <w:bCs/>
          <w:iCs/>
          <w:lang w:val="en-US"/>
        </w:rPr>
        <w:t xml:space="preserve">religious </w:t>
      </w:r>
      <w:r w:rsidR="0003634D" w:rsidRPr="0055032D">
        <w:rPr>
          <w:rFonts w:ascii="Garamond" w:hAnsi="Garamond" w:cs="Devanagari Sangam MN"/>
          <w:bCs/>
          <w:iCs/>
          <w:lang w:val="en-US"/>
        </w:rPr>
        <w:t>convergences around issues as varied</w:t>
      </w:r>
      <w:r w:rsidR="007641A7">
        <w:rPr>
          <w:rFonts w:ascii="Garamond" w:hAnsi="Garamond" w:cs="Devanagari Sangam MN"/>
          <w:bCs/>
          <w:iCs/>
          <w:lang w:val="en-US"/>
        </w:rPr>
        <w:t xml:space="preserve"> as</w:t>
      </w:r>
      <w:r w:rsidR="0003634D" w:rsidRPr="0055032D">
        <w:rPr>
          <w:rFonts w:ascii="Garamond" w:hAnsi="Garamond" w:cs="Devanagari Sangam MN"/>
          <w:bCs/>
          <w:iCs/>
          <w:lang w:val="en-US"/>
        </w:rPr>
        <w:t xml:space="preserve"> polygam</w:t>
      </w:r>
      <w:r w:rsidR="00CE2B71">
        <w:rPr>
          <w:rFonts w:ascii="Garamond" w:hAnsi="Garamond" w:cs="Devanagari Sangam MN"/>
          <w:bCs/>
          <w:iCs/>
          <w:lang w:val="en-US"/>
        </w:rPr>
        <w:t>ous</w:t>
      </w:r>
      <w:r w:rsidR="0003634D" w:rsidRPr="0055032D">
        <w:rPr>
          <w:rFonts w:ascii="Garamond" w:hAnsi="Garamond" w:cs="Devanagari Sangam MN"/>
          <w:bCs/>
          <w:iCs/>
          <w:lang w:val="en-US"/>
        </w:rPr>
        <w:t xml:space="preserve"> families, the legal recognition of friends and relatives, </w:t>
      </w:r>
      <w:r w:rsidR="00CE2B71">
        <w:rPr>
          <w:rFonts w:ascii="Garamond" w:hAnsi="Garamond" w:cs="Devanagari Sangam MN"/>
          <w:bCs/>
          <w:iCs/>
          <w:lang w:val="en-US"/>
        </w:rPr>
        <w:t xml:space="preserve">and </w:t>
      </w:r>
      <w:r w:rsidR="0003634D" w:rsidRPr="0055032D">
        <w:rPr>
          <w:rFonts w:ascii="Garamond" w:hAnsi="Garamond" w:cs="Devanagari Sangam MN"/>
          <w:bCs/>
          <w:iCs/>
          <w:lang w:val="en-US"/>
        </w:rPr>
        <w:t xml:space="preserve">the abolition of </w:t>
      </w:r>
      <w:r w:rsidR="0055032D">
        <w:rPr>
          <w:rFonts w:ascii="Garamond" w:hAnsi="Garamond" w:cs="Devanagari Sangam MN"/>
          <w:bCs/>
          <w:iCs/>
          <w:lang w:val="en-US"/>
        </w:rPr>
        <w:t xml:space="preserve">civil </w:t>
      </w:r>
      <w:r w:rsidR="0003634D" w:rsidRPr="0055032D">
        <w:rPr>
          <w:rFonts w:ascii="Garamond" w:hAnsi="Garamond" w:cs="Devanagari Sangam MN"/>
          <w:bCs/>
          <w:iCs/>
          <w:lang w:val="en-US"/>
        </w:rPr>
        <w:t>marriage.</w:t>
      </w:r>
    </w:p>
    <w:p w14:paraId="5FED6F38" w14:textId="657A539A" w:rsidR="006B09ED" w:rsidRPr="0055032D" w:rsidRDefault="006B09ED" w:rsidP="0011501D">
      <w:pPr>
        <w:rPr>
          <w:rFonts w:ascii="Garamond" w:hAnsi="Garamond" w:cs="Devanagari Sangam MN"/>
          <w:bCs/>
          <w:lang w:val="en-US"/>
        </w:rPr>
      </w:pPr>
    </w:p>
    <w:p w14:paraId="3B4FB44A" w14:textId="513FF9BE" w:rsidR="00625337" w:rsidRPr="0055032D" w:rsidRDefault="00625337" w:rsidP="0011501D">
      <w:pPr>
        <w:rPr>
          <w:rFonts w:ascii="Garamond" w:hAnsi="Garamond" w:cs="Devanagari Sangam MN"/>
          <w:bCs/>
          <w:iCs/>
          <w:lang w:val="en-US"/>
        </w:rPr>
      </w:pPr>
      <w:r w:rsidRPr="0055032D">
        <w:rPr>
          <w:rFonts w:ascii="Garamond" w:hAnsi="Garamond" w:cs="Devanagari Sangam MN"/>
          <w:bCs/>
          <w:iCs/>
          <w:lang w:val="en-US"/>
        </w:rPr>
        <w:t>A</w:t>
      </w:r>
      <w:r w:rsidR="00C75E52">
        <w:rPr>
          <w:rFonts w:ascii="Garamond" w:hAnsi="Garamond" w:cs="Devanagari Sangam MN"/>
          <w:bCs/>
          <w:iCs/>
          <w:lang w:val="en-US"/>
        </w:rPr>
        <w:t>s a result of our multi-author</w:t>
      </w:r>
      <w:r w:rsidRPr="0055032D">
        <w:rPr>
          <w:rFonts w:ascii="Garamond" w:hAnsi="Garamond" w:cs="Devanagari Sangam MN"/>
          <w:bCs/>
          <w:iCs/>
          <w:lang w:val="en-US"/>
        </w:rPr>
        <w:t xml:space="preserve"> </w:t>
      </w:r>
      <w:r w:rsidR="00C75E52">
        <w:rPr>
          <w:rFonts w:ascii="Garamond" w:hAnsi="Garamond" w:cs="Devanagari Sangam MN"/>
          <w:bCs/>
          <w:iCs/>
          <w:lang w:val="en-US"/>
        </w:rPr>
        <w:t>examination</w:t>
      </w:r>
      <w:r w:rsidRPr="0055032D">
        <w:rPr>
          <w:rFonts w:ascii="Garamond" w:hAnsi="Garamond" w:cs="Devanagari Sangam MN"/>
          <w:bCs/>
          <w:iCs/>
          <w:lang w:val="en-US"/>
        </w:rPr>
        <w:t xml:space="preserve"> of past experiences and prospective convergences, we firmly believe in the potential for </w:t>
      </w:r>
      <w:r w:rsidR="007C1D2F">
        <w:rPr>
          <w:rFonts w:ascii="Garamond" w:hAnsi="Garamond" w:cs="Devanagari Sangam MN"/>
          <w:bCs/>
          <w:iCs/>
          <w:lang w:val="en-US"/>
        </w:rPr>
        <w:t>queer</w:t>
      </w:r>
      <w:r w:rsidR="00EB796D">
        <w:rPr>
          <w:rFonts w:ascii="Garamond" w:hAnsi="Garamond" w:cs="Devanagari Sangam MN"/>
          <w:bCs/>
          <w:iCs/>
          <w:lang w:val="en-US"/>
        </w:rPr>
        <w:t>–</w:t>
      </w:r>
      <w:r w:rsidR="007C1D2F">
        <w:rPr>
          <w:rFonts w:ascii="Garamond" w:hAnsi="Garamond" w:cs="Devanagari Sangam MN"/>
          <w:bCs/>
          <w:iCs/>
          <w:lang w:val="en-US"/>
        </w:rPr>
        <w:t xml:space="preserve">religious </w:t>
      </w:r>
      <w:r w:rsidRPr="0055032D">
        <w:rPr>
          <w:rFonts w:ascii="Garamond" w:hAnsi="Garamond" w:cs="Devanagari Sangam MN"/>
          <w:bCs/>
          <w:iCs/>
          <w:lang w:val="en-US"/>
        </w:rPr>
        <w:t>convergence in family law regulation as well as in its benefits to society. Queer</w:t>
      </w:r>
      <w:r w:rsidR="00EB796D">
        <w:rPr>
          <w:rFonts w:ascii="Garamond" w:hAnsi="Garamond" w:cs="Devanagari Sangam MN"/>
          <w:bCs/>
          <w:iCs/>
          <w:lang w:val="en-US"/>
        </w:rPr>
        <w:t>–</w:t>
      </w:r>
      <w:r w:rsidRPr="0055032D">
        <w:rPr>
          <w:rFonts w:ascii="Garamond" w:hAnsi="Garamond" w:cs="Devanagari Sangam MN"/>
          <w:bCs/>
          <w:iCs/>
          <w:lang w:val="en-US"/>
        </w:rPr>
        <w:t>religious coalitions in family law can mitigate the severe personal cost of social nonrecognition, social disregard, and social disrespect. Nonrecognition</w:t>
      </w:r>
      <w:r w:rsidR="007C1D2F">
        <w:rPr>
          <w:rFonts w:ascii="Garamond" w:hAnsi="Garamond" w:cs="Devanagari Sangam MN"/>
          <w:bCs/>
          <w:iCs/>
          <w:lang w:val="en-US"/>
        </w:rPr>
        <w:t xml:space="preserve"> of minority families—whether queer or religious—</w:t>
      </w:r>
      <w:r w:rsidR="00846322">
        <w:rPr>
          <w:rFonts w:ascii="Garamond" w:hAnsi="Garamond" w:cs="Devanagari Sangam MN"/>
          <w:bCs/>
          <w:iCs/>
          <w:lang w:val="en-US"/>
        </w:rPr>
        <w:t xml:space="preserve">detrimentally </w:t>
      </w:r>
      <w:r w:rsidR="007C1D2F">
        <w:rPr>
          <w:rFonts w:ascii="Garamond" w:hAnsi="Garamond" w:cs="Devanagari Sangam MN"/>
          <w:bCs/>
          <w:iCs/>
          <w:lang w:val="en-US"/>
        </w:rPr>
        <w:t>affects</w:t>
      </w:r>
      <w:r w:rsidRPr="0055032D">
        <w:rPr>
          <w:rFonts w:ascii="Garamond" w:hAnsi="Garamond" w:cs="Devanagari Sangam MN"/>
          <w:bCs/>
          <w:iCs/>
          <w:lang w:val="en-US"/>
        </w:rPr>
        <w:t xml:space="preserve"> the way many persons </w:t>
      </w:r>
      <w:r w:rsidR="008A0D9A">
        <w:rPr>
          <w:rFonts w:ascii="Garamond" w:hAnsi="Garamond" w:cs="Devanagari Sangam MN"/>
          <w:bCs/>
          <w:iCs/>
          <w:lang w:val="en-US"/>
        </w:rPr>
        <w:t>organize</w:t>
      </w:r>
      <w:r w:rsidRPr="0055032D">
        <w:rPr>
          <w:rFonts w:ascii="Garamond" w:hAnsi="Garamond" w:cs="Devanagari Sangam MN"/>
          <w:bCs/>
          <w:iCs/>
          <w:lang w:val="en-US"/>
        </w:rPr>
        <w:t xml:space="preserve"> </w:t>
      </w:r>
      <w:r w:rsidR="00846322">
        <w:rPr>
          <w:rFonts w:ascii="Garamond" w:hAnsi="Garamond" w:cs="Devanagari Sangam MN"/>
          <w:bCs/>
          <w:iCs/>
          <w:lang w:val="en-US"/>
        </w:rPr>
        <w:t xml:space="preserve">their kinship </w:t>
      </w:r>
      <w:r w:rsidRPr="0055032D">
        <w:rPr>
          <w:rFonts w:ascii="Garamond" w:hAnsi="Garamond" w:cs="Devanagari Sangam MN"/>
          <w:bCs/>
          <w:iCs/>
          <w:lang w:val="en-US"/>
        </w:rPr>
        <w:t xml:space="preserve">and also suggests rejection by the larger society. The benefits to society are also eminently practical. A reconciliatory rather than oppositional approach to framing the relationship between religious and queer groups can counter dominant narratives of </w:t>
      </w:r>
      <w:r w:rsidR="00C2294B">
        <w:rPr>
          <w:rFonts w:ascii="Garamond" w:hAnsi="Garamond" w:cs="Devanagari Sangam MN"/>
          <w:bCs/>
          <w:iCs/>
          <w:lang w:val="en-US"/>
        </w:rPr>
        <w:t>‘</w:t>
      </w:r>
      <w:r w:rsidRPr="0055032D">
        <w:rPr>
          <w:rFonts w:ascii="Garamond" w:hAnsi="Garamond" w:cs="Devanagari Sangam MN"/>
          <w:bCs/>
          <w:iCs/>
          <w:lang w:val="en-US"/>
        </w:rPr>
        <w:t>culture wars</w:t>
      </w:r>
      <w:r w:rsidR="00C2294B">
        <w:rPr>
          <w:rFonts w:ascii="Garamond" w:hAnsi="Garamond" w:cs="Devanagari Sangam MN"/>
          <w:bCs/>
          <w:iCs/>
          <w:lang w:val="en-US"/>
        </w:rPr>
        <w:t>’</w:t>
      </w:r>
      <w:r w:rsidRPr="0055032D">
        <w:rPr>
          <w:rFonts w:ascii="Garamond" w:hAnsi="Garamond" w:cs="Devanagari Sangam MN"/>
          <w:bCs/>
          <w:iCs/>
          <w:lang w:val="en-US"/>
        </w:rPr>
        <w:t xml:space="preserve"> and avoid the aggrandizing of </w:t>
      </w:r>
      <w:r w:rsidR="00191076">
        <w:rPr>
          <w:rFonts w:ascii="Garamond" w:hAnsi="Garamond" w:cs="Devanagari Sangam MN"/>
          <w:bCs/>
          <w:iCs/>
          <w:lang w:val="en-US"/>
        </w:rPr>
        <w:t xml:space="preserve">social and political </w:t>
      </w:r>
      <w:r w:rsidRPr="0055032D">
        <w:rPr>
          <w:rFonts w:ascii="Garamond" w:hAnsi="Garamond" w:cs="Devanagari Sangam MN"/>
          <w:bCs/>
          <w:iCs/>
          <w:lang w:val="en-US"/>
        </w:rPr>
        <w:t>tensions.</w:t>
      </w:r>
    </w:p>
    <w:p w14:paraId="20E63A1A" w14:textId="77777777" w:rsidR="00625337" w:rsidRPr="0055032D" w:rsidRDefault="00625337" w:rsidP="0011501D">
      <w:pPr>
        <w:rPr>
          <w:rFonts w:ascii="Garamond" w:hAnsi="Garamond" w:cs="Devanagari Sangam MN"/>
          <w:bCs/>
          <w:lang w:val="en-US"/>
        </w:rPr>
      </w:pPr>
    </w:p>
    <w:p w14:paraId="2818C775" w14:textId="729BB212" w:rsidR="00C60EA6" w:rsidRDefault="006B09ED" w:rsidP="00A114B6">
      <w:pPr>
        <w:rPr>
          <w:rFonts w:ascii="Garamond" w:hAnsi="Garamond" w:cs="Devanagari Sangam MN"/>
          <w:bCs/>
          <w:iCs/>
          <w:lang w:val="en-US"/>
        </w:rPr>
      </w:pPr>
      <w:r w:rsidRPr="0055032D">
        <w:rPr>
          <w:rFonts w:ascii="Garamond" w:hAnsi="Garamond" w:cs="Devanagari Sangam MN"/>
          <w:bCs/>
          <w:iCs/>
          <w:lang w:val="en-US"/>
        </w:rPr>
        <w:t xml:space="preserve">The potential for queer and religious groups to </w:t>
      </w:r>
      <w:r w:rsidR="00CC3C82">
        <w:rPr>
          <w:rFonts w:ascii="Garamond" w:hAnsi="Garamond" w:cs="Devanagari Sangam MN"/>
          <w:bCs/>
          <w:iCs/>
          <w:lang w:val="en-US"/>
        </w:rPr>
        <w:t xml:space="preserve">politically </w:t>
      </w:r>
      <w:r w:rsidRPr="0055032D">
        <w:rPr>
          <w:rFonts w:ascii="Garamond" w:hAnsi="Garamond" w:cs="Devanagari Sangam MN"/>
          <w:bCs/>
          <w:iCs/>
          <w:lang w:val="en-US"/>
        </w:rPr>
        <w:t xml:space="preserve">converge has occasionally been investigated before, especially in the U.S. context. For example, Andrew Koppelman’s </w:t>
      </w:r>
      <w:r w:rsidR="00947BB7">
        <w:rPr>
          <w:rFonts w:ascii="Garamond" w:hAnsi="Garamond" w:cs="Devanagari Sangam MN"/>
          <w:bCs/>
          <w:iCs/>
          <w:lang w:val="en-US"/>
        </w:rPr>
        <w:t>recent</w:t>
      </w:r>
      <w:r w:rsidR="00A114B6" w:rsidRPr="00C663DE">
        <w:rPr>
          <w:rFonts w:ascii="Garamond" w:hAnsi="Garamond" w:cs="Devanagari Sangam MN"/>
          <w:bCs/>
          <w:iCs/>
          <w:lang w:val="en-US"/>
        </w:rPr>
        <w:t xml:space="preserve"> </w:t>
      </w:r>
      <w:r w:rsidRPr="0055032D">
        <w:rPr>
          <w:rFonts w:ascii="Garamond" w:hAnsi="Garamond" w:cs="Devanagari Sangam MN"/>
          <w:bCs/>
          <w:iCs/>
          <w:lang w:val="en-US"/>
        </w:rPr>
        <w:t xml:space="preserve">book on LGBT rights and religion </w:t>
      </w:r>
      <w:r w:rsidR="000F52AC">
        <w:rPr>
          <w:rFonts w:ascii="Garamond" w:hAnsi="Garamond" w:cs="Devanagari Sangam MN"/>
          <w:bCs/>
          <w:iCs/>
          <w:lang w:val="en-US"/>
        </w:rPr>
        <w:t>(</w:t>
      </w:r>
      <w:r w:rsidR="000F52AC" w:rsidRPr="0055032D">
        <w:rPr>
          <w:rFonts w:ascii="Garamond" w:hAnsi="Garamond" w:cs="Devanagari Sangam MN"/>
          <w:bCs/>
          <w:i/>
          <w:lang w:val="en-US"/>
        </w:rPr>
        <w:t>Gay Rights vs. Religious Liberty?: The Unnecessary Conflict</w:t>
      </w:r>
      <w:r w:rsidR="00947BB7">
        <w:rPr>
          <w:rFonts w:ascii="Garamond" w:hAnsi="Garamond" w:cs="Devanagari Sangam MN"/>
          <w:bCs/>
          <w:iCs/>
          <w:lang w:val="en-US"/>
        </w:rPr>
        <w:t xml:space="preserve">, </w:t>
      </w:r>
      <w:r w:rsidR="000F52AC" w:rsidRPr="000F52AC">
        <w:rPr>
          <w:rFonts w:ascii="Garamond" w:hAnsi="Garamond" w:cs="Devanagari Sangam MN"/>
          <w:bCs/>
          <w:iCs/>
          <w:lang w:val="en-US"/>
        </w:rPr>
        <w:t>New York: Oxford University Press</w:t>
      </w:r>
      <w:r w:rsidR="00947BB7">
        <w:rPr>
          <w:rFonts w:ascii="Garamond" w:hAnsi="Garamond" w:cs="Devanagari Sangam MN"/>
          <w:bCs/>
          <w:iCs/>
          <w:lang w:val="en-US"/>
        </w:rPr>
        <w:t>, 2020</w:t>
      </w:r>
      <w:r w:rsidR="000F52AC">
        <w:rPr>
          <w:rFonts w:ascii="Garamond" w:hAnsi="Garamond" w:cs="Devanagari Sangam MN"/>
          <w:bCs/>
          <w:iCs/>
          <w:lang w:val="en-US"/>
        </w:rPr>
        <w:t xml:space="preserve">) </w:t>
      </w:r>
      <w:r w:rsidRPr="0055032D">
        <w:rPr>
          <w:rFonts w:ascii="Garamond" w:hAnsi="Garamond" w:cs="Devanagari Sangam MN"/>
          <w:bCs/>
          <w:iCs/>
          <w:lang w:val="en-US"/>
        </w:rPr>
        <w:t xml:space="preserve">has perceptively intervened into the ongoing debate over </w:t>
      </w:r>
      <w:r w:rsidRPr="0055032D">
        <w:rPr>
          <w:rFonts w:ascii="Garamond" w:hAnsi="Garamond" w:cs="Devanagari Sangam MN"/>
          <w:bCs/>
          <w:iCs/>
          <w:lang w:val="en-US"/>
        </w:rPr>
        <w:lastRenderedPageBreak/>
        <w:t xml:space="preserve">whether U.S. antidiscrimination law should accommodate religious believers who object to market interactions with LGBT people. Likewise, John Witte’s </w:t>
      </w:r>
      <w:r w:rsidR="00542C93">
        <w:rPr>
          <w:rFonts w:ascii="Garamond" w:hAnsi="Garamond" w:cs="Devanagari Sangam MN"/>
          <w:bCs/>
          <w:iCs/>
          <w:lang w:val="en-US"/>
        </w:rPr>
        <w:t>recent</w:t>
      </w:r>
      <w:r w:rsidR="00A114B6" w:rsidRPr="0055032D">
        <w:rPr>
          <w:rFonts w:ascii="Garamond" w:hAnsi="Garamond" w:cs="Devanagari Sangam MN"/>
          <w:bCs/>
          <w:iCs/>
          <w:lang w:val="en-US"/>
        </w:rPr>
        <w:t xml:space="preserve"> book</w:t>
      </w:r>
      <w:r w:rsidRPr="0055032D">
        <w:rPr>
          <w:rFonts w:ascii="Garamond" w:hAnsi="Garamond" w:cs="Devanagari Sangam MN"/>
          <w:bCs/>
          <w:iCs/>
          <w:lang w:val="en-US"/>
        </w:rPr>
        <w:t xml:space="preserve"> </w:t>
      </w:r>
      <w:r w:rsidR="00542C93">
        <w:rPr>
          <w:rFonts w:ascii="Garamond" w:hAnsi="Garamond" w:cs="Devanagari Sangam MN"/>
          <w:bCs/>
          <w:iCs/>
          <w:lang w:val="en-US"/>
        </w:rPr>
        <w:t>(</w:t>
      </w:r>
      <w:r w:rsidR="00542C93" w:rsidRPr="0055032D">
        <w:rPr>
          <w:rFonts w:ascii="Garamond" w:hAnsi="Garamond" w:cs="Devanagari Sangam MN"/>
          <w:bCs/>
          <w:i/>
          <w:lang w:val="en-US"/>
        </w:rPr>
        <w:t>Church, State, and Family Reconciling Traditional Teachings and Modern Liberties</w:t>
      </w:r>
      <w:r w:rsidR="00113B4F">
        <w:rPr>
          <w:rFonts w:ascii="Garamond" w:hAnsi="Garamond" w:cs="Devanagari Sangam MN"/>
          <w:bCs/>
          <w:iCs/>
          <w:lang w:val="en-US"/>
        </w:rPr>
        <w:t xml:space="preserve">, </w:t>
      </w:r>
      <w:r w:rsidR="00542C93" w:rsidRPr="00542C93">
        <w:rPr>
          <w:rFonts w:ascii="Garamond" w:hAnsi="Garamond" w:cs="Devanagari Sangam MN"/>
          <w:bCs/>
          <w:iCs/>
          <w:lang w:val="en-US"/>
        </w:rPr>
        <w:t>New York: Cambridge University Press</w:t>
      </w:r>
      <w:r w:rsidR="00113B4F">
        <w:rPr>
          <w:rFonts w:ascii="Garamond" w:hAnsi="Garamond" w:cs="Devanagari Sangam MN"/>
          <w:bCs/>
          <w:iCs/>
          <w:lang w:val="en-US"/>
        </w:rPr>
        <w:t>, 2019</w:t>
      </w:r>
      <w:r w:rsidR="00542C93">
        <w:rPr>
          <w:rFonts w:ascii="Garamond" w:hAnsi="Garamond" w:cs="Devanagari Sangam MN"/>
          <w:bCs/>
          <w:iCs/>
          <w:lang w:val="en-US"/>
        </w:rPr>
        <w:t xml:space="preserve">) </w:t>
      </w:r>
      <w:r w:rsidRPr="0055032D">
        <w:rPr>
          <w:rFonts w:ascii="Garamond" w:hAnsi="Garamond" w:cs="Devanagari Sangam MN"/>
          <w:bCs/>
          <w:iCs/>
          <w:lang w:val="en-US"/>
        </w:rPr>
        <w:t xml:space="preserve">provides a compelling defense of middle-ground approaches to the regulation and structuring of family relations in the modern ‘Western’ state, while also speaking more broadly to how state and religious authorities in the West should coordinate with each other regarding family formation, child rearing, and charitable enterprises. His endeavor is to find ‘moderate’ positions avoiding the so-called ‘extremes’ of the queer left and religious right. </w:t>
      </w:r>
    </w:p>
    <w:p w14:paraId="4609247D" w14:textId="77777777" w:rsidR="00C60EA6" w:rsidRDefault="00C60EA6" w:rsidP="00A114B6">
      <w:pPr>
        <w:rPr>
          <w:rFonts w:ascii="Garamond" w:hAnsi="Garamond" w:cs="Devanagari Sangam MN"/>
          <w:bCs/>
          <w:iCs/>
          <w:lang w:val="en-US"/>
        </w:rPr>
      </w:pPr>
    </w:p>
    <w:p w14:paraId="0B40F17E" w14:textId="58AB07F4" w:rsidR="006B09ED" w:rsidRPr="0055032D" w:rsidRDefault="006B09ED" w:rsidP="0055032D">
      <w:pPr>
        <w:rPr>
          <w:rFonts w:ascii="Garamond" w:hAnsi="Garamond" w:cs="Devanagari Sangam MN"/>
          <w:bCs/>
          <w:iCs/>
          <w:lang w:val="en-US"/>
        </w:rPr>
      </w:pPr>
      <w:r w:rsidRPr="0055032D">
        <w:rPr>
          <w:rFonts w:ascii="Garamond" w:hAnsi="Garamond" w:cs="Devanagari Sangam MN"/>
          <w:bCs/>
          <w:iCs/>
          <w:lang w:val="en-US"/>
        </w:rPr>
        <w:t xml:space="preserve">In </w:t>
      </w:r>
      <w:r w:rsidR="00FD5303">
        <w:rPr>
          <w:rFonts w:ascii="Garamond" w:hAnsi="Garamond" w:cs="Devanagari Sangam MN"/>
          <w:bCs/>
          <w:iCs/>
          <w:lang w:val="en-US"/>
        </w:rPr>
        <w:t>our edited</w:t>
      </w:r>
      <w:r w:rsidRPr="0055032D">
        <w:rPr>
          <w:rFonts w:ascii="Garamond" w:hAnsi="Garamond" w:cs="Devanagari Sangam MN"/>
          <w:bCs/>
          <w:iCs/>
          <w:lang w:val="en-US"/>
        </w:rPr>
        <w:t xml:space="preserve"> </w:t>
      </w:r>
      <w:r w:rsidR="004C194E">
        <w:rPr>
          <w:rFonts w:ascii="Garamond" w:hAnsi="Garamond" w:cs="Devanagari Sangam MN"/>
          <w:bCs/>
          <w:iCs/>
          <w:lang w:val="en-US"/>
        </w:rPr>
        <w:t>volume</w:t>
      </w:r>
      <w:r w:rsidR="00C60EA6">
        <w:rPr>
          <w:rFonts w:ascii="Garamond" w:hAnsi="Garamond" w:cs="Devanagari Sangam MN"/>
          <w:bCs/>
          <w:iCs/>
          <w:lang w:val="en-US"/>
        </w:rPr>
        <w:t>,</w:t>
      </w:r>
      <w:r w:rsidRPr="0055032D">
        <w:rPr>
          <w:rFonts w:ascii="Garamond" w:hAnsi="Garamond" w:cs="Devanagari Sangam MN"/>
          <w:bCs/>
          <w:iCs/>
          <w:lang w:val="en-US"/>
        </w:rPr>
        <w:t xml:space="preserve"> we adopt a bolder approach</w:t>
      </w:r>
      <w:r w:rsidR="0079505F">
        <w:rPr>
          <w:rFonts w:ascii="Garamond" w:hAnsi="Garamond" w:cs="Devanagari Sangam MN"/>
          <w:bCs/>
          <w:iCs/>
          <w:lang w:val="en-US"/>
        </w:rPr>
        <w:t xml:space="preserve"> than these two </w:t>
      </w:r>
      <w:r w:rsidR="00BF4559">
        <w:rPr>
          <w:rFonts w:ascii="Garamond" w:hAnsi="Garamond" w:cs="Devanagari Sangam MN"/>
          <w:bCs/>
          <w:iCs/>
          <w:lang w:val="en-US"/>
        </w:rPr>
        <w:t>authors regarding</w:t>
      </w:r>
      <w:r w:rsidRPr="0055032D">
        <w:rPr>
          <w:rFonts w:ascii="Garamond" w:hAnsi="Garamond" w:cs="Devanagari Sangam MN"/>
          <w:bCs/>
          <w:iCs/>
          <w:lang w:val="en-US"/>
        </w:rPr>
        <w:t xml:space="preserve"> relationship</w:t>
      </w:r>
      <w:r w:rsidR="00BF4559">
        <w:rPr>
          <w:rFonts w:ascii="Garamond" w:hAnsi="Garamond" w:cs="Devanagari Sangam MN"/>
          <w:bCs/>
          <w:iCs/>
          <w:lang w:val="en-US"/>
        </w:rPr>
        <w:t>s</w:t>
      </w:r>
      <w:r w:rsidRPr="0055032D">
        <w:rPr>
          <w:rFonts w:ascii="Garamond" w:hAnsi="Garamond" w:cs="Devanagari Sangam MN"/>
          <w:bCs/>
          <w:iCs/>
          <w:lang w:val="en-US"/>
        </w:rPr>
        <w:t xml:space="preserve"> between </w:t>
      </w:r>
      <w:r w:rsidR="00D80A9A">
        <w:rPr>
          <w:rFonts w:ascii="Garamond" w:hAnsi="Garamond" w:cs="Devanagari Sangam MN"/>
          <w:bCs/>
          <w:iCs/>
          <w:lang w:val="en-US"/>
        </w:rPr>
        <w:t>progressive queer and conservative religious positions.</w:t>
      </w:r>
      <w:r w:rsidRPr="0055032D">
        <w:rPr>
          <w:rFonts w:ascii="Garamond" w:hAnsi="Garamond" w:cs="Devanagari Sangam MN"/>
          <w:bCs/>
          <w:iCs/>
          <w:lang w:val="en-US"/>
        </w:rPr>
        <w:t xml:space="preserve"> </w:t>
      </w:r>
      <w:r w:rsidR="001E4EF3">
        <w:rPr>
          <w:rFonts w:ascii="Garamond" w:hAnsi="Garamond" w:cs="Devanagari Sangam MN"/>
          <w:bCs/>
          <w:iCs/>
          <w:lang w:val="en-US"/>
        </w:rPr>
        <w:t>Namely, we argue that there is another way</w:t>
      </w:r>
      <w:r w:rsidRPr="0055032D">
        <w:rPr>
          <w:rFonts w:ascii="Garamond" w:hAnsi="Garamond" w:cs="Devanagari Sangam MN"/>
          <w:bCs/>
          <w:iCs/>
          <w:lang w:val="en-US"/>
        </w:rPr>
        <w:t xml:space="preserve"> to reconcile FoRB and SOGI rights</w:t>
      </w:r>
      <w:r w:rsidR="00C60EA6">
        <w:rPr>
          <w:rFonts w:ascii="Garamond" w:hAnsi="Garamond" w:cs="Devanagari Sangam MN"/>
          <w:bCs/>
          <w:iCs/>
          <w:lang w:val="en-US"/>
        </w:rPr>
        <w:t xml:space="preserve"> beyond Koppelman’s armistice project and Witte’s compromise project</w:t>
      </w:r>
      <w:r w:rsidR="006844E5">
        <w:rPr>
          <w:rFonts w:ascii="Garamond" w:hAnsi="Garamond" w:cs="Devanagari Sangam MN"/>
          <w:bCs/>
          <w:iCs/>
          <w:lang w:val="en-US"/>
        </w:rPr>
        <w:t xml:space="preserve">, </w:t>
      </w:r>
      <w:r w:rsidR="0055032D">
        <w:rPr>
          <w:rFonts w:ascii="Garamond" w:hAnsi="Garamond" w:cs="Devanagari Sangam MN"/>
          <w:bCs/>
          <w:iCs/>
          <w:lang w:val="en-US"/>
        </w:rPr>
        <w:t>namely,</w:t>
      </w:r>
      <w:r w:rsidR="006844E5">
        <w:rPr>
          <w:rFonts w:ascii="Garamond" w:hAnsi="Garamond" w:cs="Devanagari Sangam MN"/>
          <w:bCs/>
          <w:iCs/>
          <w:lang w:val="en-US"/>
        </w:rPr>
        <w:t xml:space="preserve"> to</w:t>
      </w:r>
      <w:r w:rsidRPr="0055032D">
        <w:rPr>
          <w:rFonts w:ascii="Garamond" w:hAnsi="Garamond" w:cs="Devanagari Sangam MN"/>
          <w:bCs/>
          <w:iCs/>
          <w:lang w:val="en-US"/>
        </w:rPr>
        <w:t xml:space="preserve"> find </w:t>
      </w:r>
      <w:r w:rsidRPr="0055032D">
        <w:rPr>
          <w:rFonts w:ascii="Garamond" w:hAnsi="Garamond" w:cs="Devanagari Sangam MN"/>
          <w:b/>
          <w:iCs/>
          <w:lang w:val="en-US"/>
        </w:rPr>
        <w:t>points of convergence or even friendship</w:t>
      </w:r>
      <w:r w:rsidRPr="0055032D">
        <w:rPr>
          <w:rFonts w:ascii="Garamond" w:hAnsi="Garamond" w:cs="Devanagari Sangam MN"/>
          <w:bCs/>
          <w:iCs/>
          <w:lang w:val="en-US"/>
        </w:rPr>
        <w:t xml:space="preserve"> between queer and religious actors.</w:t>
      </w:r>
    </w:p>
    <w:p w14:paraId="23C428F6" w14:textId="04BEF711" w:rsidR="0003634D" w:rsidRPr="0055032D" w:rsidRDefault="0003634D" w:rsidP="0055032D">
      <w:pPr>
        <w:rPr>
          <w:rFonts w:ascii="Garamond" w:hAnsi="Garamond" w:cs="Devanagari Sangam MN"/>
          <w:bCs/>
          <w:iCs/>
          <w:lang w:val="en-US"/>
        </w:rPr>
      </w:pPr>
    </w:p>
    <w:p w14:paraId="182A2A6C" w14:textId="3B362568" w:rsidR="0003634D" w:rsidRPr="0055032D" w:rsidRDefault="0003634D" w:rsidP="0055032D">
      <w:pPr>
        <w:rPr>
          <w:rFonts w:ascii="Garamond" w:hAnsi="Garamond" w:cs="Devanagari Sangam MN"/>
          <w:bCs/>
          <w:iCs/>
          <w:lang w:val="en-US"/>
        </w:rPr>
      </w:pPr>
      <w:r w:rsidRPr="0055032D">
        <w:rPr>
          <w:rFonts w:ascii="Garamond" w:hAnsi="Garamond" w:cs="Devanagari Sangam MN"/>
          <w:bCs/>
          <w:iCs/>
          <w:lang w:val="en-US"/>
        </w:rPr>
        <w:t xml:space="preserve">We would like to offer some concrete examples </w:t>
      </w:r>
      <w:r w:rsidR="00F76C11">
        <w:rPr>
          <w:rFonts w:ascii="Garamond" w:hAnsi="Garamond" w:cs="Devanagari Sangam MN"/>
          <w:bCs/>
          <w:iCs/>
          <w:lang w:val="en-US"/>
        </w:rPr>
        <w:t xml:space="preserve">from </w:t>
      </w:r>
      <w:r w:rsidR="00C17B8F">
        <w:rPr>
          <w:rFonts w:ascii="Garamond" w:hAnsi="Garamond" w:cs="Devanagari Sangam MN"/>
          <w:bCs/>
          <w:iCs/>
          <w:lang w:val="en-US"/>
        </w:rPr>
        <w:t>our edited</w:t>
      </w:r>
      <w:r w:rsidR="00F76C11">
        <w:rPr>
          <w:rFonts w:ascii="Garamond" w:hAnsi="Garamond" w:cs="Devanagari Sangam MN"/>
          <w:bCs/>
          <w:iCs/>
          <w:lang w:val="en-US"/>
        </w:rPr>
        <w:t xml:space="preserve"> </w:t>
      </w:r>
      <w:r w:rsidR="004C194E">
        <w:rPr>
          <w:rFonts w:ascii="Garamond" w:hAnsi="Garamond" w:cs="Devanagari Sangam MN"/>
          <w:bCs/>
          <w:iCs/>
          <w:lang w:val="en-US"/>
        </w:rPr>
        <w:t>volume</w:t>
      </w:r>
      <w:r w:rsidR="00F76C11">
        <w:rPr>
          <w:rFonts w:ascii="Garamond" w:hAnsi="Garamond" w:cs="Devanagari Sangam MN"/>
          <w:bCs/>
          <w:iCs/>
          <w:lang w:val="en-US"/>
        </w:rPr>
        <w:t xml:space="preserve"> </w:t>
      </w:r>
      <w:r w:rsidRPr="0055032D">
        <w:rPr>
          <w:rFonts w:ascii="Garamond" w:hAnsi="Garamond" w:cs="Devanagari Sangam MN"/>
          <w:bCs/>
          <w:iCs/>
          <w:lang w:val="en-US"/>
        </w:rPr>
        <w:t>of the common ground that</w:t>
      </w:r>
      <w:r w:rsidR="00D91F9D">
        <w:rPr>
          <w:rFonts w:ascii="Garamond" w:hAnsi="Garamond" w:cs="Devanagari Sangam MN"/>
          <w:bCs/>
          <w:iCs/>
          <w:lang w:val="en-US"/>
        </w:rPr>
        <w:t>,</w:t>
      </w:r>
      <w:r w:rsidRPr="0055032D">
        <w:rPr>
          <w:rFonts w:ascii="Garamond" w:hAnsi="Garamond" w:cs="Devanagari Sangam MN"/>
          <w:bCs/>
          <w:iCs/>
          <w:lang w:val="en-US"/>
        </w:rPr>
        <w:t xml:space="preserve"> </w:t>
      </w:r>
      <w:r w:rsidR="00F76C11">
        <w:rPr>
          <w:rFonts w:ascii="Garamond" w:hAnsi="Garamond" w:cs="Devanagari Sangam MN"/>
          <w:bCs/>
          <w:iCs/>
          <w:lang w:val="en-US"/>
        </w:rPr>
        <w:t>at least occasionally</w:t>
      </w:r>
      <w:r w:rsidR="00D91F9D">
        <w:rPr>
          <w:rFonts w:ascii="Garamond" w:hAnsi="Garamond" w:cs="Devanagari Sangam MN"/>
          <w:bCs/>
          <w:iCs/>
          <w:lang w:val="en-US"/>
        </w:rPr>
        <w:t>,</w:t>
      </w:r>
      <w:r w:rsidR="00F76C11">
        <w:rPr>
          <w:rFonts w:ascii="Garamond" w:hAnsi="Garamond" w:cs="Devanagari Sangam MN"/>
          <w:bCs/>
          <w:iCs/>
          <w:lang w:val="en-US"/>
        </w:rPr>
        <w:t xml:space="preserve"> </w:t>
      </w:r>
      <w:r w:rsidR="00C17B8F">
        <w:rPr>
          <w:rFonts w:ascii="Garamond" w:hAnsi="Garamond" w:cs="Devanagari Sangam MN"/>
          <w:bCs/>
          <w:iCs/>
          <w:lang w:val="en-US"/>
        </w:rPr>
        <w:t>unites</w:t>
      </w:r>
      <w:r w:rsidRPr="0055032D">
        <w:rPr>
          <w:rFonts w:ascii="Garamond" w:hAnsi="Garamond" w:cs="Devanagari Sangam MN"/>
          <w:bCs/>
          <w:iCs/>
          <w:lang w:val="en-US"/>
        </w:rPr>
        <w:t xml:space="preserve"> queer and religious groups </w:t>
      </w:r>
      <w:r w:rsidR="00C17B8F">
        <w:rPr>
          <w:rFonts w:ascii="Garamond" w:hAnsi="Garamond" w:cs="Devanagari Sangam MN"/>
          <w:bCs/>
          <w:iCs/>
          <w:lang w:val="en-US"/>
        </w:rPr>
        <w:t>together in friendship</w:t>
      </w:r>
      <w:r w:rsidRPr="0055032D">
        <w:rPr>
          <w:rFonts w:ascii="Garamond" w:hAnsi="Garamond" w:cs="Devanagari Sangam MN"/>
          <w:bCs/>
          <w:iCs/>
          <w:lang w:val="en-US"/>
        </w:rPr>
        <w:t xml:space="preserve">. </w:t>
      </w:r>
      <w:r w:rsidR="00E20462">
        <w:rPr>
          <w:rFonts w:ascii="Garamond" w:hAnsi="Garamond" w:cs="Devanagari Sangam MN"/>
          <w:bCs/>
          <w:iCs/>
          <w:lang w:val="en-US"/>
        </w:rPr>
        <w:t xml:space="preserve">For example, </w:t>
      </w:r>
      <w:r w:rsidR="00CF0B5A">
        <w:rPr>
          <w:rFonts w:ascii="Garamond" w:hAnsi="Garamond" w:cs="Devanagari Sangam MN"/>
          <w:bCs/>
          <w:iCs/>
          <w:lang w:val="en-US"/>
        </w:rPr>
        <w:t xml:space="preserve">in our volume, </w:t>
      </w:r>
      <w:r w:rsidRPr="0055032D">
        <w:rPr>
          <w:rFonts w:ascii="Garamond" w:hAnsi="Garamond" w:cs="Devanagari Sangam MN"/>
          <w:bCs/>
          <w:iCs/>
          <w:lang w:val="en-US"/>
        </w:rPr>
        <w:t>Frederick Gedicks</w:t>
      </w:r>
      <w:r w:rsidR="004C194E">
        <w:rPr>
          <w:rFonts w:ascii="Garamond" w:hAnsi="Garamond" w:cs="Devanagari Sangam MN"/>
          <w:bCs/>
          <w:iCs/>
          <w:lang w:val="en-US"/>
        </w:rPr>
        <w:t xml:space="preserve"> </w:t>
      </w:r>
      <w:r w:rsidRPr="0055032D">
        <w:rPr>
          <w:rFonts w:ascii="Garamond" w:hAnsi="Garamond" w:cs="Devanagari Sangam MN"/>
          <w:bCs/>
          <w:iCs/>
          <w:lang w:val="en-US"/>
        </w:rPr>
        <w:t>highlights</w:t>
      </w:r>
      <w:r w:rsidR="0070363C">
        <w:rPr>
          <w:rFonts w:ascii="Garamond" w:hAnsi="Garamond" w:cs="Devanagari Sangam MN"/>
          <w:bCs/>
          <w:iCs/>
          <w:lang w:val="en-US"/>
        </w:rPr>
        <w:t xml:space="preserve"> </w:t>
      </w:r>
      <w:r w:rsidRPr="0055032D">
        <w:rPr>
          <w:rFonts w:ascii="Garamond" w:hAnsi="Garamond" w:cs="Devanagari Sangam MN"/>
          <w:bCs/>
          <w:iCs/>
          <w:lang w:val="en-US"/>
        </w:rPr>
        <w:t xml:space="preserve">how members of minority religions and LGBTQ persons alike have been historically harmed by claims about </w:t>
      </w:r>
      <w:r w:rsidR="00E20462">
        <w:rPr>
          <w:rFonts w:ascii="Garamond" w:hAnsi="Garamond" w:cs="Devanagari Sangam MN"/>
          <w:bCs/>
          <w:iCs/>
          <w:lang w:val="en-US"/>
        </w:rPr>
        <w:t>‘</w:t>
      </w:r>
      <w:r w:rsidRPr="0055032D">
        <w:rPr>
          <w:rFonts w:ascii="Garamond" w:hAnsi="Garamond" w:cs="Devanagari Sangam MN"/>
          <w:bCs/>
          <w:iCs/>
          <w:lang w:val="en-US"/>
        </w:rPr>
        <w:t>natural law</w:t>
      </w:r>
      <w:r w:rsidR="00E20462">
        <w:rPr>
          <w:rFonts w:ascii="Garamond" w:hAnsi="Garamond" w:cs="Devanagari Sangam MN"/>
          <w:bCs/>
          <w:iCs/>
          <w:lang w:val="en-US"/>
        </w:rPr>
        <w:t>’</w:t>
      </w:r>
      <w:r w:rsidRPr="0055032D">
        <w:rPr>
          <w:rFonts w:ascii="Garamond" w:hAnsi="Garamond" w:cs="Devanagari Sangam MN"/>
          <w:bCs/>
          <w:iCs/>
          <w:lang w:val="en-US"/>
        </w:rPr>
        <w:t xml:space="preserve"> and its ostensible requirements </w:t>
      </w:r>
      <w:r w:rsidR="00D91F9D">
        <w:rPr>
          <w:rFonts w:ascii="Garamond" w:hAnsi="Garamond" w:cs="Devanagari Sangam MN"/>
          <w:bCs/>
          <w:iCs/>
          <w:lang w:val="en-US"/>
        </w:rPr>
        <w:t>regarding</w:t>
      </w:r>
      <w:r w:rsidRPr="0055032D">
        <w:rPr>
          <w:rFonts w:ascii="Garamond" w:hAnsi="Garamond" w:cs="Devanagari Sangam MN"/>
          <w:bCs/>
          <w:iCs/>
          <w:lang w:val="en-US"/>
        </w:rPr>
        <w:t xml:space="preserve"> family and marriage. Specifically, Gedicks brings attention to natural law arguments concerning marriage and their persecutory use in the nineteenth century against Mormon communities then practicing polygamy in the United States. While Gedicks does not explicitly advocate a political alliance between LGBTQ persons and Mormons, he does note their interest convergence in repudiating resorts to a simplistic natural law argumentation still finding favor in influential social, political, and legal circles.</w:t>
      </w:r>
    </w:p>
    <w:p w14:paraId="6EB32743" w14:textId="69F63A56" w:rsidR="0003634D" w:rsidRPr="0055032D" w:rsidRDefault="0003634D" w:rsidP="0055032D">
      <w:pPr>
        <w:rPr>
          <w:rFonts w:ascii="Garamond" w:hAnsi="Garamond" w:cs="Devanagari Sangam MN"/>
          <w:bCs/>
          <w:iCs/>
          <w:lang w:val="en-US"/>
        </w:rPr>
      </w:pPr>
    </w:p>
    <w:p w14:paraId="0B147432" w14:textId="25D4493F" w:rsidR="0003634D" w:rsidRPr="0055032D" w:rsidRDefault="00625337" w:rsidP="0055032D">
      <w:pPr>
        <w:rPr>
          <w:rFonts w:ascii="Garamond" w:hAnsi="Garamond" w:cs="Devanagari Sangam MN"/>
          <w:bCs/>
          <w:iCs/>
          <w:lang w:val="en-US"/>
        </w:rPr>
      </w:pPr>
      <w:r w:rsidRPr="0055032D">
        <w:rPr>
          <w:rFonts w:ascii="Garamond" w:hAnsi="Garamond" w:cs="Devanagari Sangam MN"/>
          <w:bCs/>
          <w:iCs/>
          <w:lang w:val="en-US"/>
        </w:rPr>
        <w:t xml:space="preserve">A second </w:t>
      </w:r>
      <w:r w:rsidR="001D0786">
        <w:rPr>
          <w:rFonts w:ascii="Garamond" w:hAnsi="Garamond" w:cs="Devanagari Sangam MN"/>
          <w:bCs/>
          <w:iCs/>
          <w:lang w:val="en-US"/>
        </w:rPr>
        <w:t>area</w:t>
      </w:r>
      <w:r w:rsidRPr="0055032D">
        <w:rPr>
          <w:rFonts w:ascii="Garamond" w:hAnsi="Garamond" w:cs="Devanagari Sangam MN"/>
          <w:bCs/>
          <w:iCs/>
          <w:lang w:val="en-US"/>
        </w:rPr>
        <w:t xml:space="preserve"> of </w:t>
      </w:r>
      <w:r w:rsidR="001D0786">
        <w:rPr>
          <w:rFonts w:ascii="Garamond" w:hAnsi="Garamond" w:cs="Devanagari Sangam MN"/>
          <w:bCs/>
          <w:iCs/>
          <w:lang w:val="en-US"/>
        </w:rPr>
        <w:t xml:space="preserve">potential queer–religious </w:t>
      </w:r>
      <w:r w:rsidRPr="0055032D">
        <w:rPr>
          <w:rFonts w:ascii="Garamond" w:hAnsi="Garamond" w:cs="Devanagari Sangam MN"/>
          <w:bCs/>
          <w:iCs/>
          <w:lang w:val="en-US"/>
        </w:rPr>
        <w:t xml:space="preserve">convergence </w:t>
      </w:r>
      <w:r w:rsidR="001D0786">
        <w:rPr>
          <w:rFonts w:ascii="Garamond" w:hAnsi="Garamond" w:cs="Devanagari Sangam MN"/>
          <w:bCs/>
          <w:iCs/>
          <w:lang w:val="en-US"/>
        </w:rPr>
        <w:t>concerns</w:t>
      </w:r>
      <w:r w:rsidRPr="0055032D">
        <w:rPr>
          <w:rFonts w:ascii="Garamond" w:hAnsi="Garamond" w:cs="Devanagari Sangam MN"/>
          <w:bCs/>
          <w:iCs/>
          <w:lang w:val="en-US"/>
        </w:rPr>
        <w:t xml:space="preserve"> friendship. </w:t>
      </w:r>
      <w:r w:rsidR="00E75A3B">
        <w:rPr>
          <w:rFonts w:ascii="Garamond" w:hAnsi="Garamond" w:cs="Devanagari Sangam MN"/>
          <w:bCs/>
          <w:iCs/>
          <w:lang w:val="en-US"/>
        </w:rPr>
        <w:t xml:space="preserve">In our volume, </w:t>
      </w:r>
      <w:r w:rsidRPr="0055032D">
        <w:rPr>
          <w:rFonts w:ascii="Garamond" w:hAnsi="Garamond" w:cs="Devanagari Sangam MN"/>
          <w:bCs/>
          <w:iCs/>
          <w:lang w:val="en-US"/>
        </w:rPr>
        <w:t>Nausica Palazzo focuses on a case</w:t>
      </w:r>
      <w:r w:rsidR="00E75A3B">
        <w:rPr>
          <w:rFonts w:ascii="Garamond" w:hAnsi="Garamond" w:cs="Devanagari Sangam MN"/>
          <w:bCs/>
          <w:iCs/>
          <w:lang w:val="en-US"/>
        </w:rPr>
        <w:t>-</w:t>
      </w:r>
      <w:r w:rsidRPr="0055032D">
        <w:rPr>
          <w:rFonts w:ascii="Garamond" w:hAnsi="Garamond" w:cs="Devanagari Sangam MN"/>
          <w:bCs/>
          <w:iCs/>
          <w:lang w:val="en-US"/>
        </w:rPr>
        <w:t xml:space="preserve">study concerning queer–religious convergence </w:t>
      </w:r>
      <w:r w:rsidR="00AB27E3">
        <w:rPr>
          <w:rFonts w:ascii="Garamond" w:hAnsi="Garamond" w:cs="Devanagari Sangam MN"/>
          <w:bCs/>
          <w:iCs/>
          <w:lang w:val="en-US"/>
        </w:rPr>
        <w:t>regarding</w:t>
      </w:r>
      <w:r w:rsidRPr="0055032D">
        <w:rPr>
          <w:rFonts w:ascii="Garamond" w:hAnsi="Garamond" w:cs="Devanagari Sangam MN"/>
          <w:bCs/>
          <w:iCs/>
          <w:lang w:val="en-US"/>
        </w:rPr>
        <w:t xml:space="preserve"> the </w:t>
      </w:r>
      <w:r w:rsidR="00AB27E3">
        <w:rPr>
          <w:rFonts w:ascii="Garamond" w:hAnsi="Garamond" w:cs="Devanagari Sangam MN"/>
          <w:bCs/>
          <w:iCs/>
          <w:lang w:val="en-US"/>
        </w:rPr>
        <w:t xml:space="preserve">legal </w:t>
      </w:r>
      <w:r w:rsidRPr="0055032D">
        <w:rPr>
          <w:rFonts w:ascii="Garamond" w:hAnsi="Garamond" w:cs="Devanagari Sangam MN"/>
          <w:bCs/>
          <w:iCs/>
          <w:lang w:val="en-US"/>
        </w:rPr>
        <w:t xml:space="preserve">recognition of nonconjugal couples, including committed adult friends </w:t>
      </w:r>
      <w:r w:rsidR="00421464">
        <w:rPr>
          <w:rFonts w:ascii="Garamond" w:hAnsi="Garamond" w:cs="Devanagari Sangam MN"/>
          <w:bCs/>
          <w:iCs/>
          <w:lang w:val="en-US"/>
        </w:rPr>
        <w:t>and siblings</w:t>
      </w:r>
      <w:r w:rsidRPr="0055032D">
        <w:rPr>
          <w:rFonts w:ascii="Garamond" w:hAnsi="Garamond" w:cs="Devanagari Sangam MN"/>
          <w:bCs/>
          <w:iCs/>
          <w:lang w:val="en-US"/>
        </w:rPr>
        <w:t xml:space="preserve">. She describes the various family law schemes introduced by religious conservatives from 1997 onwards in Hawai’i, Vermont, Alberta, New Zealand, Tasmania, and Victoria </w:t>
      </w:r>
      <w:proofErr w:type="gramStart"/>
      <w:r w:rsidRPr="0055032D">
        <w:rPr>
          <w:rFonts w:ascii="Garamond" w:hAnsi="Garamond" w:cs="Devanagari Sangam MN"/>
          <w:bCs/>
          <w:iCs/>
          <w:lang w:val="en-US"/>
        </w:rPr>
        <w:t>in order to</w:t>
      </w:r>
      <w:proofErr w:type="gramEnd"/>
      <w:r w:rsidRPr="0055032D">
        <w:rPr>
          <w:rFonts w:ascii="Garamond" w:hAnsi="Garamond" w:cs="Devanagari Sangam MN"/>
          <w:bCs/>
          <w:iCs/>
          <w:lang w:val="en-US"/>
        </w:rPr>
        <w:t xml:space="preserve"> counter the recognition of same-sex couples. The motives behind these initiatives were flawed since conservative religious actors aimed to dilute the symbolic value of same-sex couple recognition. Yet, such religious actors also expanded family law’s reach in a way benefiting queer politics. Furthermore, </w:t>
      </w:r>
      <w:r w:rsidR="0058620F">
        <w:rPr>
          <w:rFonts w:ascii="Garamond" w:hAnsi="Garamond" w:cs="Devanagari Sangam MN"/>
          <w:bCs/>
          <w:iCs/>
          <w:lang w:val="en-US"/>
        </w:rPr>
        <w:t>Palazzo’s case-</w:t>
      </w:r>
      <w:r w:rsidRPr="0055032D">
        <w:rPr>
          <w:rFonts w:ascii="Garamond" w:hAnsi="Garamond" w:cs="Devanagari Sangam MN"/>
          <w:bCs/>
          <w:iCs/>
          <w:lang w:val="en-US"/>
        </w:rPr>
        <w:t>study explores alternative motives</w:t>
      </w:r>
      <w:r w:rsidR="00E36770">
        <w:rPr>
          <w:rFonts w:ascii="Garamond" w:hAnsi="Garamond" w:cs="Devanagari Sangam MN"/>
          <w:bCs/>
          <w:iCs/>
          <w:lang w:val="en-US"/>
        </w:rPr>
        <w:t xml:space="preserve">—for example, </w:t>
      </w:r>
      <w:r w:rsidR="00E36770" w:rsidRPr="00C05624">
        <w:rPr>
          <w:rFonts w:ascii="Garamond" w:hAnsi="Garamond" w:cs="Devanagari Sangam MN"/>
          <w:bCs/>
          <w:iCs/>
          <w:lang w:val="en-US"/>
        </w:rPr>
        <w:t>the promotion of plural family values (rather than animus towards same-sex couples)</w:t>
      </w:r>
      <w:r w:rsidR="00396B9D">
        <w:rPr>
          <w:rFonts w:ascii="Garamond" w:hAnsi="Garamond" w:cs="Devanagari Sangam MN"/>
          <w:bCs/>
          <w:iCs/>
          <w:lang w:val="en-US"/>
        </w:rPr>
        <w:t>—</w:t>
      </w:r>
      <w:r w:rsidRPr="0055032D">
        <w:rPr>
          <w:rFonts w:ascii="Garamond" w:hAnsi="Garamond" w:cs="Devanagari Sangam MN"/>
          <w:bCs/>
          <w:iCs/>
          <w:lang w:val="en-US"/>
        </w:rPr>
        <w:t>that could support join</w:t>
      </w:r>
      <w:r w:rsidR="0058620F">
        <w:rPr>
          <w:rFonts w:ascii="Garamond" w:hAnsi="Garamond" w:cs="Devanagari Sangam MN"/>
          <w:bCs/>
          <w:iCs/>
          <w:lang w:val="en-US"/>
        </w:rPr>
        <w:t>t</w:t>
      </w:r>
      <w:r w:rsidRPr="0055032D">
        <w:rPr>
          <w:rFonts w:ascii="Garamond" w:hAnsi="Garamond" w:cs="Devanagari Sangam MN"/>
          <w:bCs/>
          <w:iCs/>
          <w:lang w:val="en-US"/>
        </w:rPr>
        <w:t xml:space="preserve"> efforts in recognizing </w:t>
      </w:r>
      <w:r w:rsidR="009443E4">
        <w:rPr>
          <w:rFonts w:ascii="Garamond" w:hAnsi="Garamond" w:cs="Devanagari Sangam MN"/>
          <w:bCs/>
          <w:iCs/>
          <w:lang w:val="en-US"/>
        </w:rPr>
        <w:t xml:space="preserve">nonconjugal </w:t>
      </w:r>
      <w:r w:rsidR="007E546D">
        <w:rPr>
          <w:rFonts w:ascii="Garamond" w:hAnsi="Garamond" w:cs="Devanagari Sangam MN"/>
          <w:bCs/>
          <w:iCs/>
          <w:lang w:val="en-US"/>
        </w:rPr>
        <w:t>kinship and families</w:t>
      </w:r>
      <w:r w:rsidR="00F51D32" w:rsidRPr="0055032D">
        <w:rPr>
          <w:rFonts w:ascii="Garamond" w:hAnsi="Garamond" w:cs="Devanagari Sangam MN"/>
          <w:bCs/>
          <w:iCs/>
          <w:lang w:val="en-US"/>
        </w:rPr>
        <w:t xml:space="preserve">. </w:t>
      </w:r>
    </w:p>
    <w:p w14:paraId="2981FA81" w14:textId="7A73FE9A" w:rsidR="00F51D32" w:rsidRPr="0055032D" w:rsidRDefault="00F51D32" w:rsidP="0055032D">
      <w:pPr>
        <w:rPr>
          <w:rFonts w:ascii="Garamond" w:hAnsi="Garamond" w:cs="Devanagari Sangam MN"/>
          <w:bCs/>
          <w:iCs/>
          <w:lang w:val="en-US"/>
        </w:rPr>
      </w:pPr>
    </w:p>
    <w:p w14:paraId="4EFB4EAF" w14:textId="358F4F9D" w:rsidR="00F51D32" w:rsidRPr="0055032D" w:rsidRDefault="00F51D32" w:rsidP="0055032D">
      <w:pPr>
        <w:rPr>
          <w:rFonts w:ascii="Garamond" w:hAnsi="Garamond" w:cs="Devanagari Sangam MN"/>
          <w:bCs/>
          <w:iCs/>
          <w:lang w:val="en-US"/>
        </w:rPr>
      </w:pPr>
      <w:r w:rsidRPr="0055032D">
        <w:rPr>
          <w:rFonts w:ascii="Garamond" w:hAnsi="Garamond" w:cs="Devanagari Sangam MN"/>
          <w:bCs/>
          <w:iCs/>
          <w:lang w:val="en-US"/>
        </w:rPr>
        <w:t xml:space="preserve">Beatrice Gusmano </w:t>
      </w:r>
      <w:r w:rsidR="00965293">
        <w:rPr>
          <w:rFonts w:ascii="Garamond" w:hAnsi="Garamond" w:cs="Devanagari Sangam MN"/>
          <w:bCs/>
          <w:iCs/>
          <w:lang w:val="en-US"/>
        </w:rPr>
        <w:t xml:space="preserve">also </w:t>
      </w:r>
      <w:r w:rsidRPr="0055032D">
        <w:rPr>
          <w:rFonts w:ascii="Garamond" w:hAnsi="Garamond" w:cs="Devanagari Sangam MN"/>
          <w:bCs/>
          <w:iCs/>
          <w:lang w:val="en-US"/>
        </w:rPr>
        <w:t xml:space="preserve">explores potential convergences of interest around friendship. She argues the social and legal importance of LGBTQ friendship based on the results of 15 in-depth interviews she conducted (as part of a larger research project) with LGBTQ persons in Rome. These interviewees lived in a variety of setups including platonic friend situations. Gusmano uses the Hawai’ian word and concept of </w:t>
      </w:r>
      <w:r w:rsidRPr="0055032D">
        <w:rPr>
          <w:rFonts w:ascii="Garamond" w:hAnsi="Garamond" w:cs="Devanagari Sangam MN"/>
          <w:bCs/>
          <w:i/>
          <w:lang w:val="en-US"/>
        </w:rPr>
        <w:t>‘ohana</w:t>
      </w:r>
      <w:r w:rsidRPr="0055032D">
        <w:rPr>
          <w:rFonts w:ascii="Garamond" w:hAnsi="Garamond" w:cs="Devanagari Sangam MN"/>
          <w:bCs/>
          <w:iCs/>
          <w:lang w:val="en-US"/>
        </w:rPr>
        <w:t xml:space="preserve"> to help illustrate how relations of care,</w:t>
      </w:r>
      <w:r w:rsidR="000D6C88">
        <w:rPr>
          <w:rFonts w:ascii="Garamond" w:hAnsi="Garamond" w:cs="Devanagari Sangam MN"/>
          <w:bCs/>
          <w:iCs/>
          <w:lang w:val="en-US"/>
        </w:rPr>
        <w:t xml:space="preserve"> </w:t>
      </w:r>
      <w:r w:rsidRPr="0055032D">
        <w:rPr>
          <w:rFonts w:ascii="Garamond" w:hAnsi="Garamond" w:cs="Devanagari Sangam MN"/>
          <w:bCs/>
          <w:iCs/>
          <w:lang w:val="en-US"/>
        </w:rPr>
        <w:t>interdependency, and sharing were crucial for her interviewees but</w:t>
      </w:r>
      <w:r w:rsidR="0025255C">
        <w:rPr>
          <w:rFonts w:ascii="Garamond" w:hAnsi="Garamond" w:cs="Devanagari Sangam MN"/>
          <w:bCs/>
          <w:iCs/>
          <w:lang w:val="en-US"/>
        </w:rPr>
        <w:t xml:space="preserve"> how such relations </w:t>
      </w:r>
      <w:r w:rsidRPr="0055032D">
        <w:rPr>
          <w:rFonts w:ascii="Garamond" w:hAnsi="Garamond" w:cs="Devanagari Sangam MN"/>
          <w:bCs/>
          <w:iCs/>
          <w:lang w:val="en-US"/>
        </w:rPr>
        <w:t>ar</w:t>
      </w:r>
      <w:r w:rsidR="000D6C88">
        <w:rPr>
          <w:rFonts w:ascii="Garamond" w:hAnsi="Garamond" w:cs="Devanagari Sangam MN"/>
          <w:bCs/>
          <w:iCs/>
          <w:lang w:val="en-US"/>
        </w:rPr>
        <w:t>e</w:t>
      </w:r>
      <w:r w:rsidR="0025255C">
        <w:rPr>
          <w:rFonts w:ascii="Garamond" w:hAnsi="Garamond" w:cs="Devanagari Sangam MN"/>
          <w:bCs/>
          <w:iCs/>
          <w:lang w:val="en-US"/>
        </w:rPr>
        <w:t xml:space="preserve"> nonetheless</w:t>
      </w:r>
      <w:r w:rsidRPr="0055032D">
        <w:rPr>
          <w:rFonts w:ascii="Garamond" w:hAnsi="Garamond" w:cs="Devanagari Sangam MN"/>
          <w:bCs/>
          <w:iCs/>
          <w:lang w:val="en-US"/>
        </w:rPr>
        <w:t xml:space="preserve"> neglected or even marginalized by the law. Gusmano further argues that efforts to achieve better legal recognition for these kinds of relationships might be a ground of potential political convergence between queer and religious groups interested in the values of solidarity and</w:t>
      </w:r>
      <w:r w:rsidR="001D0786">
        <w:rPr>
          <w:rFonts w:ascii="Garamond" w:hAnsi="Garamond" w:cs="Devanagari Sangam MN"/>
          <w:bCs/>
          <w:iCs/>
          <w:lang w:val="en-US"/>
        </w:rPr>
        <w:t xml:space="preserve"> </w:t>
      </w:r>
      <w:r w:rsidRPr="0055032D">
        <w:rPr>
          <w:rFonts w:ascii="Garamond" w:hAnsi="Garamond" w:cs="Devanagari Sangam MN"/>
          <w:bCs/>
          <w:iCs/>
          <w:lang w:val="en-US"/>
        </w:rPr>
        <w:t>redistribution.</w:t>
      </w:r>
    </w:p>
    <w:p w14:paraId="22694C4C" w14:textId="3CA0BA34" w:rsidR="00F51D32" w:rsidRPr="0055032D" w:rsidRDefault="00F51D32" w:rsidP="0055032D">
      <w:pPr>
        <w:rPr>
          <w:rFonts w:ascii="Garamond" w:hAnsi="Garamond" w:cs="Devanagari Sangam MN"/>
          <w:bCs/>
          <w:iCs/>
          <w:lang w:val="en-US"/>
        </w:rPr>
      </w:pPr>
    </w:p>
    <w:p w14:paraId="7D143860" w14:textId="277CC1AE" w:rsidR="00F51D32" w:rsidRPr="0055032D" w:rsidRDefault="00CF5A8F" w:rsidP="0055032D">
      <w:pPr>
        <w:rPr>
          <w:rFonts w:ascii="Garamond" w:hAnsi="Garamond" w:cs="Devanagari Sangam MN"/>
          <w:bCs/>
          <w:iCs/>
          <w:lang w:val="en-US"/>
        </w:rPr>
      </w:pPr>
      <w:r>
        <w:rPr>
          <w:rFonts w:ascii="Garamond" w:hAnsi="Garamond" w:cs="Devanagari Sangam MN"/>
          <w:bCs/>
          <w:iCs/>
          <w:lang w:val="en-US"/>
        </w:rPr>
        <w:t xml:space="preserve">In our volume, </w:t>
      </w:r>
      <w:r w:rsidR="00F51D32" w:rsidRPr="0055032D">
        <w:rPr>
          <w:rFonts w:ascii="Garamond" w:hAnsi="Garamond" w:cs="Devanagari Sangam MN"/>
          <w:bCs/>
          <w:iCs/>
          <w:lang w:val="en-US"/>
        </w:rPr>
        <w:t>Laura Kessler</w:t>
      </w:r>
      <w:r>
        <w:rPr>
          <w:rFonts w:ascii="Garamond" w:hAnsi="Garamond" w:cs="Devanagari Sangam MN"/>
          <w:bCs/>
          <w:iCs/>
          <w:lang w:val="en-US"/>
        </w:rPr>
        <w:t xml:space="preserve"> and, then too,</w:t>
      </w:r>
      <w:r w:rsidR="00F51D32" w:rsidRPr="0055032D">
        <w:rPr>
          <w:rFonts w:ascii="Garamond" w:hAnsi="Garamond" w:cs="Devanagari Sangam MN"/>
          <w:bCs/>
          <w:iCs/>
          <w:lang w:val="en-US"/>
        </w:rPr>
        <w:t xml:space="preserve"> Ayelet Blecher-Prigat and Noy Naaman </w:t>
      </w:r>
      <w:r>
        <w:rPr>
          <w:rFonts w:ascii="Garamond" w:hAnsi="Garamond" w:cs="Devanagari Sangam MN"/>
          <w:bCs/>
          <w:iCs/>
          <w:lang w:val="en-US"/>
        </w:rPr>
        <w:t>examine queer–religious alliances in the context of</w:t>
      </w:r>
      <w:r w:rsidR="00F51D32" w:rsidRPr="0055032D">
        <w:rPr>
          <w:rFonts w:ascii="Garamond" w:hAnsi="Garamond" w:cs="Devanagari Sangam MN"/>
          <w:bCs/>
          <w:iCs/>
          <w:lang w:val="en-US"/>
        </w:rPr>
        <w:t xml:space="preserve"> Israel. Blecher-Prigat and Naaman deliberate on the </w:t>
      </w:r>
      <w:r w:rsidR="00F51D32" w:rsidRPr="0055032D">
        <w:rPr>
          <w:rFonts w:ascii="Garamond" w:hAnsi="Garamond" w:cs="Devanagari Sangam MN"/>
          <w:bCs/>
          <w:iCs/>
          <w:lang w:val="en-US"/>
        </w:rPr>
        <w:lastRenderedPageBreak/>
        <w:t xml:space="preserve">intriguing question of whether there could be a queer–religious friendship in Israel around the abolition of legal marriage. </w:t>
      </w:r>
      <w:r w:rsidR="002F75EB">
        <w:rPr>
          <w:rFonts w:ascii="Garamond" w:hAnsi="Garamond" w:cs="Devanagari Sangam MN"/>
          <w:bCs/>
          <w:iCs/>
          <w:lang w:val="en-US"/>
        </w:rPr>
        <w:t xml:space="preserve">One </w:t>
      </w:r>
      <w:r w:rsidR="00F51D32" w:rsidRPr="0055032D">
        <w:rPr>
          <w:rFonts w:ascii="Garamond" w:hAnsi="Garamond" w:cs="Devanagari Sangam MN"/>
          <w:bCs/>
          <w:iCs/>
          <w:lang w:val="en-US"/>
        </w:rPr>
        <w:t xml:space="preserve">peculiarity of </w:t>
      </w:r>
      <w:r w:rsidR="002F75EB">
        <w:rPr>
          <w:rFonts w:ascii="Garamond" w:hAnsi="Garamond" w:cs="Devanagari Sangam MN"/>
          <w:bCs/>
          <w:iCs/>
          <w:lang w:val="en-US"/>
        </w:rPr>
        <w:t>Israel</w:t>
      </w:r>
      <w:r w:rsidR="00F51D32" w:rsidRPr="0055032D">
        <w:rPr>
          <w:rFonts w:ascii="Garamond" w:hAnsi="Garamond" w:cs="Devanagari Sangam MN"/>
          <w:bCs/>
          <w:iCs/>
          <w:lang w:val="en-US"/>
        </w:rPr>
        <w:t xml:space="preserve"> is the religious monopoly over </w:t>
      </w:r>
      <w:r w:rsidR="00AE101B">
        <w:rPr>
          <w:rFonts w:ascii="Garamond" w:hAnsi="Garamond" w:cs="Devanagari Sangam MN"/>
          <w:bCs/>
          <w:iCs/>
          <w:lang w:val="en-US"/>
        </w:rPr>
        <w:t xml:space="preserve">legal </w:t>
      </w:r>
      <w:r w:rsidR="00F51D32" w:rsidRPr="0055032D">
        <w:rPr>
          <w:rFonts w:ascii="Garamond" w:hAnsi="Garamond" w:cs="Devanagari Sangam MN"/>
          <w:bCs/>
          <w:iCs/>
          <w:lang w:val="en-US"/>
        </w:rPr>
        <w:t xml:space="preserve">marriage and divorce and the absence of civil marriage. The contribution </w:t>
      </w:r>
      <w:r w:rsidR="002F75EB">
        <w:rPr>
          <w:rFonts w:ascii="Garamond" w:hAnsi="Garamond" w:cs="Devanagari Sangam MN"/>
          <w:bCs/>
          <w:iCs/>
          <w:lang w:val="en-US"/>
        </w:rPr>
        <w:t>by Bleche</w:t>
      </w:r>
      <w:r w:rsidR="00F257ED">
        <w:rPr>
          <w:rFonts w:ascii="Garamond" w:hAnsi="Garamond" w:cs="Devanagari Sangam MN"/>
          <w:bCs/>
          <w:iCs/>
          <w:lang w:val="en-US"/>
        </w:rPr>
        <w:t>r</w:t>
      </w:r>
      <w:r w:rsidR="002F75EB">
        <w:rPr>
          <w:rFonts w:ascii="Garamond" w:hAnsi="Garamond" w:cs="Devanagari Sangam MN"/>
          <w:bCs/>
          <w:iCs/>
          <w:lang w:val="en-US"/>
        </w:rPr>
        <w:t>-Priga</w:t>
      </w:r>
      <w:r w:rsidR="00F257ED">
        <w:rPr>
          <w:rFonts w:ascii="Garamond" w:hAnsi="Garamond" w:cs="Devanagari Sangam MN"/>
          <w:bCs/>
          <w:iCs/>
          <w:lang w:val="en-US"/>
        </w:rPr>
        <w:t>t</w:t>
      </w:r>
      <w:r w:rsidR="002F75EB">
        <w:rPr>
          <w:rFonts w:ascii="Garamond" w:hAnsi="Garamond" w:cs="Devanagari Sangam MN"/>
          <w:bCs/>
          <w:iCs/>
          <w:lang w:val="en-US"/>
        </w:rPr>
        <w:t xml:space="preserve"> and Naaman is the first of its</w:t>
      </w:r>
      <w:r w:rsidR="00F51D32" w:rsidRPr="0055032D">
        <w:rPr>
          <w:rFonts w:ascii="Garamond" w:hAnsi="Garamond" w:cs="Devanagari Sangam MN"/>
          <w:bCs/>
          <w:iCs/>
          <w:lang w:val="en-US"/>
        </w:rPr>
        <w:t xml:space="preserve"> kind </w:t>
      </w:r>
      <w:r w:rsidR="002F75EB">
        <w:rPr>
          <w:rFonts w:ascii="Garamond" w:hAnsi="Garamond" w:cs="Devanagari Sangam MN"/>
          <w:bCs/>
          <w:iCs/>
          <w:lang w:val="en-US"/>
        </w:rPr>
        <w:t>to</w:t>
      </w:r>
      <w:r w:rsidR="00F257ED">
        <w:rPr>
          <w:rFonts w:ascii="Garamond" w:hAnsi="Garamond" w:cs="Devanagari Sangam MN"/>
          <w:bCs/>
          <w:iCs/>
          <w:lang w:val="en-US"/>
        </w:rPr>
        <w:t xml:space="preserve"> seriously explore</w:t>
      </w:r>
      <w:r w:rsidR="00F51D32" w:rsidRPr="0055032D">
        <w:rPr>
          <w:rFonts w:ascii="Garamond" w:hAnsi="Garamond" w:cs="Devanagari Sangam MN"/>
          <w:bCs/>
          <w:iCs/>
          <w:lang w:val="en-US"/>
        </w:rPr>
        <w:t xml:space="preserve"> the abolition of legal marriage</w:t>
      </w:r>
      <w:r w:rsidR="00E609D7">
        <w:rPr>
          <w:rFonts w:ascii="Garamond" w:hAnsi="Garamond" w:cs="Devanagari Sangam MN"/>
          <w:bCs/>
          <w:iCs/>
          <w:lang w:val="en-US"/>
        </w:rPr>
        <w:t xml:space="preserve"> in Israel</w:t>
      </w:r>
      <w:r w:rsidR="00F51D32" w:rsidRPr="0055032D">
        <w:rPr>
          <w:rFonts w:ascii="Garamond" w:hAnsi="Garamond" w:cs="Devanagari Sangam MN"/>
          <w:bCs/>
          <w:iCs/>
          <w:lang w:val="en-US"/>
        </w:rPr>
        <w:t xml:space="preserve">. </w:t>
      </w:r>
      <w:r w:rsidR="00E609D7">
        <w:rPr>
          <w:rFonts w:ascii="Garamond" w:hAnsi="Garamond" w:cs="Devanagari Sangam MN"/>
          <w:bCs/>
          <w:iCs/>
          <w:lang w:val="en-US"/>
        </w:rPr>
        <w:t>Importantly, t</w:t>
      </w:r>
      <w:r w:rsidR="00F51D32" w:rsidRPr="0055032D">
        <w:rPr>
          <w:rFonts w:ascii="Garamond" w:hAnsi="Garamond" w:cs="Devanagari Sangam MN"/>
          <w:bCs/>
          <w:iCs/>
          <w:lang w:val="en-US"/>
        </w:rPr>
        <w:t xml:space="preserve">his reform </w:t>
      </w:r>
      <w:r w:rsidR="00E609D7">
        <w:rPr>
          <w:rFonts w:ascii="Garamond" w:hAnsi="Garamond" w:cs="Devanagari Sangam MN"/>
          <w:bCs/>
          <w:iCs/>
          <w:lang w:val="en-US"/>
        </w:rPr>
        <w:t>could</w:t>
      </w:r>
      <w:r w:rsidR="00F51D32" w:rsidRPr="0055032D">
        <w:rPr>
          <w:rFonts w:ascii="Garamond" w:hAnsi="Garamond" w:cs="Devanagari Sangam MN"/>
          <w:bCs/>
          <w:iCs/>
          <w:lang w:val="en-US"/>
        </w:rPr>
        <w:t xml:space="preserve"> constitute a fertile ground for queer–religious </w:t>
      </w:r>
      <w:r w:rsidR="00E609D7">
        <w:rPr>
          <w:rFonts w:ascii="Garamond" w:hAnsi="Garamond" w:cs="Devanagari Sangam MN"/>
          <w:bCs/>
          <w:iCs/>
          <w:lang w:val="en-US"/>
        </w:rPr>
        <w:t>alliances</w:t>
      </w:r>
      <w:r w:rsidR="00F51D32" w:rsidRPr="0055032D">
        <w:rPr>
          <w:rFonts w:ascii="Garamond" w:hAnsi="Garamond" w:cs="Devanagari Sangam MN"/>
          <w:bCs/>
          <w:iCs/>
          <w:lang w:val="en-US"/>
        </w:rPr>
        <w:t xml:space="preserve"> </w:t>
      </w:r>
      <w:r w:rsidR="00E609D7">
        <w:rPr>
          <w:rFonts w:ascii="Garamond" w:hAnsi="Garamond" w:cs="Devanagari Sangam MN"/>
          <w:bCs/>
          <w:iCs/>
          <w:lang w:val="en-US"/>
        </w:rPr>
        <w:t>because of the reality that</w:t>
      </w:r>
      <w:r w:rsidR="00F51D32" w:rsidRPr="0055032D">
        <w:rPr>
          <w:rFonts w:ascii="Garamond" w:hAnsi="Garamond" w:cs="Devanagari Sangam MN"/>
          <w:bCs/>
          <w:iCs/>
          <w:lang w:val="en-US"/>
        </w:rPr>
        <w:t xml:space="preserve"> </w:t>
      </w:r>
      <w:r w:rsidR="00EC0C9B">
        <w:rPr>
          <w:rFonts w:ascii="Garamond" w:hAnsi="Garamond" w:cs="Devanagari Sangam MN"/>
          <w:bCs/>
          <w:iCs/>
          <w:lang w:val="en-US"/>
        </w:rPr>
        <w:t xml:space="preserve">many </w:t>
      </w:r>
      <w:r w:rsidR="00F51D32" w:rsidRPr="0055032D">
        <w:rPr>
          <w:rFonts w:ascii="Garamond" w:hAnsi="Garamond" w:cs="Devanagari Sangam MN"/>
          <w:bCs/>
          <w:iCs/>
          <w:lang w:val="en-US"/>
        </w:rPr>
        <w:t xml:space="preserve">queer and religious persons alike are harmed by current legal arrangements. </w:t>
      </w:r>
      <w:r w:rsidR="00EC0C9B">
        <w:rPr>
          <w:rFonts w:ascii="Garamond" w:hAnsi="Garamond" w:cs="Devanagari Sangam MN"/>
          <w:bCs/>
          <w:iCs/>
          <w:lang w:val="en-US"/>
        </w:rPr>
        <w:t>Harmed persons include</w:t>
      </w:r>
      <w:r w:rsidR="00F51D32" w:rsidRPr="0055032D">
        <w:rPr>
          <w:rFonts w:ascii="Garamond" w:hAnsi="Garamond" w:cs="Devanagari Sangam MN"/>
          <w:bCs/>
          <w:iCs/>
          <w:lang w:val="en-US"/>
        </w:rPr>
        <w:t xml:space="preserve"> same-sex couples but also religiously unaffiliated persons, parties </w:t>
      </w:r>
      <w:r w:rsidR="00AE101B">
        <w:rPr>
          <w:rFonts w:ascii="Garamond" w:hAnsi="Garamond" w:cs="Devanagari Sangam MN"/>
          <w:bCs/>
          <w:iCs/>
          <w:lang w:val="en-US"/>
        </w:rPr>
        <w:t>in</w:t>
      </w:r>
      <w:r w:rsidR="00F51D32" w:rsidRPr="0055032D">
        <w:rPr>
          <w:rFonts w:ascii="Garamond" w:hAnsi="Garamond" w:cs="Devanagari Sangam MN"/>
          <w:bCs/>
          <w:iCs/>
          <w:lang w:val="en-US"/>
        </w:rPr>
        <w:t xml:space="preserve"> </w:t>
      </w:r>
      <w:r w:rsidR="00C2119A">
        <w:rPr>
          <w:rFonts w:ascii="Garamond" w:hAnsi="Garamond" w:cs="Devanagari Sangam MN"/>
          <w:bCs/>
          <w:iCs/>
          <w:lang w:val="en-US"/>
        </w:rPr>
        <w:t xml:space="preserve">many </w:t>
      </w:r>
      <w:r w:rsidR="00F51D32" w:rsidRPr="0055032D">
        <w:rPr>
          <w:rFonts w:ascii="Garamond" w:hAnsi="Garamond" w:cs="Devanagari Sangam MN"/>
          <w:bCs/>
          <w:iCs/>
          <w:lang w:val="en-US"/>
        </w:rPr>
        <w:t>interfaith relationship</w:t>
      </w:r>
      <w:r w:rsidR="00AE101B">
        <w:rPr>
          <w:rFonts w:ascii="Garamond" w:hAnsi="Garamond" w:cs="Devanagari Sangam MN"/>
          <w:bCs/>
          <w:iCs/>
          <w:lang w:val="en-US"/>
        </w:rPr>
        <w:t>s</w:t>
      </w:r>
      <w:r w:rsidR="00F51D32" w:rsidRPr="0055032D">
        <w:rPr>
          <w:rFonts w:ascii="Garamond" w:hAnsi="Garamond" w:cs="Devanagari Sangam MN"/>
          <w:bCs/>
          <w:iCs/>
          <w:lang w:val="en-US"/>
        </w:rPr>
        <w:t xml:space="preserve">, and even certain Jewish relationships that cannot be recognized under </w:t>
      </w:r>
      <w:r w:rsidR="00EC0C9B">
        <w:rPr>
          <w:rFonts w:ascii="Garamond" w:hAnsi="Garamond" w:cs="Devanagari Sangam MN"/>
          <w:bCs/>
          <w:iCs/>
          <w:lang w:val="en-US"/>
        </w:rPr>
        <w:t xml:space="preserve">current </w:t>
      </w:r>
      <w:r w:rsidR="00F51D32" w:rsidRPr="0055032D">
        <w:rPr>
          <w:rFonts w:ascii="Garamond" w:hAnsi="Garamond" w:cs="Devanagari Sangam MN"/>
          <w:bCs/>
          <w:iCs/>
          <w:lang w:val="en-US"/>
        </w:rPr>
        <w:t xml:space="preserve">religious </w:t>
      </w:r>
      <w:r w:rsidR="00EC0C9B">
        <w:rPr>
          <w:rFonts w:ascii="Garamond" w:hAnsi="Garamond" w:cs="Devanagari Sangam MN"/>
          <w:bCs/>
          <w:iCs/>
          <w:lang w:val="en-US"/>
        </w:rPr>
        <w:t xml:space="preserve">family </w:t>
      </w:r>
      <w:r w:rsidR="00F51D32" w:rsidRPr="0055032D">
        <w:rPr>
          <w:rFonts w:ascii="Garamond" w:hAnsi="Garamond" w:cs="Devanagari Sangam MN"/>
          <w:bCs/>
          <w:iCs/>
          <w:lang w:val="en-US"/>
        </w:rPr>
        <w:t>law.</w:t>
      </w:r>
    </w:p>
    <w:p w14:paraId="3053FE4D" w14:textId="77777777" w:rsidR="0003634D" w:rsidRPr="0055032D" w:rsidRDefault="0003634D" w:rsidP="0055032D">
      <w:pPr>
        <w:rPr>
          <w:rFonts w:ascii="Garamond" w:hAnsi="Garamond" w:cs="Devanagari Sangam MN"/>
          <w:bCs/>
          <w:iCs/>
          <w:lang w:val="en-US"/>
        </w:rPr>
      </w:pPr>
    </w:p>
    <w:p w14:paraId="7A461320" w14:textId="2B735807" w:rsidR="00093E08" w:rsidRPr="007F7177" w:rsidRDefault="00C2119A" w:rsidP="00E47752">
      <w:pPr>
        <w:rPr>
          <w:rStyle w:val="CommentReference"/>
          <w:rFonts w:ascii="Garamond" w:hAnsi="Garamond"/>
          <w:sz w:val="24"/>
          <w:szCs w:val="24"/>
        </w:rPr>
      </w:pPr>
      <w:r>
        <w:rPr>
          <w:rFonts w:ascii="Garamond" w:hAnsi="Garamond" w:cs="Devanagari Sangam MN"/>
          <w:bCs/>
          <w:iCs/>
          <w:lang w:val="en-US"/>
        </w:rPr>
        <w:t xml:space="preserve">Our volume </w:t>
      </w:r>
      <w:r w:rsidR="0003634D" w:rsidRPr="0055032D">
        <w:rPr>
          <w:rFonts w:ascii="Garamond" w:hAnsi="Garamond" w:cs="Devanagari Sangam MN"/>
          <w:bCs/>
          <w:iCs/>
          <w:lang w:val="en-US"/>
        </w:rPr>
        <w:t>ha</w:t>
      </w:r>
      <w:r>
        <w:rPr>
          <w:rFonts w:ascii="Garamond" w:hAnsi="Garamond" w:cs="Devanagari Sangam MN"/>
          <w:bCs/>
          <w:iCs/>
          <w:lang w:val="en-US"/>
        </w:rPr>
        <w:t>s</w:t>
      </w:r>
      <w:r w:rsidR="0003634D" w:rsidRPr="0055032D">
        <w:rPr>
          <w:rFonts w:ascii="Garamond" w:hAnsi="Garamond" w:cs="Devanagari Sangam MN"/>
          <w:bCs/>
          <w:iCs/>
          <w:lang w:val="en-US"/>
        </w:rPr>
        <w:t xml:space="preserve"> no interest in offering a romanticized view of </w:t>
      </w:r>
      <w:r>
        <w:rPr>
          <w:rFonts w:ascii="Garamond" w:hAnsi="Garamond" w:cs="Devanagari Sangam MN"/>
          <w:bCs/>
          <w:iCs/>
          <w:lang w:val="en-US"/>
        </w:rPr>
        <w:t>queer–religious alliances</w:t>
      </w:r>
      <w:r w:rsidR="0003634D" w:rsidRPr="0055032D">
        <w:rPr>
          <w:rFonts w:ascii="Garamond" w:hAnsi="Garamond" w:cs="Devanagari Sangam MN"/>
          <w:bCs/>
          <w:iCs/>
          <w:lang w:val="en-US"/>
        </w:rPr>
        <w:t xml:space="preserve">. The limits or hurdles confronting political alliances or friendships </w:t>
      </w:r>
      <w:r w:rsidR="00566426">
        <w:rPr>
          <w:rFonts w:ascii="Garamond" w:hAnsi="Garamond" w:cs="Devanagari Sangam MN"/>
          <w:bCs/>
          <w:iCs/>
          <w:lang w:val="en-US"/>
        </w:rPr>
        <w:t>are</w:t>
      </w:r>
      <w:r w:rsidR="0003634D" w:rsidRPr="0055032D">
        <w:rPr>
          <w:rFonts w:ascii="Garamond" w:hAnsi="Garamond" w:cs="Devanagari Sangam MN"/>
          <w:bCs/>
          <w:iCs/>
          <w:lang w:val="en-US"/>
        </w:rPr>
        <w:t xml:space="preserve"> thoroughly accounted for and two contributions reject altogether queer–religious alliances as untenable in the contemporary moment.</w:t>
      </w:r>
      <w:r w:rsidR="004A561A" w:rsidRPr="0055032D">
        <w:rPr>
          <w:rFonts w:ascii="Garamond" w:hAnsi="Garamond" w:cs="Devanagari Sangam MN"/>
          <w:bCs/>
          <w:iCs/>
          <w:lang w:val="en-US"/>
        </w:rPr>
        <w:t xml:space="preserve"> For instance, Robin Fretwell Wilson and Rebecca </w:t>
      </w:r>
      <w:proofErr w:type="spellStart"/>
      <w:r w:rsidR="004A561A" w:rsidRPr="0055032D">
        <w:rPr>
          <w:rFonts w:ascii="Garamond" w:hAnsi="Garamond" w:cs="Devanagari Sangam MN"/>
          <w:bCs/>
          <w:iCs/>
          <w:lang w:val="en-US"/>
        </w:rPr>
        <w:t>Valek</w:t>
      </w:r>
      <w:proofErr w:type="spellEnd"/>
      <w:r w:rsidR="004A561A" w:rsidRPr="0055032D">
        <w:rPr>
          <w:rFonts w:ascii="Garamond" w:hAnsi="Garamond" w:cs="Devanagari Sangam MN"/>
          <w:bCs/>
          <w:iCs/>
          <w:lang w:val="en-US"/>
        </w:rPr>
        <w:t xml:space="preserve"> critical</w:t>
      </w:r>
      <w:r w:rsidR="00E2493A">
        <w:rPr>
          <w:rFonts w:ascii="Garamond" w:hAnsi="Garamond" w:cs="Devanagari Sangam MN"/>
          <w:bCs/>
          <w:iCs/>
          <w:lang w:val="en-US"/>
        </w:rPr>
        <w:t>ly</w:t>
      </w:r>
      <w:r w:rsidR="004A561A" w:rsidRPr="0055032D">
        <w:rPr>
          <w:rFonts w:ascii="Garamond" w:hAnsi="Garamond" w:cs="Devanagari Sangam MN"/>
          <w:bCs/>
          <w:iCs/>
          <w:lang w:val="en-US"/>
        </w:rPr>
        <w:t xml:space="preserve"> examin</w:t>
      </w:r>
      <w:r w:rsidR="001665A3">
        <w:rPr>
          <w:rFonts w:ascii="Garamond" w:hAnsi="Garamond" w:cs="Devanagari Sangam MN"/>
          <w:bCs/>
          <w:iCs/>
          <w:lang w:val="en-US"/>
        </w:rPr>
        <w:t>e</w:t>
      </w:r>
      <w:r w:rsidR="004A561A" w:rsidRPr="0055032D">
        <w:rPr>
          <w:rFonts w:ascii="Garamond" w:hAnsi="Garamond" w:cs="Devanagari Sangam MN"/>
          <w:bCs/>
          <w:iCs/>
          <w:lang w:val="en-US"/>
        </w:rPr>
        <w:t xml:space="preserve"> post-</w:t>
      </w:r>
      <w:r w:rsidR="004A561A" w:rsidRPr="0055032D">
        <w:rPr>
          <w:rFonts w:ascii="Garamond" w:hAnsi="Garamond" w:cs="Devanagari Sangam MN"/>
          <w:bCs/>
          <w:i/>
          <w:iCs/>
          <w:lang w:val="en-US"/>
        </w:rPr>
        <w:t>Obergefell</w:t>
      </w:r>
      <w:r w:rsidR="004A561A" w:rsidRPr="0055032D">
        <w:rPr>
          <w:rFonts w:ascii="Garamond" w:hAnsi="Garamond" w:cs="Devanagari Sangam MN"/>
          <w:bCs/>
          <w:iCs/>
          <w:lang w:val="en-US"/>
        </w:rPr>
        <w:t xml:space="preserve"> proposals by religious and social conservatives to abolish marriage licenses in the United States, and to replace marriage with civil unions or contracts. These proposals are consistent with queer calls for abolishing marriage as a patriarchal, discriminatory institution. However, the two authors compellingly argue against altering the state’s relationship to marriage in such a radical way.</w:t>
      </w:r>
      <w:r w:rsidR="00C04489">
        <w:rPr>
          <w:rFonts w:ascii="Garamond" w:hAnsi="Garamond" w:cs="Devanagari Sangam MN"/>
          <w:bCs/>
          <w:iCs/>
          <w:lang w:val="en-US"/>
        </w:rPr>
        <w:t xml:space="preserve"> C</w:t>
      </w:r>
      <w:r w:rsidR="00812CBD">
        <w:rPr>
          <w:rFonts w:ascii="Garamond" w:hAnsi="Garamond" w:cs="Devanagari Sangam MN"/>
          <w:bCs/>
          <w:iCs/>
          <w:lang w:val="en-US"/>
        </w:rPr>
        <w:t>hristian Kle</w:t>
      </w:r>
      <w:r w:rsidR="00050DFC">
        <w:rPr>
          <w:rFonts w:ascii="Garamond" w:hAnsi="Garamond" w:cs="Devanagari Sangam MN"/>
          <w:bCs/>
          <w:iCs/>
          <w:lang w:val="en-US"/>
        </w:rPr>
        <w:t xml:space="preserve">sse </w:t>
      </w:r>
      <w:r w:rsidR="00F8117A">
        <w:rPr>
          <w:rFonts w:ascii="Garamond" w:hAnsi="Garamond" w:cs="Devanagari Sangam MN"/>
          <w:bCs/>
          <w:iCs/>
          <w:lang w:val="en-US"/>
        </w:rPr>
        <w:t xml:space="preserve">further explores the ethical parameters </w:t>
      </w:r>
      <w:r w:rsidR="006C288F">
        <w:rPr>
          <w:rFonts w:ascii="Garamond" w:hAnsi="Garamond" w:cs="Devanagari Sangam MN"/>
          <w:bCs/>
          <w:iCs/>
          <w:lang w:val="en-US"/>
        </w:rPr>
        <w:t xml:space="preserve">generally </w:t>
      </w:r>
      <w:r w:rsidR="00F8117A">
        <w:rPr>
          <w:rFonts w:ascii="Garamond" w:hAnsi="Garamond" w:cs="Devanagari Sangam MN"/>
          <w:bCs/>
          <w:iCs/>
          <w:lang w:val="en-US"/>
        </w:rPr>
        <w:t xml:space="preserve">of queer–religious coalition work. </w:t>
      </w:r>
      <w:r w:rsidR="00F8117A" w:rsidRPr="00F8117A">
        <w:rPr>
          <w:rFonts w:ascii="Garamond" w:hAnsi="Garamond" w:cs="Devanagari Sangam MN"/>
          <w:bCs/>
          <w:iCs/>
          <w:lang w:val="en-US"/>
        </w:rPr>
        <w:t>Klesse finds no inherent problem with these kinds of</w:t>
      </w:r>
      <w:r w:rsidR="006C288F">
        <w:rPr>
          <w:rFonts w:ascii="Garamond" w:hAnsi="Garamond" w:cs="Devanagari Sangam MN"/>
          <w:bCs/>
          <w:iCs/>
          <w:lang w:val="en-US"/>
        </w:rPr>
        <w:t xml:space="preserve"> </w:t>
      </w:r>
      <w:r w:rsidR="00F8117A" w:rsidRPr="00F8117A">
        <w:rPr>
          <w:rFonts w:ascii="Garamond" w:hAnsi="Garamond" w:cs="Devanagari Sangam MN"/>
          <w:bCs/>
          <w:iCs/>
          <w:lang w:val="en-US"/>
        </w:rPr>
        <w:t>coalitions and welcomes their possibility or inevitability even. However, he also cautions</w:t>
      </w:r>
      <w:r w:rsidR="006C288F">
        <w:rPr>
          <w:rFonts w:ascii="Garamond" w:hAnsi="Garamond" w:cs="Devanagari Sangam MN"/>
          <w:bCs/>
          <w:iCs/>
          <w:lang w:val="en-US"/>
        </w:rPr>
        <w:t xml:space="preserve"> </w:t>
      </w:r>
      <w:r w:rsidR="00F8117A" w:rsidRPr="00F8117A">
        <w:rPr>
          <w:rFonts w:ascii="Garamond" w:hAnsi="Garamond" w:cs="Devanagari Sangam MN"/>
          <w:bCs/>
          <w:iCs/>
          <w:lang w:val="en-US"/>
        </w:rPr>
        <w:t>that queer politics necessarily embodies a commitment to not only anti-racism</w:t>
      </w:r>
      <w:r w:rsidR="006C288F">
        <w:rPr>
          <w:rFonts w:ascii="Garamond" w:hAnsi="Garamond" w:cs="Devanagari Sangam MN"/>
          <w:bCs/>
          <w:iCs/>
          <w:lang w:val="en-US"/>
        </w:rPr>
        <w:t xml:space="preserve"> </w:t>
      </w:r>
      <w:r w:rsidR="00F8117A" w:rsidRPr="00F8117A">
        <w:rPr>
          <w:rFonts w:ascii="Garamond" w:hAnsi="Garamond" w:cs="Devanagari Sangam MN"/>
          <w:bCs/>
          <w:iCs/>
          <w:lang w:val="en-US"/>
        </w:rPr>
        <w:t>but also the larger value of inclusivity. Hence, according to Klesse, queer</w:t>
      </w:r>
      <w:r w:rsidR="006C288F">
        <w:rPr>
          <w:rFonts w:ascii="Garamond" w:hAnsi="Garamond" w:cs="Devanagari Sangam MN"/>
          <w:bCs/>
          <w:iCs/>
          <w:lang w:val="en-US"/>
        </w:rPr>
        <w:t xml:space="preserve"> </w:t>
      </w:r>
      <w:r w:rsidR="00F8117A" w:rsidRPr="00F8117A">
        <w:rPr>
          <w:rFonts w:ascii="Garamond" w:hAnsi="Garamond" w:cs="Devanagari Sangam MN"/>
          <w:bCs/>
          <w:iCs/>
          <w:lang w:val="en-US"/>
        </w:rPr>
        <w:t>political activism should not engage in unprincipled strategizing seeking family</w:t>
      </w:r>
      <w:r w:rsidR="006C288F">
        <w:rPr>
          <w:rFonts w:ascii="Garamond" w:hAnsi="Garamond" w:cs="Devanagari Sangam MN"/>
          <w:bCs/>
          <w:iCs/>
          <w:lang w:val="en-US"/>
        </w:rPr>
        <w:t xml:space="preserve"> </w:t>
      </w:r>
      <w:r w:rsidR="00F8117A" w:rsidRPr="00F8117A">
        <w:rPr>
          <w:rFonts w:ascii="Garamond" w:hAnsi="Garamond" w:cs="Devanagari Sangam MN"/>
          <w:bCs/>
          <w:iCs/>
          <w:lang w:val="en-US"/>
        </w:rPr>
        <w:t>law victories</w:t>
      </w:r>
      <w:r w:rsidR="006C288F">
        <w:rPr>
          <w:rFonts w:ascii="Garamond" w:hAnsi="Garamond" w:cs="Devanagari Sangam MN"/>
          <w:bCs/>
          <w:iCs/>
          <w:lang w:val="en-US"/>
        </w:rPr>
        <w:t xml:space="preserve"> </w:t>
      </w:r>
      <w:r w:rsidR="00F8117A" w:rsidRPr="00F8117A">
        <w:rPr>
          <w:rFonts w:ascii="Garamond" w:hAnsi="Garamond" w:cs="Devanagari Sangam MN"/>
          <w:bCs/>
          <w:iCs/>
          <w:lang w:val="en-US"/>
        </w:rPr>
        <w:t xml:space="preserve">where such </w:t>
      </w:r>
      <w:r w:rsidR="00BB33C6">
        <w:rPr>
          <w:rFonts w:ascii="Garamond" w:hAnsi="Garamond" w:cs="Devanagari Sangam MN"/>
          <w:bCs/>
          <w:iCs/>
          <w:lang w:val="en-US"/>
        </w:rPr>
        <w:t>‘</w:t>
      </w:r>
      <w:r w:rsidR="00F8117A" w:rsidRPr="00F8117A">
        <w:rPr>
          <w:rFonts w:ascii="Garamond" w:hAnsi="Garamond" w:cs="Devanagari Sangam MN"/>
          <w:bCs/>
          <w:iCs/>
          <w:lang w:val="en-US"/>
        </w:rPr>
        <w:t>wins</w:t>
      </w:r>
      <w:r w:rsidR="00BB33C6">
        <w:rPr>
          <w:rFonts w:ascii="Garamond" w:hAnsi="Garamond" w:cs="Devanagari Sangam MN"/>
          <w:bCs/>
          <w:iCs/>
          <w:lang w:val="en-US"/>
        </w:rPr>
        <w:t>’</w:t>
      </w:r>
      <w:r w:rsidR="00F8117A" w:rsidRPr="00F8117A">
        <w:rPr>
          <w:rFonts w:ascii="Garamond" w:hAnsi="Garamond" w:cs="Devanagari Sangam MN"/>
          <w:bCs/>
          <w:iCs/>
          <w:lang w:val="en-US"/>
        </w:rPr>
        <w:t xml:space="preserve"> are accompanied by the entrenchment</w:t>
      </w:r>
      <w:r w:rsidR="006C288F">
        <w:rPr>
          <w:rFonts w:ascii="Garamond" w:hAnsi="Garamond" w:cs="Devanagari Sangam MN"/>
          <w:bCs/>
          <w:iCs/>
          <w:lang w:val="en-US"/>
        </w:rPr>
        <w:t xml:space="preserve"> </w:t>
      </w:r>
      <w:r w:rsidR="00F8117A" w:rsidRPr="00F8117A">
        <w:rPr>
          <w:rFonts w:ascii="Garamond" w:hAnsi="Garamond" w:cs="Devanagari Sangam MN"/>
          <w:bCs/>
          <w:iCs/>
          <w:lang w:val="en-US"/>
        </w:rPr>
        <w:t>of</w:t>
      </w:r>
      <w:r w:rsidR="00C25558">
        <w:rPr>
          <w:rFonts w:ascii="Garamond" w:hAnsi="Garamond" w:cs="Devanagari Sangam MN"/>
          <w:bCs/>
          <w:iCs/>
          <w:lang w:val="en-US"/>
        </w:rPr>
        <w:t xml:space="preserve"> </w:t>
      </w:r>
      <w:r w:rsidR="00F8117A" w:rsidRPr="00F8117A">
        <w:rPr>
          <w:rFonts w:ascii="Garamond" w:hAnsi="Garamond" w:cs="Devanagari Sangam MN"/>
          <w:bCs/>
          <w:iCs/>
          <w:lang w:val="en-US"/>
        </w:rPr>
        <w:t>regressive values.</w:t>
      </w:r>
      <w:r w:rsidR="006C288F">
        <w:rPr>
          <w:rFonts w:ascii="Garamond" w:hAnsi="Garamond" w:cs="Devanagari Sangam MN"/>
          <w:bCs/>
          <w:iCs/>
          <w:lang w:val="en-US"/>
        </w:rPr>
        <w:t xml:space="preserve"> </w:t>
      </w:r>
      <w:r w:rsidR="00F8117A" w:rsidRPr="00F8117A">
        <w:rPr>
          <w:rFonts w:ascii="Garamond" w:hAnsi="Garamond" w:cs="Devanagari Sangam MN"/>
          <w:bCs/>
          <w:iCs/>
          <w:lang w:val="en-US"/>
        </w:rPr>
        <w:t>To be sure, Klesse knows</w:t>
      </w:r>
      <w:r w:rsidR="006C288F">
        <w:rPr>
          <w:rFonts w:ascii="Garamond" w:hAnsi="Garamond" w:cs="Devanagari Sangam MN"/>
          <w:bCs/>
          <w:iCs/>
          <w:lang w:val="en-US"/>
        </w:rPr>
        <w:t xml:space="preserve"> </w:t>
      </w:r>
      <w:r w:rsidR="00F8117A" w:rsidRPr="00F8117A">
        <w:rPr>
          <w:rFonts w:ascii="Garamond" w:hAnsi="Garamond" w:cs="Devanagari Sangam MN"/>
          <w:bCs/>
          <w:iCs/>
          <w:lang w:val="en-US"/>
        </w:rPr>
        <w:t xml:space="preserve">that coalition work always </w:t>
      </w:r>
      <w:r w:rsidR="00F8117A" w:rsidRPr="00093E08">
        <w:rPr>
          <w:rFonts w:ascii="Garamond" w:hAnsi="Garamond" w:cs="Devanagari Sangam MN"/>
          <w:bCs/>
          <w:iCs/>
          <w:lang w:val="en-US"/>
        </w:rPr>
        <w:t>involves compromise. But, for Klesse, truly ethical</w:t>
      </w:r>
      <w:r w:rsidR="006C288F" w:rsidRPr="00093E08">
        <w:rPr>
          <w:rFonts w:ascii="Garamond" w:hAnsi="Garamond" w:cs="Devanagari Sangam MN"/>
          <w:bCs/>
          <w:iCs/>
          <w:lang w:val="en-US"/>
        </w:rPr>
        <w:t xml:space="preserve"> </w:t>
      </w:r>
      <w:r w:rsidR="00F8117A" w:rsidRPr="00093E08">
        <w:rPr>
          <w:rFonts w:ascii="Garamond" w:hAnsi="Garamond" w:cs="Devanagari Sangam MN"/>
          <w:bCs/>
          <w:iCs/>
          <w:lang w:val="en-US"/>
        </w:rPr>
        <w:t>queer–religious coalitions must embody a</w:t>
      </w:r>
      <w:r w:rsidR="00C04489" w:rsidRPr="007F7177" w:rsidDel="00C04489">
        <w:rPr>
          <w:rStyle w:val="CommentReference"/>
          <w:rFonts w:ascii="Garamond" w:hAnsi="Garamond"/>
          <w:sz w:val="24"/>
          <w:szCs w:val="24"/>
        </w:rPr>
        <w:t xml:space="preserve"> </w:t>
      </w:r>
      <w:r w:rsidR="00093E08" w:rsidRPr="007F7177">
        <w:rPr>
          <w:rStyle w:val="CommentReference"/>
          <w:rFonts w:ascii="Garamond" w:hAnsi="Garamond"/>
          <w:sz w:val="24"/>
          <w:szCs w:val="24"/>
        </w:rPr>
        <w:t>positive affirmation of queer lives</w:t>
      </w:r>
      <w:r w:rsidR="00E47752">
        <w:rPr>
          <w:rStyle w:val="CommentReference"/>
          <w:rFonts w:ascii="Garamond" w:hAnsi="Garamond"/>
          <w:sz w:val="24"/>
          <w:szCs w:val="24"/>
          <w:lang w:val="en-US"/>
        </w:rPr>
        <w:t xml:space="preserve"> </w:t>
      </w:r>
      <w:r w:rsidR="00093E08" w:rsidRPr="007F7177">
        <w:rPr>
          <w:rStyle w:val="CommentReference"/>
          <w:rFonts w:ascii="Garamond" w:hAnsi="Garamond"/>
          <w:sz w:val="24"/>
          <w:szCs w:val="24"/>
        </w:rPr>
        <w:t>and experiences rather than denigration.</w:t>
      </w:r>
    </w:p>
    <w:p w14:paraId="23435924" w14:textId="69BF8A8D" w:rsidR="004A561A" w:rsidRPr="007F7177" w:rsidRDefault="004A561A" w:rsidP="0018597F">
      <w:pPr>
        <w:rPr>
          <w:rFonts w:ascii="Garamond" w:hAnsi="Garamond" w:cs="Devanagari Sangam MN"/>
          <w:bCs/>
          <w:iCs/>
          <w:lang w:val="en-US"/>
        </w:rPr>
      </w:pPr>
    </w:p>
    <w:p w14:paraId="135E296C" w14:textId="25B17838" w:rsidR="004A561A" w:rsidRDefault="004055B6" w:rsidP="0055032D">
      <w:pPr>
        <w:rPr>
          <w:rFonts w:ascii="Garamond" w:hAnsi="Garamond" w:cs="Devanagari Sangam MN"/>
          <w:bCs/>
          <w:iCs/>
          <w:lang w:val="en-US"/>
        </w:rPr>
      </w:pPr>
      <w:r>
        <w:rPr>
          <w:rFonts w:ascii="Garamond" w:hAnsi="Garamond" w:cs="Devanagari Sangam MN"/>
          <w:bCs/>
          <w:iCs/>
          <w:lang w:val="en-US"/>
        </w:rPr>
        <w:t xml:space="preserve">The </w:t>
      </w:r>
      <w:r w:rsidR="00A03097">
        <w:rPr>
          <w:rFonts w:ascii="Garamond" w:hAnsi="Garamond" w:cs="Devanagari Sangam MN"/>
          <w:bCs/>
          <w:iCs/>
          <w:lang w:val="en-US"/>
        </w:rPr>
        <w:t>flip side</w:t>
      </w:r>
      <w:r>
        <w:rPr>
          <w:rFonts w:ascii="Garamond" w:hAnsi="Garamond" w:cs="Devanagari Sangam MN"/>
          <w:bCs/>
          <w:iCs/>
          <w:lang w:val="en-US"/>
        </w:rPr>
        <w:t xml:space="preserve"> of limits to queer–religious alliances are ‘b</w:t>
      </w:r>
      <w:r w:rsidR="007D5E98">
        <w:rPr>
          <w:rFonts w:ascii="Garamond" w:hAnsi="Garamond" w:cs="Devanagari Sangam MN"/>
          <w:bCs/>
          <w:iCs/>
          <w:lang w:val="en-US"/>
        </w:rPr>
        <w:t>est practices</w:t>
      </w:r>
      <w:r>
        <w:rPr>
          <w:rFonts w:ascii="Garamond" w:hAnsi="Garamond" w:cs="Devanagari Sangam MN"/>
          <w:bCs/>
          <w:iCs/>
          <w:lang w:val="en-US"/>
        </w:rPr>
        <w:t>’</w:t>
      </w:r>
      <w:r w:rsidR="007D5E98">
        <w:rPr>
          <w:rFonts w:ascii="Garamond" w:hAnsi="Garamond" w:cs="Devanagari Sangam MN"/>
          <w:bCs/>
          <w:iCs/>
          <w:lang w:val="en-US"/>
        </w:rPr>
        <w:t xml:space="preserve"> in fostering queer-religious </w:t>
      </w:r>
      <w:r>
        <w:rPr>
          <w:rFonts w:ascii="Garamond" w:hAnsi="Garamond" w:cs="Devanagari Sangam MN"/>
          <w:bCs/>
          <w:iCs/>
          <w:lang w:val="en-US"/>
        </w:rPr>
        <w:t>alliances and friendship.</w:t>
      </w:r>
      <w:r w:rsidR="007D5E98">
        <w:rPr>
          <w:rFonts w:ascii="Garamond" w:hAnsi="Garamond" w:cs="Devanagari Sangam MN"/>
          <w:bCs/>
          <w:iCs/>
          <w:lang w:val="en-US"/>
        </w:rPr>
        <w:t xml:space="preserve"> </w:t>
      </w:r>
      <w:r w:rsidR="004A561A" w:rsidRPr="007F7177">
        <w:rPr>
          <w:rFonts w:ascii="Garamond" w:hAnsi="Garamond" w:cs="Devanagari Sangam MN"/>
          <w:bCs/>
          <w:iCs/>
          <w:lang w:val="en-US"/>
        </w:rPr>
        <w:t xml:space="preserve">Ilaria Valenzi’s </w:t>
      </w:r>
      <w:r w:rsidR="00184435">
        <w:rPr>
          <w:rFonts w:ascii="Garamond" w:hAnsi="Garamond" w:cs="Devanagari Sangam MN"/>
          <w:bCs/>
          <w:iCs/>
          <w:lang w:val="en-US"/>
        </w:rPr>
        <w:t>contribution</w:t>
      </w:r>
      <w:r w:rsidR="000D40B4">
        <w:rPr>
          <w:rFonts w:ascii="Garamond" w:hAnsi="Garamond" w:cs="Devanagari Sangam MN"/>
          <w:bCs/>
          <w:iCs/>
          <w:lang w:val="en-US"/>
        </w:rPr>
        <w:t xml:space="preserve"> </w:t>
      </w:r>
      <w:r w:rsidR="004A561A" w:rsidRPr="007F7177">
        <w:rPr>
          <w:rFonts w:ascii="Garamond" w:hAnsi="Garamond" w:cs="Devanagari Sangam MN"/>
          <w:bCs/>
          <w:iCs/>
          <w:lang w:val="en-US"/>
        </w:rPr>
        <w:t>on the Waldensian Church in Italy</w:t>
      </w:r>
      <w:r w:rsidR="00F83F40">
        <w:rPr>
          <w:rFonts w:ascii="Garamond" w:hAnsi="Garamond" w:cs="Devanagari Sangam MN"/>
          <w:bCs/>
          <w:iCs/>
          <w:lang w:val="en-US"/>
        </w:rPr>
        <w:t xml:space="preserve"> provides some contours to what </w:t>
      </w:r>
      <w:r w:rsidR="000D40B4">
        <w:rPr>
          <w:rFonts w:ascii="Garamond" w:hAnsi="Garamond" w:cs="Devanagari Sangam MN"/>
          <w:bCs/>
          <w:iCs/>
          <w:lang w:val="en-US"/>
        </w:rPr>
        <w:t xml:space="preserve">best practices </w:t>
      </w:r>
      <w:r w:rsidR="00F0771B">
        <w:rPr>
          <w:rFonts w:ascii="Garamond" w:hAnsi="Garamond" w:cs="Devanagari Sangam MN"/>
          <w:bCs/>
          <w:iCs/>
          <w:lang w:val="en-US"/>
        </w:rPr>
        <w:t>could</w:t>
      </w:r>
      <w:r w:rsidR="000D40B4">
        <w:rPr>
          <w:rFonts w:ascii="Garamond" w:hAnsi="Garamond" w:cs="Devanagari Sangam MN"/>
          <w:bCs/>
          <w:iCs/>
          <w:lang w:val="en-US"/>
        </w:rPr>
        <w:t xml:space="preserve"> look like</w:t>
      </w:r>
      <w:r w:rsidR="004A561A" w:rsidRPr="007F7177">
        <w:rPr>
          <w:rFonts w:ascii="Garamond" w:hAnsi="Garamond" w:cs="Devanagari Sangam MN"/>
          <w:bCs/>
          <w:iCs/>
          <w:lang w:val="en-US"/>
        </w:rPr>
        <w:t>. This Church is a persecuted Protestant Christian denomination dating from the twelfth century that has been a contemporary Italian pioneer in the religious blessing of gay and lesbian couples. Valenzi describes how the Waldensian Church became the first religious denomination in Italy to officiate a same-sex union, well before its legalization in the country. This was possible in light of progressive interpretations given to biblical texts whereby family unions do not gain legitimacy by meeting certain formalities but only if they align with principles of justice and equality. Interestingly, Valenzi also describes the growing exposure of the Church to queer theology and queer studies, and an awareness within the Church of a convergence between its interests and those of queer groups. This awareness is best exemplified by a weekly church-sponsored discussion meeting called Queer Thursdays, during which young Waldensians delve into queer politics, movies, and literature.</w:t>
      </w:r>
    </w:p>
    <w:p w14:paraId="090A0248" w14:textId="77777777" w:rsidR="00F07102" w:rsidRDefault="00F07102" w:rsidP="0055032D">
      <w:pPr>
        <w:rPr>
          <w:rFonts w:ascii="Garamond" w:hAnsi="Garamond" w:cs="Devanagari Sangam MN"/>
          <w:bCs/>
          <w:iCs/>
          <w:lang w:val="en-US"/>
        </w:rPr>
      </w:pPr>
    </w:p>
    <w:p w14:paraId="550AF8F1" w14:textId="2B24341D" w:rsidR="00F07102" w:rsidRPr="0055032D" w:rsidRDefault="00F07102" w:rsidP="00F31BA4">
      <w:pPr>
        <w:rPr>
          <w:rFonts w:ascii="Garamond" w:hAnsi="Garamond" w:cs="Devanagari Sangam MN"/>
          <w:bCs/>
          <w:iCs/>
          <w:lang w:val="en-US"/>
        </w:rPr>
      </w:pPr>
      <w:r w:rsidRPr="00F07102">
        <w:rPr>
          <w:rFonts w:ascii="Garamond" w:hAnsi="Garamond" w:cs="Devanagari Sangam MN"/>
          <w:bCs/>
          <w:iCs/>
          <w:lang w:val="en-US"/>
        </w:rPr>
        <w:t xml:space="preserve">Finally, </w:t>
      </w:r>
      <w:r>
        <w:rPr>
          <w:rFonts w:ascii="Garamond" w:hAnsi="Garamond" w:cs="Devanagari Sangam MN"/>
          <w:bCs/>
          <w:iCs/>
          <w:lang w:val="en-US"/>
        </w:rPr>
        <w:t xml:space="preserve">moving beyond family law specifically, </w:t>
      </w:r>
      <w:r w:rsidRPr="00F07102">
        <w:rPr>
          <w:rFonts w:ascii="Garamond" w:hAnsi="Garamond" w:cs="Devanagari Sangam MN"/>
          <w:bCs/>
          <w:iCs/>
          <w:lang w:val="en-US"/>
        </w:rPr>
        <w:t>Jeffrey Redding offers a view on how</w:t>
      </w:r>
      <w:r>
        <w:rPr>
          <w:rFonts w:ascii="Garamond" w:hAnsi="Garamond" w:cs="Devanagari Sangam MN"/>
          <w:bCs/>
          <w:iCs/>
          <w:lang w:val="en-US"/>
        </w:rPr>
        <w:t xml:space="preserve"> </w:t>
      </w:r>
      <w:r w:rsidRPr="00F07102">
        <w:rPr>
          <w:rFonts w:ascii="Garamond" w:hAnsi="Garamond" w:cs="Devanagari Sangam MN"/>
          <w:bCs/>
          <w:iCs/>
          <w:lang w:val="en-US"/>
        </w:rPr>
        <w:t>convergences, alliances, and</w:t>
      </w:r>
      <w:r>
        <w:rPr>
          <w:rFonts w:ascii="Garamond" w:hAnsi="Garamond" w:cs="Devanagari Sangam MN"/>
          <w:bCs/>
          <w:iCs/>
          <w:lang w:val="en-US"/>
        </w:rPr>
        <w:t xml:space="preserve"> </w:t>
      </w:r>
      <w:r w:rsidRPr="00F07102">
        <w:rPr>
          <w:rFonts w:ascii="Garamond" w:hAnsi="Garamond" w:cs="Devanagari Sangam MN"/>
          <w:bCs/>
          <w:iCs/>
          <w:lang w:val="en-US"/>
        </w:rPr>
        <w:t>friendships between queer and religious actors might develop in the United</w:t>
      </w:r>
      <w:r>
        <w:rPr>
          <w:rFonts w:ascii="Garamond" w:hAnsi="Garamond" w:cs="Devanagari Sangam MN"/>
          <w:bCs/>
          <w:iCs/>
          <w:lang w:val="en-US"/>
        </w:rPr>
        <w:t xml:space="preserve"> </w:t>
      </w:r>
      <w:r w:rsidRPr="00F07102">
        <w:rPr>
          <w:rFonts w:ascii="Garamond" w:hAnsi="Garamond" w:cs="Devanagari Sangam MN"/>
          <w:bCs/>
          <w:iCs/>
          <w:lang w:val="en-US"/>
        </w:rPr>
        <w:t>States in the aftermath of the Trump presidency and the COVID pandemic.</w:t>
      </w:r>
      <w:r>
        <w:rPr>
          <w:rFonts w:ascii="Garamond" w:hAnsi="Garamond" w:cs="Devanagari Sangam MN"/>
          <w:bCs/>
          <w:iCs/>
          <w:lang w:val="en-US"/>
        </w:rPr>
        <w:t xml:space="preserve"> </w:t>
      </w:r>
      <w:r w:rsidRPr="00F07102">
        <w:rPr>
          <w:rFonts w:ascii="Garamond" w:hAnsi="Garamond" w:cs="Devanagari Sangam MN"/>
          <w:bCs/>
          <w:iCs/>
          <w:lang w:val="en-US"/>
        </w:rPr>
        <w:t>As Redding explains, recent religious critiques of governmental attempts to shut</w:t>
      </w:r>
      <w:r>
        <w:rPr>
          <w:rFonts w:ascii="Garamond" w:hAnsi="Garamond" w:cs="Devanagari Sangam MN"/>
          <w:bCs/>
          <w:iCs/>
          <w:lang w:val="en-US"/>
        </w:rPr>
        <w:t xml:space="preserve"> </w:t>
      </w:r>
      <w:r w:rsidRPr="00F07102">
        <w:rPr>
          <w:rFonts w:ascii="Garamond" w:hAnsi="Garamond" w:cs="Devanagari Sangam MN"/>
          <w:bCs/>
          <w:iCs/>
          <w:lang w:val="en-US"/>
        </w:rPr>
        <w:t>down churches, synagogues, and other places of worship as a result of COVID</w:t>
      </w:r>
      <w:r>
        <w:rPr>
          <w:rFonts w:ascii="Garamond" w:hAnsi="Garamond" w:cs="Devanagari Sangam MN"/>
          <w:bCs/>
          <w:iCs/>
          <w:lang w:val="en-US"/>
        </w:rPr>
        <w:t xml:space="preserve"> </w:t>
      </w:r>
      <w:r w:rsidRPr="00F07102">
        <w:rPr>
          <w:rFonts w:ascii="Garamond" w:hAnsi="Garamond" w:cs="Devanagari Sangam MN"/>
          <w:bCs/>
          <w:iCs/>
          <w:lang w:val="en-US"/>
        </w:rPr>
        <w:t>resonate in multiple ways with earlier queer critiques of governmental efforts</w:t>
      </w:r>
      <w:r w:rsidR="00F31BA4">
        <w:rPr>
          <w:rFonts w:ascii="Garamond" w:hAnsi="Garamond" w:cs="Devanagari Sangam MN"/>
          <w:bCs/>
          <w:iCs/>
          <w:lang w:val="en-US"/>
        </w:rPr>
        <w:t xml:space="preserve"> </w:t>
      </w:r>
      <w:r w:rsidRPr="00F07102">
        <w:rPr>
          <w:rFonts w:ascii="Garamond" w:hAnsi="Garamond" w:cs="Devanagari Sangam MN"/>
          <w:bCs/>
          <w:iCs/>
          <w:lang w:val="en-US"/>
        </w:rPr>
        <w:t>to close gay bathhouses and sex establishments during the HIV pandemic.</w:t>
      </w:r>
      <w:r w:rsidR="00F31BA4">
        <w:rPr>
          <w:rFonts w:ascii="Garamond" w:hAnsi="Garamond" w:cs="Devanagari Sangam MN"/>
          <w:bCs/>
          <w:iCs/>
          <w:lang w:val="en-US"/>
        </w:rPr>
        <w:t xml:space="preserve"> </w:t>
      </w:r>
      <w:r w:rsidRPr="00F07102">
        <w:rPr>
          <w:rFonts w:ascii="Garamond" w:hAnsi="Garamond" w:cs="Devanagari Sangam MN"/>
          <w:bCs/>
          <w:iCs/>
          <w:lang w:val="en-US"/>
        </w:rPr>
        <w:t>As a result, contemporary pandemic politics could generate interest in queer–religious alliances and, moreover, not just in the family law realm. Indeed,</w:t>
      </w:r>
      <w:r w:rsidR="00F31BA4">
        <w:rPr>
          <w:rFonts w:ascii="Garamond" w:hAnsi="Garamond" w:cs="Devanagari Sangam MN"/>
          <w:bCs/>
          <w:iCs/>
          <w:lang w:val="en-US"/>
        </w:rPr>
        <w:t xml:space="preserve"> </w:t>
      </w:r>
      <w:r w:rsidRPr="00F07102">
        <w:rPr>
          <w:rFonts w:ascii="Garamond" w:hAnsi="Garamond" w:cs="Devanagari Sangam MN"/>
          <w:bCs/>
          <w:iCs/>
          <w:lang w:val="en-US"/>
        </w:rPr>
        <w:t xml:space="preserve">pandemic debates have given </w:t>
      </w:r>
      <w:r w:rsidRPr="00F07102">
        <w:rPr>
          <w:rFonts w:ascii="Garamond" w:hAnsi="Garamond" w:cs="Devanagari Sangam MN"/>
          <w:bCs/>
          <w:iCs/>
          <w:lang w:val="en-US"/>
        </w:rPr>
        <w:lastRenderedPageBreak/>
        <w:t>renewed attention to the importance of</w:t>
      </w:r>
      <w:r w:rsidR="00F31BA4">
        <w:rPr>
          <w:rFonts w:ascii="Garamond" w:hAnsi="Garamond" w:cs="Devanagari Sangam MN"/>
          <w:bCs/>
          <w:iCs/>
          <w:lang w:val="en-US"/>
        </w:rPr>
        <w:t xml:space="preserve"> </w:t>
      </w:r>
      <w:r w:rsidRPr="00F07102">
        <w:rPr>
          <w:rFonts w:ascii="Garamond" w:hAnsi="Garamond" w:cs="Devanagari Sangam MN"/>
          <w:bCs/>
          <w:iCs/>
          <w:lang w:val="en-US"/>
        </w:rPr>
        <w:t>communities (religious and sexual alike) and the importance of (rights of)</w:t>
      </w:r>
      <w:r w:rsidR="00F31BA4">
        <w:rPr>
          <w:rFonts w:ascii="Garamond" w:hAnsi="Garamond" w:cs="Devanagari Sangam MN"/>
          <w:bCs/>
          <w:iCs/>
          <w:lang w:val="en-US"/>
        </w:rPr>
        <w:t xml:space="preserve"> </w:t>
      </w:r>
      <w:r w:rsidRPr="00F07102">
        <w:rPr>
          <w:rFonts w:ascii="Garamond" w:hAnsi="Garamond" w:cs="Devanagari Sangam MN"/>
          <w:bCs/>
          <w:iCs/>
          <w:lang w:val="en-US"/>
        </w:rPr>
        <w:t>association which, for Redding, are broader concerns than debates about</w:t>
      </w:r>
      <w:r w:rsidR="00F31BA4">
        <w:rPr>
          <w:rFonts w:ascii="Garamond" w:hAnsi="Garamond" w:cs="Devanagari Sangam MN"/>
          <w:bCs/>
          <w:iCs/>
          <w:lang w:val="en-US"/>
        </w:rPr>
        <w:t xml:space="preserve"> </w:t>
      </w:r>
      <w:r w:rsidRPr="00F07102">
        <w:rPr>
          <w:rFonts w:ascii="Garamond" w:hAnsi="Garamond" w:cs="Devanagari Sangam MN"/>
          <w:bCs/>
          <w:iCs/>
          <w:lang w:val="en-US"/>
        </w:rPr>
        <w:t xml:space="preserve">the importance of </w:t>
      </w:r>
      <w:r w:rsidR="00F31BA4">
        <w:rPr>
          <w:rFonts w:ascii="Garamond" w:hAnsi="Garamond" w:cs="Devanagari Sangam MN"/>
          <w:bCs/>
          <w:iCs/>
          <w:lang w:val="en-US"/>
        </w:rPr>
        <w:t>‘</w:t>
      </w:r>
      <w:r w:rsidRPr="00F07102">
        <w:rPr>
          <w:rFonts w:ascii="Garamond" w:hAnsi="Garamond" w:cs="Devanagari Sangam MN"/>
          <w:bCs/>
          <w:iCs/>
          <w:lang w:val="en-US"/>
        </w:rPr>
        <w:t>family</w:t>
      </w:r>
      <w:r w:rsidR="00F31BA4">
        <w:rPr>
          <w:rFonts w:ascii="Garamond" w:hAnsi="Garamond" w:cs="Devanagari Sangam MN"/>
          <w:bCs/>
          <w:iCs/>
          <w:lang w:val="en-US"/>
        </w:rPr>
        <w:t>’</w:t>
      </w:r>
      <w:r w:rsidRPr="00F07102">
        <w:rPr>
          <w:rFonts w:ascii="Garamond" w:hAnsi="Garamond" w:cs="Devanagari Sangam MN"/>
          <w:bCs/>
          <w:iCs/>
          <w:lang w:val="en-US"/>
        </w:rPr>
        <w:t xml:space="preserve"> formation and recognition.</w:t>
      </w:r>
    </w:p>
    <w:p w14:paraId="1886FE47" w14:textId="0DD5A1C5" w:rsidR="00F51D32" w:rsidRPr="0055032D" w:rsidRDefault="00F51D32" w:rsidP="0055032D">
      <w:pPr>
        <w:rPr>
          <w:rFonts w:ascii="Garamond" w:hAnsi="Garamond" w:cs="Devanagari Sangam MN"/>
          <w:bCs/>
          <w:iCs/>
          <w:lang w:val="en-US"/>
        </w:rPr>
      </w:pPr>
    </w:p>
    <w:p w14:paraId="57ABA9FA" w14:textId="10E66A79" w:rsidR="00F51D32" w:rsidRPr="0055032D" w:rsidRDefault="00F51D32" w:rsidP="0055032D">
      <w:pPr>
        <w:rPr>
          <w:rFonts w:ascii="Garamond" w:hAnsi="Garamond" w:cs="Devanagari Sangam MN"/>
          <w:bCs/>
          <w:iCs/>
          <w:lang w:val="en-US"/>
        </w:rPr>
      </w:pPr>
      <w:r w:rsidRPr="0055032D">
        <w:rPr>
          <w:rFonts w:ascii="Garamond" w:hAnsi="Garamond" w:cs="Devanagari Sangam MN"/>
          <w:bCs/>
          <w:iCs/>
          <w:lang w:val="en-US"/>
        </w:rPr>
        <w:t xml:space="preserve">To conclude, we believe that investigating queer and religious </w:t>
      </w:r>
      <w:r w:rsidR="00072747">
        <w:rPr>
          <w:rFonts w:ascii="Garamond" w:hAnsi="Garamond" w:cs="Devanagari Sangam MN"/>
          <w:bCs/>
          <w:iCs/>
          <w:lang w:val="en-US"/>
        </w:rPr>
        <w:t>friendship</w:t>
      </w:r>
      <w:r w:rsidRPr="0055032D">
        <w:rPr>
          <w:rFonts w:ascii="Garamond" w:hAnsi="Garamond" w:cs="Devanagari Sangam MN"/>
          <w:bCs/>
          <w:iCs/>
          <w:lang w:val="en-US"/>
        </w:rPr>
        <w:t xml:space="preserve"> </w:t>
      </w:r>
      <w:r w:rsidR="00072747">
        <w:rPr>
          <w:rFonts w:ascii="Garamond" w:hAnsi="Garamond" w:cs="Devanagari Sangam MN"/>
          <w:bCs/>
          <w:iCs/>
          <w:lang w:val="en-US"/>
        </w:rPr>
        <w:t xml:space="preserve">and alliance </w:t>
      </w:r>
      <w:r w:rsidRPr="0055032D">
        <w:rPr>
          <w:rFonts w:ascii="Garamond" w:hAnsi="Garamond" w:cs="Devanagari Sangam MN"/>
          <w:bCs/>
          <w:iCs/>
          <w:lang w:val="en-US"/>
        </w:rPr>
        <w:t xml:space="preserve">is a worthwhile project when contemplating the </w:t>
      </w:r>
      <w:r w:rsidR="007F7177">
        <w:rPr>
          <w:rFonts w:ascii="Garamond" w:hAnsi="Garamond" w:cs="Devanagari Sangam MN"/>
          <w:bCs/>
          <w:iCs/>
          <w:lang w:val="en-US"/>
        </w:rPr>
        <w:t>relationship between SOGI rights and freedom of religion and belief</w:t>
      </w:r>
      <w:r w:rsidR="00072747">
        <w:rPr>
          <w:rFonts w:ascii="Garamond" w:hAnsi="Garamond" w:cs="Devanagari Sangam MN"/>
          <w:bCs/>
          <w:iCs/>
          <w:lang w:val="en-US"/>
        </w:rPr>
        <w:t xml:space="preserve"> and other projects too</w:t>
      </w:r>
      <w:r w:rsidRPr="0055032D">
        <w:rPr>
          <w:rFonts w:ascii="Garamond" w:hAnsi="Garamond" w:cs="Devanagari Sangam MN"/>
          <w:bCs/>
          <w:iCs/>
          <w:lang w:val="en-US"/>
        </w:rPr>
        <w:t>.</w:t>
      </w:r>
      <w:r w:rsidR="007F7177">
        <w:rPr>
          <w:rFonts w:ascii="Garamond" w:hAnsi="Garamond" w:cs="Devanagari Sangam MN"/>
          <w:bCs/>
          <w:iCs/>
          <w:lang w:val="en-US"/>
        </w:rPr>
        <w:t xml:space="preserve"> At times in which these two poles (SOGI and FoRB) are seen as difficult to reconcile, as the call aptly notes, illustrating the potential for queer and religious group</w:t>
      </w:r>
      <w:r w:rsidR="000100F9">
        <w:rPr>
          <w:rFonts w:ascii="Garamond" w:hAnsi="Garamond" w:cs="Devanagari Sangam MN"/>
          <w:bCs/>
          <w:iCs/>
          <w:lang w:val="en-US"/>
        </w:rPr>
        <w:t>s</w:t>
      </w:r>
      <w:r w:rsidR="007F7177">
        <w:rPr>
          <w:rFonts w:ascii="Garamond" w:hAnsi="Garamond" w:cs="Devanagari Sangam MN"/>
          <w:bCs/>
          <w:iCs/>
          <w:lang w:val="en-US"/>
        </w:rPr>
        <w:t xml:space="preserve"> to work together </w:t>
      </w:r>
      <w:r w:rsidR="007F7177" w:rsidRPr="0055032D">
        <w:rPr>
          <w:rFonts w:ascii="Garamond" w:hAnsi="Garamond" w:cs="Devanagari Sangam MN"/>
          <w:bCs/>
          <w:iCs/>
          <w:lang w:val="en-US"/>
        </w:rPr>
        <w:t>embod</w:t>
      </w:r>
      <w:r w:rsidR="007F7177">
        <w:rPr>
          <w:rFonts w:ascii="Garamond" w:hAnsi="Garamond" w:cs="Devanagari Sangam MN"/>
          <w:bCs/>
          <w:iCs/>
          <w:lang w:val="en-US"/>
        </w:rPr>
        <w:t>ies</w:t>
      </w:r>
      <w:r w:rsidR="007F7177" w:rsidRPr="0055032D">
        <w:rPr>
          <w:rFonts w:ascii="Garamond" w:hAnsi="Garamond" w:cs="Devanagari Sangam MN"/>
          <w:bCs/>
          <w:iCs/>
          <w:lang w:val="en-US"/>
        </w:rPr>
        <w:t xml:space="preserve"> a worthwhile potential not only to recalibrate state policy but also to reduce corrosive social and political tensions looming over increasingly fragile societies</w:t>
      </w:r>
      <w:r w:rsidR="007F7177">
        <w:rPr>
          <w:rFonts w:ascii="Garamond" w:hAnsi="Garamond" w:cs="Devanagari Sangam MN"/>
          <w:bCs/>
          <w:iCs/>
          <w:lang w:val="en-US"/>
        </w:rPr>
        <w:t>.</w:t>
      </w:r>
    </w:p>
    <w:p w14:paraId="3D6A5489" w14:textId="3339E1CA" w:rsidR="00F51D32" w:rsidRPr="0055032D" w:rsidRDefault="00F51D32" w:rsidP="0055032D">
      <w:pPr>
        <w:rPr>
          <w:rFonts w:ascii="Garamond" w:hAnsi="Garamond" w:cs="Devanagari Sangam MN"/>
          <w:bCs/>
          <w:iCs/>
          <w:lang w:val="en-US"/>
        </w:rPr>
      </w:pPr>
    </w:p>
    <w:p w14:paraId="4E97C9F0" w14:textId="38590E66" w:rsidR="00F51D32" w:rsidRPr="0055032D" w:rsidRDefault="00F51D32" w:rsidP="0055032D">
      <w:pPr>
        <w:rPr>
          <w:rFonts w:ascii="Garamond" w:hAnsi="Garamond" w:cs="Devanagari Sangam MN"/>
          <w:bCs/>
          <w:iCs/>
          <w:lang w:val="en-US"/>
        </w:rPr>
      </w:pPr>
      <w:r w:rsidRPr="0055032D">
        <w:rPr>
          <w:rFonts w:ascii="Garamond" w:hAnsi="Garamond" w:cs="Devanagari Sangam MN"/>
          <w:bCs/>
          <w:iCs/>
          <w:lang w:val="en-US"/>
        </w:rPr>
        <w:t xml:space="preserve">We </w:t>
      </w:r>
      <w:r w:rsidR="001A1B40" w:rsidRPr="0055032D">
        <w:rPr>
          <w:rFonts w:ascii="Garamond" w:hAnsi="Garamond" w:cs="Devanagari Sangam MN"/>
          <w:bCs/>
          <w:iCs/>
          <w:lang w:val="en-US"/>
        </w:rPr>
        <w:t>are</w:t>
      </w:r>
      <w:r w:rsidRPr="0055032D">
        <w:rPr>
          <w:rFonts w:ascii="Garamond" w:hAnsi="Garamond" w:cs="Devanagari Sangam MN"/>
          <w:bCs/>
          <w:iCs/>
          <w:lang w:val="en-US"/>
        </w:rPr>
        <w:t xml:space="preserve"> available to provide additional information and material.</w:t>
      </w:r>
    </w:p>
    <w:p w14:paraId="4F466F95" w14:textId="5C339473" w:rsidR="00F51D32" w:rsidRPr="0055032D" w:rsidRDefault="00F51D32" w:rsidP="0055032D">
      <w:pPr>
        <w:rPr>
          <w:rFonts w:ascii="Garamond" w:hAnsi="Garamond" w:cs="Devanagari Sangam MN"/>
          <w:bCs/>
          <w:iCs/>
          <w:lang w:val="en-US"/>
        </w:rPr>
      </w:pPr>
    </w:p>
    <w:p w14:paraId="41D2DA24" w14:textId="6E1B6B71" w:rsidR="00F51D32" w:rsidRPr="0055032D" w:rsidRDefault="00F51D32" w:rsidP="0055032D">
      <w:pPr>
        <w:rPr>
          <w:rFonts w:ascii="Garamond" w:hAnsi="Garamond" w:cs="Devanagari Sangam MN"/>
          <w:bCs/>
          <w:iCs/>
          <w:lang w:val="en-US"/>
        </w:rPr>
      </w:pPr>
      <w:r w:rsidRPr="0055032D">
        <w:rPr>
          <w:rFonts w:ascii="Garamond" w:hAnsi="Garamond" w:cs="Devanagari Sangam MN"/>
          <w:bCs/>
          <w:iCs/>
          <w:lang w:val="en-US"/>
        </w:rPr>
        <w:t>Best wishes,</w:t>
      </w:r>
    </w:p>
    <w:p w14:paraId="2CF5CF61" w14:textId="6D21837E" w:rsidR="00F51D32" w:rsidRPr="0055032D" w:rsidRDefault="00F51D32" w:rsidP="0055032D">
      <w:pPr>
        <w:rPr>
          <w:rFonts w:ascii="Garamond" w:hAnsi="Garamond" w:cs="Devanagari Sangam MN"/>
          <w:bCs/>
          <w:iCs/>
          <w:lang w:val="en-US"/>
        </w:rPr>
      </w:pPr>
    </w:p>
    <w:p w14:paraId="39BE6F03" w14:textId="595E114C" w:rsidR="00F51D32" w:rsidRPr="0055032D" w:rsidRDefault="00F51D32" w:rsidP="0055032D">
      <w:pPr>
        <w:rPr>
          <w:rFonts w:ascii="Garamond" w:hAnsi="Garamond" w:cs="Devanagari Sangam MN"/>
          <w:bCs/>
          <w:iCs/>
          <w:lang w:val="en-US"/>
        </w:rPr>
      </w:pPr>
      <w:r w:rsidRPr="0055032D">
        <w:rPr>
          <w:rFonts w:ascii="Garamond" w:hAnsi="Garamond" w:cs="Devanagari Sangam MN"/>
          <w:bCs/>
          <w:iCs/>
          <w:noProof/>
          <w:lang w:val="en-US"/>
        </w:rPr>
        <w:drawing>
          <wp:inline distT="0" distB="0" distL="0" distR="0" wp14:anchorId="08CA6522" wp14:editId="546765C7">
            <wp:extent cx="1576974" cy="334229"/>
            <wp:effectExtent l="0" t="0" r="0" b="0"/>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8130" cy="340832"/>
                    </a:xfrm>
                    <a:prstGeom prst="rect">
                      <a:avLst/>
                    </a:prstGeom>
                  </pic:spPr>
                </pic:pic>
              </a:graphicData>
            </a:graphic>
          </wp:inline>
        </w:drawing>
      </w:r>
    </w:p>
    <w:p w14:paraId="1A109A7E" w14:textId="499E5297" w:rsidR="0003634D" w:rsidRDefault="004A561A" w:rsidP="007914A6">
      <w:pPr>
        <w:rPr>
          <w:rFonts w:ascii="Garamond" w:hAnsi="Garamond" w:cs="Devanagari Sangam MN"/>
          <w:bCs/>
          <w:iCs/>
          <w:lang w:val="en-US"/>
        </w:rPr>
      </w:pPr>
      <w:r w:rsidRPr="0055032D">
        <w:rPr>
          <w:rFonts w:ascii="Garamond" w:hAnsi="Garamond" w:cs="Devanagari Sangam MN"/>
          <w:bCs/>
          <w:iCs/>
          <w:lang w:val="en-US"/>
        </w:rPr>
        <w:t xml:space="preserve"> </w:t>
      </w:r>
    </w:p>
    <w:p w14:paraId="3969647A" w14:textId="77777777" w:rsidR="00A97580" w:rsidRDefault="00A97580" w:rsidP="0055032D">
      <w:pPr>
        <w:rPr>
          <w:rFonts w:ascii="Garamond" w:hAnsi="Garamond" w:cs="Devanagari Sangam MN"/>
          <w:bCs/>
          <w:iCs/>
          <w:lang w:val="en-US"/>
        </w:rPr>
      </w:pPr>
      <w:r>
        <w:rPr>
          <w:rFonts w:ascii="Garamond" w:hAnsi="Garamond" w:cs="Devanagari Sangam MN"/>
          <w:bCs/>
          <w:iCs/>
          <w:lang w:val="en-US"/>
        </w:rPr>
        <w:t>Assistant Professor</w:t>
      </w:r>
    </w:p>
    <w:p w14:paraId="19935278" w14:textId="2D1929E8" w:rsidR="00A97580" w:rsidRPr="0055032D" w:rsidRDefault="00A97580" w:rsidP="0055032D">
      <w:pPr>
        <w:rPr>
          <w:rFonts w:ascii="Garamond" w:hAnsi="Garamond" w:cs="Devanagari Sangam MN"/>
          <w:bCs/>
          <w:iCs/>
          <w:lang w:val="en-US"/>
        </w:rPr>
      </w:pPr>
      <w:r>
        <w:rPr>
          <w:rFonts w:ascii="Garamond" w:hAnsi="Garamond" w:cs="Devanagari Sangam MN"/>
          <w:bCs/>
          <w:iCs/>
          <w:lang w:val="en-US"/>
        </w:rPr>
        <w:t>NOVA School of Law</w:t>
      </w:r>
    </w:p>
    <w:p w14:paraId="2BE42ACF" w14:textId="77777777" w:rsidR="006B09ED" w:rsidRDefault="006B09ED" w:rsidP="00A114B6">
      <w:pPr>
        <w:rPr>
          <w:rFonts w:ascii="Garamond" w:hAnsi="Garamond" w:cs="Devanagari Sangam MN"/>
          <w:bCs/>
          <w:lang w:val="en-US"/>
        </w:rPr>
      </w:pPr>
    </w:p>
    <w:p w14:paraId="480E3F7F" w14:textId="0E107B10" w:rsidR="007914A6" w:rsidRPr="0055032D" w:rsidRDefault="007914A6" w:rsidP="00A114B6">
      <w:pPr>
        <w:rPr>
          <w:rFonts w:ascii="Garamond" w:hAnsi="Garamond" w:cs="Devanagari Sangam MN"/>
          <w:bCs/>
          <w:lang w:val="en-US"/>
        </w:rPr>
      </w:pPr>
      <w:r>
        <w:rPr>
          <w:rFonts w:ascii="Garamond" w:hAnsi="Garamond" w:cs="Devanagari Sangam MN"/>
          <w:bCs/>
          <w:iCs/>
          <w:noProof/>
          <w:lang w:val="en-US"/>
        </w:rPr>
        <w:drawing>
          <wp:inline distT="0" distB="0" distL="0" distR="0" wp14:anchorId="294DC19F" wp14:editId="03F72C68">
            <wp:extent cx="1169670" cy="659349"/>
            <wp:effectExtent l="0" t="0" r="0" b="762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11" cstate="print">
                      <a:alphaModFix amt="70000"/>
                      <a:extLst>
                        <a:ext uri="{BEBA8EAE-BF5A-486C-A8C5-ECC9F3942E4B}">
                          <a14:imgProps xmlns:a14="http://schemas.microsoft.com/office/drawing/2010/main">
                            <a14:imgLayer r:embed="rId12">
                              <a14:imgEffect>
                                <a14:colorTemperature colorTemp="8501"/>
                              </a14:imgEffect>
                              <a14:imgEffect>
                                <a14:saturation sat="4000"/>
                              </a14:imgEffect>
                              <a14:imgEffect>
                                <a14:brightnessContrast contrast="71000"/>
                              </a14:imgEffect>
                            </a14:imgLayer>
                          </a14:imgProps>
                        </a:ext>
                        <a:ext uri="{28A0092B-C50C-407E-A947-70E740481C1C}">
                          <a14:useLocalDpi xmlns:a14="http://schemas.microsoft.com/office/drawing/2010/main" val="0"/>
                        </a:ext>
                      </a:extLst>
                    </a:blip>
                    <a:stretch>
                      <a:fillRect/>
                    </a:stretch>
                  </pic:blipFill>
                  <pic:spPr>
                    <a:xfrm>
                      <a:off x="0" y="0"/>
                      <a:ext cx="1184963" cy="667970"/>
                    </a:xfrm>
                    <a:prstGeom prst="rect">
                      <a:avLst/>
                    </a:prstGeom>
                  </pic:spPr>
                </pic:pic>
              </a:graphicData>
            </a:graphic>
          </wp:inline>
        </w:drawing>
      </w:r>
    </w:p>
    <w:p w14:paraId="64AF42EE" w14:textId="5208DF7E" w:rsidR="00887DD8" w:rsidRPr="0055032D" w:rsidRDefault="006B09ED" w:rsidP="00A114B6">
      <w:pPr>
        <w:rPr>
          <w:rFonts w:ascii="Garamond" w:hAnsi="Garamond" w:cs="Devanagari Sangam MN"/>
          <w:lang w:val="en-GB"/>
        </w:rPr>
      </w:pPr>
      <w:r w:rsidRPr="0055032D">
        <w:rPr>
          <w:rFonts w:ascii="Garamond" w:hAnsi="Garamond" w:cs="Devanagari Sangam MN"/>
          <w:lang w:val="en-GB"/>
        </w:rPr>
        <w:t xml:space="preserve"> </w:t>
      </w:r>
    </w:p>
    <w:p w14:paraId="38971A8E" w14:textId="3934EBB8" w:rsidR="00887DD8" w:rsidRPr="007F7177" w:rsidRDefault="007914A6" w:rsidP="00A114B6">
      <w:pPr>
        <w:rPr>
          <w:rFonts w:ascii="Garamond" w:hAnsi="Garamond"/>
          <w:lang w:val="en-US"/>
        </w:rPr>
      </w:pPr>
      <w:r w:rsidRPr="007F7177">
        <w:rPr>
          <w:rFonts w:ascii="Garamond" w:hAnsi="Garamond"/>
          <w:lang w:val="en-US"/>
        </w:rPr>
        <w:t>Senior Fellow</w:t>
      </w:r>
    </w:p>
    <w:p w14:paraId="76D35E4C" w14:textId="0C4A233B" w:rsidR="007914A6" w:rsidRPr="007F7177" w:rsidRDefault="007914A6" w:rsidP="00A114B6">
      <w:pPr>
        <w:rPr>
          <w:rFonts w:ascii="Garamond" w:hAnsi="Garamond"/>
          <w:lang w:val="en-US"/>
        </w:rPr>
      </w:pPr>
      <w:r w:rsidRPr="007F7177">
        <w:rPr>
          <w:rFonts w:ascii="Garamond" w:hAnsi="Garamond"/>
          <w:lang w:val="en-US"/>
        </w:rPr>
        <w:t>Melbourne Law School</w:t>
      </w:r>
    </w:p>
    <w:p w14:paraId="680567E0" w14:textId="77777777" w:rsidR="00887DD8" w:rsidRDefault="00887DD8" w:rsidP="00A114B6">
      <w:pPr>
        <w:rPr>
          <w:rFonts w:ascii="Garamond" w:hAnsi="Garamond"/>
          <w:b/>
          <w:bCs/>
        </w:rPr>
      </w:pPr>
    </w:p>
    <w:p w14:paraId="4313AB85" w14:textId="3C4DF902" w:rsidR="0045091E" w:rsidRPr="007F7177" w:rsidRDefault="0045091E" w:rsidP="00A114B6">
      <w:pPr>
        <w:rPr>
          <w:rFonts w:ascii="Garamond" w:hAnsi="Garamond"/>
          <w:lang w:val="en-US"/>
        </w:rPr>
      </w:pPr>
      <w:r w:rsidRPr="007F7177">
        <w:rPr>
          <w:rFonts w:ascii="Garamond" w:hAnsi="Garamond"/>
          <w:lang w:val="en-US"/>
        </w:rPr>
        <w:t>1</w:t>
      </w:r>
      <w:r w:rsidR="00A03097">
        <w:rPr>
          <w:rFonts w:ascii="Garamond" w:hAnsi="Garamond"/>
          <w:lang w:val="en-US"/>
        </w:rPr>
        <w:t>2</w:t>
      </w:r>
      <w:r w:rsidRPr="007F7177">
        <w:rPr>
          <w:rFonts w:ascii="Garamond" w:hAnsi="Garamond"/>
          <w:lang w:val="en-US"/>
        </w:rPr>
        <w:t xml:space="preserve"> January 2023</w:t>
      </w:r>
    </w:p>
    <w:sectPr w:rsidR="0045091E" w:rsidRPr="007F717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62870" w14:textId="77777777" w:rsidR="00661EB4" w:rsidRDefault="00661EB4" w:rsidP="006B09ED">
      <w:r>
        <w:separator/>
      </w:r>
    </w:p>
  </w:endnote>
  <w:endnote w:type="continuationSeparator" w:id="0">
    <w:p w14:paraId="28356463" w14:textId="77777777" w:rsidR="00661EB4" w:rsidRDefault="00661EB4" w:rsidP="006B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Devanagari Sangam MN">
    <w:panose1 w:val="02000000000000000000"/>
    <w:charset w:val="00"/>
    <w:family w:val="auto"/>
    <w:pitch w:val="variable"/>
    <w:sig w:usb0="80008003" w:usb1="00002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1"/>
        <w:szCs w:val="21"/>
      </w:rPr>
      <w:id w:val="-1310939473"/>
      <w:docPartObj>
        <w:docPartGallery w:val="Page Numbers (Bottom of Page)"/>
        <w:docPartUnique/>
      </w:docPartObj>
    </w:sdtPr>
    <w:sdtEndPr>
      <w:rPr>
        <w:noProof/>
      </w:rPr>
    </w:sdtEndPr>
    <w:sdtContent>
      <w:p w14:paraId="190500F0" w14:textId="6363604F" w:rsidR="00CC0264" w:rsidRPr="000100F9" w:rsidRDefault="00CC0264">
        <w:pPr>
          <w:pStyle w:val="Footer"/>
          <w:jc w:val="center"/>
          <w:rPr>
            <w:rFonts w:ascii="Garamond" w:hAnsi="Garamond"/>
            <w:sz w:val="21"/>
            <w:szCs w:val="21"/>
          </w:rPr>
        </w:pPr>
        <w:r w:rsidRPr="000100F9">
          <w:rPr>
            <w:rFonts w:ascii="Garamond" w:hAnsi="Garamond"/>
            <w:sz w:val="21"/>
            <w:szCs w:val="21"/>
          </w:rPr>
          <w:fldChar w:fldCharType="begin"/>
        </w:r>
        <w:r w:rsidRPr="000100F9">
          <w:rPr>
            <w:rFonts w:ascii="Garamond" w:hAnsi="Garamond"/>
            <w:sz w:val="21"/>
            <w:szCs w:val="21"/>
          </w:rPr>
          <w:instrText xml:space="preserve"> PAGE   \* MERGEFORMAT </w:instrText>
        </w:r>
        <w:r w:rsidRPr="000100F9">
          <w:rPr>
            <w:rFonts w:ascii="Garamond" w:hAnsi="Garamond"/>
            <w:sz w:val="21"/>
            <w:szCs w:val="21"/>
          </w:rPr>
          <w:fldChar w:fldCharType="separate"/>
        </w:r>
        <w:r w:rsidRPr="000100F9">
          <w:rPr>
            <w:rFonts w:ascii="Garamond" w:hAnsi="Garamond"/>
            <w:noProof/>
            <w:sz w:val="21"/>
            <w:szCs w:val="21"/>
          </w:rPr>
          <w:t>2</w:t>
        </w:r>
        <w:r w:rsidRPr="000100F9">
          <w:rPr>
            <w:rFonts w:ascii="Garamond" w:hAnsi="Garamond"/>
            <w:noProof/>
            <w:sz w:val="21"/>
            <w:szCs w:val="21"/>
          </w:rPr>
          <w:fldChar w:fldCharType="end"/>
        </w:r>
      </w:p>
    </w:sdtContent>
  </w:sdt>
  <w:p w14:paraId="16516175" w14:textId="77777777" w:rsidR="00CC0264" w:rsidRDefault="00CC0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FCB5" w14:textId="77777777" w:rsidR="00661EB4" w:rsidRDefault="00661EB4" w:rsidP="006B09ED">
      <w:r>
        <w:separator/>
      </w:r>
    </w:p>
  </w:footnote>
  <w:footnote w:type="continuationSeparator" w:id="0">
    <w:p w14:paraId="68EF9AFA" w14:textId="77777777" w:rsidR="00661EB4" w:rsidRDefault="00661EB4" w:rsidP="006B0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A4169"/>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38F19FA"/>
    <w:multiLevelType w:val="hybridMultilevel"/>
    <w:tmpl w:val="79BCA7AE"/>
    <w:lvl w:ilvl="0" w:tplc="0809000F">
      <w:start w:val="1"/>
      <w:numFmt w:val="decimal"/>
      <w:lvlText w:val="%1."/>
      <w:lvlJc w:val="left"/>
      <w:pPr>
        <w:ind w:left="720" w:hanging="360"/>
      </w:pPr>
    </w:lvl>
    <w:lvl w:ilvl="1" w:tplc="7310B42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7115277">
    <w:abstractNumId w:val="1"/>
  </w:num>
  <w:num w:numId="2" w16cid:durableId="493033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D8"/>
    <w:rsid w:val="000100F9"/>
    <w:rsid w:val="00033F6E"/>
    <w:rsid w:val="0003634D"/>
    <w:rsid w:val="00050DFC"/>
    <w:rsid w:val="00056DC7"/>
    <w:rsid w:val="00072747"/>
    <w:rsid w:val="00093E08"/>
    <w:rsid w:val="000D2603"/>
    <w:rsid w:val="000D40B4"/>
    <w:rsid w:val="000D6C88"/>
    <w:rsid w:val="000F52AC"/>
    <w:rsid w:val="00110622"/>
    <w:rsid w:val="00113B4F"/>
    <w:rsid w:val="0011501D"/>
    <w:rsid w:val="001665A3"/>
    <w:rsid w:val="00167D06"/>
    <w:rsid w:val="00184435"/>
    <w:rsid w:val="0018597F"/>
    <w:rsid w:val="00191076"/>
    <w:rsid w:val="001A1B40"/>
    <w:rsid w:val="001D0786"/>
    <w:rsid w:val="001D6497"/>
    <w:rsid w:val="001E4EF3"/>
    <w:rsid w:val="002272E9"/>
    <w:rsid w:val="0025255C"/>
    <w:rsid w:val="002B648B"/>
    <w:rsid w:val="002F75EB"/>
    <w:rsid w:val="00315251"/>
    <w:rsid w:val="00364858"/>
    <w:rsid w:val="00376F84"/>
    <w:rsid w:val="00395E2E"/>
    <w:rsid w:val="00396B9D"/>
    <w:rsid w:val="004055B6"/>
    <w:rsid w:val="004108C0"/>
    <w:rsid w:val="004129BF"/>
    <w:rsid w:val="00421464"/>
    <w:rsid w:val="0045091E"/>
    <w:rsid w:val="0046404C"/>
    <w:rsid w:val="004A561A"/>
    <w:rsid w:val="004C194E"/>
    <w:rsid w:val="00514187"/>
    <w:rsid w:val="00542C93"/>
    <w:rsid w:val="0055032D"/>
    <w:rsid w:val="00566426"/>
    <w:rsid w:val="00572E02"/>
    <w:rsid w:val="0058620F"/>
    <w:rsid w:val="005D0A2E"/>
    <w:rsid w:val="00610259"/>
    <w:rsid w:val="00625337"/>
    <w:rsid w:val="00661EB4"/>
    <w:rsid w:val="006844E5"/>
    <w:rsid w:val="006A45C7"/>
    <w:rsid w:val="006B09ED"/>
    <w:rsid w:val="006C288F"/>
    <w:rsid w:val="006E0DAB"/>
    <w:rsid w:val="0070363C"/>
    <w:rsid w:val="007641A7"/>
    <w:rsid w:val="00775CFE"/>
    <w:rsid w:val="007914A6"/>
    <w:rsid w:val="0079505F"/>
    <w:rsid w:val="007C1D2F"/>
    <w:rsid w:val="007D5E98"/>
    <w:rsid w:val="007E3484"/>
    <w:rsid w:val="007E546D"/>
    <w:rsid w:val="007F7177"/>
    <w:rsid w:val="00812CBD"/>
    <w:rsid w:val="00846322"/>
    <w:rsid w:val="00873698"/>
    <w:rsid w:val="00887DD8"/>
    <w:rsid w:val="008A0D9A"/>
    <w:rsid w:val="008E61A6"/>
    <w:rsid w:val="009443E4"/>
    <w:rsid w:val="00947BB7"/>
    <w:rsid w:val="00956361"/>
    <w:rsid w:val="00965293"/>
    <w:rsid w:val="00975B0D"/>
    <w:rsid w:val="00A03097"/>
    <w:rsid w:val="00A114B6"/>
    <w:rsid w:val="00A15ED9"/>
    <w:rsid w:val="00A67019"/>
    <w:rsid w:val="00A96018"/>
    <w:rsid w:val="00A97580"/>
    <w:rsid w:val="00AB27E3"/>
    <w:rsid w:val="00AE101B"/>
    <w:rsid w:val="00B26BA7"/>
    <w:rsid w:val="00B573D7"/>
    <w:rsid w:val="00BB33C6"/>
    <w:rsid w:val="00BD6CE4"/>
    <w:rsid w:val="00BF4559"/>
    <w:rsid w:val="00C015E2"/>
    <w:rsid w:val="00C04489"/>
    <w:rsid w:val="00C16B83"/>
    <w:rsid w:val="00C17B8F"/>
    <w:rsid w:val="00C2119A"/>
    <w:rsid w:val="00C2294B"/>
    <w:rsid w:val="00C25558"/>
    <w:rsid w:val="00C55716"/>
    <w:rsid w:val="00C60EA6"/>
    <w:rsid w:val="00C75E52"/>
    <w:rsid w:val="00C95E8D"/>
    <w:rsid w:val="00CC0264"/>
    <w:rsid w:val="00CC3C82"/>
    <w:rsid w:val="00CE2B71"/>
    <w:rsid w:val="00CF0B5A"/>
    <w:rsid w:val="00CF5A8F"/>
    <w:rsid w:val="00D63CC7"/>
    <w:rsid w:val="00D80A9A"/>
    <w:rsid w:val="00D91F9D"/>
    <w:rsid w:val="00E20462"/>
    <w:rsid w:val="00E2493A"/>
    <w:rsid w:val="00E36770"/>
    <w:rsid w:val="00E47752"/>
    <w:rsid w:val="00E609D7"/>
    <w:rsid w:val="00E75A3B"/>
    <w:rsid w:val="00EA4A9D"/>
    <w:rsid w:val="00EB1436"/>
    <w:rsid w:val="00EB796D"/>
    <w:rsid w:val="00EC0C9B"/>
    <w:rsid w:val="00EE2DB0"/>
    <w:rsid w:val="00F07102"/>
    <w:rsid w:val="00F0771B"/>
    <w:rsid w:val="00F257ED"/>
    <w:rsid w:val="00F31BA4"/>
    <w:rsid w:val="00F51D32"/>
    <w:rsid w:val="00F76960"/>
    <w:rsid w:val="00F76C11"/>
    <w:rsid w:val="00F8117A"/>
    <w:rsid w:val="00F83F40"/>
    <w:rsid w:val="00FD5303"/>
    <w:rsid w:val="00FD577C"/>
  </w:rsids>
  <m:mathPr>
    <m:mathFont m:val="Cambria Math"/>
    <m:brkBin m:val="before"/>
    <m:brkBinSub m:val="--"/>
    <m:smallFrac m:val="0"/>
    <m:dispDef/>
    <m:lMargin m:val="0"/>
    <m:rMargin m:val="0"/>
    <m:defJc m:val="centerGroup"/>
    <m:wrapIndent m:val="1440"/>
    <m:intLim m:val="subSup"/>
    <m:naryLim m:val="undOvr"/>
  </m:mathPr>
  <w:themeFontLang w:val="en-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056D"/>
  <w15:chartTrackingRefBased/>
  <w15:docId w15:val="{83725F1C-5588-3847-9424-6F7C82E2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DD8"/>
    <w:pPr>
      <w:ind w:left="720"/>
      <w:contextualSpacing/>
    </w:pPr>
    <w:rPr>
      <w:lang w:val="en-US"/>
    </w:rPr>
  </w:style>
  <w:style w:type="paragraph" w:styleId="EndnoteText">
    <w:name w:val="endnote text"/>
    <w:basedOn w:val="Normal"/>
    <w:link w:val="EndnoteTextChar"/>
    <w:uiPriority w:val="99"/>
    <w:unhideWhenUsed/>
    <w:rsid w:val="006B09ED"/>
    <w:rPr>
      <w:sz w:val="20"/>
      <w:szCs w:val="20"/>
      <w:lang w:val="it-IT"/>
    </w:rPr>
  </w:style>
  <w:style w:type="character" w:customStyle="1" w:styleId="EndnoteTextChar">
    <w:name w:val="Endnote Text Char"/>
    <w:basedOn w:val="DefaultParagraphFont"/>
    <w:link w:val="EndnoteText"/>
    <w:uiPriority w:val="99"/>
    <w:rsid w:val="006B09ED"/>
    <w:rPr>
      <w:sz w:val="20"/>
      <w:szCs w:val="20"/>
      <w:lang w:val="it-IT"/>
    </w:rPr>
  </w:style>
  <w:style w:type="character" w:styleId="EndnoteReference">
    <w:name w:val="endnote reference"/>
    <w:basedOn w:val="DefaultParagraphFont"/>
    <w:uiPriority w:val="99"/>
    <w:semiHidden/>
    <w:unhideWhenUsed/>
    <w:rsid w:val="006B09ED"/>
    <w:rPr>
      <w:vertAlign w:val="superscript"/>
    </w:rPr>
  </w:style>
  <w:style w:type="paragraph" w:styleId="Revision">
    <w:name w:val="Revision"/>
    <w:hidden/>
    <w:uiPriority w:val="99"/>
    <w:semiHidden/>
    <w:rsid w:val="00FD577C"/>
  </w:style>
  <w:style w:type="paragraph" w:styleId="Header">
    <w:name w:val="header"/>
    <w:basedOn w:val="Normal"/>
    <w:link w:val="HeaderChar"/>
    <w:uiPriority w:val="99"/>
    <w:unhideWhenUsed/>
    <w:rsid w:val="00CC0264"/>
    <w:pPr>
      <w:tabs>
        <w:tab w:val="center" w:pos="4680"/>
        <w:tab w:val="right" w:pos="9360"/>
      </w:tabs>
    </w:pPr>
  </w:style>
  <w:style w:type="character" w:customStyle="1" w:styleId="HeaderChar">
    <w:name w:val="Header Char"/>
    <w:basedOn w:val="DefaultParagraphFont"/>
    <w:link w:val="Header"/>
    <w:uiPriority w:val="99"/>
    <w:rsid w:val="00CC0264"/>
  </w:style>
  <w:style w:type="paragraph" w:styleId="Footer">
    <w:name w:val="footer"/>
    <w:basedOn w:val="Normal"/>
    <w:link w:val="FooterChar"/>
    <w:uiPriority w:val="99"/>
    <w:unhideWhenUsed/>
    <w:rsid w:val="00CC0264"/>
    <w:pPr>
      <w:tabs>
        <w:tab w:val="center" w:pos="4680"/>
        <w:tab w:val="right" w:pos="9360"/>
      </w:tabs>
    </w:pPr>
  </w:style>
  <w:style w:type="character" w:customStyle="1" w:styleId="FooterChar">
    <w:name w:val="Footer Char"/>
    <w:basedOn w:val="DefaultParagraphFont"/>
    <w:link w:val="Footer"/>
    <w:uiPriority w:val="99"/>
    <w:rsid w:val="00CC0264"/>
  </w:style>
  <w:style w:type="character" w:styleId="CommentReference">
    <w:name w:val="annotation reference"/>
    <w:basedOn w:val="DefaultParagraphFont"/>
    <w:uiPriority w:val="99"/>
    <w:semiHidden/>
    <w:unhideWhenUsed/>
    <w:rsid w:val="0055032D"/>
    <w:rPr>
      <w:sz w:val="16"/>
      <w:szCs w:val="16"/>
    </w:rPr>
  </w:style>
  <w:style w:type="paragraph" w:styleId="CommentText">
    <w:name w:val="annotation text"/>
    <w:basedOn w:val="Normal"/>
    <w:link w:val="CommentTextChar"/>
    <w:uiPriority w:val="99"/>
    <w:semiHidden/>
    <w:unhideWhenUsed/>
    <w:rsid w:val="0055032D"/>
    <w:rPr>
      <w:sz w:val="20"/>
      <w:szCs w:val="20"/>
    </w:rPr>
  </w:style>
  <w:style w:type="character" w:customStyle="1" w:styleId="CommentTextChar">
    <w:name w:val="Comment Text Char"/>
    <w:basedOn w:val="DefaultParagraphFont"/>
    <w:link w:val="CommentText"/>
    <w:uiPriority w:val="99"/>
    <w:semiHidden/>
    <w:rsid w:val="0055032D"/>
    <w:rPr>
      <w:sz w:val="20"/>
      <w:szCs w:val="20"/>
    </w:rPr>
  </w:style>
  <w:style w:type="paragraph" w:styleId="CommentSubject">
    <w:name w:val="annotation subject"/>
    <w:basedOn w:val="CommentText"/>
    <w:next w:val="CommentText"/>
    <w:link w:val="CommentSubjectChar"/>
    <w:uiPriority w:val="99"/>
    <w:semiHidden/>
    <w:unhideWhenUsed/>
    <w:rsid w:val="0055032D"/>
    <w:rPr>
      <w:b/>
      <w:bCs/>
    </w:rPr>
  </w:style>
  <w:style w:type="character" w:customStyle="1" w:styleId="CommentSubjectChar">
    <w:name w:val="Comment Subject Char"/>
    <w:basedOn w:val="CommentTextChar"/>
    <w:link w:val="CommentSubject"/>
    <w:uiPriority w:val="99"/>
    <w:semiHidden/>
    <w:rsid w:val="005503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9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input-2</Doctype>
    <Contributor xmlns="d42e65b2-cf21-49c1-b27d-d23f90380c0e">Nausica Palazzo (NOVA School of Law)</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9CC80A8D-C7E4-8343-8383-49520F5DB5A2}">
  <ds:schemaRefs>
    <ds:schemaRef ds:uri="http://schemas.openxmlformats.org/officeDocument/2006/bibliography"/>
  </ds:schemaRefs>
</ds:datastoreItem>
</file>

<file path=customXml/itemProps2.xml><?xml version="1.0" encoding="utf-8"?>
<ds:datastoreItem xmlns:ds="http://schemas.openxmlformats.org/officeDocument/2006/customXml" ds:itemID="{348DC3BD-B608-46BC-9AD8-C1A75A602180}"/>
</file>

<file path=customXml/itemProps3.xml><?xml version="1.0" encoding="utf-8"?>
<ds:datastoreItem xmlns:ds="http://schemas.openxmlformats.org/officeDocument/2006/customXml" ds:itemID="{FAC8E056-905E-4D3E-895A-9FE430C8DFC3}"/>
</file>

<file path=customXml/itemProps4.xml><?xml version="1.0" encoding="utf-8"?>
<ds:datastoreItem xmlns:ds="http://schemas.openxmlformats.org/officeDocument/2006/customXml" ds:itemID="{72120BDB-7091-4121-ABCF-4FDE72E1D5A3}"/>
</file>

<file path=docProps/app.xml><?xml version="1.0" encoding="utf-8"?>
<Properties xmlns="http://schemas.openxmlformats.org/officeDocument/2006/extended-properties" xmlns:vt="http://schemas.openxmlformats.org/officeDocument/2006/docPropsVTypes">
  <Template>Normal.dotm</Template>
  <TotalTime>1</TotalTime>
  <Pages>4</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Nausica Palazzo</dc:creator>
  <cp:keywords/>
  <dc:description/>
  <cp:lastModifiedBy>Nausica Palazzo</cp:lastModifiedBy>
  <cp:revision>3</cp:revision>
  <cp:lastPrinted>2023-01-12T10:33:00Z</cp:lastPrinted>
  <dcterms:created xsi:type="dcterms:W3CDTF">2023-01-12T10:33:00Z</dcterms:created>
  <dcterms:modified xsi:type="dcterms:W3CDTF">2023-01-12T10:37:00Z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