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FE02" w14:textId="40FC8FE4" w:rsidR="00BD758A" w:rsidRPr="00E627B3" w:rsidRDefault="00BD758A" w:rsidP="00BD758A">
      <w:pPr>
        <w:rPr>
          <w:b/>
          <w:bCs/>
          <w:color w:val="000000" w:themeColor="text1"/>
        </w:rPr>
      </w:pPr>
      <w:r w:rsidRPr="00E627B3">
        <w:rPr>
          <w:b/>
          <w:bCs/>
          <w:i/>
          <w:iCs/>
          <w:color w:val="000000" w:themeColor="text1"/>
        </w:rPr>
        <w:t>Braidwood</w:t>
      </w:r>
      <w:r w:rsidR="00992DE9">
        <w:rPr>
          <w:b/>
          <w:bCs/>
          <w:i/>
          <w:iCs/>
          <w:color w:val="000000" w:themeColor="text1"/>
        </w:rPr>
        <w:t xml:space="preserve"> v. Becerra</w:t>
      </w:r>
      <w:r w:rsidRPr="00E627B3">
        <w:rPr>
          <w:b/>
          <w:bCs/>
          <w:color w:val="000000" w:themeColor="text1"/>
        </w:rPr>
        <w:t xml:space="preserve">: </w:t>
      </w:r>
      <w:r w:rsidR="00992DE9">
        <w:rPr>
          <w:b/>
          <w:bCs/>
          <w:color w:val="000000" w:themeColor="text1"/>
        </w:rPr>
        <w:t xml:space="preserve">A U.S. Court Undermines HIV Prevention by Granting a Religious Exemption Based on Animus Toward </w:t>
      </w:r>
      <w:r w:rsidRPr="00E627B3">
        <w:rPr>
          <w:b/>
          <w:bCs/>
          <w:color w:val="000000" w:themeColor="text1"/>
        </w:rPr>
        <w:t>LGBTQ+ People</w:t>
      </w:r>
    </w:p>
    <w:p w14:paraId="7B42B281" w14:textId="77777777" w:rsidR="00BD758A" w:rsidRPr="00E627B3" w:rsidRDefault="00BD758A" w:rsidP="00BD758A">
      <w:pPr>
        <w:rPr>
          <w:color w:val="000000" w:themeColor="text1"/>
        </w:rPr>
      </w:pPr>
    </w:p>
    <w:p w14:paraId="1682102F" w14:textId="4C7A25A8" w:rsidR="00BD758A" w:rsidRPr="00E627B3" w:rsidRDefault="00BD758A" w:rsidP="00BD758A">
      <w:pPr>
        <w:rPr>
          <w:color w:val="000000" w:themeColor="text1"/>
          <w:vertAlign w:val="superscript"/>
        </w:rPr>
      </w:pPr>
      <w:r w:rsidRPr="00E627B3">
        <w:rPr>
          <w:color w:val="000000" w:themeColor="text1"/>
        </w:rPr>
        <w:t>Meredithe McNamara, MD MSc</w:t>
      </w:r>
      <w:r w:rsidRPr="00E627B3">
        <w:rPr>
          <w:color w:val="000000" w:themeColor="text1"/>
          <w:vertAlign w:val="superscript"/>
        </w:rPr>
        <w:t>1</w:t>
      </w:r>
      <w:r w:rsidRPr="00E627B3">
        <w:rPr>
          <w:color w:val="000000" w:themeColor="text1"/>
        </w:rPr>
        <w:t xml:space="preserve"> and Anne </w:t>
      </w:r>
      <w:proofErr w:type="spellStart"/>
      <w:r w:rsidRPr="00E627B3">
        <w:rPr>
          <w:color w:val="000000" w:themeColor="text1"/>
        </w:rPr>
        <w:t>Alstott</w:t>
      </w:r>
      <w:proofErr w:type="spellEnd"/>
      <w:r w:rsidRPr="00E627B3">
        <w:rPr>
          <w:color w:val="000000" w:themeColor="text1"/>
        </w:rPr>
        <w:t>, JD</w:t>
      </w:r>
      <w:r w:rsidRPr="00E627B3">
        <w:rPr>
          <w:color w:val="000000" w:themeColor="text1"/>
          <w:vertAlign w:val="superscript"/>
        </w:rPr>
        <w:t>2</w:t>
      </w:r>
    </w:p>
    <w:p w14:paraId="7E164B82" w14:textId="30A0EC4A" w:rsidR="00BD758A" w:rsidRPr="00E627B3" w:rsidRDefault="00BD758A" w:rsidP="00BD758A">
      <w:pPr>
        <w:rPr>
          <w:color w:val="000000" w:themeColor="text1"/>
        </w:rPr>
      </w:pPr>
      <w:r w:rsidRPr="00E627B3">
        <w:rPr>
          <w:color w:val="000000" w:themeColor="text1"/>
        </w:rPr>
        <w:t>1 – Yale School of Medicine</w:t>
      </w:r>
    </w:p>
    <w:p w14:paraId="2895AF0C" w14:textId="520095CC" w:rsidR="00BD758A" w:rsidRPr="00E627B3" w:rsidRDefault="00BD758A" w:rsidP="00BD758A">
      <w:pPr>
        <w:rPr>
          <w:color w:val="000000" w:themeColor="text1"/>
        </w:rPr>
      </w:pPr>
      <w:r w:rsidRPr="00E627B3">
        <w:rPr>
          <w:color w:val="000000" w:themeColor="text1"/>
        </w:rPr>
        <w:t xml:space="preserve">2 – Yale Law School </w:t>
      </w:r>
    </w:p>
    <w:p w14:paraId="0162298C" w14:textId="77777777" w:rsidR="00BD758A" w:rsidRPr="00E627B3" w:rsidRDefault="00BD758A" w:rsidP="00BD758A">
      <w:pPr>
        <w:rPr>
          <w:color w:val="000000" w:themeColor="text1"/>
        </w:rPr>
      </w:pPr>
    </w:p>
    <w:p w14:paraId="5AC07EBC" w14:textId="20D50243" w:rsidR="00BD758A" w:rsidRPr="00E627B3" w:rsidRDefault="00BD758A" w:rsidP="00BD758A">
      <w:pPr>
        <w:rPr>
          <w:color w:val="000000" w:themeColor="text1"/>
        </w:rPr>
      </w:pPr>
      <w:r w:rsidRPr="00E627B3">
        <w:rPr>
          <w:color w:val="000000" w:themeColor="text1"/>
        </w:rPr>
        <w:t xml:space="preserve">In September 2022, a federal district judge in Texas </w:t>
      </w:r>
      <w:r w:rsidR="00E627B3" w:rsidRPr="00E627B3">
        <w:rPr>
          <w:color w:val="000000" w:themeColor="text1"/>
        </w:rPr>
        <w:t xml:space="preserve">ruled in favor of a religious employer who objected to a </w:t>
      </w:r>
      <w:proofErr w:type="gramStart"/>
      <w:r w:rsidR="00E627B3" w:rsidRPr="00E627B3">
        <w:rPr>
          <w:color w:val="000000" w:themeColor="text1"/>
        </w:rPr>
        <w:t xml:space="preserve">U.S. </w:t>
      </w:r>
      <w:r w:rsidRPr="00E627B3">
        <w:rPr>
          <w:color w:val="000000" w:themeColor="text1"/>
        </w:rPr>
        <w:t>federal mandates</w:t>
      </w:r>
      <w:proofErr w:type="gramEnd"/>
      <w:r w:rsidRPr="00E627B3">
        <w:rPr>
          <w:color w:val="000000" w:themeColor="text1"/>
        </w:rPr>
        <w:t xml:space="preserve"> requiring that private insurance policies cover pre-exposure prophylaxis (PrEP), a class of drugs that prevents Human Immunodeficiency Virus (HIV).</w:t>
      </w:r>
      <w:r w:rsidRPr="00E627B3">
        <w:rPr>
          <w:rStyle w:val="FootnoteReference"/>
          <w:color w:val="000000" w:themeColor="text1"/>
        </w:rPr>
        <w:footnoteReference w:id="1"/>
      </w:r>
      <w:r w:rsidRPr="00E627B3">
        <w:rPr>
          <w:color w:val="000000" w:themeColor="text1"/>
        </w:rPr>
        <w:t xml:space="preserve"> PrEP is the most celebrated biomedical success in the global fight to end the HIV epidemic. Based on the highest quality evidence, the United States Preventive Services Task Force (PSTF) gave an “A” rating to </w:t>
      </w:r>
      <w:proofErr w:type="gramStart"/>
      <w:r w:rsidRPr="00E627B3">
        <w:rPr>
          <w:color w:val="000000" w:themeColor="text1"/>
        </w:rPr>
        <w:t>PrEP</w:t>
      </w:r>
      <w:proofErr w:type="gramEnd"/>
      <w:r w:rsidRPr="00E627B3">
        <w:rPr>
          <w:color w:val="000000" w:themeColor="text1"/>
        </w:rPr>
        <w:t xml:space="preserve"> and which federal law requires most private insurers to cover.</w:t>
      </w:r>
      <w:r w:rsidRPr="00E627B3">
        <w:rPr>
          <w:rStyle w:val="FootnoteReference"/>
          <w:color w:val="000000" w:themeColor="text1"/>
          <w:shd w:val="clear" w:color="auto" w:fill="FFFFFF"/>
        </w:rPr>
        <w:footnoteReference w:id="2"/>
      </w:r>
      <w:r w:rsidRPr="00E627B3">
        <w:rPr>
          <w:color w:val="000000" w:themeColor="text1"/>
          <w:vertAlign w:val="superscript"/>
        </w:rPr>
        <w:t>,</w:t>
      </w:r>
      <w:r w:rsidRPr="00E627B3">
        <w:rPr>
          <w:rStyle w:val="FootnoteReference"/>
          <w:color w:val="000000" w:themeColor="text1"/>
        </w:rPr>
        <w:footnoteReference w:id="3"/>
      </w:r>
      <w:r w:rsidRPr="00E627B3">
        <w:rPr>
          <w:color w:val="000000" w:themeColor="text1"/>
        </w:rPr>
        <w:t xml:space="preserve">  As of 2020, </w:t>
      </w:r>
      <w:r w:rsidR="00E627B3" w:rsidRPr="00E627B3">
        <w:rPr>
          <w:color w:val="000000" w:themeColor="text1"/>
        </w:rPr>
        <w:t xml:space="preserve">U.S. health </w:t>
      </w:r>
      <w:r w:rsidRPr="00E627B3">
        <w:rPr>
          <w:color w:val="000000" w:themeColor="text1"/>
        </w:rPr>
        <w:t>insurers were required to cover PrEP when medically indicated according to stated eligibility criteria (the “PrEP Mandate”).</w:t>
      </w:r>
      <w:r w:rsidRPr="00E627B3">
        <w:rPr>
          <w:rStyle w:val="FootnoteReference"/>
          <w:color w:val="000000" w:themeColor="text1"/>
        </w:rPr>
        <w:footnoteReference w:id="4"/>
      </w:r>
    </w:p>
    <w:p w14:paraId="32375270" w14:textId="26C4974A" w:rsidR="00BD758A" w:rsidRPr="00E627B3" w:rsidRDefault="00BD758A" w:rsidP="00BD758A">
      <w:pPr>
        <w:pStyle w:val="NormalWeb"/>
        <w:rPr>
          <w:color w:val="000000" w:themeColor="text1"/>
        </w:rPr>
      </w:pPr>
      <w:r w:rsidRPr="00E627B3">
        <w:rPr>
          <w:color w:val="000000" w:themeColor="text1"/>
        </w:rPr>
        <w:t xml:space="preserve">Despite the demonstrated benefits of PrEP, a U.S. district court in </w:t>
      </w:r>
      <w:r w:rsidRPr="00E627B3">
        <w:rPr>
          <w:i/>
          <w:iCs/>
          <w:color w:val="000000" w:themeColor="text1"/>
        </w:rPr>
        <w:t>Braidwood Management v. Becerra</w:t>
      </w:r>
      <w:r w:rsidRPr="00E627B3">
        <w:rPr>
          <w:color w:val="000000" w:themeColor="text1"/>
        </w:rPr>
        <w:t xml:space="preserve"> (</w:t>
      </w:r>
      <w:r w:rsidRPr="00E627B3">
        <w:rPr>
          <w:i/>
          <w:iCs/>
          <w:color w:val="000000" w:themeColor="text1"/>
        </w:rPr>
        <w:t>Braidwood</w:t>
      </w:r>
      <w:r w:rsidRPr="00E627B3">
        <w:rPr>
          <w:color w:val="000000" w:themeColor="text1"/>
        </w:rPr>
        <w:t xml:space="preserve">) </w:t>
      </w:r>
      <w:r w:rsidR="00E627B3" w:rsidRPr="00E627B3">
        <w:rPr>
          <w:color w:val="000000" w:themeColor="text1"/>
        </w:rPr>
        <w:t>ruled that the PrEP Mandate</w:t>
      </w:r>
      <w:r w:rsidRPr="00E627B3">
        <w:rPr>
          <w:color w:val="000000" w:themeColor="text1"/>
        </w:rPr>
        <w:t xml:space="preserve"> violates the plaintiff’s (Braidwood’s) rights under the </w:t>
      </w:r>
      <w:r w:rsidR="00E627B3" w:rsidRPr="00E627B3">
        <w:rPr>
          <w:color w:val="000000" w:themeColor="text1"/>
        </w:rPr>
        <w:t xml:space="preserve">U.S. </w:t>
      </w:r>
      <w:r w:rsidRPr="00E627B3">
        <w:rPr>
          <w:color w:val="000000" w:themeColor="text1"/>
        </w:rPr>
        <w:t>Religious Freedom Restoration Act (RFRA). The owner of Braidwood alleged that “providing coverage of PrEP drugs ‘facilitates and encourages homosexual behavior, intravenous drug use, and sexual activity outside of marriage between one man and one woman,’ and [that] providing coverage of PrEP drugs in Braidwood’s self-insured plan would make him complicit in those behaviors.”</w:t>
      </w:r>
      <w:r w:rsidRPr="00E627B3">
        <w:rPr>
          <w:rStyle w:val="FootnoteReference"/>
          <w:color w:val="000000" w:themeColor="text1"/>
        </w:rPr>
        <w:footnoteReference w:id="5"/>
      </w:r>
    </w:p>
    <w:p w14:paraId="551744EA" w14:textId="4557F105" w:rsidR="00E627B3" w:rsidRPr="001C18C4" w:rsidRDefault="00BD758A" w:rsidP="001C18C4">
      <w:pPr>
        <w:pStyle w:val="ListParagraph"/>
        <w:ind w:left="0"/>
      </w:pPr>
      <w:r w:rsidRPr="00E627B3">
        <w:rPr>
          <w:color w:val="000000" w:themeColor="text1"/>
        </w:rPr>
        <w:t xml:space="preserve">The </w:t>
      </w:r>
      <w:r w:rsidRPr="00E627B3">
        <w:rPr>
          <w:i/>
          <w:iCs/>
          <w:color w:val="000000" w:themeColor="text1"/>
        </w:rPr>
        <w:t>Braidwood</w:t>
      </w:r>
      <w:r w:rsidRPr="00E627B3">
        <w:rPr>
          <w:color w:val="000000" w:themeColor="text1"/>
        </w:rPr>
        <w:t xml:space="preserve"> decision endorses a religious exemption that is empirically unfounded, disastrously overbroad, and discriminatory. On any of three possible interpretations, the </w:t>
      </w:r>
      <w:r w:rsidRPr="00E627B3">
        <w:rPr>
          <w:i/>
          <w:iCs/>
          <w:color w:val="000000" w:themeColor="text1"/>
        </w:rPr>
        <w:t>Braidwood</w:t>
      </w:r>
      <w:r w:rsidRPr="00E627B3">
        <w:rPr>
          <w:color w:val="000000" w:themeColor="text1"/>
        </w:rPr>
        <w:t xml:space="preserve"> religious exemption, if upheld, ignores at least two compelling state interests: one in protecting public health, and one in protecting LGBTQ people from invidious stereotyping and exclusion.  The religious exemption sketched in </w:t>
      </w:r>
      <w:r w:rsidRPr="00E627B3">
        <w:rPr>
          <w:i/>
          <w:iCs/>
          <w:color w:val="000000" w:themeColor="text1"/>
        </w:rPr>
        <w:t>Braidwood</w:t>
      </w:r>
      <w:r w:rsidRPr="00E627B3">
        <w:rPr>
          <w:color w:val="000000" w:themeColor="text1"/>
        </w:rPr>
        <w:t xml:space="preserve"> is so overbroad that its logic could </w:t>
      </w:r>
      <w:r w:rsidRPr="00E627B3">
        <w:rPr>
          <w:color w:val="000000" w:themeColor="text1"/>
        </w:rPr>
        <w:lastRenderedPageBreak/>
        <w:t xml:space="preserve">justify a religious exemption to </w:t>
      </w:r>
      <w:r w:rsidRPr="00E627B3">
        <w:rPr>
          <w:i/>
          <w:iCs/>
          <w:color w:val="000000" w:themeColor="text1"/>
        </w:rPr>
        <w:t>any</w:t>
      </w:r>
      <w:r w:rsidRPr="00E627B3">
        <w:rPr>
          <w:color w:val="000000" w:themeColor="text1"/>
        </w:rPr>
        <w:t xml:space="preserve"> public health protective measure, and indeed any medical treatment of any type.</w:t>
      </w:r>
    </w:p>
    <w:p w14:paraId="450115C0" w14:textId="1E6D2242" w:rsidR="00992DE9" w:rsidRPr="00945DC4" w:rsidRDefault="00992DE9" w:rsidP="001C18C4">
      <w:pPr>
        <w:pStyle w:val="Heading1"/>
        <w:numPr>
          <w:ilvl w:val="0"/>
          <w:numId w:val="2"/>
        </w:numPr>
        <w:rPr>
          <w:color w:val="000000" w:themeColor="text1"/>
          <w:u w:val="single"/>
        </w:rPr>
      </w:pPr>
      <w:bookmarkStart w:id="0" w:name="_Toc122521627"/>
      <w:bookmarkStart w:id="1" w:name="_Toc122521838"/>
      <w:bookmarkStart w:id="2" w:name="_Toc122522059"/>
      <w:bookmarkStart w:id="3" w:name="_Toc122522397"/>
      <w:bookmarkStart w:id="4" w:name="_Toc122522485"/>
      <w:bookmarkStart w:id="5" w:name="_Toc122522624"/>
      <w:bookmarkStart w:id="6" w:name="_Toc122522674"/>
      <w:bookmarkStart w:id="7" w:name="_Toc122684471"/>
      <w:bookmarkStart w:id="8" w:name="_Toc124179166"/>
      <w:bookmarkStart w:id="9" w:name="_Toc122336634"/>
      <w:bookmarkStart w:id="10" w:name="_Toc122336763"/>
      <w:bookmarkStart w:id="11" w:name="_Toc122336824"/>
      <w:bookmarkStart w:id="12" w:name="_Toc122336941"/>
      <w:bookmarkStart w:id="13" w:name="_Toc122336981"/>
      <w:bookmarkStart w:id="14" w:name="_Toc122337027"/>
      <w:bookmarkStart w:id="15" w:name="_Toc122337154"/>
      <w:bookmarkStart w:id="16" w:name="_Toc122337360"/>
      <w:bookmarkStart w:id="17" w:name="_Toc122337555"/>
      <w:bookmarkStart w:id="18" w:name="_Toc122337676"/>
      <w:bookmarkStart w:id="19" w:name="_Toc122337728"/>
      <w:bookmarkStart w:id="20" w:name="_Toc122337812"/>
      <w:bookmarkStart w:id="21" w:name="_Toc122337966"/>
      <w:bookmarkStart w:id="22" w:name="_Toc122426312"/>
      <w:bookmarkStart w:id="23" w:name="_Toc122426381"/>
      <w:bookmarkStart w:id="24" w:name="_Toc122437966"/>
      <w:bookmarkStart w:id="25" w:name="_Toc122336636"/>
      <w:bookmarkStart w:id="26" w:name="_Toc122336765"/>
      <w:bookmarkStart w:id="27" w:name="_Toc122336826"/>
      <w:bookmarkStart w:id="28" w:name="_Toc122336943"/>
      <w:bookmarkStart w:id="29" w:name="_Toc122336983"/>
      <w:bookmarkStart w:id="30" w:name="_Toc122337029"/>
      <w:bookmarkStart w:id="31" w:name="_Toc122337156"/>
      <w:bookmarkStart w:id="32" w:name="_Toc122337361"/>
      <w:bookmarkStart w:id="33" w:name="_Toc122337557"/>
      <w:bookmarkStart w:id="34" w:name="_Toc122337678"/>
      <w:bookmarkStart w:id="35" w:name="_Toc122337730"/>
      <w:bookmarkStart w:id="36" w:name="_Toc122337814"/>
      <w:bookmarkStart w:id="37" w:name="_Toc122337967"/>
      <w:bookmarkStart w:id="38" w:name="_Toc122426313"/>
      <w:bookmarkStart w:id="39" w:name="_Toc122426382"/>
      <w:bookmarkStart w:id="40" w:name="_Toc122437967"/>
      <w:bookmarkStart w:id="41" w:name="_Toc122521630"/>
      <w:bookmarkStart w:id="42" w:name="_Toc122522399"/>
      <w:bookmarkStart w:id="43" w:name="_Toc122522487"/>
      <w:bookmarkStart w:id="44" w:name="_Toc122522625"/>
      <w:bookmarkStart w:id="45" w:name="_Toc122522675"/>
      <w:bookmarkStart w:id="46" w:name="_Toc122684472"/>
      <w:bookmarkStart w:id="47" w:name="_Toc122521841"/>
      <w:bookmarkStart w:id="48" w:name="_Toc122522062"/>
      <w:r w:rsidRPr="00945DC4">
        <w:rPr>
          <w:color w:val="000000" w:themeColor="text1"/>
        </w:rPr>
        <w:t xml:space="preserve">The </w:t>
      </w:r>
      <w:r w:rsidRPr="00945DC4">
        <w:rPr>
          <w:i/>
          <w:iCs/>
          <w:color w:val="000000" w:themeColor="text1"/>
        </w:rPr>
        <w:t>Braidwood</w:t>
      </w:r>
      <w:r w:rsidRPr="00945DC4">
        <w:rPr>
          <w:color w:val="000000" w:themeColor="text1"/>
        </w:rPr>
        <w:t xml:space="preserve"> ruling </w:t>
      </w:r>
      <w:r>
        <w:rPr>
          <w:color w:val="000000" w:themeColor="text1"/>
        </w:rPr>
        <w:t xml:space="preserve">disregards the state's compelling public interests in public health and in the full social inclusion of LGBTQ people.  </w:t>
      </w:r>
      <w:bookmarkStart w:id="49" w:name="_Toc122336635"/>
      <w:bookmarkStart w:id="50" w:name="_Toc122336764"/>
      <w:bookmarkStart w:id="51" w:name="_Toc122336825"/>
      <w:bookmarkStart w:id="52" w:name="_Toc122336942"/>
      <w:bookmarkStart w:id="53" w:name="_Toc122336982"/>
      <w:bookmarkStart w:id="54" w:name="_Toc122337028"/>
      <w:bookmarkStart w:id="55" w:name="_Toc122337155"/>
      <w:bookmarkStart w:id="56" w:name="_Toc122337556"/>
      <w:bookmarkStart w:id="57" w:name="_Toc122337677"/>
      <w:bookmarkStart w:id="58" w:name="_Toc122337729"/>
      <w:bookmarkStart w:id="59" w:name="_Toc122337813"/>
      <w:bookmarkStart w:id="60" w:name="_Toc122521628"/>
      <w:bookmarkStart w:id="61" w:name="_Toc122521839"/>
      <w:bookmarkStart w:id="62" w:name="_Toc1225220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5AC5079" w14:textId="5F0926AB" w:rsidR="00992DE9" w:rsidRDefault="00992DE9" w:rsidP="00992DE9">
      <w:pPr>
        <w:pStyle w:val="NormalWeb"/>
        <w:rPr>
          <w:color w:val="000000" w:themeColor="text1"/>
        </w:rPr>
      </w:pPr>
      <w:r w:rsidRPr="00945DC4">
        <w:rPr>
          <w:color w:val="000000" w:themeColor="text1"/>
        </w:rPr>
        <w:t xml:space="preserve">The </w:t>
      </w:r>
      <w:r w:rsidRPr="00945DC4">
        <w:rPr>
          <w:i/>
          <w:iCs/>
          <w:color w:val="000000" w:themeColor="text1"/>
        </w:rPr>
        <w:t>Braidwood</w:t>
      </w:r>
      <w:r w:rsidRPr="00945DC4">
        <w:rPr>
          <w:color w:val="000000" w:themeColor="text1"/>
        </w:rPr>
        <w:t xml:space="preserve"> decision granted a religious exception to PrEP insurance coverage based on a statute, the Religious Freedom Restoration Act (RFRA).  The business owners in </w:t>
      </w:r>
      <w:r w:rsidRPr="00945DC4">
        <w:rPr>
          <w:i/>
          <w:iCs/>
          <w:color w:val="000000" w:themeColor="text1"/>
        </w:rPr>
        <w:t>Braidwood</w:t>
      </w:r>
      <w:r w:rsidRPr="00945DC4">
        <w:rPr>
          <w:color w:val="000000" w:themeColor="text1"/>
        </w:rPr>
        <w:t xml:space="preserve"> argued that paying for PrEP violated their religious beliefs because PrEP would encourage “homosexual behavior, intravenous drug use, and sexual activity outside of marriage between one man and one woman” and make Braidwood “complicit” in those behaviors.</w:t>
      </w:r>
      <w:r w:rsidRPr="00945DC4">
        <w:rPr>
          <w:rStyle w:val="FootnoteReference"/>
          <w:color w:val="000000" w:themeColor="text1"/>
        </w:rPr>
        <w:footnoteReference w:id="6"/>
      </w:r>
      <w:r w:rsidRPr="00945DC4">
        <w:rPr>
          <w:color w:val="000000" w:themeColor="text1"/>
        </w:rPr>
        <w:t xml:space="preserve"> </w:t>
      </w:r>
    </w:p>
    <w:p w14:paraId="20A7E18A" w14:textId="6023E527" w:rsidR="00992DE9" w:rsidRPr="00945DC4" w:rsidRDefault="00992DE9" w:rsidP="00992DE9">
      <w:pPr>
        <w:pStyle w:val="NormalWeb"/>
        <w:rPr>
          <w:color w:val="000000" w:themeColor="text1"/>
        </w:rPr>
      </w:pPr>
      <w:r>
        <w:rPr>
          <w:color w:val="000000" w:themeColor="text1"/>
        </w:rPr>
        <w:t xml:space="preserve">In setting aside the state’s interest in HIV protection, the </w:t>
      </w:r>
      <w:r>
        <w:rPr>
          <w:i/>
          <w:iCs/>
          <w:color w:val="000000" w:themeColor="text1"/>
        </w:rPr>
        <w:t>Braidwood</w:t>
      </w:r>
      <w:r>
        <w:rPr>
          <w:color w:val="000000" w:themeColor="text1"/>
        </w:rPr>
        <w:t xml:space="preserve"> opinion claims that the government provided “</w:t>
      </w:r>
      <w:r>
        <w:t>no evidence of the scope of religious exemptions, the effect such exemptions would have on the insurance market or PrEP coverage, the prevalence of HIV in those communities, or any other evidence relevant 'to the marginal interest' in enforcing the PrEP mandate in these cases</w:t>
      </w:r>
      <w:r>
        <w:rPr>
          <w:color w:val="000000" w:themeColor="text1"/>
        </w:rPr>
        <w:t>."</w:t>
      </w:r>
      <w:r>
        <w:rPr>
          <w:rStyle w:val="FootnoteReference"/>
          <w:color w:val="000000" w:themeColor="text1"/>
        </w:rPr>
        <w:footnoteReference w:id="7"/>
      </w:r>
      <w:r>
        <w:rPr>
          <w:color w:val="000000" w:themeColor="text1"/>
        </w:rPr>
        <w:t xml:space="preserve"> However, rates of HIV are extremely high in Texas and the South, and the denial of insurance coverage for PrEP has been shown to reduce PrEP use.  Ignoring these facts, the </w:t>
      </w:r>
      <w:r>
        <w:rPr>
          <w:i/>
          <w:iCs/>
          <w:color w:val="000000" w:themeColor="text1"/>
        </w:rPr>
        <w:t>Braidwood</w:t>
      </w:r>
      <w:r>
        <w:rPr>
          <w:color w:val="000000" w:themeColor="text1"/>
        </w:rPr>
        <w:t xml:space="preserve"> analysis implies that granting a religious exemption to the PrEP Mandate would merely affect a few people at the margin.  </w:t>
      </w:r>
    </w:p>
    <w:p w14:paraId="4DC227BC" w14:textId="7A132BA3" w:rsidR="00992DE9" w:rsidRPr="001C18C4" w:rsidRDefault="00992DE9" w:rsidP="001C18C4">
      <w:pPr>
        <w:pStyle w:val="NormalWeb"/>
        <w:rPr>
          <w:color w:val="000000" w:themeColor="text1"/>
          <w:shd w:val="clear" w:color="auto" w:fill="FFFFFF"/>
        </w:rPr>
      </w:pPr>
      <w:r>
        <w:rPr>
          <w:color w:val="000000" w:themeColor="text1"/>
        </w:rPr>
        <w:t xml:space="preserve">In addition to the compelling interesting in preventing HIV in the entire population, the state has a compelling interest in protecting the full social inclusion of LGBTQ people and in combatting discrimination.  </w:t>
      </w:r>
      <w:r w:rsidRPr="00945DC4">
        <w:rPr>
          <w:color w:val="000000" w:themeColor="text1"/>
        </w:rPr>
        <w:t xml:space="preserve">In recent years, the Supreme Court has repeatedly struck down, as unconstitutional, statutes that </w:t>
      </w:r>
      <w:r>
        <w:rPr>
          <w:color w:val="000000" w:themeColor="text1"/>
        </w:rPr>
        <w:t>target</w:t>
      </w:r>
      <w:r w:rsidRPr="00945DC4">
        <w:rPr>
          <w:color w:val="000000" w:themeColor="text1"/>
        </w:rPr>
        <w:t xml:space="preserve"> LGBTQ people. In </w:t>
      </w:r>
      <w:r w:rsidRPr="00945DC4">
        <w:rPr>
          <w:i/>
          <w:iCs/>
          <w:color w:val="000000" w:themeColor="text1"/>
        </w:rPr>
        <w:t>Obergefell v. Hodges</w:t>
      </w:r>
      <w:r w:rsidRPr="00945DC4">
        <w:rPr>
          <w:color w:val="000000" w:themeColor="text1"/>
        </w:rPr>
        <w:t>, the Supreme Court held that the Constitution requires states to recognize marriages between persons of the same sex, writing that, “[</w:t>
      </w:r>
      <w:proofErr w:type="spellStart"/>
      <w:r w:rsidRPr="00945DC4">
        <w:rPr>
          <w:color w:val="000000" w:themeColor="text1"/>
        </w:rPr>
        <w:t>i</w:t>
      </w:r>
      <w:proofErr w:type="spellEnd"/>
      <w:r w:rsidRPr="00945DC4">
        <w:rPr>
          <w:color w:val="000000" w:themeColor="text1"/>
        </w:rPr>
        <w:t>]t demeans gays and lesbians for the State to lock them out of a central institution of</w:t>
      </w:r>
      <w:r>
        <w:rPr>
          <w:color w:val="000000" w:themeColor="text1"/>
        </w:rPr>
        <w:t xml:space="preserve"> the </w:t>
      </w:r>
      <w:r w:rsidRPr="00945DC4">
        <w:rPr>
          <w:color w:val="000000" w:themeColor="text1"/>
        </w:rPr>
        <w:t xml:space="preserve">Nation’s society.” In </w:t>
      </w:r>
      <w:r w:rsidRPr="00945DC4">
        <w:rPr>
          <w:i/>
          <w:iCs/>
          <w:color w:val="000000" w:themeColor="text1"/>
        </w:rPr>
        <w:t>Lawrence v. Texas</w:t>
      </w:r>
      <w:r w:rsidRPr="00945DC4">
        <w:rPr>
          <w:color w:val="000000" w:themeColor="text1"/>
        </w:rPr>
        <w:t>, the Court struck down laws criminalizing same-sex intimacy, with Justice O’Connor (concurring), noting that “</w:t>
      </w:r>
      <w:r w:rsidRPr="00945DC4">
        <w:rPr>
          <w:color w:val="000000" w:themeColor="text1"/>
          <w:shd w:val="clear" w:color="auto" w:fill="FFFFFF"/>
        </w:rPr>
        <w:t xml:space="preserve">Texas' sodomy law brands all homosexuals as criminals, thereby making it more difficult for homosexuals to be treated in the same manner as everyone else.”  And in </w:t>
      </w:r>
      <w:r w:rsidRPr="00945DC4">
        <w:rPr>
          <w:i/>
          <w:iCs/>
          <w:color w:val="000000" w:themeColor="text1"/>
          <w:shd w:val="clear" w:color="auto" w:fill="FFFFFF"/>
        </w:rPr>
        <w:t>Romer v. Evans</w:t>
      </w:r>
      <w:r w:rsidRPr="00945DC4">
        <w:rPr>
          <w:color w:val="000000" w:themeColor="text1"/>
          <w:shd w:val="clear" w:color="auto" w:fill="FFFFFF"/>
        </w:rPr>
        <w:t>, the Court invalidated a Colorado constitutional provision that denied discrimination protections to LGBTQ people</w:t>
      </w:r>
      <w:r w:rsidR="00054AE7">
        <w:rPr>
          <w:color w:val="000000" w:themeColor="text1"/>
          <w:shd w:val="clear" w:color="auto" w:fill="FFFFFF"/>
        </w:rPr>
        <w:t>.</w:t>
      </w:r>
    </w:p>
    <w:p w14:paraId="2C7B467E" w14:textId="6F088FDF" w:rsidR="00992DE9" w:rsidRPr="00945DC4" w:rsidRDefault="00992DE9" w:rsidP="00992DE9">
      <w:pPr>
        <w:pStyle w:val="NormalWeb"/>
        <w:rPr>
          <w:color w:val="000000" w:themeColor="text1"/>
          <w:shd w:val="clear" w:color="auto" w:fill="FFFFFF"/>
        </w:rPr>
      </w:pPr>
      <w:r>
        <w:rPr>
          <w:color w:val="000000" w:themeColor="text1"/>
          <w:shd w:val="clear" w:color="auto" w:fill="FFFFFF"/>
        </w:rPr>
        <w:t xml:space="preserve">The religious exemption in </w:t>
      </w:r>
      <w:r>
        <w:rPr>
          <w:i/>
          <w:iCs/>
          <w:color w:val="000000" w:themeColor="text1"/>
          <w:shd w:val="clear" w:color="auto" w:fill="FFFFFF"/>
        </w:rPr>
        <w:t>Braidwood</w:t>
      </w:r>
      <w:r>
        <w:rPr>
          <w:color w:val="000000" w:themeColor="text1"/>
          <w:shd w:val="clear" w:color="auto" w:fill="FFFFFF"/>
        </w:rPr>
        <w:t xml:space="preserve"> is not</w:t>
      </w:r>
      <w:r w:rsidR="00054AE7">
        <w:rPr>
          <w:color w:val="000000" w:themeColor="text1"/>
          <w:shd w:val="clear" w:color="auto" w:fill="FFFFFF"/>
        </w:rPr>
        <w:t xml:space="preserve"> </w:t>
      </w:r>
      <w:r>
        <w:rPr>
          <w:color w:val="000000" w:themeColor="text1"/>
          <w:shd w:val="clear" w:color="auto" w:fill="FFFFFF"/>
        </w:rPr>
        <w:t xml:space="preserve">a federal or state statute like those challenged in these cases.  Nevertheless, the animus accommodated by the </w:t>
      </w:r>
      <w:r w:rsidRPr="00945DC4">
        <w:rPr>
          <w:i/>
          <w:iCs/>
          <w:color w:val="000000" w:themeColor="text1"/>
          <w:shd w:val="clear" w:color="auto" w:fill="FFFFFF"/>
        </w:rPr>
        <w:t>Braidwood</w:t>
      </w:r>
      <w:r w:rsidRPr="00945DC4">
        <w:rPr>
          <w:color w:val="000000" w:themeColor="text1"/>
          <w:shd w:val="clear" w:color="auto" w:fill="FFFFFF"/>
        </w:rPr>
        <w:t xml:space="preserve"> </w:t>
      </w:r>
      <w:r>
        <w:rPr>
          <w:color w:val="000000" w:themeColor="text1"/>
          <w:shd w:val="clear" w:color="auto" w:fill="FFFFFF"/>
        </w:rPr>
        <w:t xml:space="preserve">analysis </w:t>
      </w:r>
      <w:r w:rsidRPr="00945DC4">
        <w:rPr>
          <w:color w:val="000000" w:themeColor="text1"/>
          <w:shd w:val="clear" w:color="auto" w:fill="FFFFFF"/>
        </w:rPr>
        <w:t xml:space="preserve">stands at odds with these </w:t>
      </w:r>
      <w:r w:rsidR="00054AE7">
        <w:rPr>
          <w:color w:val="000000" w:themeColor="text1"/>
          <w:shd w:val="clear" w:color="auto" w:fill="FFFFFF"/>
        </w:rPr>
        <w:t>national</w:t>
      </w:r>
      <w:r>
        <w:rPr>
          <w:color w:val="000000" w:themeColor="text1"/>
          <w:shd w:val="clear" w:color="auto" w:fill="FFFFFF"/>
        </w:rPr>
        <w:t xml:space="preserve"> co</w:t>
      </w:r>
      <w:r w:rsidRPr="00945DC4">
        <w:rPr>
          <w:color w:val="000000" w:themeColor="text1"/>
          <w:shd w:val="clear" w:color="auto" w:fill="FFFFFF"/>
        </w:rPr>
        <w:t>mmitments to equality</w:t>
      </w:r>
      <w:r>
        <w:rPr>
          <w:color w:val="000000" w:themeColor="text1"/>
          <w:shd w:val="clear" w:color="auto" w:fill="FFFFFF"/>
        </w:rPr>
        <w:t>.</w:t>
      </w:r>
      <w:r w:rsidRPr="00945DC4">
        <w:rPr>
          <w:color w:val="000000" w:themeColor="text1"/>
          <w:shd w:val="clear" w:color="auto" w:fill="FFFFFF"/>
        </w:rPr>
        <w:t xml:space="preserve">  The language of the opinion, endorsing the view that the PrEP Mandate renders insurance payors “complicit” in same-sex intimacy, harks back to harmful and discredited stereotypes of LGBTQ+ people as outcasts who engage in promiscuous and harmful behavior.</w:t>
      </w:r>
      <w:r w:rsidRPr="00654DAC">
        <w:t xml:space="preserve"> </w:t>
      </w:r>
    </w:p>
    <w:p w14:paraId="104C1888" w14:textId="77777777" w:rsidR="00992DE9" w:rsidRPr="00945DC4" w:rsidRDefault="00992DE9" w:rsidP="00992DE9">
      <w:pPr>
        <w:pStyle w:val="NormalWeb"/>
        <w:rPr>
          <w:color w:val="000000" w:themeColor="text1"/>
          <w:shd w:val="clear" w:color="auto" w:fill="FFFFFF"/>
        </w:rPr>
      </w:pPr>
      <w:r>
        <w:rPr>
          <w:color w:val="000000" w:themeColor="text1"/>
          <w:shd w:val="clear" w:color="auto" w:fill="FFFFFF"/>
        </w:rPr>
        <w:t xml:space="preserve">The availability of health insurance is itself an important governmental objective and not solely a private matter.  The United States has, via regulation and extensive subsidies, expressed and </w:t>
      </w:r>
      <w:r>
        <w:rPr>
          <w:color w:val="000000" w:themeColor="text1"/>
          <w:shd w:val="clear" w:color="auto" w:fill="FFFFFF"/>
        </w:rPr>
        <w:lastRenderedPageBreak/>
        <w:t>delegated to private employers the critical state function of ensuring wide access to health care.  These subsidies include tax credits under the Affordable Care Act, the tax deduction for employers who provide health insurance, and the tax exclusion for employees who receive health coverage.  The Supreme Court has recognized, in the context of racial equality, that state-subsidized institutions have an obligation not to contravene important national and constitutional commitments.</w:t>
      </w:r>
      <w:r>
        <w:rPr>
          <w:rStyle w:val="FootnoteReference"/>
          <w:color w:val="000000" w:themeColor="text1"/>
          <w:shd w:val="clear" w:color="auto" w:fill="FFFFFF"/>
        </w:rPr>
        <w:footnoteReference w:id="8"/>
      </w:r>
      <w:r>
        <w:rPr>
          <w:color w:val="000000" w:themeColor="text1"/>
          <w:shd w:val="clear" w:color="auto" w:fill="FFFFFF"/>
        </w:rPr>
        <w:t xml:space="preserve">  </w:t>
      </w:r>
      <w:r w:rsidRPr="00945DC4">
        <w:rPr>
          <w:color w:val="000000" w:themeColor="text1"/>
          <w:shd w:val="clear" w:color="auto" w:fill="FFFFFF"/>
        </w:rPr>
        <w:t xml:space="preserve">The </w:t>
      </w:r>
      <w:r w:rsidRPr="00945DC4">
        <w:rPr>
          <w:i/>
          <w:iCs/>
          <w:color w:val="000000" w:themeColor="text1"/>
          <w:shd w:val="clear" w:color="auto" w:fill="FFFFFF"/>
        </w:rPr>
        <w:t>Braidwood</w:t>
      </w:r>
      <w:r w:rsidRPr="00945DC4">
        <w:rPr>
          <w:color w:val="000000" w:themeColor="text1"/>
          <w:shd w:val="clear" w:color="auto" w:fill="FFFFFF"/>
        </w:rPr>
        <w:t xml:space="preserve"> court did not a</w:t>
      </w:r>
      <w:r>
        <w:rPr>
          <w:color w:val="000000" w:themeColor="text1"/>
          <w:shd w:val="clear" w:color="auto" w:fill="FFFFFF"/>
        </w:rPr>
        <w:t xml:space="preserve">cknowledge the state's compelling commitment to LGBTQ equality.  Nor did the decision situate employer health insurance in the proper context of a state-subsidized regime that carries out an important state function. </w:t>
      </w:r>
    </w:p>
    <w:p w14:paraId="6B76BCDB" w14:textId="15F60391" w:rsidR="00054AE7" w:rsidRPr="001C18C4" w:rsidRDefault="00992DE9" w:rsidP="001C18C4">
      <w:pPr>
        <w:pStyle w:val="ListParagraph"/>
        <w:numPr>
          <w:ilvl w:val="0"/>
          <w:numId w:val="2"/>
        </w:numPr>
        <w:rPr>
          <w:b/>
          <w:bCs/>
          <w:color w:val="000000" w:themeColor="text1"/>
        </w:rPr>
      </w:pPr>
      <w:bookmarkStart w:id="63" w:name="_Toc124179168"/>
      <w:r w:rsidRPr="00522869">
        <w:rPr>
          <w:b/>
          <w:bCs/>
          <w:shd w:val="clear" w:color="auto" w:fill="FFFFFF"/>
        </w:rPr>
        <w:t xml:space="preserve">The </w:t>
      </w:r>
      <w:r w:rsidRPr="00522869">
        <w:rPr>
          <w:b/>
          <w:bCs/>
          <w:i/>
          <w:iCs/>
          <w:shd w:val="clear" w:color="auto" w:fill="FFFFFF"/>
        </w:rPr>
        <w:t>Braidwood</w:t>
      </w:r>
      <w:r w:rsidRPr="00522869">
        <w:rPr>
          <w:b/>
          <w:bCs/>
          <w:shd w:val="clear" w:color="auto" w:fill="FFFFFF"/>
        </w:rPr>
        <w:t xml:space="preserve"> religious exemption is ambiguous and, on any of three possible interpretations, is untenable. </w:t>
      </w:r>
    </w:p>
    <w:bookmarkEnd w:id="63"/>
    <w:p w14:paraId="42C6D313" w14:textId="77777777" w:rsidR="00992DE9" w:rsidRPr="00770ADE" w:rsidRDefault="00992DE9" w:rsidP="00992DE9">
      <w:pPr>
        <w:pStyle w:val="NormalWeb"/>
        <w:rPr>
          <w:color w:val="000000" w:themeColor="text1"/>
          <w:shd w:val="clear" w:color="auto" w:fill="FFFFFF"/>
        </w:rPr>
      </w:pPr>
      <w:r>
        <w:rPr>
          <w:color w:val="000000" w:themeColor="text1"/>
          <w:shd w:val="clear" w:color="auto" w:fill="FFFFFF"/>
        </w:rPr>
        <w:t>A close examination shows that t</w:t>
      </w:r>
      <w:r w:rsidRPr="00945DC4">
        <w:rPr>
          <w:color w:val="000000" w:themeColor="text1"/>
          <w:shd w:val="clear" w:color="auto" w:fill="FFFFFF"/>
        </w:rPr>
        <w:t xml:space="preserve">he nature of the religious objection </w:t>
      </w:r>
      <w:r>
        <w:rPr>
          <w:color w:val="000000" w:themeColor="text1"/>
          <w:shd w:val="clear" w:color="auto" w:fill="FFFFFF"/>
        </w:rPr>
        <w:t xml:space="preserve">granted </w:t>
      </w:r>
      <w:r w:rsidRPr="00945DC4">
        <w:rPr>
          <w:color w:val="000000" w:themeColor="text1"/>
          <w:shd w:val="clear" w:color="auto" w:fill="FFFFFF"/>
        </w:rPr>
        <w:t>i</w:t>
      </w:r>
      <w:r>
        <w:rPr>
          <w:color w:val="000000" w:themeColor="text1"/>
          <w:shd w:val="clear" w:color="auto" w:fill="FFFFFF"/>
        </w:rPr>
        <w:t xml:space="preserve">n </w:t>
      </w:r>
      <w:r>
        <w:rPr>
          <w:i/>
          <w:iCs/>
          <w:color w:val="000000" w:themeColor="text1"/>
          <w:shd w:val="clear" w:color="auto" w:fill="FFFFFF"/>
        </w:rPr>
        <w:t xml:space="preserve">Braidwood </w:t>
      </w:r>
      <w:r>
        <w:rPr>
          <w:color w:val="000000" w:themeColor="text1"/>
          <w:shd w:val="clear" w:color="auto" w:fill="FFFFFF"/>
        </w:rPr>
        <w:t xml:space="preserve">is </w:t>
      </w:r>
      <w:r w:rsidRPr="00945DC4">
        <w:rPr>
          <w:color w:val="000000" w:themeColor="text1"/>
          <w:shd w:val="clear" w:color="auto" w:fill="FFFFFF"/>
        </w:rPr>
        <w:t xml:space="preserve">unclear.  According to the court’s opinion, the plaintiffs believe that </w:t>
      </w:r>
      <w:r w:rsidRPr="00945DC4">
        <w:rPr>
          <w:color w:val="000000" w:themeColor="text1"/>
        </w:rPr>
        <w:t xml:space="preserve">“providing coverage of PrEP drugs ‘facilitates and encourages homosexual behavior, intravenous drug use, and sexual activity outside of marriage between one man and one woman,’ and [that] providing coverage of PrEP drugs in Braidwood’s self-insured plan would make </w:t>
      </w:r>
      <w:r>
        <w:rPr>
          <w:color w:val="000000" w:themeColor="text1"/>
        </w:rPr>
        <w:t>[the owner of the company]</w:t>
      </w:r>
      <w:r w:rsidRPr="00945DC4">
        <w:rPr>
          <w:color w:val="000000" w:themeColor="text1"/>
        </w:rPr>
        <w:t xml:space="preserve"> complicit in those behaviors.”</w:t>
      </w:r>
      <w:r w:rsidRPr="00945DC4">
        <w:rPr>
          <w:rStyle w:val="FootnoteReference"/>
          <w:color w:val="000000" w:themeColor="text1"/>
        </w:rPr>
        <w:footnoteReference w:id="9"/>
      </w:r>
    </w:p>
    <w:p w14:paraId="609C456F" w14:textId="77777777" w:rsidR="00992DE9" w:rsidRPr="00945DC4" w:rsidRDefault="00992DE9" w:rsidP="00992DE9">
      <w:pPr>
        <w:pStyle w:val="NormalWeb"/>
        <w:rPr>
          <w:color w:val="000000" w:themeColor="text1"/>
          <w:shd w:val="clear" w:color="auto" w:fill="FFFFFF"/>
        </w:rPr>
      </w:pPr>
      <w:r w:rsidRPr="00945DC4">
        <w:rPr>
          <w:color w:val="000000" w:themeColor="text1"/>
          <w:shd w:val="clear" w:color="auto" w:fill="FFFFFF"/>
        </w:rPr>
        <w:t xml:space="preserve">The meaning of “facilitates and encourages” is open to at least three interpretations, all of which </w:t>
      </w:r>
      <w:r>
        <w:rPr>
          <w:color w:val="000000" w:themeColor="text1"/>
          <w:shd w:val="clear" w:color="auto" w:fill="FFFFFF"/>
        </w:rPr>
        <w:t>either rely on mistaken facts or clear the way for sweeping religious objections to nearly any form of insurance coverage, including by employers who do not sincerely hold relevant religious beliefs.</w:t>
      </w:r>
      <w:r w:rsidRPr="00945DC4">
        <w:rPr>
          <w:color w:val="000000" w:themeColor="text1"/>
          <w:shd w:val="clear" w:color="auto" w:fill="FFFFFF"/>
        </w:rPr>
        <w:t xml:space="preserve"> We address them in turn.</w:t>
      </w:r>
    </w:p>
    <w:p w14:paraId="6620A2BE" w14:textId="77777777" w:rsidR="00992DE9" w:rsidRPr="00945DC4" w:rsidRDefault="00992DE9" w:rsidP="00992DE9">
      <w:pPr>
        <w:pStyle w:val="Heading3"/>
        <w:numPr>
          <w:ilvl w:val="0"/>
          <w:numId w:val="1"/>
        </w:numPr>
        <w:tabs>
          <w:tab w:val="num" w:pos="360"/>
        </w:tabs>
        <w:ind w:left="0" w:firstLine="0"/>
        <w:rPr>
          <w:color w:val="000000" w:themeColor="text1"/>
          <w:shd w:val="clear" w:color="auto" w:fill="FFFFFF"/>
        </w:rPr>
      </w:pPr>
      <w:bookmarkStart w:id="64" w:name="_Toc124179169"/>
      <w:r w:rsidRPr="00945DC4">
        <w:rPr>
          <w:color w:val="000000" w:themeColor="text1"/>
          <w:shd w:val="clear" w:color="auto" w:fill="FFFFFF"/>
        </w:rPr>
        <w:t>PrEP does not increase the behavior to which the Braidwood religious plaintiffs object.</w:t>
      </w:r>
      <w:bookmarkEnd w:id="64"/>
      <w:r w:rsidRPr="00945DC4">
        <w:rPr>
          <w:color w:val="000000" w:themeColor="text1"/>
          <w:shd w:val="clear" w:color="auto" w:fill="FFFFFF"/>
        </w:rPr>
        <w:t xml:space="preserve"> </w:t>
      </w:r>
    </w:p>
    <w:p w14:paraId="0D1030B0" w14:textId="77777777" w:rsidR="00992DE9" w:rsidRPr="00945DC4" w:rsidRDefault="00992DE9" w:rsidP="00992DE9">
      <w:pPr>
        <w:pStyle w:val="NormalWeb"/>
        <w:rPr>
          <w:color w:val="000000" w:themeColor="text1"/>
        </w:rPr>
      </w:pPr>
      <w:r w:rsidRPr="00945DC4">
        <w:rPr>
          <w:color w:val="000000" w:themeColor="text1"/>
          <w:shd w:val="clear" w:color="auto" w:fill="FFFFFF"/>
        </w:rPr>
        <w:t>First, t</w:t>
      </w:r>
      <w:r w:rsidRPr="00945DC4">
        <w:rPr>
          <w:color w:val="000000" w:themeColor="text1"/>
        </w:rPr>
        <w:t xml:space="preserve">he </w:t>
      </w:r>
      <w:r w:rsidRPr="00945DC4">
        <w:rPr>
          <w:i/>
          <w:iCs/>
          <w:color w:val="000000" w:themeColor="text1"/>
        </w:rPr>
        <w:t>Braidwood</w:t>
      </w:r>
      <w:r w:rsidRPr="00945DC4">
        <w:rPr>
          <w:color w:val="000000" w:themeColor="text1"/>
        </w:rPr>
        <w:t xml:space="preserve"> </w:t>
      </w:r>
      <w:r>
        <w:rPr>
          <w:color w:val="000000" w:themeColor="text1"/>
        </w:rPr>
        <w:t xml:space="preserve">religious exemption might be grounded in the factual </w:t>
      </w:r>
      <w:r w:rsidRPr="00945DC4">
        <w:rPr>
          <w:color w:val="000000" w:themeColor="text1"/>
        </w:rPr>
        <w:t xml:space="preserve">claim that the availability of PrEP increases the number of people who identify as gay, engage in same-sex or extramarital intimacy, or use injectable drugs (collectively, “plaintiffs’ religiously disfavored groups”).  These are causal and empirical claims, and they are </w:t>
      </w:r>
      <w:r>
        <w:rPr>
          <w:color w:val="000000" w:themeColor="text1"/>
        </w:rPr>
        <w:t>incorrect</w:t>
      </w:r>
      <w:r w:rsidRPr="00945DC4">
        <w:rPr>
          <w:color w:val="000000" w:themeColor="text1"/>
        </w:rPr>
        <w:t xml:space="preserve">.  </w:t>
      </w:r>
    </w:p>
    <w:p w14:paraId="4128855D" w14:textId="77777777" w:rsidR="00992DE9" w:rsidRPr="00945DC4" w:rsidRDefault="00992DE9" w:rsidP="00992DE9">
      <w:pPr>
        <w:rPr>
          <w:color w:val="000000" w:themeColor="text1"/>
        </w:rPr>
      </w:pPr>
      <w:r w:rsidRPr="00945DC4">
        <w:rPr>
          <w:color w:val="000000" w:themeColor="text1"/>
        </w:rPr>
        <w:t xml:space="preserve">In theory, any preventive treatment might alter behavior, leading individuals to take greater risks because they feel safer doing so. However, the </w:t>
      </w:r>
      <w:r w:rsidRPr="00522869">
        <w:rPr>
          <w:color w:val="000000" w:themeColor="text1"/>
        </w:rPr>
        <w:t>actual</w:t>
      </w:r>
      <w:r w:rsidRPr="00945DC4">
        <w:rPr>
          <w:color w:val="000000" w:themeColor="text1"/>
        </w:rPr>
        <w:t xml:space="preserve"> effect of any given preventive treatment on behavior and risk calculation is far more nuanced</w:t>
      </w:r>
      <w:r>
        <w:rPr>
          <w:color w:val="000000" w:themeColor="text1"/>
        </w:rPr>
        <w:t xml:space="preserve"> and </w:t>
      </w:r>
      <w:r w:rsidRPr="00945DC4">
        <w:rPr>
          <w:color w:val="000000" w:themeColor="text1"/>
        </w:rPr>
        <w:t xml:space="preserve">highly individualized. The </w:t>
      </w:r>
      <w:r w:rsidRPr="00945DC4">
        <w:rPr>
          <w:i/>
          <w:iCs/>
          <w:color w:val="000000" w:themeColor="text1"/>
        </w:rPr>
        <w:t>Braidwood</w:t>
      </w:r>
      <w:r w:rsidRPr="00945DC4">
        <w:rPr>
          <w:color w:val="000000" w:themeColor="text1"/>
        </w:rPr>
        <w:t xml:space="preserve"> plaintiffs and ruling employ pathologizing terms (“homosexual behavior, prostitution, sexual promiscuity and intravenous drug use”), which we reject</w:t>
      </w:r>
      <w:r>
        <w:rPr>
          <w:color w:val="000000" w:themeColor="text1"/>
        </w:rPr>
        <w:t xml:space="preserve">, and the </w:t>
      </w:r>
      <w:r w:rsidRPr="00945DC4">
        <w:rPr>
          <w:color w:val="000000" w:themeColor="text1"/>
        </w:rPr>
        <w:t>causal claim</w:t>
      </w:r>
      <w:r>
        <w:rPr>
          <w:color w:val="000000" w:themeColor="text1"/>
        </w:rPr>
        <w:t>s</w:t>
      </w:r>
      <w:r w:rsidRPr="00945DC4">
        <w:rPr>
          <w:color w:val="000000" w:themeColor="text1"/>
        </w:rPr>
        <w:t xml:space="preserve"> </w:t>
      </w:r>
      <w:r>
        <w:rPr>
          <w:color w:val="000000" w:themeColor="text1"/>
        </w:rPr>
        <w:t>are</w:t>
      </w:r>
      <w:r w:rsidRPr="00945DC4">
        <w:rPr>
          <w:color w:val="000000" w:themeColor="text1"/>
        </w:rPr>
        <w:t xml:space="preserve"> refuted by empirical evidence.  </w:t>
      </w:r>
    </w:p>
    <w:p w14:paraId="4A9107D1" w14:textId="77777777" w:rsidR="00992DE9" w:rsidRPr="00945DC4" w:rsidRDefault="00992DE9" w:rsidP="00992DE9">
      <w:pPr>
        <w:rPr>
          <w:color w:val="000000" w:themeColor="text1"/>
        </w:rPr>
      </w:pPr>
    </w:p>
    <w:p w14:paraId="38E5BE42" w14:textId="77777777" w:rsidR="00992DE9" w:rsidRPr="00945DC4" w:rsidRDefault="00992DE9" w:rsidP="00992DE9">
      <w:pPr>
        <w:rPr>
          <w:color w:val="000000" w:themeColor="text1"/>
        </w:rPr>
      </w:pPr>
      <w:r w:rsidRPr="00945DC4">
        <w:rPr>
          <w:color w:val="000000" w:themeColor="text1"/>
        </w:rPr>
        <w:t>The hypothesis that prevention leads to risk-taking has been historically posited – and refuted – across a range of public health measures, including the use of penicillin for the treatment of syphilis, mandates to install and wear seatbelts in cars and to wear helmets while riding bicycles, and the use of vaccines to prevent the human papilloma virus (HPV).</w:t>
      </w:r>
      <w:r w:rsidRPr="00945DC4">
        <w:rPr>
          <w:rStyle w:val="FootnoteReference"/>
          <w:color w:val="000000" w:themeColor="text1"/>
        </w:rPr>
        <w:footnoteReference w:id="10"/>
      </w:r>
      <w:r w:rsidRPr="00945DC4">
        <w:rPr>
          <w:color w:val="000000" w:themeColor="text1"/>
        </w:rPr>
        <w:t xml:space="preserve"> For example, individuals </w:t>
      </w:r>
      <w:r w:rsidRPr="00945DC4">
        <w:rPr>
          <w:color w:val="000000" w:themeColor="text1"/>
        </w:rPr>
        <w:lastRenderedPageBreak/>
        <w:t xml:space="preserve">who receive the HPV vaccine do not engage in sexual activity sooner in life than those who do not. </w:t>
      </w:r>
      <w:r>
        <w:rPr>
          <w:color w:val="000000" w:themeColor="text1"/>
        </w:rPr>
        <w:t>A</w:t>
      </w:r>
      <w:r w:rsidRPr="00945DC4">
        <w:rPr>
          <w:color w:val="000000" w:themeColor="text1"/>
        </w:rPr>
        <w:t xml:space="preserve"> systematic review found that those who do not receive the HPV vaccine were </w:t>
      </w:r>
      <w:r w:rsidRPr="00945DC4">
        <w:rPr>
          <w:i/>
          <w:iCs/>
          <w:color w:val="000000" w:themeColor="text1"/>
        </w:rPr>
        <w:t>more</w:t>
      </w:r>
      <w:r w:rsidRPr="00945DC4">
        <w:rPr>
          <w:color w:val="000000" w:themeColor="text1"/>
        </w:rPr>
        <w:t xml:space="preserve"> likely to report vaginal intercourse without a condom and higher rates of a bacterial STI.</w:t>
      </w:r>
      <w:r w:rsidRPr="00945DC4">
        <w:rPr>
          <w:rStyle w:val="FootnoteReference"/>
          <w:color w:val="000000" w:themeColor="text1"/>
        </w:rPr>
        <w:footnoteReference w:id="11"/>
      </w:r>
    </w:p>
    <w:p w14:paraId="60C0C1F1" w14:textId="77777777" w:rsidR="00992DE9" w:rsidRPr="00945DC4" w:rsidRDefault="00992DE9" w:rsidP="00992DE9">
      <w:pPr>
        <w:rPr>
          <w:color w:val="000000" w:themeColor="text1"/>
        </w:rPr>
      </w:pPr>
    </w:p>
    <w:p w14:paraId="5DDD1DD4" w14:textId="0CAE1BA7" w:rsidR="00992DE9" w:rsidRPr="00945DC4" w:rsidRDefault="00992DE9" w:rsidP="00992DE9">
      <w:pPr>
        <w:rPr>
          <w:color w:val="000000" w:themeColor="text1"/>
        </w:rPr>
      </w:pPr>
      <w:r w:rsidRPr="00945DC4">
        <w:rPr>
          <w:color w:val="000000" w:themeColor="text1"/>
        </w:rPr>
        <w:t xml:space="preserve">The same finding applies to PrEP: </w:t>
      </w:r>
      <w:r w:rsidRPr="00945DC4">
        <w:rPr>
          <w:color w:val="000000" w:themeColor="text1"/>
          <w:shd w:val="clear" w:color="auto" w:fill="FFFFFF"/>
        </w:rPr>
        <w:t>a large body of research finds that these medications do not systematically increase sexual behavior.</w:t>
      </w:r>
      <w:r w:rsidRPr="00945DC4">
        <w:rPr>
          <w:rStyle w:val="FootnoteReference"/>
          <w:color w:val="000000" w:themeColor="text1"/>
          <w:shd w:val="clear" w:color="auto" w:fill="FFFFFF"/>
        </w:rPr>
        <w:footnoteReference w:id="12"/>
      </w:r>
      <w:r w:rsidRPr="00945DC4">
        <w:rPr>
          <w:color w:val="000000" w:themeColor="text1"/>
          <w:shd w:val="clear" w:color="auto" w:fill="FFFFFF"/>
        </w:rPr>
        <w:t xml:space="preserve"> </w:t>
      </w:r>
      <w:r w:rsidR="00054AE7">
        <w:rPr>
          <w:color w:val="000000" w:themeColor="text1"/>
          <w:shd w:val="clear" w:color="auto" w:fill="FFFFFF"/>
        </w:rPr>
        <w:t>T</w:t>
      </w:r>
      <w:r w:rsidRPr="00945DC4">
        <w:rPr>
          <w:color w:val="000000" w:themeColor="text1"/>
        </w:rPr>
        <w:t xml:space="preserve">he 2010 </w:t>
      </w:r>
      <w:proofErr w:type="spellStart"/>
      <w:r w:rsidRPr="00945DC4">
        <w:rPr>
          <w:color w:val="000000" w:themeColor="text1"/>
        </w:rPr>
        <w:t>iPrEx</w:t>
      </w:r>
      <w:proofErr w:type="spellEnd"/>
      <w:r w:rsidRPr="00945DC4">
        <w:rPr>
          <w:color w:val="000000" w:themeColor="text1"/>
        </w:rPr>
        <w:t xml:space="preserve"> clinical trial evaluated the sexual behavior of study participants, including number of sexual partners which decreased for both PrEP and control groups.</w:t>
      </w:r>
      <w:r w:rsidRPr="00945DC4">
        <w:rPr>
          <w:rStyle w:val="FootnoteReference"/>
          <w:color w:val="000000" w:themeColor="text1"/>
        </w:rPr>
        <w:t xml:space="preserve"> </w:t>
      </w:r>
      <w:r w:rsidRPr="00945DC4">
        <w:rPr>
          <w:rStyle w:val="FootnoteReference"/>
          <w:color w:val="000000" w:themeColor="text1"/>
        </w:rPr>
        <w:footnoteReference w:id="13"/>
      </w:r>
      <w:r w:rsidRPr="00945DC4">
        <w:rPr>
          <w:color w:val="000000" w:themeColor="text1"/>
        </w:rPr>
        <w:t xml:space="preserve"> This finding suggests that, in certain settings, PrEP use is </w:t>
      </w:r>
      <w:proofErr w:type="gramStart"/>
      <w:r w:rsidRPr="00945DC4">
        <w:rPr>
          <w:color w:val="000000" w:themeColor="text1"/>
        </w:rPr>
        <w:t>actually accompanied</w:t>
      </w:r>
      <w:proofErr w:type="gramEnd"/>
      <w:r w:rsidRPr="00945DC4">
        <w:rPr>
          <w:color w:val="000000" w:themeColor="text1"/>
        </w:rPr>
        <w:t xml:space="preserve"> by less sexual activity, contrary to the Braidwood plaintiffs’ assertions.</w:t>
      </w:r>
    </w:p>
    <w:p w14:paraId="06CE41B5" w14:textId="77777777" w:rsidR="00992DE9" w:rsidRPr="00945DC4" w:rsidRDefault="00992DE9" w:rsidP="00992DE9">
      <w:pPr>
        <w:rPr>
          <w:color w:val="000000" w:themeColor="text1"/>
        </w:rPr>
      </w:pPr>
    </w:p>
    <w:p w14:paraId="31BB819D" w14:textId="77777777" w:rsidR="00992DE9" w:rsidRPr="00945DC4" w:rsidRDefault="00992DE9" w:rsidP="00992DE9">
      <w:pPr>
        <w:rPr>
          <w:color w:val="000000" w:themeColor="text1"/>
        </w:rPr>
      </w:pPr>
      <w:r w:rsidRPr="00945DC4">
        <w:rPr>
          <w:color w:val="000000" w:themeColor="text1"/>
          <w:shd w:val="clear" w:color="auto" w:fill="FFFFFF"/>
        </w:rPr>
        <w:t xml:space="preserve">In a second stage in 2014, the </w:t>
      </w:r>
      <w:proofErr w:type="spellStart"/>
      <w:r w:rsidRPr="00945DC4">
        <w:rPr>
          <w:color w:val="000000" w:themeColor="text1"/>
          <w:shd w:val="clear" w:color="auto" w:fill="FFFFFF"/>
        </w:rPr>
        <w:t>iPrEX</w:t>
      </w:r>
      <w:proofErr w:type="spellEnd"/>
      <w:r w:rsidRPr="00945DC4">
        <w:rPr>
          <w:color w:val="000000" w:themeColor="text1"/>
          <w:shd w:val="clear" w:color="auto" w:fill="FFFFFF"/>
        </w:rPr>
        <w:t xml:space="preserve"> study tested PrEP drug concentrations to evaluate the relationship between adherence (i.e., that patients reliably take their medication) and sexual behaviors, with syphilis infection being used as a proxy for sexual behavior because it can be transmitted even with barrier protection. Syphilis infections decreased dramatically, suggesting no evidence of increased sexual behavior in those using PrEP.</w:t>
      </w:r>
      <w:r w:rsidRPr="00945DC4">
        <w:rPr>
          <w:rStyle w:val="FootnoteReference"/>
          <w:color w:val="000000" w:themeColor="text1"/>
          <w:shd w:val="clear" w:color="auto" w:fill="FFFFFF"/>
        </w:rPr>
        <w:footnoteReference w:id="14"/>
      </w:r>
      <w:r w:rsidRPr="00945DC4">
        <w:rPr>
          <w:color w:val="000000" w:themeColor="text1"/>
          <w:shd w:val="clear" w:color="auto" w:fill="FFFFFF"/>
        </w:rPr>
        <w:t xml:space="preserve">  Additional studies have shown that PrEP use correlates with reduced sexual activity while in use.</w:t>
      </w:r>
      <w:r w:rsidRPr="00945DC4">
        <w:rPr>
          <w:rStyle w:val="FootnoteReference"/>
          <w:color w:val="000000" w:themeColor="text1"/>
          <w:shd w:val="clear" w:color="auto" w:fill="FFFFFF"/>
        </w:rPr>
        <w:footnoteReference w:id="15"/>
      </w:r>
    </w:p>
    <w:p w14:paraId="01683B1B" w14:textId="77777777" w:rsidR="00992DE9" w:rsidRPr="00945DC4" w:rsidRDefault="00992DE9" w:rsidP="00992DE9">
      <w:pPr>
        <w:ind w:left="360"/>
        <w:rPr>
          <w:color w:val="000000" w:themeColor="text1"/>
        </w:rPr>
      </w:pPr>
    </w:p>
    <w:p w14:paraId="16B030D6" w14:textId="103C95CB" w:rsidR="00992DE9" w:rsidRPr="00945DC4" w:rsidRDefault="00992DE9" w:rsidP="00992DE9">
      <w:pPr>
        <w:rPr>
          <w:color w:val="000000" w:themeColor="text1"/>
        </w:rPr>
      </w:pPr>
      <w:r w:rsidRPr="00945DC4">
        <w:rPr>
          <w:color w:val="000000" w:themeColor="text1"/>
        </w:rPr>
        <w:t>A 2019 systematic review evaluated the possibility of risk compensation in PrEP users in 17 studies and demonstrated equivocal findings but no major increase in sexual practices.</w:t>
      </w:r>
      <w:r w:rsidRPr="00945DC4">
        <w:rPr>
          <w:rStyle w:val="FootnoteReference"/>
          <w:color w:val="000000" w:themeColor="text1"/>
        </w:rPr>
        <w:footnoteReference w:id="16"/>
      </w:r>
      <w:r w:rsidRPr="00945DC4">
        <w:rPr>
          <w:color w:val="000000" w:themeColor="text1"/>
        </w:rPr>
        <w:t xml:space="preserve"> </w:t>
      </w:r>
    </w:p>
    <w:p w14:paraId="190FDBEB" w14:textId="77777777" w:rsidR="00992DE9" w:rsidRPr="00945DC4" w:rsidRDefault="00992DE9" w:rsidP="00992DE9">
      <w:pPr>
        <w:rPr>
          <w:color w:val="000000" w:themeColor="text1"/>
        </w:rPr>
      </w:pPr>
    </w:p>
    <w:p w14:paraId="10747B93" w14:textId="083AE018" w:rsidR="00992DE9" w:rsidRPr="00945DC4" w:rsidRDefault="00992DE9" w:rsidP="00992DE9">
      <w:pPr>
        <w:pStyle w:val="Heading3"/>
        <w:numPr>
          <w:ilvl w:val="0"/>
          <w:numId w:val="1"/>
        </w:numPr>
        <w:tabs>
          <w:tab w:val="num" w:pos="360"/>
        </w:tabs>
        <w:ind w:left="0" w:firstLine="0"/>
        <w:rPr>
          <w:color w:val="000000" w:themeColor="text1"/>
        </w:rPr>
      </w:pPr>
      <w:bookmarkStart w:id="65" w:name="_Toc124179170"/>
      <w:r>
        <w:rPr>
          <w:color w:val="000000" w:themeColor="text1"/>
        </w:rPr>
        <w:t>Alternatively, if t</w:t>
      </w:r>
      <w:r w:rsidRPr="00945DC4">
        <w:rPr>
          <w:color w:val="000000" w:themeColor="text1"/>
        </w:rPr>
        <w:t>he Braidwood religious objection</w:t>
      </w:r>
      <w:r>
        <w:rPr>
          <w:color w:val="000000" w:themeColor="text1"/>
        </w:rPr>
        <w:t xml:space="preserve">, as the court suggests, </w:t>
      </w:r>
      <w:r w:rsidR="00054AE7">
        <w:rPr>
          <w:color w:val="000000" w:themeColor="text1"/>
        </w:rPr>
        <w:t xml:space="preserve">is valid without regard to the </w:t>
      </w:r>
      <w:r>
        <w:rPr>
          <w:color w:val="000000" w:themeColor="text1"/>
        </w:rPr>
        <w:t>facts, it</w:t>
      </w:r>
      <w:r w:rsidRPr="00945DC4">
        <w:rPr>
          <w:color w:val="000000" w:themeColor="text1"/>
        </w:rPr>
        <w:t xml:space="preserve"> is so overbroad that it could permit religious objectors to opt out of insurance coverage for any preventative or procedure.</w:t>
      </w:r>
      <w:bookmarkEnd w:id="65"/>
    </w:p>
    <w:p w14:paraId="5FB56887" w14:textId="77777777" w:rsidR="00992DE9" w:rsidRPr="0084678B" w:rsidRDefault="00992DE9" w:rsidP="00992DE9">
      <w:pPr>
        <w:pStyle w:val="NormalWeb"/>
        <w:rPr>
          <w:color w:val="000000" w:themeColor="text1"/>
        </w:rPr>
      </w:pPr>
      <w:r>
        <w:rPr>
          <w:color w:val="000000" w:themeColor="text1"/>
        </w:rPr>
        <w:t xml:space="preserve">The </w:t>
      </w:r>
      <w:r>
        <w:rPr>
          <w:i/>
          <w:iCs/>
          <w:color w:val="000000" w:themeColor="text1"/>
        </w:rPr>
        <w:t>Braidwood</w:t>
      </w:r>
      <w:r>
        <w:rPr>
          <w:color w:val="000000" w:themeColor="text1"/>
        </w:rPr>
        <w:t xml:space="preserve"> court dismisses the government's argument that the Braidwood plaintiffs' objection is "an empirical [claim] that requires factual support"</w:t>
      </w:r>
      <w:r>
        <w:rPr>
          <w:rStyle w:val="FootnoteReference"/>
          <w:color w:val="000000" w:themeColor="text1"/>
        </w:rPr>
        <w:footnoteReference w:id="17"/>
      </w:r>
      <w:r>
        <w:rPr>
          <w:color w:val="000000" w:themeColor="text1"/>
        </w:rPr>
        <w:t xml:space="preserve"> and cites dicta in a concurring opinion in a case involving contraception for the proposition that the plaintiffs' "sincere religious belief" is all that is required to establish that any rule "substantially burdens" the plaintiffs' religion.</w:t>
      </w:r>
      <w:r>
        <w:rPr>
          <w:rStyle w:val="FootnoteReference"/>
          <w:color w:val="000000" w:themeColor="text1"/>
        </w:rPr>
        <w:footnoteReference w:id="18"/>
      </w:r>
      <w:r>
        <w:rPr>
          <w:color w:val="000000" w:themeColor="text1"/>
        </w:rPr>
        <w:t xml:space="preserve">  Notably, the contraceptive cases have a distinct legal and factual setting:  the plaintiffs in those cases objected expressly to </w:t>
      </w:r>
      <w:r w:rsidRPr="00522869">
        <w:rPr>
          <w:color w:val="000000" w:themeColor="text1"/>
        </w:rPr>
        <w:t>contraception</w:t>
      </w:r>
      <w:r>
        <w:rPr>
          <w:color w:val="000000" w:themeColor="text1"/>
        </w:rPr>
        <w:t>, and not to behaviors supposedly "facilitated" by it.</w:t>
      </w:r>
    </w:p>
    <w:p w14:paraId="4D77F0BD" w14:textId="77777777" w:rsidR="00992DE9" w:rsidRPr="00945DC4" w:rsidRDefault="00992DE9" w:rsidP="00992DE9">
      <w:pPr>
        <w:pStyle w:val="NormalWeb"/>
        <w:rPr>
          <w:color w:val="000000" w:themeColor="text1"/>
        </w:rPr>
      </w:pPr>
      <w:r>
        <w:rPr>
          <w:color w:val="000000" w:themeColor="text1"/>
        </w:rPr>
        <w:t xml:space="preserve">The </w:t>
      </w:r>
      <w:r>
        <w:rPr>
          <w:i/>
          <w:iCs/>
          <w:color w:val="000000" w:themeColor="text1"/>
        </w:rPr>
        <w:t>Braidwood</w:t>
      </w:r>
      <w:r>
        <w:rPr>
          <w:color w:val="000000" w:themeColor="text1"/>
        </w:rPr>
        <w:t xml:space="preserve"> court's rejection of empirical reality suggests a </w:t>
      </w:r>
      <w:r w:rsidRPr="00945DC4">
        <w:rPr>
          <w:color w:val="000000" w:themeColor="text1"/>
        </w:rPr>
        <w:t xml:space="preserve">second interpretation of the </w:t>
      </w:r>
      <w:r w:rsidRPr="00945DC4">
        <w:rPr>
          <w:i/>
          <w:iCs/>
          <w:color w:val="000000" w:themeColor="text1"/>
        </w:rPr>
        <w:t>Braidwood</w:t>
      </w:r>
      <w:r w:rsidRPr="00945DC4">
        <w:rPr>
          <w:color w:val="000000" w:themeColor="text1"/>
        </w:rPr>
        <w:t xml:space="preserve"> religious exemption</w:t>
      </w:r>
      <w:r>
        <w:rPr>
          <w:color w:val="000000" w:themeColor="text1"/>
        </w:rPr>
        <w:t>, which</w:t>
      </w:r>
      <w:r w:rsidRPr="00945DC4">
        <w:rPr>
          <w:color w:val="000000" w:themeColor="text1"/>
        </w:rPr>
        <w:t xml:space="preserve"> is that </w:t>
      </w:r>
      <w:r>
        <w:rPr>
          <w:color w:val="000000" w:themeColor="text1"/>
        </w:rPr>
        <w:t>employers</w:t>
      </w:r>
      <w:r w:rsidRPr="00945DC4">
        <w:rPr>
          <w:color w:val="000000" w:themeColor="text1"/>
        </w:rPr>
        <w:t xml:space="preserve"> </w:t>
      </w:r>
      <w:r>
        <w:rPr>
          <w:color w:val="000000" w:themeColor="text1"/>
        </w:rPr>
        <w:t>can</w:t>
      </w:r>
      <w:r w:rsidRPr="00945DC4">
        <w:rPr>
          <w:color w:val="000000" w:themeColor="text1"/>
        </w:rPr>
        <w:t xml:space="preserve"> opt out of the PrEP Mandate because </w:t>
      </w:r>
      <w:r>
        <w:rPr>
          <w:color w:val="000000" w:themeColor="text1"/>
        </w:rPr>
        <w:t xml:space="preserve">they sincerely believe, even without any factual foundation, that </w:t>
      </w:r>
      <w:r w:rsidRPr="00945DC4">
        <w:rPr>
          <w:color w:val="000000" w:themeColor="text1"/>
        </w:rPr>
        <w:t xml:space="preserve">members of disfavored groups will reap health benefits from PrEP.  </w:t>
      </w:r>
    </w:p>
    <w:p w14:paraId="0D5B5981" w14:textId="397B5928" w:rsidR="00992DE9" w:rsidRDefault="00992DE9" w:rsidP="00992DE9">
      <w:pPr>
        <w:pStyle w:val="NormalWeb"/>
        <w:rPr>
          <w:color w:val="000000" w:themeColor="text1"/>
        </w:rPr>
      </w:pPr>
      <w:r>
        <w:rPr>
          <w:color w:val="000000" w:themeColor="text1"/>
        </w:rPr>
        <w:t>But this interpretation of</w:t>
      </w:r>
      <w:r w:rsidRPr="00945DC4">
        <w:rPr>
          <w:color w:val="000000" w:themeColor="text1"/>
        </w:rPr>
        <w:t xml:space="preserve"> the </w:t>
      </w:r>
      <w:r w:rsidRPr="00945DC4">
        <w:rPr>
          <w:i/>
          <w:iCs/>
          <w:color w:val="000000" w:themeColor="text1"/>
        </w:rPr>
        <w:t>Braidwood</w:t>
      </w:r>
      <w:r w:rsidRPr="00945DC4">
        <w:rPr>
          <w:color w:val="000000" w:themeColor="text1"/>
        </w:rPr>
        <w:t xml:space="preserve"> religious </w:t>
      </w:r>
      <w:r>
        <w:rPr>
          <w:color w:val="000000" w:themeColor="text1"/>
        </w:rPr>
        <w:t xml:space="preserve">exemption would be </w:t>
      </w:r>
      <w:r w:rsidR="00054AE7">
        <w:rPr>
          <w:color w:val="000000" w:themeColor="text1"/>
        </w:rPr>
        <w:t>disastrously</w:t>
      </w:r>
      <w:r>
        <w:rPr>
          <w:color w:val="000000" w:themeColor="text1"/>
        </w:rPr>
        <w:t xml:space="preserve"> overbroad, opening the way for employers to </w:t>
      </w:r>
      <w:r w:rsidRPr="00945DC4">
        <w:rPr>
          <w:color w:val="000000" w:themeColor="text1"/>
        </w:rPr>
        <w:t xml:space="preserve">opt out of any treatment that may benefit members of </w:t>
      </w:r>
      <w:r>
        <w:rPr>
          <w:color w:val="000000" w:themeColor="text1"/>
        </w:rPr>
        <w:t xml:space="preserve">groups </w:t>
      </w:r>
      <w:r>
        <w:rPr>
          <w:color w:val="000000" w:themeColor="text1"/>
        </w:rPr>
        <w:lastRenderedPageBreak/>
        <w:t>whose identity or conduct contravenes employers’ beliefs.</w:t>
      </w:r>
      <w:r w:rsidRPr="00945DC4">
        <w:rPr>
          <w:color w:val="000000" w:themeColor="text1"/>
        </w:rPr>
        <w:t xml:space="preserve"> Following this line of reasoning, a court would be bound to </w:t>
      </w:r>
      <w:r>
        <w:rPr>
          <w:color w:val="000000" w:themeColor="text1"/>
        </w:rPr>
        <w:t>approve</w:t>
      </w:r>
      <w:r w:rsidRPr="00945DC4">
        <w:rPr>
          <w:color w:val="000000" w:themeColor="text1"/>
        </w:rPr>
        <w:t xml:space="preserve"> a religious objection to any medical procedure or, indeed, healthcare in general</w:t>
      </w:r>
      <w:r>
        <w:rPr>
          <w:color w:val="000000" w:themeColor="text1"/>
        </w:rPr>
        <w:t xml:space="preserve">, without any showing that the belief is </w:t>
      </w:r>
      <w:proofErr w:type="gramStart"/>
      <w:r>
        <w:rPr>
          <w:color w:val="000000" w:themeColor="text1"/>
        </w:rPr>
        <w:t>grounded in reality</w:t>
      </w:r>
      <w:proofErr w:type="gramEnd"/>
      <w:r w:rsidRPr="00945DC4">
        <w:rPr>
          <w:color w:val="000000" w:themeColor="text1"/>
        </w:rPr>
        <w:t>.</w:t>
      </w:r>
      <w:r>
        <w:rPr>
          <w:rStyle w:val="FootnoteReference"/>
          <w:color w:val="000000" w:themeColor="text1"/>
        </w:rPr>
        <w:footnoteReference w:id="19"/>
      </w:r>
      <w:r w:rsidRPr="00945DC4">
        <w:rPr>
          <w:color w:val="000000" w:themeColor="text1"/>
        </w:rPr>
        <w:t xml:space="preserve">  </w:t>
      </w:r>
    </w:p>
    <w:p w14:paraId="04857159" w14:textId="77777777" w:rsidR="00992DE9" w:rsidRDefault="00992DE9" w:rsidP="00992DE9">
      <w:pPr>
        <w:pStyle w:val="NormalWeb"/>
        <w:rPr>
          <w:color w:val="000000" w:themeColor="text1"/>
        </w:rPr>
      </w:pPr>
      <w:r w:rsidRPr="00945DC4">
        <w:rPr>
          <w:color w:val="000000" w:themeColor="text1"/>
        </w:rPr>
        <w:t xml:space="preserve">The measles vaccine, to take a concrete example, benefits the whole community, and the community includes </w:t>
      </w:r>
      <w:r>
        <w:rPr>
          <w:color w:val="000000" w:themeColor="text1"/>
        </w:rPr>
        <w:t xml:space="preserve">LGBTQ people, whose identity and sexuality the </w:t>
      </w:r>
      <w:proofErr w:type="spellStart"/>
      <w:r>
        <w:rPr>
          <w:color w:val="000000" w:themeColor="text1"/>
        </w:rPr>
        <w:t>plaitniffs</w:t>
      </w:r>
      <w:proofErr w:type="spellEnd"/>
      <w:r>
        <w:rPr>
          <w:color w:val="000000" w:themeColor="text1"/>
        </w:rPr>
        <w:t xml:space="preserve"> reject.  </w:t>
      </w:r>
      <w:r w:rsidRPr="00945DC4">
        <w:rPr>
          <w:color w:val="000000" w:themeColor="text1"/>
        </w:rPr>
        <w:t xml:space="preserve">Under the </w:t>
      </w:r>
      <w:r w:rsidRPr="00945DC4">
        <w:rPr>
          <w:i/>
          <w:iCs/>
          <w:color w:val="000000" w:themeColor="text1"/>
        </w:rPr>
        <w:t>Braidwood</w:t>
      </w:r>
      <w:r w:rsidRPr="00945DC4">
        <w:rPr>
          <w:color w:val="000000" w:themeColor="text1"/>
        </w:rPr>
        <w:t xml:space="preserve"> logic, the plaintiffs could seek an exemption for covering measles vaccines.  The same flawed logic would apply with equal force to any medical treatment.  Emergency hospital care</w:t>
      </w:r>
      <w:r>
        <w:rPr>
          <w:color w:val="000000" w:themeColor="text1"/>
        </w:rPr>
        <w:t xml:space="preserve"> for heart failure</w:t>
      </w:r>
      <w:r w:rsidRPr="00945DC4">
        <w:rPr>
          <w:color w:val="000000" w:themeColor="text1"/>
        </w:rPr>
        <w:t xml:space="preserve">, for example, benefits anyone with a medical emergency, including </w:t>
      </w:r>
      <w:r>
        <w:rPr>
          <w:color w:val="000000" w:themeColor="text1"/>
        </w:rPr>
        <w:t xml:space="preserve">LGBTQ people. Preserving their lives would enable them to continue to live an identity or engage in behavior that violates the religious employer’s beliefs.  </w:t>
      </w:r>
      <w:r w:rsidRPr="00945DC4">
        <w:rPr>
          <w:color w:val="000000" w:themeColor="text1"/>
        </w:rPr>
        <w:t xml:space="preserve">Interpreted this way, the </w:t>
      </w:r>
      <w:r w:rsidRPr="00945DC4">
        <w:rPr>
          <w:i/>
          <w:iCs/>
          <w:color w:val="000000" w:themeColor="text1"/>
        </w:rPr>
        <w:t>Braidwood</w:t>
      </w:r>
      <w:r w:rsidRPr="00945DC4">
        <w:rPr>
          <w:color w:val="000000" w:themeColor="text1"/>
        </w:rPr>
        <w:t xml:space="preserve"> religious exception is not an exception but an entry point for religious employers to opt out of health coverage entirely.</w:t>
      </w:r>
    </w:p>
    <w:p w14:paraId="32CD81FE" w14:textId="77777777" w:rsidR="00992DE9" w:rsidRPr="0084678B" w:rsidRDefault="00992DE9" w:rsidP="00992DE9">
      <w:pPr>
        <w:pStyle w:val="NormalWeb"/>
        <w:rPr>
          <w:color w:val="000000" w:themeColor="text1"/>
        </w:rPr>
      </w:pPr>
      <w:r>
        <w:rPr>
          <w:color w:val="000000" w:themeColor="text1"/>
        </w:rPr>
        <w:t xml:space="preserve">Further, the </w:t>
      </w:r>
      <w:r>
        <w:rPr>
          <w:i/>
          <w:iCs/>
          <w:color w:val="000000" w:themeColor="text1"/>
        </w:rPr>
        <w:t>Braidwood</w:t>
      </w:r>
      <w:r>
        <w:rPr>
          <w:color w:val="000000" w:themeColor="text1"/>
        </w:rPr>
        <w:t xml:space="preserve"> court rests on the finding that the plaintiffs' religious beliefs about the </w:t>
      </w:r>
      <w:r w:rsidRPr="00522869">
        <w:rPr>
          <w:color w:val="000000" w:themeColor="text1"/>
        </w:rPr>
        <w:t>consequences</w:t>
      </w:r>
      <w:r>
        <w:rPr>
          <w:i/>
          <w:iCs/>
          <w:color w:val="000000" w:themeColor="text1"/>
        </w:rPr>
        <w:t xml:space="preserve"> of PrEP </w:t>
      </w:r>
      <w:r>
        <w:rPr>
          <w:color w:val="000000" w:themeColor="text1"/>
        </w:rPr>
        <w:t xml:space="preserve">were "sincere" without </w:t>
      </w:r>
      <w:proofErr w:type="gramStart"/>
      <w:r>
        <w:rPr>
          <w:color w:val="000000" w:themeColor="text1"/>
        </w:rPr>
        <w:t>taking into account</w:t>
      </w:r>
      <w:proofErr w:type="gramEnd"/>
      <w:r>
        <w:rPr>
          <w:color w:val="000000" w:themeColor="text1"/>
        </w:rPr>
        <w:t xml:space="preserve"> the massive difficulties in proving sincerity.  The religious exemption as articulated by the court invites individuals and businesses to put forward marginal and insincere beliefs </w:t>
      </w:r>
      <w:proofErr w:type="gramStart"/>
      <w:r>
        <w:rPr>
          <w:color w:val="000000" w:themeColor="text1"/>
        </w:rPr>
        <w:t>in order to</w:t>
      </w:r>
      <w:proofErr w:type="gramEnd"/>
      <w:r>
        <w:rPr>
          <w:color w:val="000000" w:themeColor="text1"/>
        </w:rPr>
        <w:t xml:space="preserve"> act on animus toward LGBTQ people and other marginalized groups.  Neither courts nor any other governmental authority can reliably distinguish sincere from insincere beliefs, and thus the religious exemption – freed from any factual basis – is an open invitation to misuse.</w:t>
      </w:r>
    </w:p>
    <w:p w14:paraId="1100AC71" w14:textId="77777777" w:rsidR="00992DE9" w:rsidRPr="00945DC4" w:rsidRDefault="00992DE9" w:rsidP="00992DE9">
      <w:pPr>
        <w:pStyle w:val="Heading3"/>
        <w:numPr>
          <w:ilvl w:val="0"/>
          <w:numId w:val="1"/>
        </w:numPr>
        <w:tabs>
          <w:tab w:val="num" w:pos="360"/>
        </w:tabs>
        <w:ind w:left="0" w:firstLine="0"/>
        <w:rPr>
          <w:color w:val="000000" w:themeColor="text1"/>
        </w:rPr>
      </w:pPr>
      <w:bookmarkStart w:id="66" w:name="_Toc124179171"/>
      <w:r>
        <w:rPr>
          <w:color w:val="000000" w:themeColor="text1"/>
        </w:rPr>
        <w:t xml:space="preserve">As a third possibility, the Braidwood religious exemption might rest on the </w:t>
      </w:r>
      <w:r w:rsidRPr="00945DC4">
        <w:rPr>
          <w:color w:val="000000" w:themeColor="text1"/>
        </w:rPr>
        <w:t xml:space="preserve">claim that PrEP </w:t>
      </w:r>
      <w:r>
        <w:rPr>
          <w:color w:val="000000" w:themeColor="text1"/>
        </w:rPr>
        <w:t>“primarily”</w:t>
      </w:r>
      <w:r w:rsidRPr="00945DC4">
        <w:rPr>
          <w:color w:val="000000" w:themeColor="text1"/>
        </w:rPr>
        <w:t xml:space="preserve"> benefits members of </w:t>
      </w:r>
      <w:r>
        <w:rPr>
          <w:color w:val="000000" w:themeColor="text1"/>
        </w:rPr>
        <w:t>the LGBTQ community, people who have extramarital sex, and users of injectable drugs, but this version of the religious exemption is overbroad and impossible to administer.</w:t>
      </w:r>
      <w:bookmarkEnd w:id="66"/>
    </w:p>
    <w:p w14:paraId="61E4233F" w14:textId="7E2424CB" w:rsidR="00992DE9" w:rsidRPr="00945DC4" w:rsidRDefault="00992DE9" w:rsidP="00992DE9">
      <w:pPr>
        <w:pStyle w:val="NormalWeb"/>
        <w:rPr>
          <w:color w:val="000000" w:themeColor="text1"/>
        </w:rPr>
      </w:pPr>
      <w:r w:rsidRPr="00945DC4">
        <w:rPr>
          <w:color w:val="000000" w:themeColor="text1"/>
        </w:rPr>
        <w:t xml:space="preserve">A third interpretation of the </w:t>
      </w:r>
      <w:r w:rsidRPr="00945DC4">
        <w:rPr>
          <w:i/>
          <w:iCs/>
          <w:color w:val="000000" w:themeColor="text1"/>
        </w:rPr>
        <w:t>Braidwood</w:t>
      </w:r>
      <w:r w:rsidRPr="00945DC4">
        <w:rPr>
          <w:color w:val="000000" w:themeColor="text1"/>
        </w:rPr>
        <w:t xml:space="preserve"> religious exemption might rest on the (unstated) empirical proposition that PrEP </w:t>
      </w:r>
      <w:r>
        <w:rPr>
          <w:color w:val="000000" w:themeColor="text1"/>
        </w:rPr>
        <w:t>primarily</w:t>
      </w:r>
      <w:r w:rsidRPr="00945DC4">
        <w:rPr>
          <w:color w:val="000000" w:themeColor="text1"/>
        </w:rPr>
        <w:t xml:space="preserve"> benefits members of religiously disfavored groups (the “</w:t>
      </w:r>
      <w:r>
        <w:rPr>
          <w:color w:val="000000" w:themeColor="text1"/>
        </w:rPr>
        <w:t>primary</w:t>
      </w:r>
      <w:r w:rsidRPr="00945DC4">
        <w:rPr>
          <w:color w:val="000000" w:themeColor="text1"/>
        </w:rPr>
        <w:t xml:space="preserve"> benefit” claim).  That is, the </w:t>
      </w:r>
      <w:r>
        <w:rPr>
          <w:i/>
          <w:iCs/>
          <w:color w:val="000000" w:themeColor="text1"/>
        </w:rPr>
        <w:t>Braidwood</w:t>
      </w:r>
      <w:r>
        <w:rPr>
          <w:color w:val="000000" w:themeColor="text1"/>
        </w:rPr>
        <w:t xml:space="preserve"> court might assume that the PrEP Mandate violates the p</w:t>
      </w:r>
      <w:r w:rsidRPr="00945DC4">
        <w:rPr>
          <w:color w:val="000000" w:themeColor="text1"/>
        </w:rPr>
        <w:t>laintiffs</w:t>
      </w:r>
      <w:r>
        <w:rPr>
          <w:color w:val="000000" w:themeColor="text1"/>
        </w:rPr>
        <w:t xml:space="preserve">’ religious beliefs – in ways that other kinds of health care would not – because </w:t>
      </w:r>
      <w:r w:rsidRPr="00945DC4">
        <w:rPr>
          <w:color w:val="000000" w:themeColor="text1"/>
        </w:rPr>
        <w:t xml:space="preserve">PrEP </w:t>
      </w:r>
      <w:r>
        <w:rPr>
          <w:color w:val="000000" w:themeColor="text1"/>
        </w:rPr>
        <w:t>is</w:t>
      </w:r>
      <w:r w:rsidRPr="00945DC4">
        <w:rPr>
          <w:color w:val="000000" w:themeColor="text1"/>
        </w:rPr>
        <w:t xml:space="preserve"> perceived </w:t>
      </w:r>
      <w:r>
        <w:rPr>
          <w:color w:val="000000" w:themeColor="text1"/>
        </w:rPr>
        <w:t xml:space="preserve">to be primarily a medication that benefits </w:t>
      </w:r>
      <w:r w:rsidRPr="00945DC4">
        <w:rPr>
          <w:color w:val="000000" w:themeColor="text1"/>
        </w:rPr>
        <w:t xml:space="preserve">LGBTQ people and </w:t>
      </w:r>
      <w:r>
        <w:rPr>
          <w:color w:val="000000" w:themeColor="text1"/>
        </w:rPr>
        <w:t>individuals</w:t>
      </w:r>
      <w:r w:rsidRPr="00945DC4">
        <w:rPr>
          <w:color w:val="000000" w:themeColor="text1"/>
        </w:rPr>
        <w:t xml:space="preserve"> who </w:t>
      </w:r>
      <w:r>
        <w:rPr>
          <w:color w:val="000000" w:themeColor="text1"/>
        </w:rPr>
        <w:t>inject</w:t>
      </w:r>
      <w:r w:rsidRPr="00945DC4">
        <w:rPr>
          <w:color w:val="000000" w:themeColor="text1"/>
        </w:rPr>
        <w:t xml:space="preserve"> drugs.</w:t>
      </w:r>
    </w:p>
    <w:p w14:paraId="08290A92" w14:textId="77777777" w:rsidR="00992DE9" w:rsidRPr="00945DC4" w:rsidRDefault="00992DE9" w:rsidP="00992DE9">
      <w:pPr>
        <w:pStyle w:val="NormalWeb"/>
        <w:rPr>
          <w:color w:val="000000" w:themeColor="text1"/>
        </w:rPr>
      </w:pPr>
      <w:r>
        <w:rPr>
          <w:color w:val="000000" w:themeColor="text1"/>
        </w:rPr>
        <w:t xml:space="preserve">The </w:t>
      </w:r>
      <w:r>
        <w:rPr>
          <w:i/>
          <w:iCs/>
          <w:color w:val="000000" w:themeColor="text1"/>
        </w:rPr>
        <w:t>Braidwood</w:t>
      </w:r>
      <w:r>
        <w:rPr>
          <w:color w:val="000000" w:themeColor="text1"/>
        </w:rPr>
        <w:t xml:space="preserve"> court does not articulate this view, but it may be implicit, given the plaintiffs’ framing of PrEP.  While men who have sex with men do benefit from the availability of PrEP, so do many others, including </w:t>
      </w:r>
      <w:r w:rsidRPr="00945DC4">
        <w:rPr>
          <w:color w:val="000000" w:themeColor="text1"/>
        </w:rPr>
        <w:t xml:space="preserve">all </w:t>
      </w:r>
      <w:proofErr w:type="gramStart"/>
      <w:r w:rsidRPr="00945DC4">
        <w:rPr>
          <w:color w:val="000000" w:themeColor="text1"/>
        </w:rPr>
        <w:t>sexually-active</w:t>
      </w:r>
      <w:proofErr w:type="gramEnd"/>
      <w:r w:rsidRPr="00945DC4">
        <w:rPr>
          <w:color w:val="000000" w:themeColor="text1"/>
        </w:rPr>
        <w:t xml:space="preserve"> adults and their future children.  The </w:t>
      </w:r>
      <w:r w:rsidRPr="00945DC4">
        <w:rPr>
          <w:i/>
          <w:iCs/>
          <w:color w:val="000000" w:themeColor="text1"/>
        </w:rPr>
        <w:t>Braidwood</w:t>
      </w:r>
      <w:r w:rsidRPr="00945DC4">
        <w:rPr>
          <w:color w:val="000000" w:themeColor="text1"/>
        </w:rPr>
        <w:t xml:space="preserve"> court offers no standard for determining when a public health measure produces </w:t>
      </w:r>
      <w:r>
        <w:rPr>
          <w:color w:val="000000" w:themeColor="text1"/>
        </w:rPr>
        <w:t>primary</w:t>
      </w:r>
      <w:r w:rsidRPr="00945DC4">
        <w:rPr>
          <w:color w:val="000000" w:themeColor="text1"/>
        </w:rPr>
        <w:t xml:space="preserve"> benefits to a </w:t>
      </w:r>
      <w:r>
        <w:rPr>
          <w:color w:val="000000" w:themeColor="text1"/>
        </w:rPr>
        <w:t>group whose identity and relationships are rejected by religious plaintiffs</w:t>
      </w:r>
      <w:r w:rsidRPr="00945DC4">
        <w:rPr>
          <w:color w:val="000000" w:themeColor="text1"/>
        </w:rPr>
        <w:t xml:space="preserve">.  Nor could any standard be </w:t>
      </w:r>
      <w:r>
        <w:rPr>
          <w:color w:val="000000" w:themeColor="text1"/>
        </w:rPr>
        <w:t>created</w:t>
      </w:r>
      <w:r w:rsidRPr="00945DC4">
        <w:rPr>
          <w:color w:val="000000" w:themeColor="text1"/>
        </w:rPr>
        <w:t xml:space="preserve">.  It is true that men who have sex with men and </w:t>
      </w:r>
      <w:r>
        <w:rPr>
          <w:color w:val="000000" w:themeColor="text1"/>
        </w:rPr>
        <w:t>people who inject</w:t>
      </w:r>
      <w:r w:rsidRPr="00945DC4">
        <w:rPr>
          <w:color w:val="000000" w:themeColor="text1"/>
        </w:rPr>
        <w:t xml:space="preserve"> drugs do face a higher-than-average risk of contracting HIV.  But within those groups, some individuals </w:t>
      </w:r>
      <w:r w:rsidRPr="00945DC4">
        <w:rPr>
          <w:color w:val="000000" w:themeColor="text1"/>
        </w:rPr>
        <w:lastRenderedPageBreak/>
        <w:t xml:space="preserve">have higher or lower risks.  For example, HIV risk is lower for men who have sex with men and use condoms; it is also lower for </w:t>
      </w:r>
      <w:r>
        <w:rPr>
          <w:color w:val="000000" w:themeColor="text1"/>
        </w:rPr>
        <w:t>people who inject drugs</w:t>
      </w:r>
      <w:r w:rsidRPr="00945DC4">
        <w:rPr>
          <w:color w:val="000000" w:themeColor="text1"/>
        </w:rPr>
        <w:t xml:space="preserve"> who have access to clean needles.  </w:t>
      </w:r>
    </w:p>
    <w:p w14:paraId="29873EFC" w14:textId="7169777F" w:rsidR="00992DE9" w:rsidRPr="00945DC4" w:rsidRDefault="00992DE9" w:rsidP="00992DE9">
      <w:pPr>
        <w:pStyle w:val="NormalWeb"/>
        <w:rPr>
          <w:color w:val="000000" w:themeColor="text1"/>
        </w:rPr>
      </w:pPr>
      <w:r w:rsidRPr="00945DC4">
        <w:rPr>
          <w:color w:val="000000" w:themeColor="text1"/>
        </w:rPr>
        <w:t>The “</w:t>
      </w:r>
      <w:r>
        <w:rPr>
          <w:color w:val="000000" w:themeColor="text1"/>
        </w:rPr>
        <w:t>primary</w:t>
      </w:r>
      <w:r w:rsidRPr="00945DC4">
        <w:rPr>
          <w:color w:val="000000" w:themeColor="text1"/>
        </w:rPr>
        <w:t xml:space="preserve"> benefit” rationale for the religious exemption is ultimately </w:t>
      </w:r>
      <w:proofErr w:type="gramStart"/>
      <w:r w:rsidRPr="00945DC4">
        <w:rPr>
          <w:color w:val="000000" w:themeColor="text1"/>
        </w:rPr>
        <w:t>incoherent, because</w:t>
      </w:r>
      <w:proofErr w:type="gramEnd"/>
      <w:r w:rsidRPr="00945DC4">
        <w:rPr>
          <w:color w:val="000000" w:themeColor="text1"/>
        </w:rPr>
        <w:t xml:space="preserve"> HIV risk (and, thus, the projected benefit of PrEP) depends on many factors.  HIV disproportionately affects Black and other minority communities, for example.  Adolescents and young adults are at greater-than-average risk for HIV, as are people who drink alcohol and people who live in urban areas. </w:t>
      </w:r>
    </w:p>
    <w:p w14:paraId="44880903" w14:textId="77777777" w:rsidR="00992DE9" w:rsidRPr="00945DC4" w:rsidRDefault="00992DE9" w:rsidP="00992DE9">
      <w:pPr>
        <w:pStyle w:val="NormalWeb"/>
        <w:rPr>
          <w:color w:val="000000" w:themeColor="text1"/>
          <w:shd w:val="clear" w:color="auto" w:fill="FFFFFF"/>
        </w:rPr>
      </w:pPr>
      <w:r w:rsidRPr="00945DC4">
        <w:rPr>
          <w:color w:val="000000" w:themeColor="text1"/>
        </w:rPr>
        <w:t xml:space="preserve">It is difficult to avoid the conclusion that the </w:t>
      </w:r>
      <w:r w:rsidRPr="00945DC4">
        <w:rPr>
          <w:i/>
          <w:iCs/>
          <w:color w:val="000000" w:themeColor="text1"/>
        </w:rPr>
        <w:t>Braidwood</w:t>
      </w:r>
      <w:r w:rsidRPr="00945DC4">
        <w:rPr>
          <w:color w:val="000000" w:themeColor="text1"/>
        </w:rPr>
        <w:t xml:space="preserve"> plaintiffs and the court chose to endorse, without question, damaging and inaccurate stereotypes of LGBTQ people and </w:t>
      </w:r>
      <w:r>
        <w:rPr>
          <w:color w:val="000000" w:themeColor="text1"/>
        </w:rPr>
        <w:t>people who inject</w:t>
      </w:r>
      <w:r w:rsidRPr="00945DC4">
        <w:rPr>
          <w:color w:val="000000" w:themeColor="text1"/>
        </w:rPr>
        <w:t xml:space="preserve"> drugs.  D</w:t>
      </w:r>
      <w:r w:rsidRPr="00945DC4">
        <w:rPr>
          <w:color w:val="000000" w:themeColor="text1"/>
          <w:shd w:val="clear" w:color="auto" w:fill="FFFFFF"/>
        </w:rPr>
        <w:t xml:space="preserve">enying access to PrEP, as the </w:t>
      </w:r>
      <w:r w:rsidRPr="00945DC4">
        <w:rPr>
          <w:i/>
          <w:iCs/>
          <w:color w:val="000000" w:themeColor="text1"/>
          <w:shd w:val="clear" w:color="auto" w:fill="FFFFFF"/>
        </w:rPr>
        <w:t xml:space="preserve">Braidwood </w:t>
      </w:r>
      <w:r w:rsidRPr="00945DC4">
        <w:rPr>
          <w:color w:val="000000" w:themeColor="text1"/>
          <w:shd w:val="clear" w:color="auto" w:fill="FFFFFF"/>
        </w:rPr>
        <w:t xml:space="preserve">decision does, will </w:t>
      </w:r>
      <w:r>
        <w:rPr>
          <w:color w:val="000000" w:themeColor="text1"/>
          <w:shd w:val="clear" w:color="auto" w:fill="FFFFFF"/>
        </w:rPr>
        <w:t>lead to new</w:t>
      </w:r>
      <w:r w:rsidRPr="00945DC4">
        <w:rPr>
          <w:color w:val="000000" w:themeColor="text1"/>
          <w:shd w:val="clear" w:color="auto" w:fill="FFFFFF"/>
        </w:rPr>
        <w:t xml:space="preserve"> HIV transmission</w:t>
      </w:r>
      <w:r>
        <w:rPr>
          <w:color w:val="000000" w:themeColor="text1"/>
          <w:shd w:val="clear" w:color="auto" w:fill="FFFFFF"/>
        </w:rPr>
        <w:t>s</w:t>
      </w:r>
      <w:r w:rsidRPr="00945DC4">
        <w:rPr>
          <w:color w:val="000000" w:themeColor="text1"/>
          <w:shd w:val="clear" w:color="auto" w:fill="FFFFFF"/>
        </w:rPr>
        <w:t xml:space="preserve">, with attendant harm to the health and quality of life of people </w:t>
      </w:r>
      <w:r>
        <w:rPr>
          <w:color w:val="000000" w:themeColor="text1"/>
          <w:shd w:val="clear" w:color="auto" w:fill="FFFFFF"/>
        </w:rPr>
        <w:t xml:space="preserve">who are at risk for HIV </w:t>
      </w:r>
      <w:r w:rsidRPr="00945DC4">
        <w:rPr>
          <w:color w:val="000000" w:themeColor="text1"/>
          <w:shd w:val="clear" w:color="auto" w:fill="FFFFFF"/>
        </w:rPr>
        <w:t xml:space="preserve">throughout the United States, as well as individuals in their social networks. These harms are greatest in minority communities and among the </w:t>
      </w:r>
      <w:proofErr w:type="gramStart"/>
      <w:r w:rsidRPr="00945DC4">
        <w:rPr>
          <w:color w:val="000000" w:themeColor="text1"/>
          <w:shd w:val="clear" w:color="auto" w:fill="FFFFFF"/>
        </w:rPr>
        <w:t>economically disadvantaged</w:t>
      </w:r>
      <w:proofErr w:type="gramEnd"/>
      <w:r w:rsidRPr="00945DC4">
        <w:rPr>
          <w:color w:val="000000" w:themeColor="text1"/>
          <w:shd w:val="clear" w:color="auto" w:fill="FFFFFF"/>
        </w:rPr>
        <w:t xml:space="preserve">, facts that are noticeably absent from the </w:t>
      </w:r>
      <w:r w:rsidRPr="00945DC4">
        <w:rPr>
          <w:i/>
          <w:iCs/>
          <w:color w:val="000000" w:themeColor="text1"/>
          <w:shd w:val="clear" w:color="auto" w:fill="FFFFFF"/>
        </w:rPr>
        <w:t>Braidwood</w:t>
      </w:r>
      <w:r w:rsidRPr="00945DC4">
        <w:rPr>
          <w:color w:val="000000" w:themeColor="text1"/>
          <w:shd w:val="clear" w:color="auto" w:fill="FFFFFF"/>
        </w:rPr>
        <w:t xml:space="preserve"> analysis.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35A5BC58" w14:textId="77777777" w:rsidR="00BD758A" w:rsidRPr="001C18C4" w:rsidRDefault="00BD758A">
      <w:pPr>
        <w:rPr>
          <w:color w:val="000000" w:themeColor="text1"/>
        </w:rPr>
      </w:pPr>
    </w:p>
    <w:sectPr w:rsidR="00BD758A" w:rsidRPr="001C18C4" w:rsidSect="001C18C4">
      <w:headerReference w:type="even" r:id="rId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2795" w14:textId="77777777" w:rsidR="00A96A37" w:rsidRDefault="00A96A37" w:rsidP="00BD758A">
      <w:r>
        <w:separator/>
      </w:r>
    </w:p>
  </w:endnote>
  <w:endnote w:type="continuationSeparator" w:id="0">
    <w:p w14:paraId="26BE14E0" w14:textId="77777777" w:rsidR="00A96A37" w:rsidRDefault="00A96A37" w:rsidP="00BD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D48C" w14:textId="77777777" w:rsidR="00BD758A" w:rsidRDefault="00BD758A" w:rsidP="00BD75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0F80" w14:textId="77777777" w:rsidR="00A96A37" w:rsidRDefault="00A96A37" w:rsidP="00BD758A">
      <w:r>
        <w:separator/>
      </w:r>
    </w:p>
  </w:footnote>
  <w:footnote w:type="continuationSeparator" w:id="0">
    <w:p w14:paraId="0ED32BE8" w14:textId="77777777" w:rsidR="00A96A37" w:rsidRDefault="00A96A37" w:rsidP="00BD758A">
      <w:r>
        <w:continuationSeparator/>
      </w:r>
    </w:p>
  </w:footnote>
  <w:footnote w:id="1">
    <w:p w14:paraId="25CACC5D" w14:textId="77777777" w:rsidR="00BD758A" w:rsidRPr="000D2F2B" w:rsidRDefault="00BD758A" w:rsidP="00BD758A">
      <w:pPr>
        <w:pStyle w:val="FootnoteText"/>
        <w:rPr>
          <w:color w:val="000000" w:themeColor="text1"/>
        </w:rPr>
      </w:pPr>
      <w:r w:rsidRPr="000D2F2B">
        <w:rPr>
          <w:rStyle w:val="FootnoteReference"/>
          <w:color w:val="000000" w:themeColor="text1"/>
        </w:rPr>
        <w:footnoteRef/>
      </w:r>
      <w:r w:rsidRPr="000D2F2B">
        <w:rPr>
          <w:color w:val="000000" w:themeColor="text1"/>
        </w:rPr>
        <w:t xml:space="preserve"> Braidwood Management Inc. v. Becerra, Civ. Act. No. 4:20-cv-00283-O, N.D. Tx (Sept. 7, 2022), at </w:t>
      </w:r>
      <w:hyperlink r:id="rId1" w:history="1">
        <w:r w:rsidRPr="00364B8A">
          <w:rPr>
            <w:rStyle w:val="Hyperlink"/>
            <w:color w:val="000000" w:themeColor="text1"/>
          </w:rPr>
          <w:t>https://storage.courtlistener.com/recap/gov.uscourts.txnd.330381/gov.uscourts.txnd.330381.92.0_2.pdf</w:t>
        </w:r>
      </w:hyperlink>
    </w:p>
  </w:footnote>
  <w:footnote w:id="2">
    <w:p w14:paraId="700ECBFF" w14:textId="77777777" w:rsidR="00BD758A" w:rsidRPr="00364B8A" w:rsidRDefault="00BD758A" w:rsidP="00BD758A">
      <w:pPr>
        <w:rPr>
          <w:color w:val="000000" w:themeColor="text1"/>
          <w:sz w:val="20"/>
          <w:szCs w:val="20"/>
        </w:rPr>
      </w:pPr>
      <w:r w:rsidRPr="000D2F2B">
        <w:rPr>
          <w:rStyle w:val="FootnoteReference"/>
          <w:color w:val="000000" w:themeColor="text1"/>
          <w:sz w:val="20"/>
          <w:szCs w:val="20"/>
        </w:rPr>
        <w:footnoteRef/>
      </w:r>
      <w:r w:rsidRPr="000D2F2B">
        <w:rPr>
          <w:color w:val="000000" w:themeColor="text1"/>
          <w:sz w:val="20"/>
          <w:szCs w:val="20"/>
        </w:rPr>
        <w:t xml:space="preserve"> US. Preventi</w:t>
      </w:r>
      <w:r w:rsidRPr="00364B8A">
        <w:rPr>
          <w:color w:val="000000" w:themeColor="text1"/>
          <w:sz w:val="20"/>
          <w:szCs w:val="20"/>
        </w:rPr>
        <w:t xml:space="preserve">ve Services Task Force, Prevention of HIV Infection: Pre-Exposure Prophylaxis, June 11, 2019, at </w:t>
      </w:r>
      <w:hyperlink r:id="rId2" w:anchor="fullrecommendationstart" w:history="1">
        <w:r w:rsidRPr="00364B8A">
          <w:rPr>
            <w:rStyle w:val="Hyperlink"/>
            <w:color w:val="000000" w:themeColor="text1"/>
            <w:sz w:val="20"/>
            <w:szCs w:val="20"/>
          </w:rPr>
          <w:t>https://www.uspreventiveservicestaskforce.org/uspstf/recommendation/prevention-of-human-immunodeficiency-virus-hiv-infection-pre-exposure-prophylaxis#fullrecommendationstart</w:t>
        </w:r>
      </w:hyperlink>
      <w:r w:rsidRPr="000D2F2B">
        <w:rPr>
          <w:color w:val="000000" w:themeColor="text1"/>
          <w:sz w:val="20"/>
          <w:szCs w:val="20"/>
        </w:rPr>
        <w:t>.  For the de</w:t>
      </w:r>
      <w:r w:rsidRPr="00364B8A">
        <w:rPr>
          <w:color w:val="000000" w:themeColor="text1"/>
          <w:sz w:val="20"/>
          <w:szCs w:val="20"/>
        </w:rPr>
        <w:t xml:space="preserve">finition of an “A” recommendation, see  </w:t>
      </w:r>
      <w:hyperlink r:id="rId3" w:anchor=":~:text=A%20%2D%20Strongly%20Recommended%3A%20The%20USPSTF,that%20benefits%20substantially%20outweigh%20harms" w:history="1">
        <w:r w:rsidRPr="00364B8A">
          <w:rPr>
            <w:rStyle w:val="Hyperlink"/>
            <w:color w:val="000000" w:themeColor="text1"/>
            <w:sz w:val="20"/>
            <w:szCs w:val="20"/>
          </w:rPr>
          <w:t>https://www.uspreventiveservicestaskforce.org/uspstf/about-uspstf/methods-and-processes/grade-definitions#:~:text=A%20%2D%20Strongly%20Recommended%3A%20The%20USPSTF,that%20benefits%20substantially%20outweigh%20harms</w:t>
        </w:r>
      </w:hyperlink>
      <w:r w:rsidRPr="000D2F2B">
        <w:rPr>
          <w:color w:val="000000" w:themeColor="text1"/>
          <w:sz w:val="20"/>
          <w:szCs w:val="20"/>
        </w:rPr>
        <w:t>.</w:t>
      </w:r>
      <w:r w:rsidRPr="00364B8A">
        <w:rPr>
          <w:color w:val="000000" w:themeColor="text1"/>
          <w:sz w:val="20"/>
          <w:szCs w:val="20"/>
        </w:rPr>
        <w:t xml:space="preserve">  The PrEP evidence review is Roger Chou et al., Pre-Exposure Prophylaxis for the Prevention of HIV Infection: A Systematic Review for the U.S. Preventive Services Task Force</w:t>
      </w:r>
      <w:r w:rsidRPr="00364B8A">
        <w:rPr>
          <w:b/>
          <w:bCs/>
          <w:color w:val="000000" w:themeColor="text1"/>
          <w:sz w:val="20"/>
          <w:szCs w:val="20"/>
        </w:rPr>
        <w:t xml:space="preserve">, </w:t>
      </w:r>
      <w:r w:rsidRPr="00364B8A">
        <w:rPr>
          <w:color w:val="000000" w:themeColor="text1"/>
          <w:sz w:val="20"/>
          <w:szCs w:val="20"/>
          <w:shd w:val="clear" w:color="auto" w:fill="FFFFFF"/>
        </w:rPr>
        <w:t>Rockville (MD):</w:t>
      </w:r>
      <w:r w:rsidRPr="00364B8A">
        <w:rPr>
          <w:rStyle w:val="apple-converted-space"/>
          <w:color w:val="000000" w:themeColor="text1"/>
          <w:sz w:val="20"/>
          <w:szCs w:val="20"/>
          <w:shd w:val="clear" w:color="auto" w:fill="FFFFFF"/>
        </w:rPr>
        <w:t> </w:t>
      </w:r>
      <w:hyperlink r:id="rId4" w:history="1">
        <w:r w:rsidRPr="00364B8A">
          <w:rPr>
            <w:rStyle w:val="Hyperlink"/>
            <w:color w:val="000000" w:themeColor="text1"/>
            <w:sz w:val="20"/>
            <w:szCs w:val="20"/>
          </w:rPr>
          <w:t>Agency for Healthcare Research and Quality (US)</w:t>
        </w:r>
      </w:hyperlink>
      <w:r w:rsidRPr="000D2F2B">
        <w:rPr>
          <w:color w:val="000000" w:themeColor="text1"/>
          <w:sz w:val="20"/>
          <w:szCs w:val="20"/>
          <w:shd w:val="clear" w:color="auto" w:fill="FFFFFF"/>
        </w:rPr>
        <w:t>;</w:t>
      </w:r>
      <w:r w:rsidRPr="00364B8A">
        <w:rPr>
          <w:rStyle w:val="apple-converted-space"/>
          <w:color w:val="000000" w:themeColor="text1"/>
          <w:sz w:val="20"/>
          <w:szCs w:val="20"/>
          <w:shd w:val="clear" w:color="auto" w:fill="FFFFFF"/>
        </w:rPr>
        <w:t> </w:t>
      </w:r>
      <w:r w:rsidRPr="00364B8A">
        <w:rPr>
          <w:color w:val="000000" w:themeColor="text1"/>
          <w:sz w:val="20"/>
          <w:szCs w:val="20"/>
        </w:rPr>
        <w:t>2019 Jun</w:t>
      </w:r>
      <w:r w:rsidRPr="00364B8A">
        <w:rPr>
          <w:color w:val="000000" w:themeColor="text1"/>
          <w:sz w:val="20"/>
          <w:szCs w:val="20"/>
          <w:shd w:val="clear" w:color="auto" w:fill="FFFFFF"/>
        </w:rPr>
        <w:t>.</w:t>
      </w:r>
    </w:p>
    <w:p w14:paraId="02B4E908" w14:textId="77777777" w:rsidR="00BD758A" w:rsidRPr="00364B8A" w:rsidRDefault="00BD758A" w:rsidP="00BD758A">
      <w:pPr>
        <w:rPr>
          <w:color w:val="000000" w:themeColor="text1"/>
          <w:sz w:val="20"/>
          <w:szCs w:val="20"/>
        </w:rPr>
      </w:pPr>
      <w:r w:rsidRPr="00364B8A">
        <w:rPr>
          <w:color w:val="000000" w:themeColor="text1"/>
          <w:sz w:val="20"/>
          <w:szCs w:val="20"/>
        </w:rPr>
        <w:t>Report No.: 18-05247-EF-1, at https://www.ncbi.nlm.nih.gov/books/NBK542888/</w:t>
      </w:r>
    </w:p>
  </w:footnote>
  <w:footnote w:id="3">
    <w:p w14:paraId="715C80E4" w14:textId="77777777" w:rsidR="00BD758A" w:rsidRPr="00364B8A" w:rsidRDefault="00BD758A" w:rsidP="00BD758A">
      <w:pPr>
        <w:pStyle w:val="NormalWeb"/>
        <w:spacing w:before="0" w:beforeAutospacing="0" w:after="0" w:afterAutospacing="0"/>
        <w:rPr>
          <w:color w:val="000000" w:themeColor="text1"/>
          <w:sz w:val="20"/>
          <w:szCs w:val="20"/>
        </w:rPr>
      </w:pPr>
      <w:r w:rsidRPr="000D2F2B">
        <w:rPr>
          <w:rStyle w:val="FootnoteReference"/>
          <w:color w:val="000000" w:themeColor="text1"/>
          <w:sz w:val="20"/>
          <w:szCs w:val="20"/>
        </w:rPr>
        <w:footnoteRef/>
      </w:r>
      <w:r w:rsidRPr="000D2F2B">
        <w:rPr>
          <w:color w:val="000000" w:themeColor="text1"/>
          <w:sz w:val="20"/>
          <w:szCs w:val="20"/>
        </w:rPr>
        <w:t xml:space="preserve"> See 42 U.S.C. § 300gg-13(a)(1) (requiring health insurance plans to cover, without cost sharing, “</w:t>
      </w:r>
      <w:r w:rsidRPr="00364B8A">
        <w:rPr>
          <w:color w:val="000000" w:themeColor="text1"/>
          <w:sz w:val="20"/>
          <w:szCs w:val="20"/>
          <w:shd w:val="clear" w:color="auto" w:fill="FFFFFF"/>
        </w:rPr>
        <w:t>evidence-based items or services that have in effect a rating of ‘A’ or ‘B’ in the current recommendations of the United States Preventive Services</w:t>
      </w:r>
      <w:r w:rsidRPr="00364B8A">
        <w:rPr>
          <w:color w:val="000000" w:themeColor="text1"/>
          <w:sz w:val="20"/>
          <w:szCs w:val="20"/>
        </w:rPr>
        <w:t xml:space="preserve"> </w:t>
      </w:r>
      <w:r w:rsidRPr="00364B8A">
        <w:rPr>
          <w:color w:val="000000" w:themeColor="text1"/>
          <w:sz w:val="20"/>
          <w:szCs w:val="20"/>
          <w:shd w:val="clear" w:color="auto" w:fill="FFFFFF"/>
        </w:rPr>
        <w:t>Task Force”).</w:t>
      </w:r>
    </w:p>
  </w:footnote>
  <w:footnote w:id="4">
    <w:p w14:paraId="04C99263" w14:textId="77777777" w:rsidR="00BD758A" w:rsidRPr="000D2F2B" w:rsidRDefault="00BD758A" w:rsidP="00BD758A">
      <w:pPr>
        <w:pStyle w:val="NormalWeb"/>
        <w:spacing w:before="0" w:beforeAutospacing="0" w:after="0" w:afterAutospacing="0"/>
        <w:rPr>
          <w:color w:val="000000" w:themeColor="text1"/>
          <w:sz w:val="20"/>
          <w:szCs w:val="20"/>
        </w:rPr>
      </w:pPr>
      <w:r w:rsidRPr="000D2F2B">
        <w:rPr>
          <w:rStyle w:val="FootnoteReference"/>
          <w:color w:val="000000" w:themeColor="text1"/>
          <w:sz w:val="20"/>
          <w:szCs w:val="20"/>
        </w:rPr>
        <w:footnoteRef/>
      </w:r>
      <w:r w:rsidRPr="000D2F2B">
        <w:rPr>
          <w:color w:val="000000" w:themeColor="text1"/>
          <w:sz w:val="20"/>
          <w:szCs w:val="20"/>
        </w:rPr>
        <w:t xml:space="preserve"> 45 C.F.R. § 147.130(b)(1). </w:t>
      </w:r>
      <w:r w:rsidRPr="00364B8A">
        <w:rPr>
          <w:color w:val="000000" w:themeColor="text1"/>
          <w:sz w:val="20"/>
          <w:szCs w:val="20"/>
        </w:rPr>
        <w:t xml:space="preserve">Centers for Medicare and Medicaid Services, FAQs About Affordable Care Act Implementation Part 47, July 19, 2021, at </w:t>
      </w:r>
      <w:hyperlink r:id="rId5" w:history="1">
        <w:r w:rsidRPr="00364B8A">
          <w:rPr>
            <w:rStyle w:val="Hyperlink"/>
            <w:color w:val="000000" w:themeColor="text1"/>
            <w:sz w:val="20"/>
            <w:szCs w:val="20"/>
          </w:rPr>
          <w:t>https://www.cms.gov/CCIIO/Resources/Fact-Sheets-and-FAQs/Downloads/FAQs-Part-47.pdf</w:t>
        </w:r>
      </w:hyperlink>
    </w:p>
  </w:footnote>
  <w:footnote w:id="5">
    <w:p w14:paraId="0F625DB2" w14:textId="131EBCCE" w:rsidR="00BD758A" w:rsidRPr="00364B8A" w:rsidRDefault="00BD758A" w:rsidP="00BD758A">
      <w:pPr>
        <w:pStyle w:val="FootnoteText"/>
        <w:rPr>
          <w:color w:val="000000" w:themeColor="text1"/>
        </w:rPr>
      </w:pPr>
      <w:r w:rsidRPr="000D2F2B">
        <w:rPr>
          <w:rStyle w:val="FootnoteReference"/>
          <w:color w:val="000000" w:themeColor="text1"/>
        </w:rPr>
        <w:footnoteRef/>
      </w:r>
      <w:r w:rsidRPr="000D2F2B">
        <w:rPr>
          <w:color w:val="000000" w:themeColor="text1"/>
        </w:rPr>
        <w:t xml:space="preserve"> Braidwood</w:t>
      </w:r>
    </w:p>
  </w:footnote>
  <w:footnote w:id="6">
    <w:p w14:paraId="31CE8C29" w14:textId="77777777" w:rsidR="00992DE9" w:rsidRPr="00364B8A" w:rsidRDefault="00992DE9" w:rsidP="00992DE9">
      <w:pPr>
        <w:pStyle w:val="FootnoteText"/>
        <w:rPr>
          <w:color w:val="000000" w:themeColor="text1"/>
        </w:rPr>
      </w:pPr>
      <w:r w:rsidRPr="000D2F2B">
        <w:rPr>
          <w:rStyle w:val="FootnoteReference"/>
          <w:color w:val="000000" w:themeColor="text1"/>
        </w:rPr>
        <w:footnoteRef/>
      </w:r>
      <w:r w:rsidRPr="000D2F2B">
        <w:rPr>
          <w:color w:val="000000" w:themeColor="text1"/>
        </w:rPr>
        <w:t xml:space="preserve"> Braidwood, at __.</w:t>
      </w:r>
    </w:p>
  </w:footnote>
  <w:footnote w:id="7">
    <w:p w14:paraId="5BE3D317" w14:textId="77777777" w:rsidR="00992DE9" w:rsidRDefault="00992DE9" w:rsidP="00992DE9">
      <w:pPr>
        <w:pStyle w:val="FootnoteText"/>
      </w:pPr>
      <w:r>
        <w:rPr>
          <w:rStyle w:val="FootnoteReference"/>
        </w:rPr>
        <w:footnoteRef/>
      </w:r>
      <w:r>
        <w:t xml:space="preserve"> Braidwood at 40.</w:t>
      </w:r>
    </w:p>
  </w:footnote>
  <w:footnote w:id="8">
    <w:p w14:paraId="4E25FD29" w14:textId="77777777" w:rsidR="00992DE9" w:rsidRDefault="00992DE9" w:rsidP="00992DE9">
      <w:pPr>
        <w:pStyle w:val="FootnoteText"/>
      </w:pPr>
      <w:r>
        <w:rPr>
          <w:rStyle w:val="FootnoteReference"/>
        </w:rPr>
        <w:footnoteRef/>
      </w:r>
      <w:r>
        <w:t xml:space="preserve"> Bob Jones University v. United States, </w:t>
      </w:r>
      <w:r>
        <w:rPr>
          <w:rFonts w:ascii="Open Sans" w:hAnsi="Open Sans" w:cs="Open Sans"/>
          <w:color w:val="000000"/>
          <w:shd w:val="clear" w:color="auto" w:fill="FFFFFF"/>
        </w:rPr>
        <w:t>461 U.S. 574 (1983).</w:t>
      </w:r>
    </w:p>
  </w:footnote>
  <w:footnote w:id="9">
    <w:p w14:paraId="226DE5A3" w14:textId="77777777" w:rsidR="00992DE9" w:rsidRPr="00364B8A" w:rsidRDefault="00992DE9" w:rsidP="00992DE9">
      <w:pPr>
        <w:pStyle w:val="FootnoteText"/>
        <w:rPr>
          <w:color w:val="000000" w:themeColor="text1"/>
        </w:rPr>
      </w:pPr>
      <w:r w:rsidRPr="00364B8A">
        <w:rPr>
          <w:rStyle w:val="FootnoteReference"/>
          <w:color w:val="000000" w:themeColor="text1"/>
        </w:rPr>
        <w:footnoteRef/>
      </w:r>
      <w:r w:rsidRPr="00364B8A">
        <w:rPr>
          <w:color w:val="000000" w:themeColor="text1"/>
        </w:rPr>
        <w:t xml:space="preserve"> Braidwood, at __.</w:t>
      </w:r>
    </w:p>
  </w:footnote>
  <w:footnote w:id="10">
    <w:p w14:paraId="6D0F6C96"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sidRPr="00364B8A">
        <w:rPr>
          <w:rStyle w:val="FootnoteReference"/>
          <w:color w:val="000000" w:themeColor="text1"/>
          <w:sz w:val="20"/>
          <w:szCs w:val="20"/>
        </w:rPr>
        <w:footnoteRef/>
      </w:r>
      <w:r w:rsidRPr="00364B8A">
        <w:rPr>
          <w:color w:val="000000" w:themeColor="text1"/>
          <w:sz w:val="20"/>
          <w:szCs w:val="20"/>
        </w:rPr>
        <w:t xml:space="preserve"> </w:t>
      </w:r>
      <w:r w:rsidRPr="0021181C">
        <w:rPr>
          <w:sz w:val="20"/>
          <w:szCs w:val="20"/>
        </w:rPr>
        <w:t>Patients who receive penicillin for syphilis, or any other STI for that matter, do not necessarily engage in riskier sexual behaviors. Drivers with seatbelts in cars do not drive faster or less safely. Those who wear helmets do not use bicycles less safely.</w:t>
      </w:r>
      <w:r w:rsidRPr="00364B8A">
        <w:rPr>
          <w:sz w:val="20"/>
          <w:szCs w:val="20"/>
        </w:rPr>
        <w:t xml:space="preserve"> </w:t>
      </w:r>
      <w:proofErr w:type="spellStart"/>
      <w:r w:rsidRPr="00364B8A">
        <w:rPr>
          <w:rFonts w:eastAsiaTheme="minorHAnsi"/>
          <w:color w:val="000000" w:themeColor="text1"/>
          <w:sz w:val="20"/>
          <w:szCs w:val="20"/>
        </w:rPr>
        <w:t>Mahsa</w:t>
      </w:r>
      <w:proofErr w:type="spellEnd"/>
      <w:r w:rsidRPr="00364B8A">
        <w:rPr>
          <w:rFonts w:eastAsiaTheme="minorHAnsi"/>
          <w:color w:val="000000" w:themeColor="text1"/>
          <w:sz w:val="20"/>
          <w:szCs w:val="20"/>
        </w:rPr>
        <w:t xml:space="preserve"> </w:t>
      </w:r>
      <w:proofErr w:type="spellStart"/>
      <w:r w:rsidRPr="00364B8A">
        <w:rPr>
          <w:rFonts w:eastAsiaTheme="minorHAnsi"/>
          <w:color w:val="000000" w:themeColor="text1"/>
          <w:sz w:val="20"/>
          <w:szCs w:val="20"/>
        </w:rPr>
        <w:t>Esmaeilikia</w:t>
      </w:r>
      <w:proofErr w:type="spellEnd"/>
      <w:r w:rsidRPr="00364B8A">
        <w:rPr>
          <w:rFonts w:eastAsiaTheme="minorHAnsi"/>
          <w:color w:val="000000" w:themeColor="text1"/>
          <w:sz w:val="20"/>
          <w:szCs w:val="20"/>
        </w:rPr>
        <w:t xml:space="preserve">, Igor </w:t>
      </w:r>
      <w:proofErr w:type="spellStart"/>
      <w:r w:rsidRPr="00364B8A">
        <w:rPr>
          <w:rFonts w:eastAsiaTheme="minorHAnsi"/>
          <w:color w:val="000000" w:themeColor="text1"/>
          <w:sz w:val="20"/>
          <w:szCs w:val="20"/>
        </w:rPr>
        <w:t>Radun</w:t>
      </w:r>
      <w:proofErr w:type="spellEnd"/>
      <w:r w:rsidRPr="00364B8A">
        <w:rPr>
          <w:rFonts w:eastAsiaTheme="minorHAnsi"/>
          <w:color w:val="000000" w:themeColor="text1"/>
          <w:sz w:val="20"/>
          <w:szCs w:val="20"/>
        </w:rPr>
        <w:t xml:space="preserve">, Raphael </w:t>
      </w:r>
      <w:proofErr w:type="spellStart"/>
      <w:r w:rsidRPr="00364B8A">
        <w:rPr>
          <w:rFonts w:eastAsiaTheme="minorHAnsi"/>
          <w:color w:val="000000" w:themeColor="text1"/>
          <w:sz w:val="20"/>
          <w:szCs w:val="20"/>
        </w:rPr>
        <w:t>Grzebieta</w:t>
      </w:r>
      <w:proofErr w:type="spellEnd"/>
      <w:r w:rsidRPr="00364B8A">
        <w:rPr>
          <w:rFonts w:eastAsiaTheme="minorHAnsi"/>
          <w:color w:val="000000" w:themeColor="text1"/>
          <w:sz w:val="20"/>
          <w:szCs w:val="20"/>
        </w:rPr>
        <w:t xml:space="preserve">, Jake Olivier, Bicycle helmets and risky </w:t>
      </w:r>
      <w:proofErr w:type="spellStart"/>
      <w:r w:rsidRPr="00364B8A">
        <w:rPr>
          <w:rFonts w:eastAsiaTheme="minorHAnsi"/>
          <w:color w:val="000000" w:themeColor="text1"/>
          <w:sz w:val="20"/>
          <w:szCs w:val="20"/>
        </w:rPr>
        <w:t>behaviour</w:t>
      </w:r>
      <w:proofErr w:type="spellEnd"/>
      <w:r w:rsidRPr="00364B8A">
        <w:rPr>
          <w:rFonts w:eastAsiaTheme="minorHAnsi"/>
          <w:color w:val="000000" w:themeColor="text1"/>
          <w:sz w:val="20"/>
          <w:szCs w:val="20"/>
        </w:rPr>
        <w:t xml:space="preserve">: A systematic review, Transportation Research Part F: Traffic Psychology and </w:t>
      </w:r>
      <w:proofErr w:type="spellStart"/>
      <w:r w:rsidRPr="00364B8A">
        <w:rPr>
          <w:rFonts w:eastAsiaTheme="minorHAnsi"/>
          <w:color w:val="000000" w:themeColor="text1"/>
          <w:sz w:val="20"/>
          <w:szCs w:val="20"/>
        </w:rPr>
        <w:t>Behaviour</w:t>
      </w:r>
      <w:proofErr w:type="spellEnd"/>
      <w:r w:rsidRPr="00364B8A">
        <w:rPr>
          <w:rFonts w:eastAsiaTheme="minorHAnsi"/>
          <w:color w:val="000000" w:themeColor="text1"/>
          <w:sz w:val="20"/>
          <w:szCs w:val="20"/>
        </w:rPr>
        <w:t>, Volume 60,</w:t>
      </w:r>
    </w:p>
    <w:p w14:paraId="03C5B68C"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sidRPr="00364B8A">
        <w:rPr>
          <w:rFonts w:eastAsiaTheme="minorHAnsi"/>
          <w:color w:val="000000" w:themeColor="text1"/>
          <w:sz w:val="20"/>
          <w:szCs w:val="20"/>
        </w:rPr>
        <w:t>2019, Pages 299-310, ISSN 1369-8478,</w:t>
      </w:r>
    </w:p>
    <w:p w14:paraId="52F8DCAB"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sidRPr="00364B8A">
        <w:rPr>
          <w:rFonts w:eastAsiaTheme="minorHAnsi"/>
          <w:color w:val="000000" w:themeColor="text1"/>
          <w:sz w:val="20"/>
          <w:szCs w:val="20"/>
        </w:rPr>
        <w:t>https://doi.org/10.1016/j.trf.2018.10.026.</w:t>
      </w:r>
    </w:p>
    <w:p w14:paraId="303674B9"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sidRPr="00364B8A">
        <w:rPr>
          <w:rFonts w:eastAsiaTheme="minorHAnsi"/>
          <w:color w:val="000000" w:themeColor="text1"/>
          <w:sz w:val="20"/>
          <w:szCs w:val="20"/>
        </w:rPr>
        <w:t>(</w:t>
      </w:r>
      <w:hyperlink r:id="rId6" w:history="1">
        <w:r w:rsidRPr="00364B8A">
          <w:rPr>
            <w:rFonts w:eastAsiaTheme="minorHAnsi"/>
            <w:color w:val="000000" w:themeColor="text1"/>
            <w:sz w:val="20"/>
            <w:szCs w:val="20"/>
            <w:u w:val="single" w:color="094FD1"/>
          </w:rPr>
          <w:t>https://www.sciencedirect.com/science/article/pii/S1369847818305941</w:t>
        </w:r>
      </w:hyperlink>
      <w:r w:rsidRPr="00364B8A">
        <w:rPr>
          <w:rFonts w:eastAsiaTheme="minorHAnsi"/>
          <w:color w:val="000000" w:themeColor="text1"/>
          <w:sz w:val="20"/>
          <w:szCs w:val="20"/>
        </w:rPr>
        <w:t>); Houston, D.J. and Richardson, L.E. (2007), Risk Compensation or Risk Reduction? Seatbelts, State Laws, and Traffic Fatalities. Social Science Quarterly, 88: 913-936. </w:t>
      </w:r>
      <w:hyperlink r:id="rId7" w:history="1">
        <w:r w:rsidRPr="00364B8A">
          <w:rPr>
            <w:rFonts w:eastAsiaTheme="minorHAnsi"/>
            <w:color w:val="000000" w:themeColor="text1"/>
            <w:sz w:val="20"/>
            <w:szCs w:val="20"/>
            <w:u w:val="single" w:color="094FD1"/>
          </w:rPr>
          <w:t>https://doi.org/10.1111/j.1540-6237.2007.00510.x</w:t>
        </w:r>
      </w:hyperlink>
    </w:p>
  </w:footnote>
  <w:footnote w:id="11">
    <w:p w14:paraId="3428A690"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sidRPr="00364B8A">
        <w:rPr>
          <w:rStyle w:val="FootnoteReference"/>
          <w:color w:val="000000" w:themeColor="text1"/>
          <w:sz w:val="20"/>
          <w:szCs w:val="20"/>
        </w:rPr>
        <w:footnoteRef/>
      </w:r>
      <w:r w:rsidRPr="00364B8A">
        <w:rPr>
          <w:color w:val="000000" w:themeColor="text1"/>
          <w:sz w:val="20"/>
          <w:szCs w:val="20"/>
        </w:rPr>
        <w:t xml:space="preserve"> </w:t>
      </w:r>
      <w:r w:rsidRPr="00364B8A">
        <w:rPr>
          <w:rFonts w:eastAsiaTheme="minorHAnsi"/>
          <w:color w:val="000000" w:themeColor="text1"/>
          <w:sz w:val="20"/>
          <w:szCs w:val="20"/>
        </w:rPr>
        <w:t xml:space="preserve">Monica L. </w:t>
      </w:r>
      <w:proofErr w:type="spellStart"/>
      <w:r w:rsidRPr="00364B8A">
        <w:rPr>
          <w:rFonts w:eastAsiaTheme="minorHAnsi"/>
          <w:color w:val="000000" w:themeColor="text1"/>
          <w:sz w:val="20"/>
          <w:szCs w:val="20"/>
        </w:rPr>
        <w:t>Kasting</w:t>
      </w:r>
      <w:proofErr w:type="spellEnd"/>
      <w:r w:rsidRPr="00364B8A">
        <w:rPr>
          <w:rFonts w:eastAsiaTheme="minorHAnsi"/>
          <w:color w:val="000000" w:themeColor="text1"/>
          <w:sz w:val="20"/>
          <w:szCs w:val="20"/>
        </w:rPr>
        <w:t xml:space="preserve">, </w:t>
      </w:r>
      <w:proofErr w:type="spellStart"/>
      <w:r w:rsidRPr="00364B8A">
        <w:rPr>
          <w:rFonts w:eastAsiaTheme="minorHAnsi"/>
          <w:color w:val="000000" w:themeColor="text1"/>
          <w:sz w:val="20"/>
          <w:szCs w:val="20"/>
        </w:rPr>
        <w:t>Gilla</w:t>
      </w:r>
      <w:proofErr w:type="spellEnd"/>
      <w:r w:rsidRPr="00364B8A">
        <w:rPr>
          <w:rFonts w:eastAsiaTheme="minorHAnsi"/>
          <w:color w:val="000000" w:themeColor="text1"/>
          <w:sz w:val="20"/>
          <w:szCs w:val="20"/>
        </w:rPr>
        <w:t xml:space="preserve"> K. Shapiro, </w:t>
      </w:r>
      <w:proofErr w:type="spellStart"/>
      <w:r w:rsidRPr="00364B8A">
        <w:rPr>
          <w:rFonts w:eastAsiaTheme="minorHAnsi"/>
          <w:color w:val="000000" w:themeColor="text1"/>
          <w:sz w:val="20"/>
          <w:szCs w:val="20"/>
        </w:rPr>
        <w:t>Zeev</w:t>
      </w:r>
      <w:proofErr w:type="spellEnd"/>
      <w:r w:rsidRPr="00364B8A">
        <w:rPr>
          <w:rFonts w:eastAsiaTheme="minorHAnsi"/>
          <w:color w:val="000000" w:themeColor="text1"/>
          <w:sz w:val="20"/>
          <w:szCs w:val="20"/>
        </w:rPr>
        <w:t xml:space="preserve"> </w:t>
      </w:r>
      <w:proofErr w:type="spellStart"/>
      <w:r w:rsidRPr="00364B8A">
        <w:rPr>
          <w:rFonts w:eastAsiaTheme="minorHAnsi"/>
          <w:color w:val="000000" w:themeColor="text1"/>
          <w:sz w:val="20"/>
          <w:szCs w:val="20"/>
        </w:rPr>
        <w:t>Rosberger</w:t>
      </w:r>
      <w:proofErr w:type="spellEnd"/>
      <w:r w:rsidRPr="00364B8A">
        <w:rPr>
          <w:rFonts w:eastAsiaTheme="minorHAnsi"/>
          <w:color w:val="000000" w:themeColor="text1"/>
          <w:sz w:val="20"/>
          <w:szCs w:val="20"/>
        </w:rPr>
        <w:t xml:space="preserve">, Jessica A. Kahn &amp; Gregory D. </w:t>
      </w:r>
      <w:proofErr w:type="spellStart"/>
      <w:r w:rsidRPr="00364B8A">
        <w:rPr>
          <w:rFonts w:eastAsiaTheme="minorHAnsi"/>
          <w:color w:val="000000" w:themeColor="text1"/>
          <w:sz w:val="20"/>
          <w:szCs w:val="20"/>
        </w:rPr>
        <w:t>Zimet</w:t>
      </w:r>
      <w:proofErr w:type="spellEnd"/>
      <w:r w:rsidRPr="00364B8A">
        <w:rPr>
          <w:rFonts w:eastAsiaTheme="minorHAnsi"/>
          <w:color w:val="000000" w:themeColor="text1"/>
          <w:sz w:val="20"/>
          <w:szCs w:val="20"/>
        </w:rPr>
        <w:t> (2016) Tempest in a teapot: A systematic review of HPV vaccination and risk compensation research, Human Vaccines &amp; Immunotherapeutics, 12:6, 1435-1450, DOI: </w:t>
      </w:r>
      <w:hyperlink r:id="rId8" w:history="1">
        <w:r w:rsidRPr="00364B8A">
          <w:rPr>
            <w:rFonts w:eastAsiaTheme="minorHAnsi"/>
            <w:color w:val="000000" w:themeColor="text1"/>
            <w:sz w:val="20"/>
            <w:szCs w:val="20"/>
            <w:u w:val="single" w:color="094FD1"/>
          </w:rPr>
          <w:t>10.1080/21645515.2016.1141158</w:t>
        </w:r>
      </w:hyperlink>
    </w:p>
  </w:footnote>
  <w:footnote w:id="12">
    <w:p w14:paraId="168AB57C" w14:textId="77777777" w:rsidR="00992DE9" w:rsidRPr="00364B8A" w:rsidRDefault="00992DE9" w:rsidP="00992DE9">
      <w:pPr>
        <w:pStyle w:val="FootnoteText"/>
        <w:rPr>
          <w:color w:val="000000" w:themeColor="text1"/>
        </w:rPr>
      </w:pPr>
      <w:r w:rsidRPr="00364B8A">
        <w:rPr>
          <w:rStyle w:val="FootnoteReference"/>
          <w:color w:val="000000" w:themeColor="text1"/>
        </w:rPr>
        <w:footnoteRef/>
      </w:r>
      <w:r w:rsidRPr="00364B8A">
        <w:rPr>
          <w:color w:val="000000" w:themeColor="text1"/>
        </w:rPr>
        <w:t xml:space="preserve"> </w:t>
      </w:r>
      <w:r w:rsidRPr="00364B8A">
        <w:rPr>
          <w:rFonts w:eastAsiaTheme="minorHAnsi"/>
          <w:color w:val="000000" w:themeColor="text1"/>
        </w:rPr>
        <w:t xml:space="preserve">Traeger MW, Schroeder SE, Wright EJ, </w:t>
      </w:r>
      <w:proofErr w:type="spellStart"/>
      <w:r w:rsidRPr="00364B8A">
        <w:rPr>
          <w:rFonts w:eastAsiaTheme="minorHAnsi"/>
          <w:color w:val="000000" w:themeColor="text1"/>
        </w:rPr>
        <w:t>Hellard</w:t>
      </w:r>
      <w:proofErr w:type="spellEnd"/>
      <w:r w:rsidRPr="00364B8A">
        <w:rPr>
          <w:rFonts w:eastAsiaTheme="minorHAnsi"/>
          <w:color w:val="000000" w:themeColor="text1"/>
        </w:rPr>
        <w:t xml:space="preserve"> ME, </w:t>
      </w:r>
      <w:proofErr w:type="spellStart"/>
      <w:r w:rsidRPr="00364B8A">
        <w:rPr>
          <w:rFonts w:eastAsiaTheme="minorHAnsi"/>
          <w:color w:val="000000" w:themeColor="text1"/>
        </w:rPr>
        <w:t>Cornelisse</w:t>
      </w:r>
      <w:proofErr w:type="spellEnd"/>
      <w:r w:rsidRPr="00364B8A">
        <w:rPr>
          <w:rFonts w:eastAsiaTheme="minorHAnsi"/>
          <w:color w:val="000000" w:themeColor="text1"/>
        </w:rPr>
        <w:t xml:space="preserve"> VJ, Doyle JS, </w:t>
      </w:r>
      <w:proofErr w:type="spellStart"/>
      <w:r w:rsidRPr="00364B8A">
        <w:rPr>
          <w:rFonts w:eastAsiaTheme="minorHAnsi"/>
          <w:color w:val="000000" w:themeColor="text1"/>
        </w:rPr>
        <w:t>Stoové</w:t>
      </w:r>
      <w:proofErr w:type="spellEnd"/>
      <w:r w:rsidRPr="00364B8A">
        <w:rPr>
          <w:rFonts w:eastAsiaTheme="minorHAnsi"/>
          <w:color w:val="000000" w:themeColor="text1"/>
        </w:rPr>
        <w:t xml:space="preserve"> MA. Effects of Pre-exposure Prophylaxis for the Prevention of Human Immunodeficiency Virus Infection on Sexual Risk Behavior in Men Who Have Sex </w:t>
      </w:r>
      <w:proofErr w:type="gramStart"/>
      <w:r w:rsidRPr="00364B8A">
        <w:rPr>
          <w:rFonts w:eastAsiaTheme="minorHAnsi"/>
          <w:color w:val="000000" w:themeColor="text1"/>
        </w:rPr>
        <w:t>With</w:t>
      </w:r>
      <w:proofErr w:type="gramEnd"/>
      <w:r w:rsidRPr="00364B8A">
        <w:rPr>
          <w:rFonts w:eastAsiaTheme="minorHAnsi"/>
          <w:color w:val="000000" w:themeColor="text1"/>
        </w:rPr>
        <w:t xml:space="preserve"> Men: A Systematic Review and Meta-analysis. Clin Infect Dis. 2018 Aug 16;67(5):676-686. </w:t>
      </w:r>
      <w:proofErr w:type="spellStart"/>
      <w:r w:rsidRPr="00364B8A">
        <w:rPr>
          <w:rFonts w:eastAsiaTheme="minorHAnsi"/>
          <w:color w:val="000000" w:themeColor="text1"/>
        </w:rPr>
        <w:t>doi</w:t>
      </w:r>
      <w:proofErr w:type="spellEnd"/>
      <w:r w:rsidRPr="00364B8A">
        <w:rPr>
          <w:rFonts w:eastAsiaTheme="minorHAnsi"/>
          <w:color w:val="000000" w:themeColor="text1"/>
        </w:rPr>
        <w:t>: 10.1093/</w:t>
      </w:r>
      <w:proofErr w:type="spellStart"/>
      <w:r w:rsidRPr="00364B8A">
        <w:rPr>
          <w:rFonts w:eastAsiaTheme="minorHAnsi"/>
          <w:color w:val="000000" w:themeColor="text1"/>
        </w:rPr>
        <w:t>cid</w:t>
      </w:r>
      <w:proofErr w:type="spellEnd"/>
      <w:r w:rsidRPr="00364B8A">
        <w:rPr>
          <w:rFonts w:eastAsiaTheme="minorHAnsi"/>
          <w:color w:val="000000" w:themeColor="text1"/>
        </w:rPr>
        <w:t>/ciy182. PMID: 29509889.</w:t>
      </w:r>
    </w:p>
  </w:footnote>
  <w:footnote w:id="13">
    <w:p w14:paraId="62612159" w14:textId="77777777" w:rsidR="00992DE9" w:rsidRPr="00364B8A" w:rsidRDefault="00992DE9" w:rsidP="00992DE9">
      <w:pPr>
        <w:suppressOverlap/>
        <w:rPr>
          <w:color w:val="000000" w:themeColor="text1"/>
          <w:sz w:val="20"/>
          <w:szCs w:val="20"/>
        </w:rPr>
      </w:pPr>
      <w:r w:rsidRPr="00364B8A">
        <w:rPr>
          <w:rStyle w:val="FootnoteReference"/>
          <w:color w:val="000000" w:themeColor="text1"/>
          <w:sz w:val="20"/>
          <w:szCs w:val="20"/>
        </w:rPr>
        <w:footnoteRef/>
      </w:r>
      <w:r w:rsidRPr="00364B8A">
        <w:rPr>
          <w:color w:val="000000" w:themeColor="text1"/>
          <w:sz w:val="20"/>
          <w:szCs w:val="20"/>
          <w:shd w:val="clear" w:color="auto" w:fill="FFFFFF"/>
        </w:rPr>
        <w:t xml:space="preserve"> Grant RM, Lama JR, Anderson PL, McMahan V, Liu AY, Vargas L, </w:t>
      </w:r>
      <w:proofErr w:type="spellStart"/>
      <w:r w:rsidRPr="00364B8A">
        <w:rPr>
          <w:color w:val="000000" w:themeColor="text1"/>
          <w:sz w:val="20"/>
          <w:szCs w:val="20"/>
          <w:shd w:val="clear" w:color="auto" w:fill="FFFFFF"/>
        </w:rPr>
        <w:t>Goicochea</w:t>
      </w:r>
      <w:proofErr w:type="spellEnd"/>
      <w:r w:rsidRPr="00364B8A">
        <w:rPr>
          <w:color w:val="000000" w:themeColor="text1"/>
          <w:sz w:val="20"/>
          <w:szCs w:val="20"/>
          <w:shd w:val="clear" w:color="auto" w:fill="FFFFFF"/>
        </w:rPr>
        <w:t xml:space="preserve"> P, </w:t>
      </w:r>
      <w:proofErr w:type="spellStart"/>
      <w:r w:rsidRPr="00364B8A">
        <w:rPr>
          <w:color w:val="000000" w:themeColor="text1"/>
          <w:sz w:val="20"/>
          <w:szCs w:val="20"/>
          <w:shd w:val="clear" w:color="auto" w:fill="FFFFFF"/>
        </w:rPr>
        <w:t>Casapía</w:t>
      </w:r>
      <w:proofErr w:type="spellEnd"/>
      <w:r w:rsidRPr="00364B8A">
        <w:rPr>
          <w:color w:val="000000" w:themeColor="text1"/>
          <w:sz w:val="20"/>
          <w:szCs w:val="20"/>
          <w:shd w:val="clear" w:color="auto" w:fill="FFFFFF"/>
        </w:rPr>
        <w:t xml:space="preserve"> M, </w:t>
      </w:r>
      <w:proofErr w:type="spellStart"/>
      <w:r w:rsidRPr="00364B8A">
        <w:rPr>
          <w:color w:val="000000" w:themeColor="text1"/>
          <w:sz w:val="20"/>
          <w:szCs w:val="20"/>
          <w:shd w:val="clear" w:color="auto" w:fill="FFFFFF"/>
        </w:rPr>
        <w:t>Guanira</w:t>
      </w:r>
      <w:proofErr w:type="spellEnd"/>
      <w:r w:rsidRPr="00364B8A">
        <w:rPr>
          <w:color w:val="000000" w:themeColor="text1"/>
          <w:sz w:val="20"/>
          <w:szCs w:val="20"/>
          <w:shd w:val="clear" w:color="auto" w:fill="FFFFFF"/>
        </w:rPr>
        <w:t>-Carranza JV, Ramirez-</w:t>
      </w:r>
      <w:proofErr w:type="spellStart"/>
      <w:r w:rsidRPr="00364B8A">
        <w:rPr>
          <w:color w:val="000000" w:themeColor="text1"/>
          <w:sz w:val="20"/>
          <w:szCs w:val="20"/>
          <w:shd w:val="clear" w:color="auto" w:fill="FFFFFF"/>
        </w:rPr>
        <w:t>Cardich</w:t>
      </w:r>
      <w:proofErr w:type="spellEnd"/>
      <w:r w:rsidRPr="00364B8A">
        <w:rPr>
          <w:color w:val="000000" w:themeColor="text1"/>
          <w:sz w:val="20"/>
          <w:szCs w:val="20"/>
          <w:shd w:val="clear" w:color="auto" w:fill="FFFFFF"/>
        </w:rPr>
        <w:t xml:space="preserve"> ME, Montoya-Herrera O, Fernández T, Veloso VG, Buchbinder SP, </w:t>
      </w:r>
      <w:proofErr w:type="spellStart"/>
      <w:r w:rsidRPr="00364B8A">
        <w:rPr>
          <w:color w:val="000000" w:themeColor="text1"/>
          <w:sz w:val="20"/>
          <w:szCs w:val="20"/>
          <w:shd w:val="clear" w:color="auto" w:fill="FFFFFF"/>
        </w:rPr>
        <w:t>Chariyalertsak</w:t>
      </w:r>
      <w:proofErr w:type="spellEnd"/>
      <w:r w:rsidRPr="00364B8A">
        <w:rPr>
          <w:color w:val="000000" w:themeColor="text1"/>
          <w:sz w:val="20"/>
          <w:szCs w:val="20"/>
          <w:shd w:val="clear" w:color="auto" w:fill="FFFFFF"/>
        </w:rPr>
        <w:t xml:space="preserve"> S, Schechter M, </w:t>
      </w:r>
      <w:proofErr w:type="spellStart"/>
      <w:r w:rsidRPr="00364B8A">
        <w:rPr>
          <w:color w:val="000000" w:themeColor="text1"/>
          <w:sz w:val="20"/>
          <w:szCs w:val="20"/>
          <w:shd w:val="clear" w:color="auto" w:fill="FFFFFF"/>
        </w:rPr>
        <w:t>Bekker</w:t>
      </w:r>
      <w:proofErr w:type="spellEnd"/>
      <w:r w:rsidRPr="00364B8A">
        <w:rPr>
          <w:color w:val="000000" w:themeColor="text1"/>
          <w:sz w:val="20"/>
          <w:szCs w:val="20"/>
          <w:shd w:val="clear" w:color="auto" w:fill="FFFFFF"/>
        </w:rPr>
        <w:t xml:space="preserve"> LG, Mayer KH, </w:t>
      </w:r>
      <w:proofErr w:type="spellStart"/>
      <w:r w:rsidRPr="00364B8A">
        <w:rPr>
          <w:color w:val="000000" w:themeColor="text1"/>
          <w:sz w:val="20"/>
          <w:szCs w:val="20"/>
          <w:shd w:val="clear" w:color="auto" w:fill="FFFFFF"/>
        </w:rPr>
        <w:t>Kallás</w:t>
      </w:r>
      <w:proofErr w:type="spellEnd"/>
      <w:r w:rsidRPr="00364B8A">
        <w:rPr>
          <w:color w:val="000000" w:themeColor="text1"/>
          <w:sz w:val="20"/>
          <w:szCs w:val="20"/>
          <w:shd w:val="clear" w:color="auto" w:fill="FFFFFF"/>
        </w:rPr>
        <w:t xml:space="preserve"> EG, Amico KR, Mulligan K, Bushman LR, Hance RJ, </w:t>
      </w:r>
      <w:proofErr w:type="spellStart"/>
      <w:r w:rsidRPr="00364B8A">
        <w:rPr>
          <w:color w:val="000000" w:themeColor="text1"/>
          <w:sz w:val="20"/>
          <w:szCs w:val="20"/>
          <w:shd w:val="clear" w:color="auto" w:fill="FFFFFF"/>
        </w:rPr>
        <w:t>Ganoza</w:t>
      </w:r>
      <w:proofErr w:type="spellEnd"/>
      <w:r w:rsidRPr="00364B8A">
        <w:rPr>
          <w:color w:val="000000" w:themeColor="text1"/>
          <w:sz w:val="20"/>
          <w:szCs w:val="20"/>
          <w:shd w:val="clear" w:color="auto" w:fill="FFFFFF"/>
        </w:rPr>
        <w:t xml:space="preserve"> C, </w:t>
      </w:r>
      <w:proofErr w:type="spellStart"/>
      <w:r w:rsidRPr="00364B8A">
        <w:rPr>
          <w:color w:val="000000" w:themeColor="text1"/>
          <w:sz w:val="20"/>
          <w:szCs w:val="20"/>
          <w:shd w:val="clear" w:color="auto" w:fill="FFFFFF"/>
        </w:rPr>
        <w:t>Defechereux</w:t>
      </w:r>
      <w:proofErr w:type="spellEnd"/>
      <w:r w:rsidRPr="00364B8A">
        <w:rPr>
          <w:color w:val="000000" w:themeColor="text1"/>
          <w:sz w:val="20"/>
          <w:szCs w:val="20"/>
          <w:shd w:val="clear" w:color="auto" w:fill="FFFFFF"/>
        </w:rPr>
        <w:t xml:space="preserve"> P, </w:t>
      </w:r>
      <w:proofErr w:type="spellStart"/>
      <w:r w:rsidRPr="00364B8A">
        <w:rPr>
          <w:color w:val="000000" w:themeColor="text1"/>
          <w:sz w:val="20"/>
          <w:szCs w:val="20"/>
          <w:shd w:val="clear" w:color="auto" w:fill="FFFFFF"/>
        </w:rPr>
        <w:t>Postle</w:t>
      </w:r>
      <w:proofErr w:type="spellEnd"/>
      <w:r w:rsidRPr="00364B8A">
        <w:rPr>
          <w:color w:val="000000" w:themeColor="text1"/>
          <w:sz w:val="20"/>
          <w:szCs w:val="20"/>
          <w:shd w:val="clear" w:color="auto" w:fill="FFFFFF"/>
        </w:rPr>
        <w:t xml:space="preserve"> B, Wang F, McConnell JJ, Zheng JH, Lee J, Rooney JF, Jaffe HS, Martinez AI, Burns DN, Glidden DV; </w:t>
      </w:r>
      <w:proofErr w:type="spellStart"/>
      <w:r w:rsidRPr="00364B8A">
        <w:rPr>
          <w:color w:val="000000" w:themeColor="text1"/>
          <w:sz w:val="20"/>
          <w:szCs w:val="20"/>
          <w:shd w:val="clear" w:color="auto" w:fill="FFFFFF"/>
        </w:rPr>
        <w:t>iPrEx</w:t>
      </w:r>
      <w:proofErr w:type="spellEnd"/>
      <w:r w:rsidRPr="00364B8A">
        <w:rPr>
          <w:color w:val="000000" w:themeColor="text1"/>
          <w:sz w:val="20"/>
          <w:szCs w:val="20"/>
          <w:shd w:val="clear" w:color="auto" w:fill="FFFFFF"/>
        </w:rPr>
        <w:t xml:space="preserve"> Study Team. Preexposure chemoprophylaxis for HIV prevention in men who have sex with men. N </w:t>
      </w:r>
      <w:proofErr w:type="spellStart"/>
      <w:r w:rsidRPr="00364B8A">
        <w:rPr>
          <w:color w:val="000000" w:themeColor="text1"/>
          <w:sz w:val="20"/>
          <w:szCs w:val="20"/>
          <w:shd w:val="clear" w:color="auto" w:fill="FFFFFF"/>
        </w:rPr>
        <w:t>Engl</w:t>
      </w:r>
      <w:proofErr w:type="spellEnd"/>
      <w:r w:rsidRPr="00364B8A">
        <w:rPr>
          <w:color w:val="000000" w:themeColor="text1"/>
          <w:sz w:val="20"/>
          <w:szCs w:val="20"/>
          <w:shd w:val="clear" w:color="auto" w:fill="FFFFFF"/>
        </w:rPr>
        <w:t xml:space="preserve"> J Med. 2010 Dec 30;363(27):2587-99. </w:t>
      </w:r>
      <w:proofErr w:type="spellStart"/>
      <w:r w:rsidRPr="00364B8A">
        <w:rPr>
          <w:color w:val="000000" w:themeColor="text1"/>
          <w:sz w:val="20"/>
          <w:szCs w:val="20"/>
          <w:shd w:val="clear" w:color="auto" w:fill="FFFFFF"/>
        </w:rPr>
        <w:t>doi</w:t>
      </w:r>
      <w:proofErr w:type="spellEnd"/>
      <w:r w:rsidRPr="00364B8A">
        <w:rPr>
          <w:color w:val="000000" w:themeColor="text1"/>
          <w:sz w:val="20"/>
          <w:szCs w:val="20"/>
          <w:shd w:val="clear" w:color="auto" w:fill="FFFFFF"/>
        </w:rPr>
        <w:t xml:space="preserve">: 10.1056/NEJMoa1011205. </w:t>
      </w:r>
      <w:proofErr w:type="spellStart"/>
      <w:r w:rsidRPr="00364B8A">
        <w:rPr>
          <w:color w:val="000000" w:themeColor="text1"/>
          <w:sz w:val="20"/>
          <w:szCs w:val="20"/>
          <w:shd w:val="clear" w:color="auto" w:fill="FFFFFF"/>
        </w:rPr>
        <w:t>Epub</w:t>
      </w:r>
      <w:proofErr w:type="spellEnd"/>
      <w:r w:rsidRPr="00364B8A">
        <w:rPr>
          <w:color w:val="000000" w:themeColor="text1"/>
          <w:sz w:val="20"/>
          <w:szCs w:val="20"/>
          <w:shd w:val="clear" w:color="auto" w:fill="FFFFFF"/>
        </w:rPr>
        <w:t xml:space="preserve"> 2010 Nov 23. PMID: 21091279; PMCID: PMC3079639.</w:t>
      </w:r>
    </w:p>
    <w:p w14:paraId="4349423A"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rPr>
      </w:pPr>
      <w:r w:rsidRPr="00364B8A">
        <w:rPr>
          <w:color w:val="000000" w:themeColor="text1"/>
          <w:sz w:val="20"/>
          <w:szCs w:val="20"/>
        </w:rPr>
        <w:t xml:space="preserve">   </w:t>
      </w:r>
    </w:p>
    <w:p w14:paraId="6C7E7E50"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364B8A">
        <w:rPr>
          <w:rFonts w:eastAsiaTheme="minorHAnsi"/>
          <w:color w:val="000000" w:themeColor="text1"/>
          <w:sz w:val="20"/>
          <w:szCs w:val="20"/>
        </w:rPr>
        <w:t xml:space="preserve">Grant RM, Anderson PL, McMahan V, Liu A, Amico KR, Mehrotra M, </w:t>
      </w:r>
      <w:proofErr w:type="spellStart"/>
      <w:r w:rsidRPr="00364B8A">
        <w:rPr>
          <w:rFonts w:eastAsiaTheme="minorHAnsi"/>
          <w:color w:val="000000" w:themeColor="text1"/>
          <w:sz w:val="20"/>
          <w:szCs w:val="20"/>
        </w:rPr>
        <w:t>Hosek</w:t>
      </w:r>
      <w:proofErr w:type="spellEnd"/>
      <w:r w:rsidRPr="00364B8A">
        <w:rPr>
          <w:rFonts w:eastAsiaTheme="minorHAnsi"/>
          <w:color w:val="000000" w:themeColor="text1"/>
          <w:sz w:val="20"/>
          <w:szCs w:val="20"/>
        </w:rPr>
        <w:t xml:space="preserve"> S, Mosquera C, </w:t>
      </w:r>
      <w:proofErr w:type="spellStart"/>
      <w:r w:rsidRPr="00364B8A">
        <w:rPr>
          <w:rFonts w:eastAsiaTheme="minorHAnsi"/>
          <w:color w:val="000000" w:themeColor="text1"/>
          <w:sz w:val="20"/>
          <w:szCs w:val="20"/>
        </w:rPr>
        <w:t>Casapia</w:t>
      </w:r>
      <w:proofErr w:type="spellEnd"/>
      <w:r w:rsidRPr="00364B8A">
        <w:rPr>
          <w:rFonts w:eastAsiaTheme="minorHAnsi"/>
          <w:color w:val="000000" w:themeColor="text1"/>
          <w:sz w:val="20"/>
          <w:szCs w:val="20"/>
        </w:rPr>
        <w:t xml:space="preserve"> M, Montoya O, Buchbinder S, Veloso VG, Mayer K, </w:t>
      </w:r>
      <w:proofErr w:type="spellStart"/>
      <w:r w:rsidRPr="00364B8A">
        <w:rPr>
          <w:rFonts w:eastAsiaTheme="minorHAnsi"/>
          <w:color w:val="000000" w:themeColor="text1"/>
          <w:sz w:val="20"/>
          <w:szCs w:val="20"/>
        </w:rPr>
        <w:t>Chariyalertsak</w:t>
      </w:r>
      <w:proofErr w:type="spellEnd"/>
      <w:r w:rsidRPr="00364B8A">
        <w:rPr>
          <w:rFonts w:eastAsiaTheme="minorHAnsi"/>
          <w:color w:val="000000" w:themeColor="text1"/>
          <w:sz w:val="20"/>
          <w:szCs w:val="20"/>
        </w:rPr>
        <w:t xml:space="preserve"> S, </w:t>
      </w:r>
      <w:proofErr w:type="spellStart"/>
      <w:r w:rsidRPr="00364B8A">
        <w:rPr>
          <w:rFonts w:eastAsiaTheme="minorHAnsi"/>
          <w:color w:val="000000" w:themeColor="text1"/>
          <w:sz w:val="20"/>
          <w:szCs w:val="20"/>
        </w:rPr>
        <w:t>Bekker</w:t>
      </w:r>
      <w:proofErr w:type="spellEnd"/>
      <w:r w:rsidRPr="00364B8A">
        <w:rPr>
          <w:rFonts w:eastAsiaTheme="minorHAnsi"/>
          <w:color w:val="000000" w:themeColor="text1"/>
          <w:sz w:val="20"/>
          <w:szCs w:val="20"/>
        </w:rPr>
        <w:t xml:space="preserve"> LG, </w:t>
      </w:r>
      <w:proofErr w:type="spellStart"/>
      <w:r w:rsidRPr="00364B8A">
        <w:rPr>
          <w:rFonts w:eastAsiaTheme="minorHAnsi"/>
          <w:color w:val="000000" w:themeColor="text1"/>
          <w:sz w:val="20"/>
          <w:szCs w:val="20"/>
        </w:rPr>
        <w:t>Kallas</w:t>
      </w:r>
      <w:proofErr w:type="spellEnd"/>
      <w:r w:rsidRPr="00364B8A">
        <w:rPr>
          <w:rFonts w:eastAsiaTheme="minorHAnsi"/>
          <w:color w:val="000000" w:themeColor="text1"/>
          <w:sz w:val="20"/>
          <w:szCs w:val="20"/>
        </w:rPr>
        <w:t xml:space="preserve"> EG, Schechter M, </w:t>
      </w:r>
      <w:proofErr w:type="spellStart"/>
      <w:r w:rsidRPr="00364B8A">
        <w:rPr>
          <w:rFonts w:eastAsiaTheme="minorHAnsi"/>
          <w:color w:val="000000" w:themeColor="text1"/>
          <w:sz w:val="20"/>
          <w:szCs w:val="20"/>
        </w:rPr>
        <w:t>Guanira</w:t>
      </w:r>
      <w:proofErr w:type="spellEnd"/>
      <w:r w:rsidRPr="00364B8A">
        <w:rPr>
          <w:rFonts w:eastAsiaTheme="minorHAnsi"/>
          <w:color w:val="000000" w:themeColor="text1"/>
          <w:sz w:val="20"/>
          <w:szCs w:val="20"/>
        </w:rPr>
        <w:t xml:space="preserve"> J, Bushman L, Burns DN, Rooney JF, Glidden DV; </w:t>
      </w:r>
      <w:proofErr w:type="spellStart"/>
      <w:r w:rsidRPr="00364B8A">
        <w:rPr>
          <w:rFonts w:eastAsiaTheme="minorHAnsi"/>
          <w:color w:val="000000" w:themeColor="text1"/>
          <w:sz w:val="20"/>
          <w:szCs w:val="20"/>
        </w:rPr>
        <w:t>iPrEx</w:t>
      </w:r>
      <w:proofErr w:type="spellEnd"/>
      <w:r w:rsidRPr="00364B8A">
        <w:rPr>
          <w:rFonts w:eastAsiaTheme="minorHAnsi"/>
          <w:color w:val="000000" w:themeColor="text1"/>
          <w:sz w:val="20"/>
          <w:szCs w:val="20"/>
        </w:rPr>
        <w:t xml:space="preserve"> study team. Uptake of pre-exposure prophylaxis, sexual practices, and HIV incidence in men and transgender women who have sex with men: a cohort study. Lancet Infect Dis. 2014 Sep;14(9):820-9. </w:t>
      </w:r>
      <w:proofErr w:type="spellStart"/>
      <w:r w:rsidRPr="00364B8A">
        <w:rPr>
          <w:rFonts w:eastAsiaTheme="minorHAnsi"/>
          <w:color w:val="000000" w:themeColor="text1"/>
          <w:sz w:val="20"/>
          <w:szCs w:val="20"/>
        </w:rPr>
        <w:t>doi</w:t>
      </w:r>
      <w:proofErr w:type="spellEnd"/>
      <w:r w:rsidRPr="00364B8A">
        <w:rPr>
          <w:rFonts w:eastAsiaTheme="minorHAnsi"/>
          <w:color w:val="000000" w:themeColor="text1"/>
          <w:sz w:val="20"/>
          <w:szCs w:val="20"/>
        </w:rPr>
        <w:t xml:space="preserve">: 10.1016/S1473-3099(14)70847-3. </w:t>
      </w:r>
      <w:proofErr w:type="spellStart"/>
      <w:r w:rsidRPr="00364B8A">
        <w:rPr>
          <w:rFonts w:eastAsiaTheme="minorHAnsi"/>
          <w:color w:val="000000" w:themeColor="text1"/>
          <w:sz w:val="20"/>
          <w:szCs w:val="20"/>
        </w:rPr>
        <w:t>Epub</w:t>
      </w:r>
      <w:proofErr w:type="spellEnd"/>
      <w:r w:rsidRPr="00364B8A">
        <w:rPr>
          <w:rFonts w:eastAsiaTheme="minorHAnsi"/>
          <w:color w:val="000000" w:themeColor="text1"/>
          <w:sz w:val="20"/>
          <w:szCs w:val="20"/>
        </w:rPr>
        <w:t xml:space="preserve"> 2014 Jul 22. PMID: 25065857; PMCID: PMC6107918, at </w:t>
      </w:r>
      <w:hyperlink r:id="rId9" w:history="1">
        <w:r w:rsidRPr="00364B8A">
          <w:rPr>
            <w:rStyle w:val="Hyperlink"/>
            <w:rFonts w:eastAsiaTheme="minorHAnsi"/>
            <w:color w:val="000000" w:themeColor="text1"/>
            <w:sz w:val="20"/>
            <w:szCs w:val="20"/>
          </w:rPr>
          <w:t>https://pubmed.ncbi.nlm.nih.gov/25065857/</w:t>
        </w:r>
      </w:hyperlink>
      <w:r w:rsidRPr="00364B8A">
        <w:rPr>
          <w:rFonts w:eastAsiaTheme="minorHAnsi"/>
          <w:color w:val="000000" w:themeColor="text1"/>
          <w:sz w:val="20"/>
          <w:szCs w:val="20"/>
          <w:u w:val="single" w:color="094FD1"/>
        </w:rPr>
        <w:t xml:space="preserve">  </w:t>
      </w:r>
      <w:r w:rsidRPr="00364B8A">
        <w:rPr>
          <w:color w:val="000000" w:themeColor="text1"/>
          <w:sz w:val="20"/>
          <w:szCs w:val="20"/>
          <w:shd w:val="clear" w:color="auto" w:fill="FFFFFF"/>
        </w:rPr>
        <w:t>Syphilis rates can be used as a more accurate surrogate marker of sexual behavior than other bacterial STIs because syphilis can be transmitted even with condom use.</w:t>
      </w:r>
    </w:p>
  </w:footnote>
  <w:footnote w:id="14">
    <w:p w14:paraId="4BC0BBB2" w14:textId="77777777" w:rsidR="00992DE9" w:rsidRPr="00364B8A" w:rsidRDefault="00992DE9" w:rsidP="00992DE9">
      <w:pPr>
        <w:pStyle w:val="FootnoteText"/>
        <w:rPr>
          <w:color w:val="000000" w:themeColor="text1"/>
        </w:rPr>
      </w:pPr>
      <w:r w:rsidRPr="00364B8A">
        <w:rPr>
          <w:rStyle w:val="FootnoteReference"/>
          <w:color w:val="000000" w:themeColor="text1"/>
        </w:rPr>
        <w:footnoteRef/>
      </w:r>
      <w:r w:rsidRPr="00364B8A">
        <w:rPr>
          <w:color w:val="000000" w:themeColor="text1"/>
        </w:rPr>
        <w:t xml:space="preserve"> Grant et al. (2014), supra note __.</w:t>
      </w:r>
    </w:p>
  </w:footnote>
  <w:footnote w:id="15">
    <w:p w14:paraId="3BED8696" w14:textId="77777777" w:rsidR="00992DE9" w:rsidRPr="0021181C"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0"/>
          <w:szCs w:val="20"/>
        </w:rPr>
      </w:pPr>
      <w:r w:rsidRPr="00364B8A">
        <w:rPr>
          <w:rStyle w:val="FootnoteReference"/>
          <w:color w:val="000000" w:themeColor="text1"/>
          <w:sz w:val="20"/>
          <w:szCs w:val="20"/>
        </w:rPr>
        <w:footnoteRef/>
      </w:r>
      <w:r w:rsidRPr="00364B8A">
        <w:rPr>
          <w:color w:val="000000" w:themeColor="text1"/>
          <w:sz w:val="20"/>
          <w:szCs w:val="20"/>
        </w:rPr>
        <w:t xml:space="preserve"> </w:t>
      </w:r>
      <w:r w:rsidRPr="0021181C">
        <w:rPr>
          <w:rFonts w:eastAsiaTheme="minorHAnsi"/>
          <w:color w:val="1F2021"/>
          <w:sz w:val="20"/>
          <w:szCs w:val="20"/>
        </w:rPr>
        <w:t xml:space="preserve">Jill Blumenthal, David J. Moore, Sonia Jain, </w:t>
      </w:r>
      <w:proofErr w:type="spellStart"/>
      <w:r w:rsidRPr="0021181C">
        <w:rPr>
          <w:rFonts w:eastAsiaTheme="minorHAnsi"/>
          <w:color w:val="1F2021"/>
          <w:sz w:val="20"/>
          <w:szCs w:val="20"/>
        </w:rPr>
        <w:t>Xiaoying</w:t>
      </w:r>
      <w:proofErr w:type="spellEnd"/>
      <w:r w:rsidRPr="0021181C">
        <w:rPr>
          <w:rFonts w:eastAsiaTheme="minorHAnsi"/>
          <w:color w:val="1F2021"/>
          <w:sz w:val="20"/>
          <w:szCs w:val="20"/>
        </w:rPr>
        <w:t xml:space="preserve"> Sun, Eric </w:t>
      </w:r>
      <w:proofErr w:type="spellStart"/>
      <w:r w:rsidRPr="0021181C">
        <w:rPr>
          <w:rFonts w:eastAsiaTheme="minorHAnsi"/>
          <w:color w:val="1F2021"/>
          <w:sz w:val="20"/>
          <w:szCs w:val="20"/>
        </w:rPr>
        <w:t>Ellorin</w:t>
      </w:r>
      <w:proofErr w:type="spellEnd"/>
      <w:r w:rsidRPr="0021181C">
        <w:rPr>
          <w:rFonts w:eastAsiaTheme="minorHAnsi"/>
          <w:color w:val="1F2021"/>
          <w:sz w:val="20"/>
          <w:szCs w:val="20"/>
        </w:rPr>
        <w:t xml:space="preserve">, Katya </w:t>
      </w:r>
      <w:proofErr w:type="spellStart"/>
      <w:r w:rsidRPr="0021181C">
        <w:rPr>
          <w:rFonts w:eastAsiaTheme="minorHAnsi"/>
          <w:color w:val="1F2021"/>
          <w:sz w:val="20"/>
          <w:szCs w:val="20"/>
        </w:rPr>
        <w:t>Corado</w:t>
      </w:r>
      <w:proofErr w:type="spellEnd"/>
      <w:r w:rsidRPr="0021181C">
        <w:rPr>
          <w:rFonts w:eastAsiaTheme="minorHAnsi"/>
          <w:color w:val="1F2021"/>
          <w:sz w:val="20"/>
          <w:szCs w:val="20"/>
        </w:rPr>
        <w:t xml:space="preserve">, Martin </w:t>
      </w:r>
      <w:proofErr w:type="spellStart"/>
      <w:r w:rsidRPr="0021181C">
        <w:rPr>
          <w:rFonts w:eastAsiaTheme="minorHAnsi"/>
          <w:color w:val="1F2021"/>
          <w:sz w:val="20"/>
          <w:szCs w:val="20"/>
        </w:rPr>
        <w:t>Hoenigl</w:t>
      </w:r>
      <w:proofErr w:type="spellEnd"/>
      <w:r w:rsidRPr="0021181C">
        <w:rPr>
          <w:rFonts w:eastAsiaTheme="minorHAnsi"/>
          <w:color w:val="1F2021"/>
          <w:sz w:val="20"/>
          <w:szCs w:val="20"/>
        </w:rPr>
        <w:t xml:space="preserve">, Michael Dube, Richard </w:t>
      </w:r>
      <w:proofErr w:type="spellStart"/>
      <w:r w:rsidRPr="0021181C">
        <w:rPr>
          <w:rFonts w:eastAsiaTheme="minorHAnsi"/>
          <w:color w:val="1F2021"/>
          <w:sz w:val="20"/>
          <w:szCs w:val="20"/>
        </w:rPr>
        <w:t>Haubrich</w:t>
      </w:r>
      <w:proofErr w:type="spellEnd"/>
      <w:r w:rsidRPr="0021181C">
        <w:rPr>
          <w:rFonts w:eastAsiaTheme="minorHAnsi"/>
          <w:color w:val="1F2021"/>
          <w:sz w:val="20"/>
          <w:szCs w:val="20"/>
        </w:rPr>
        <w:t xml:space="preserve">, Sheldon R. Morris, and for the California Collaborative Treatment Group (CCTG) TAPIR Study </w:t>
      </w:r>
      <w:proofErr w:type="spellStart"/>
      <w:r w:rsidRPr="0021181C">
        <w:rPr>
          <w:rFonts w:eastAsiaTheme="minorHAnsi"/>
          <w:color w:val="1F2021"/>
          <w:sz w:val="20"/>
          <w:szCs w:val="20"/>
        </w:rPr>
        <w:t>Team.Recent</w:t>
      </w:r>
      <w:proofErr w:type="spellEnd"/>
      <w:r w:rsidRPr="0021181C">
        <w:rPr>
          <w:rFonts w:eastAsiaTheme="minorHAnsi"/>
          <w:color w:val="1F2021"/>
          <w:sz w:val="20"/>
          <w:szCs w:val="20"/>
        </w:rPr>
        <w:t xml:space="preserve"> HIV Risk Behavior and Partnership Type Predict HIV Pre-Exposure Prophylaxis Adherence in Men Who Have Sex with </w:t>
      </w:r>
      <w:proofErr w:type="spellStart"/>
      <w:r w:rsidRPr="0021181C">
        <w:rPr>
          <w:rFonts w:eastAsiaTheme="minorHAnsi"/>
          <w:color w:val="1F2021"/>
          <w:sz w:val="20"/>
          <w:szCs w:val="20"/>
        </w:rPr>
        <w:t>Men.AIDS</w:t>
      </w:r>
      <w:proofErr w:type="spellEnd"/>
      <w:r w:rsidRPr="0021181C">
        <w:rPr>
          <w:rFonts w:eastAsiaTheme="minorHAnsi"/>
          <w:color w:val="1F2021"/>
          <w:sz w:val="20"/>
          <w:szCs w:val="20"/>
        </w:rPr>
        <w:t xml:space="preserve"> Patient Care and </w:t>
      </w:r>
      <w:proofErr w:type="spellStart"/>
      <w:r w:rsidRPr="0021181C">
        <w:rPr>
          <w:rFonts w:eastAsiaTheme="minorHAnsi"/>
          <w:color w:val="1F2021"/>
          <w:sz w:val="20"/>
          <w:szCs w:val="20"/>
        </w:rPr>
        <w:t>STDs.May</w:t>
      </w:r>
      <w:proofErr w:type="spellEnd"/>
      <w:r w:rsidRPr="0021181C">
        <w:rPr>
          <w:rFonts w:eastAsiaTheme="minorHAnsi"/>
          <w:color w:val="1F2021"/>
          <w:sz w:val="20"/>
          <w:szCs w:val="20"/>
        </w:rPr>
        <w:t xml:space="preserve"> 2019.220-226.</w:t>
      </w:r>
      <w:hyperlink r:id="rId10" w:history="1">
        <w:r w:rsidRPr="0021181C">
          <w:rPr>
            <w:rFonts w:eastAsiaTheme="minorHAnsi"/>
            <w:color w:val="094FD1"/>
            <w:sz w:val="20"/>
            <w:szCs w:val="20"/>
            <w:u w:val="single" w:color="094FD1"/>
          </w:rPr>
          <w:t>http://doi.org/10.1089/apc.2018.0289</w:t>
        </w:r>
      </w:hyperlink>
    </w:p>
    <w:p w14:paraId="22510A0D" w14:textId="77777777" w:rsidR="00992DE9" w:rsidRPr="0021181C"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0"/>
          <w:szCs w:val="20"/>
        </w:rPr>
      </w:pPr>
    </w:p>
    <w:p w14:paraId="19FB5B3C" w14:textId="77777777" w:rsidR="00992DE9" w:rsidRPr="0021181C"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0"/>
          <w:szCs w:val="20"/>
        </w:rPr>
      </w:pPr>
      <w:r w:rsidRPr="0021181C">
        <w:rPr>
          <w:rFonts w:eastAsiaTheme="minorHAnsi"/>
          <w:color w:val="000000"/>
          <w:sz w:val="20"/>
          <w:szCs w:val="20"/>
        </w:rPr>
        <w:t xml:space="preserve">This study showed that those reporting no or single partnerships at study conclusion increased from 0.5% to 9% in PrEP users; </w:t>
      </w:r>
      <w:r w:rsidRPr="0021181C">
        <w:rPr>
          <w:rFonts w:eastAsiaTheme="minorHAnsi"/>
          <w:color w:val="3F3F3F"/>
          <w:sz w:val="20"/>
          <w:szCs w:val="20"/>
        </w:rPr>
        <w:t xml:space="preserve">Whitfield THF, Jones SS, </w:t>
      </w:r>
      <w:proofErr w:type="spellStart"/>
      <w:r w:rsidRPr="0021181C">
        <w:rPr>
          <w:rFonts w:eastAsiaTheme="minorHAnsi"/>
          <w:color w:val="3F3F3F"/>
          <w:sz w:val="20"/>
          <w:szCs w:val="20"/>
        </w:rPr>
        <w:t>Wachman</w:t>
      </w:r>
      <w:proofErr w:type="spellEnd"/>
      <w:r w:rsidRPr="0021181C">
        <w:rPr>
          <w:rFonts w:eastAsiaTheme="minorHAnsi"/>
          <w:color w:val="3F3F3F"/>
          <w:sz w:val="20"/>
          <w:szCs w:val="20"/>
        </w:rPr>
        <w:t xml:space="preserve"> M, </w:t>
      </w:r>
      <w:proofErr w:type="spellStart"/>
      <w:r w:rsidRPr="0021181C">
        <w:rPr>
          <w:rFonts w:eastAsiaTheme="minorHAnsi"/>
          <w:color w:val="3F3F3F"/>
          <w:sz w:val="20"/>
          <w:szCs w:val="20"/>
        </w:rPr>
        <w:t>Grov</w:t>
      </w:r>
      <w:proofErr w:type="spellEnd"/>
      <w:r w:rsidRPr="0021181C">
        <w:rPr>
          <w:rFonts w:eastAsiaTheme="minorHAnsi"/>
          <w:color w:val="3F3F3F"/>
          <w:sz w:val="20"/>
          <w:szCs w:val="20"/>
        </w:rPr>
        <w:t xml:space="preserve"> C, Parsons JT, </w:t>
      </w:r>
      <w:proofErr w:type="spellStart"/>
      <w:r w:rsidRPr="0021181C">
        <w:rPr>
          <w:rFonts w:eastAsiaTheme="minorHAnsi"/>
          <w:color w:val="3F3F3F"/>
          <w:sz w:val="20"/>
          <w:szCs w:val="20"/>
        </w:rPr>
        <w:t>Rendina</w:t>
      </w:r>
      <w:proofErr w:type="spellEnd"/>
      <w:r w:rsidRPr="0021181C">
        <w:rPr>
          <w:rFonts w:eastAsiaTheme="minorHAnsi"/>
          <w:color w:val="3F3F3F"/>
          <w:sz w:val="20"/>
          <w:szCs w:val="20"/>
        </w:rPr>
        <w:t xml:space="preserve"> HJ. The Impact of Pre-Exposure Prophylaxis (PrEP) Use on Sexual Anxiety, Satisfaction, and Esteem Among Gay and Bisexual Men. </w:t>
      </w:r>
      <w:r w:rsidRPr="0021181C">
        <w:rPr>
          <w:rFonts w:eastAsiaTheme="minorHAnsi"/>
          <w:i/>
          <w:iCs/>
          <w:color w:val="3F3F3F"/>
          <w:sz w:val="20"/>
          <w:szCs w:val="20"/>
        </w:rPr>
        <w:t>J Sex Res</w:t>
      </w:r>
      <w:r w:rsidRPr="0021181C">
        <w:rPr>
          <w:rFonts w:eastAsiaTheme="minorHAnsi"/>
          <w:color w:val="3F3F3F"/>
          <w:sz w:val="20"/>
          <w:szCs w:val="20"/>
        </w:rPr>
        <w:t>. 2019;56(9):1128-1135. doi:10.1080/00224499.2019.1572064</w:t>
      </w:r>
    </w:p>
    <w:p w14:paraId="5AE7BD59"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proofErr w:type="spellStart"/>
      <w:r w:rsidRPr="00364B8A">
        <w:rPr>
          <w:rFonts w:eastAsiaTheme="minorHAnsi"/>
          <w:color w:val="000000" w:themeColor="text1"/>
          <w:sz w:val="20"/>
          <w:szCs w:val="20"/>
        </w:rPr>
        <w:t>Beymer</w:t>
      </w:r>
      <w:proofErr w:type="spellEnd"/>
      <w:r w:rsidRPr="00364B8A">
        <w:rPr>
          <w:rFonts w:eastAsiaTheme="minorHAnsi"/>
          <w:color w:val="000000" w:themeColor="text1"/>
          <w:sz w:val="20"/>
          <w:szCs w:val="20"/>
        </w:rPr>
        <w:t xml:space="preserve"> MR, </w:t>
      </w:r>
      <w:proofErr w:type="spellStart"/>
      <w:r w:rsidRPr="00364B8A">
        <w:rPr>
          <w:rFonts w:eastAsiaTheme="minorHAnsi"/>
          <w:color w:val="000000" w:themeColor="text1"/>
          <w:sz w:val="20"/>
          <w:szCs w:val="20"/>
        </w:rPr>
        <w:t>DeVost</w:t>
      </w:r>
      <w:proofErr w:type="spellEnd"/>
      <w:r w:rsidRPr="00364B8A">
        <w:rPr>
          <w:rFonts w:eastAsiaTheme="minorHAnsi"/>
          <w:color w:val="000000" w:themeColor="text1"/>
          <w:sz w:val="20"/>
          <w:szCs w:val="20"/>
        </w:rPr>
        <w:t xml:space="preserve"> MA, Weiss RE, </w:t>
      </w:r>
      <w:proofErr w:type="spellStart"/>
      <w:r w:rsidRPr="00364B8A">
        <w:rPr>
          <w:rFonts w:eastAsiaTheme="minorHAnsi"/>
          <w:color w:val="000000" w:themeColor="text1"/>
          <w:sz w:val="20"/>
          <w:szCs w:val="20"/>
        </w:rPr>
        <w:t>Dierst</w:t>
      </w:r>
      <w:proofErr w:type="spellEnd"/>
      <w:r w:rsidRPr="00364B8A">
        <w:rPr>
          <w:rFonts w:eastAsiaTheme="minorHAnsi"/>
          <w:color w:val="000000" w:themeColor="text1"/>
          <w:sz w:val="20"/>
          <w:szCs w:val="20"/>
        </w:rPr>
        <w:t xml:space="preserve">-Davies R, Shover CL, </w:t>
      </w:r>
      <w:proofErr w:type="spellStart"/>
      <w:r w:rsidRPr="00364B8A">
        <w:rPr>
          <w:rFonts w:eastAsiaTheme="minorHAnsi"/>
          <w:color w:val="000000" w:themeColor="text1"/>
          <w:sz w:val="20"/>
          <w:szCs w:val="20"/>
        </w:rPr>
        <w:t>Landovitz</w:t>
      </w:r>
      <w:proofErr w:type="spellEnd"/>
      <w:r w:rsidRPr="00364B8A">
        <w:rPr>
          <w:rFonts w:eastAsiaTheme="minorHAnsi"/>
          <w:color w:val="000000" w:themeColor="text1"/>
          <w:sz w:val="20"/>
          <w:szCs w:val="20"/>
        </w:rPr>
        <w:t xml:space="preserve"> RJ, </w:t>
      </w:r>
      <w:proofErr w:type="spellStart"/>
      <w:r w:rsidRPr="00364B8A">
        <w:rPr>
          <w:rFonts w:eastAsiaTheme="minorHAnsi"/>
          <w:color w:val="000000" w:themeColor="text1"/>
          <w:sz w:val="20"/>
          <w:szCs w:val="20"/>
        </w:rPr>
        <w:t>Beniasians</w:t>
      </w:r>
      <w:proofErr w:type="spellEnd"/>
      <w:r w:rsidRPr="00364B8A">
        <w:rPr>
          <w:rFonts w:eastAsiaTheme="minorHAnsi"/>
          <w:color w:val="000000" w:themeColor="text1"/>
          <w:sz w:val="20"/>
          <w:szCs w:val="20"/>
        </w:rPr>
        <w:t xml:space="preserve"> C, Talan AJ, Flynn RP, </w:t>
      </w:r>
      <w:proofErr w:type="spellStart"/>
      <w:r w:rsidRPr="00364B8A">
        <w:rPr>
          <w:rFonts w:eastAsiaTheme="minorHAnsi"/>
          <w:color w:val="000000" w:themeColor="text1"/>
          <w:sz w:val="20"/>
          <w:szCs w:val="20"/>
        </w:rPr>
        <w:t>Krysiak</w:t>
      </w:r>
      <w:proofErr w:type="spellEnd"/>
      <w:r w:rsidRPr="00364B8A">
        <w:rPr>
          <w:rFonts w:eastAsiaTheme="minorHAnsi"/>
          <w:color w:val="000000" w:themeColor="text1"/>
          <w:sz w:val="20"/>
          <w:szCs w:val="20"/>
        </w:rPr>
        <w:t xml:space="preserve"> R, McLaughlin K, Bolan RK. Does HIV pre-exposure prophylaxis use lead to a higher incidence of sexually transmitted infections? A case-crossover study of men who have sex with men in Los Angeles, California. Sex </w:t>
      </w:r>
      <w:proofErr w:type="spellStart"/>
      <w:r w:rsidRPr="00364B8A">
        <w:rPr>
          <w:rFonts w:eastAsiaTheme="minorHAnsi"/>
          <w:color w:val="000000" w:themeColor="text1"/>
          <w:sz w:val="20"/>
          <w:szCs w:val="20"/>
        </w:rPr>
        <w:t>Transm</w:t>
      </w:r>
      <w:proofErr w:type="spellEnd"/>
      <w:r w:rsidRPr="00364B8A">
        <w:rPr>
          <w:rFonts w:eastAsiaTheme="minorHAnsi"/>
          <w:color w:val="000000" w:themeColor="text1"/>
          <w:sz w:val="20"/>
          <w:szCs w:val="20"/>
        </w:rPr>
        <w:t xml:space="preserve"> Infect. 2018 Sep;94(6):457-462. </w:t>
      </w:r>
      <w:proofErr w:type="spellStart"/>
      <w:r w:rsidRPr="00364B8A">
        <w:rPr>
          <w:rFonts w:eastAsiaTheme="minorHAnsi"/>
          <w:color w:val="000000" w:themeColor="text1"/>
          <w:sz w:val="20"/>
          <w:szCs w:val="20"/>
        </w:rPr>
        <w:t>doi</w:t>
      </w:r>
      <w:proofErr w:type="spellEnd"/>
      <w:r w:rsidRPr="00364B8A">
        <w:rPr>
          <w:rFonts w:eastAsiaTheme="minorHAnsi"/>
          <w:color w:val="000000" w:themeColor="text1"/>
          <w:sz w:val="20"/>
          <w:szCs w:val="20"/>
        </w:rPr>
        <w:t xml:space="preserve">: 10.1136/sextrans-2017-053377. </w:t>
      </w:r>
      <w:proofErr w:type="spellStart"/>
      <w:r w:rsidRPr="00364B8A">
        <w:rPr>
          <w:rFonts w:eastAsiaTheme="minorHAnsi"/>
          <w:color w:val="000000" w:themeColor="text1"/>
          <w:sz w:val="20"/>
          <w:szCs w:val="20"/>
        </w:rPr>
        <w:t>Epub</w:t>
      </w:r>
      <w:proofErr w:type="spellEnd"/>
      <w:r w:rsidRPr="00364B8A">
        <w:rPr>
          <w:rFonts w:eastAsiaTheme="minorHAnsi"/>
          <w:color w:val="000000" w:themeColor="text1"/>
          <w:sz w:val="20"/>
          <w:szCs w:val="20"/>
        </w:rPr>
        <w:t xml:space="preserve"> 2018 Feb 27. PMID: 29487172; PMCID: PMC6482844, at </w:t>
      </w:r>
      <w:hyperlink r:id="rId11" w:history="1">
        <w:r w:rsidRPr="00364B8A">
          <w:rPr>
            <w:rStyle w:val="Hyperlink"/>
            <w:rFonts w:eastAsiaTheme="minorHAnsi"/>
            <w:color w:val="000000" w:themeColor="text1"/>
            <w:sz w:val="20"/>
            <w:szCs w:val="20"/>
          </w:rPr>
          <w:t>https://pubmed.ncbi.nlm.nih.gov/29487172/</w:t>
        </w:r>
      </w:hyperlink>
    </w:p>
    <w:p w14:paraId="0757F426"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proofErr w:type="spellStart"/>
      <w:r w:rsidRPr="00364B8A">
        <w:rPr>
          <w:rFonts w:eastAsiaTheme="minorHAnsi"/>
          <w:color w:val="000000" w:themeColor="text1"/>
          <w:sz w:val="20"/>
          <w:szCs w:val="20"/>
        </w:rPr>
        <w:t>Streeck</w:t>
      </w:r>
      <w:proofErr w:type="spellEnd"/>
      <w:r w:rsidRPr="00364B8A">
        <w:rPr>
          <w:rFonts w:eastAsiaTheme="minorHAnsi"/>
          <w:color w:val="000000" w:themeColor="text1"/>
          <w:sz w:val="20"/>
          <w:szCs w:val="20"/>
        </w:rPr>
        <w:t xml:space="preserve"> H, Jansen K, Crowell TA, </w:t>
      </w:r>
      <w:proofErr w:type="spellStart"/>
      <w:r w:rsidRPr="00364B8A">
        <w:rPr>
          <w:rFonts w:eastAsiaTheme="minorHAnsi"/>
          <w:color w:val="000000" w:themeColor="text1"/>
          <w:sz w:val="20"/>
          <w:szCs w:val="20"/>
        </w:rPr>
        <w:t>Esber</w:t>
      </w:r>
      <w:proofErr w:type="spellEnd"/>
      <w:r w:rsidRPr="00364B8A">
        <w:rPr>
          <w:rFonts w:eastAsiaTheme="minorHAnsi"/>
          <w:color w:val="000000" w:themeColor="text1"/>
          <w:sz w:val="20"/>
          <w:szCs w:val="20"/>
        </w:rPr>
        <w:t xml:space="preserve"> A, Jessen HK, Cordes C, Scholten S, </w:t>
      </w:r>
      <w:proofErr w:type="spellStart"/>
      <w:r w:rsidRPr="00364B8A">
        <w:rPr>
          <w:rFonts w:eastAsiaTheme="minorHAnsi"/>
          <w:color w:val="000000" w:themeColor="text1"/>
          <w:sz w:val="20"/>
          <w:szCs w:val="20"/>
        </w:rPr>
        <w:t>Schneeweiss</w:t>
      </w:r>
      <w:proofErr w:type="spellEnd"/>
      <w:r w:rsidRPr="00364B8A">
        <w:rPr>
          <w:rFonts w:eastAsiaTheme="minorHAnsi"/>
          <w:color w:val="000000" w:themeColor="text1"/>
          <w:sz w:val="20"/>
          <w:szCs w:val="20"/>
        </w:rPr>
        <w:t xml:space="preserve"> S, </w:t>
      </w:r>
      <w:proofErr w:type="spellStart"/>
      <w:r w:rsidRPr="00364B8A">
        <w:rPr>
          <w:rFonts w:eastAsiaTheme="minorHAnsi"/>
          <w:color w:val="000000" w:themeColor="text1"/>
          <w:sz w:val="20"/>
          <w:szCs w:val="20"/>
        </w:rPr>
        <w:t>Brockmeyer</w:t>
      </w:r>
      <w:proofErr w:type="spellEnd"/>
      <w:r w:rsidRPr="00364B8A">
        <w:rPr>
          <w:rFonts w:eastAsiaTheme="minorHAnsi"/>
          <w:color w:val="000000" w:themeColor="text1"/>
          <w:sz w:val="20"/>
          <w:szCs w:val="20"/>
        </w:rPr>
        <w:t xml:space="preserve"> N, Spinner CD, Bickel M, </w:t>
      </w:r>
      <w:proofErr w:type="spellStart"/>
      <w:r w:rsidRPr="00364B8A">
        <w:rPr>
          <w:rFonts w:eastAsiaTheme="minorHAnsi"/>
          <w:color w:val="000000" w:themeColor="text1"/>
          <w:sz w:val="20"/>
          <w:szCs w:val="20"/>
        </w:rPr>
        <w:t>Esser</w:t>
      </w:r>
      <w:proofErr w:type="spellEnd"/>
      <w:r w:rsidRPr="00364B8A">
        <w:rPr>
          <w:rFonts w:eastAsiaTheme="minorHAnsi"/>
          <w:color w:val="000000" w:themeColor="text1"/>
          <w:sz w:val="20"/>
          <w:szCs w:val="20"/>
        </w:rPr>
        <w:t xml:space="preserve"> S, </w:t>
      </w:r>
      <w:proofErr w:type="spellStart"/>
      <w:r w:rsidRPr="00364B8A">
        <w:rPr>
          <w:rFonts w:eastAsiaTheme="minorHAnsi"/>
          <w:color w:val="000000" w:themeColor="text1"/>
          <w:sz w:val="20"/>
          <w:szCs w:val="20"/>
        </w:rPr>
        <w:t>Hartikainen</w:t>
      </w:r>
      <w:proofErr w:type="spellEnd"/>
      <w:r w:rsidRPr="00364B8A">
        <w:rPr>
          <w:rFonts w:eastAsiaTheme="minorHAnsi"/>
          <w:color w:val="000000" w:themeColor="text1"/>
          <w:sz w:val="20"/>
          <w:szCs w:val="20"/>
        </w:rPr>
        <w:t xml:space="preserve"> J, </w:t>
      </w:r>
      <w:proofErr w:type="spellStart"/>
      <w:r w:rsidRPr="00364B8A">
        <w:rPr>
          <w:rFonts w:eastAsiaTheme="minorHAnsi"/>
          <w:color w:val="000000" w:themeColor="text1"/>
          <w:sz w:val="20"/>
          <w:szCs w:val="20"/>
        </w:rPr>
        <w:t>Stoehr</w:t>
      </w:r>
      <w:proofErr w:type="spellEnd"/>
      <w:r w:rsidRPr="00364B8A">
        <w:rPr>
          <w:rFonts w:eastAsiaTheme="minorHAnsi"/>
          <w:color w:val="000000" w:themeColor="text1"/>
          <w:sz w:val="20"/>
          <w:szCs w:val="20"/>
        </w:rPr>
        <w:t xml:space="preserve"> A, Lehmann C, Marcus U, </w:t>
      </w:r>
      <w:proofErr w:type="spellStart"/>
      <w:r w:rsidRPr="00364B8A">
        <w:rPr>
          <w:rFonts w:eastAsiaTheme="minorHAnsi"/>
          <w:color w:val="000000" w:themeColor="text1"/>
          <w:sz w:val="20"/>
          <w:szCs w:val="20"/>
        </w:rPr>
        <w:t>Vehreschild</w:t>
      </w:r>
      <w:proofErr w:type="spellEnd"/>
      <w:r w:rsidRPr="00364B8A">
        <w:rPr>
          <w:rFonts w:eastAsiaTheme="minorHAnsi"/>
          <w:color w:val="000000" w:themeColor="text1"/>
          <w:sz w:val="20"/>
          <w:szCs w:val="20"/>
        </w:rPr>
        <w:t xml:space="preserve"> JJ, Knorr A, </w:t>
      </w:r>
      <w:proofErr w:type="spellStart"/>
      <w:r w:rsidRPr="00364B8A">
        <w:rPr>
          <w:rFonts w:eastAsiaTheme="minorHAnsi"/>
          <w:color w:val="000000" w:themeColor="text1"/>
          <w:sz w:val="20"/>
          <w:szCs w:val="20"/>
        </w:rPr>
        <w:t>Brillen</w:t>
      </w:r>
      <w:proofErr w:type="spellEnd"/>
      <w:r w:rsidRPr="00364B8A">
        <w:rPr>
          <w:rFonts w:eastAsiaTheme="minorHAnsi"/>
          <w:color w:val="000000" w:themeColor="text1"/>
          <w:sz w:val="20"/>
          <w:szCs w:val="20"/>
        </w:rPr>
        <w:t xml:space="preserve"> AL, </w:t>
      </w:r>
      <w:proofErr w:type="spellStart"/>
      <w:r w:rsidRPr="00364B8A">
        <w:rPr>
          <w:rFonts w:eastAsiaTheme="minorHAnsi"/>
          <w:color w:val="000000" w:themeColor="text1"/>
          <w:sz w:val="20"/>
          <w:szCs w:val="20"/>
        </w:rPr>
        <w:t>Tiemann</w:t>
      </w:r>
      <w:proofErr w:type="spellEnd"/>
      <w:r w:rsidRPr="00364B8A">
        <w:rPr>
          <w:rFonts w:eastAsiaTheme="minorHAnsi"/>
          <w:color w:val="000000" w:themeColor="text1"/>
          <w:sz w:val="20"/>
          <w:szCs w:val="20"/>
        </w:rPr>
        <w:t xml:space="preserve"> C, Robb ML, Michael NL. HIV pre-exposure prophylaxis was associated with no impact on sexually transmitted infection prevalence in a high-prevalence population of predominantly men who have sex with men, Germany, 2018 to 2019. Euro </w:t>
      </w:r>
      <w:proofErr w:type="spellStart"/>
      <w:r w:rsidRPr="00364B8A">
        <w:rPr>
          <w:rFonts w:eastAsiaTheme="minorHAnsi"/>
          <w:color w:val="000000" w:themeColor="text1"/>
          <w:sz w:val="20"/>
          <w:szCs w:val="20"/>
        </w:rPr>
        <w:t>Surveill</w:t>
      </w:r>
      <w:proofErr w:type="spellEnd"/>
      <w:r w:rsidRPr="00364B8A">
        <w:rPr>
          <w:rFonts w:eastAsiaTheme="minorHAnsi"/>
          <w:color w:val="000000" w:themeColor="text1"/>
          <w:sz w:val="20"/>
          <w:szCs w:val="20"/>
        </w:rPr>
        <w:t xml:space="preserve">. 2022 Apr;27(14):2100591. </w:t>
      </w:r>
      <w:proofErr w:type="spellStart"/>
      <w:r w:rsidRPr="00364B8A">
        <w:rPr>
          <w:rFonts w:eastAsiaTheme="minorHAnsi"/>
          <w:color w:val="000000" w:themeColor="text1"/>
          <w:sz w:val="20"/>
          <w:szCs w:val="20"/>
        </w:rPr>
        <w:t>doi</w:t>
      </w:r>
      <w:proofErr w:type="spellEnd"/>
      <w:r w:rsidRPr="00364B8A">
        <w:rPr>
          <w:rFonts w:eastAsiaTheme="minorHAnsi"/>
          <w:color w:val="000000" w:themeColor="text1"/>
          <w:sz w:val="20"/>
          <w:szCs w:val="20"/>
        </w:rPr>
        <w:t xml:space="preserve">: 10.2807/1560-7917.ES.2022.27.14.2100591. PMID: 35393933; PMCID: PMC8991735 at </w:t>
      </w:r>
      <w:hyperlink r:id="rId12" w:history="1">
        <w:r w:rsidRPr="00364B8A">
          <w:rPr>
            <w:rFonts w:eastAsiaTheme="minorHAnsi"/>
            <w:color w:val="000000" w:themeColor="text1"/>
            <w:sz w:val="20"/>
            <w:szCs w:val="20"/>
            <w:u w:val="single" w:color="094FD1"/>
          </w:rPr>
          <w:t>https://pubmed.ncbi.nlm.nih.gov/35393933/</w:t>
        </w:r>
      </w:hyperlink>
    </w:p>
    <w:p w14:paraId="543E1019" w14:textId="77777777" w:rsidR="00992DE9" w:rsidRPr="00364B8A" w:rsidRDefault="00992DE9" w:rsidP="00992D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sidRPr="00364B8A">
        <w:rPr>
          <w:rFonts w:eastAsiaTheme="minorHAnsi"/>
          <w:color w:val="000000" w:themeColor="text1"/>
          <w:sz w:val="20"/>
          <w:szCs w:val="20"/>
        </w:rPr>
        <w:t xml:space="preserve">McCormack S, Dunn DT, Desai M, et al. Pre-exposure prophylaxis to prevent the acquisition of HIV-1 infection (PROUD): effectiveness results from the pilot phase of a pragmatic open-label </w:t>
      </w:r>
      <w:proofErr w:type="spellStart"/>
      <w:r w:rsidRPr="00364B8A">
        <w:rPr>
          <w:rFonts w:eastAsiaTheme="minorHAnsi"/>
          <w:color w:val="000000" w:themeColor="text1"/>
          <w:sz w:val="20"/>
          <w:szCs w:val="20"/>
        </w:rPr>
        <w:t>randomised</w:t>
      </w:r>
      <w:proofErr w:type="spellEnd"/>
      <w:r w:rsidRPr="00364B8A">
        <w:rPr>
          <w:rFonts w:eastAsiaTheme="minorHAnsi"/>
          <w:color w:val="000000" w:themeColor="text1"/>
          <w:sz w:val="20"/>
          <w:szCs w:val="20"/>
        </w:rPr>
        <w:t xml:space="preserve"> trial. </w:t>
      </w:r>
      <w:r w:rsidRPr="00364B8A">
        <w:rPr>
          <w:rFonts w:eastAsiaTheme="minorHAnsi"/>
          <w:i/>
          <w:iCs/>
          <w:color w:val="000000" w:themeColor="text1"/>
          <w:sz w:val="20"/>
          <w:szCs w:val="20"/>
        </w:rPr>
        <w:t>Lancet</w:t>
      </w:r>
      <w:r w:rsidRPr="00364B8A">
        <w:rPr>
          <w:rFonts w:eastAsiaTheme="minorHAnsi"/>
          <w:color w:val="000000" w:themeColor="text1"/>
          <w:sz w:val="20"/>
          <w:szCs w:val="20"/>
        </w:rPr>
        <w:t xml:space="preserve">. 2016;387(10013):53-60. doi:10.1016/S0140-6736(15)00056-2, at </w:t>
      </w:r>
      <w:hyperlink r:id="rId13" w:history="1">
        <w:r w:rsidRPr="00364B8A">
          <w:rPr>
            <w:rStyle w:val="Hyperlink"/>
            <w:rFonts w:eastAsiaTheme="minorHAnsi"/>
            <w:color w:val="000000" w:themeColor="text1"/>
            <w:sz w:val="20"/>
            <w:szCs w:val="20"/>
          </w:rPr>
          <w:t>https://www.ncbi.nlm.nih.gov/pmc/articles/PMC4700047/?report=reader</w:t>
        </w:r>
      </w:hyperlink>
      <w:r w:rsidRPr="00364B8A">
        <w:rPr>
          <w:rStyle w:val="Hyperlink"/>
          <w:rFonts w:eastAsiaTheme="minorHAnsi"/>
          <w:color w:val="000000" w:themeColor="text1"/>
          <w:sz w:val="20"/>
          <w:szCs w:val="20"/>
        </w:rPr>
        <w:t xml:space="preserve">; </w:t>
      </w:r>
      <w:r w:rsidRPr="00364B8A">
        <w:rPr>
          <w:rFonts w:eastAsiaTheme="minorHAnsi"/>
          <w:color w:val="3F3F3F"/>
          <w:sz w:val="20"/>
          <w:szCs w:val="20"/>
        </w:rPr>
        <w:t xml:space="preserve">Marcus JL, Glidden DV, Mayer KH, et al. No evidence of sexual risk compensation in the </w:t>
      </w:r>
      <w:proofErr w:type="spellStart"/>
      <w:r w:rsidRPr="00364B8A">
        <w:rPr>
          <w:rFonts w:eastAsiaTheme="minorHAnsi"/>
          <w:color w:val="3F3F3F"/>
          <w:sz w:val="20"/>
          <w:szCs w:val="20"/>
        </w:rPr>
        <w:t>iPrEx</w:t>
      </w:r>
      <w:proofErr w:type="spellEnd"/>
      <w:r w:rsidRPr="00364B8A">
        <w:rPr>
          <w:rFonts w:eastAsiaTheme="minorHAnsi"/>
          <w:color w:val="3F3F3F"/>
          <w:sz w:val="20"/>
          <w:szCs w:val="20"/>
        </w:rPr>
        <w:t xml:space="preserve"> trial of daily oral HIV preexposure prophylaxis. </w:t>
      </w:r>
      <w:proofErr w:type="spellStart"/>
      <w:r w:rsidRPr="00364B8A">
        <w:rPr>
          <w:rFonts w:eastAsiaTheme="minorHAnsi"/>
          <w:i/>
          <w:iCs/>
          <w:color w:val="3F3F3F"/>
          <w:sz w:val="20"/>
          <w:szCs w:val="20"/>
        </w:rPr>
        <w:t>PLoS</w:t>
      </w:r>
      <w:proofErr w:type="spellEnd"/>
      <w:r w:rsidRPr="00364B8A">
        <w:rPr>
          <w:rFonts w:eastAsiaTheme="minorHAnsi"/>
          <w:i/>
          <w:iCs/>
          <w:color w:val="3F3F3F"/>
          <w:sz w:val="20"/>
          <w:szCs w:val="20"/>
        </w:rPr>
        <w:t xml:space="preserve"> One</w:t>
      </w:r>
      <w:r w:rsidRPr="00364B8A">
        <w:rPr>
          <w:rFonts w:eastAsiaTheme="minorHAnsi"/>
          <w:color w:val="3F3F3F"/>
          <w:sz w:val="20"/>
          <w:szCs w:val="20"/>
        </w:rPr>
        <w:t>. 2013;8(12</w:t>
      </w:r>
      <w:proofErr w:type="gramStart"/>
      <w:r w:rsidRPr="00364B8A">
        <w:rPr>
          <w:rFonts w:eastAsiaTheme="minorHAnsi"/>
          <w:color w:val="3F3F3F"/>
          <w:sz w:val="20"/>
          <w:szCs w:val="20"/>
        </w:rPr>
        <w:t>):e</w:t>
      </w:r>
      <w:proofErr w:type="gramEnd"/>
      <w:r w:rsidRPr="00364B8A">
        <w:rPr>
          <w:rFonts w:eastAsiaTheme="minorHAnsi"/>
          <w:color w:val="3F3F3F"/>
          <w:sz w:val="20"/>
          <w:szCs w:val="20"/>
        </w:rPr>
        <w:t xml:space="preserve">81997. Published 2013 Dec 18. </w:t>
      </w:r>
      <w:proofErr w:type="gramStart"/>
      <w:r w:rsidRPr="00364B8A">
        <w:rPr>
          <w:rFonts w:eastAsiaTheme="minorHAnsi"/>
          <w:color w:val="3F3F3F"/>
          <w:sz w:val="20"/>
          <w:szCs w:val="20"/>
        </w:rPr>
        <w:t>doi:10.1371/journal.pone</w:t>
      </w:r>
      <w:proofErr w:type="gramEnd"/>
      <w:r w:rsidRPr="00364B8A">
        <w:rPr>
          <w:rFonts w:eastAsiaTheme="minorHAnsi"/>
          <w:color w:val="3F3F3F"/>
          <w:sz w:val="20"/>
          <w:szCs w:val="20"/>
        </w:rPr>
        <w:t>.0081997</w:t>
      </w:r>
    </w:p>
  </w:footnote>
  <w:footnote w:id="16">
    <w:p w14:paraId="6BFC750F" w14:textId="77777777" w:rsidR="00992DE9" w:rsidRPr="00364B8A" w:rsidRDefault="00992DE9" w:rsidP="00992DE9">
      <w:pPr>
        <w:pStyle w:val="FootnoteText"/>
        <w:rPr>
          <w:color w:val="000000" w:themeColor="text1"/>
        </w:rPr>
      </w:pPr>
      <w:r w:rsidRPr="00364B8A">
        <w:rPr>
          <w:rStyle w:val="FootnoteReference"/>
          <w:color w:val="000000" w:themeColor="text1"/>
        </w:rPr>
        <w:footnoteRef/>
      </w:r>
      <w:r w:rsidRPr="00364B8A">
        <w:rPr>
          <w:color w:val="000000" w:themeColor="text1"/>
        </w:rPr>
        <w:t xml:space="preserve"> Traeger, et al. (2018), supra note __.</w:t>
      </w:r>
    </w:p>
  </w:footnote>
  <w:footnote w:id="17">
    <w:p w14:paraId="251C2C76" w14:textId="77777777" w:rsidR="00992DE9" w:rsidRDefault="00992DE9" w:rsidP="00992DE9">
      <w:pPr>
        <w:pStyle w:val="FootnoteText"/>
      </w:pPr>
      <w:r>
        <w:rPr>
          <w:rStyle w:val="FootnoteReference"/>
        </w:rPr>
        <w:footnoteRef/>
      </w:r>
      <w:r>
        <w:t xml:space="preserve"> Braidwood, p. 38.</w:t>
      </w:r>
    </w:p>
  </w:footnote>
  <w:footnote w:id="18">
    <w:p w14:paraId="44E2690F" w14:textId="77777777" w:rsidR="00992DE9" w:rsidRDefault="00992DE9" w:rsidP="00992DE9">
      <w:pPr>
        <w:pStyle w:val="FootnoteText"/>
      </w:pPr>
      <w:r>
        <w:rPr>
          <w:rStyle w:val="FootnoteReference"/>
        </w:rPr>
        <w:footnoteRef/>
      </w:r>
      <w:r>
        <w:t xml:space="preserve"> Id.</w:t>
      </w:r>
    </w:p>
  </w:footnote>
  <w:footnote w:id="19">
    <w:p w14:paraId="3CE53526" w14:textId="77777777" w:rsidR="00992DE9" w:rsidRDefault="00992DE9" w:rsidP="00992DE9">
      <w:pPr>
        <w:pStyle w:val="FootnoteText"/>
      </w:pPr>
      <w:r>
        <w:rPr>
          <w:rStyle w:val="FootnoteReference"/>
        </w:rPr>
        <w:footnoteRef/>
      </w:r>
      <w:r>
        <w:t xml:space="preserve"> See Noah Feldman, A Texas Judge Just Took Religious “Freedom” Too Far, Bloomberg, Sept. 14, 2022, at </w:t>
      </w:r>
      <w:hyperlink r:id="rId14" w:history="1">
        <w:r w:rsidRPr="003E68D2">
          <w:rPr>
            <w:rStyle w:val="Hyperlink"/>
          </w:rPr>
          <w:t>https://www.bloomberg.com/opinion/articles/2022-09-14/texas-prep-drug-ruling-in-braidwood-case-should-be-overturned</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148604"/>
      <w:docPartObj>
        <w:docPartGallery w:val="Page Numbers (Top of Page)"/>
        <w:docPartUnique/>
      </w:docPartObj>
    </w:sdtPr>
    <w:sdtEndPr>
      <w:rPr>
        <w:rStyle w:val="PageNumber"/>
      </w:rPr>
    </w:sdtEndPr>
    <w:sdtContent>
      <w:p w14:paraId="1A041EC3" w14:textId="133A0D9C" w:rsidR="00054AE7" w:rsidRDefault="00054AE7" w:rsidP="001C18C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0ED4887" w14:textId="77777777" w:rsidR="00054AE7" w:rsidRDefault="00054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495191"/>
      <w:docPartObj>
        <w:docPartGallery w:val="Page Numbers (Top of Page)"/>
        <w:docPartUnique/>
      </w:docPartObj>
    </w:sdtPr>
    <w:sdtEndPr>
      <w:rPr>
        <w:rStyle w:val="PageNumber"/>
      </w:rPr>
    </w:sdtEndPr>
    <w:sdtContent>
      <w:p w14:paraId="011F020A" w14:textId="634ED03D" w:rsidR="00054AE7" w:rsidRDefault="00054AE7" w:rsidP="001C18C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59218E" w14:textId="4FDCAE2E" w:rsidR="00BD758A" w:rsidRDefault="00BD758A" w:rsidP="00BD758A">
    <w:pPr>
      <w:rPr>
        <w:color w:val="000000" w:themeColor="text1"/>
        <w:sz w:val="22"/>
        <w:szCs w:val="22"/>
      </w:rPr>
    </w:pPr>
    <w:r w:rsidRPr="00BD758A">
      <w:rPr>
        <w:color w:val="000000" w:themeColor="text1"/>
        <w:sz w:val="22"/>
        <w:szCs w:val="22"/>
      </w:rPr>
      <w:t>Submission to the Report on Freedom of Religious Beliefs and Sex Orientation and Gender Identity</w:t>
    </w:r>
  </w:p>
  <w:p w14:paraId="6012F2C0" w14:textId="7BAF8587" w:rsidR="00BD758A" w:rsidRPr="00BD758A" w:rsidRDefault="00BD758A" w:rsidP="00BD758A">
    <w:pPr>
      <w:rPr>
        <w:color w:val="000000" w:themeColor="text1"/>
        <w:sz w:val="22"/>
        <w:szCs w:val="22"/>
      </w:rPr>
    </w:pPr>
    <w:r>
      <w:rPr>
        <w:color w:val="000000" w:themeColor="text1"/>
        <w:sz w:val="22"/>
        <w:szCs w:val="22"/>
      </w:rPr>
      <w:t>January 15, 2023</w:t>
    </w:r>
  </w:p>
  <w:p w14:paraId="0EF95EC2" w14:textId="77777777" w:rsidR="00BD758A" w:rsidRPr="00BD758A" w:rsidRDefault="00BD758A" w:rsidP="00BD7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6241"/>
    <w:multiLevelType w:val="hybridMultilevel"/>
    <w:tmpl w:val="1930CEAA"/>
    <w:lvl w:ilvl="0" w:tplc="F74222E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B315B"/>
    <w:multiLevelType w:val="hybridMultilevel"/>
    <w:tmpl w:val="8C5ACDEE"/>
    <w:lvl w:ilvl="0" w:tplc="567C6290">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8A"/>
    <w:rsid w:val="0005267A"/>
    <w:rsid w:val="00054AE7"/>
    <w:rsid w:val="00092CFB"/>
    <w:rsid w:val="000E1242"/>
    <w:rsid w:val="001C18C4"/>
    <w:rsid w:val="002222B4"/>
    <w:rsid w:val="002744FD"/>
    <w:rsid w:val="00310F51"/>
    <w:rsid w:val="00400A68"/>
    <w:rsid w:val="004A6739"/>
    <w:rsid w:val="004F38EC"/>
    <w:rsid w:val="00566F4A"/>
    <w:rsid w:val="005F6C6C"/>
    <w:rsid w:val="00632E3D"/>
    <w:rsid w:val="00875314"/>
    <w:rsid w:val="008E4119"/>
    <w:rsid w:val="00992DE9"/>
    <w:rsid w:val="00A933DD"/>
    <w:rsid w:val="00A96A37"/>
    <w:rsid w:val="00AD2D96"/>
    <w:rsid w:val="00B3233D"/>
    <w:rsid w:val="00B92180"/>
    <w:rsid w:val="00BD758A"/>
    <w:rsid w:val="00C509D0"/>
    <w:rsid w:val="00C60363"/>
    <w:rsid w:val="00D81408"/>
    <w:rsid w:val="00D819C4"/>
    <w:rsid w:val="00E6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57C5B"/>
  <w15:chartTrackingRefBased/>
  <w15:docId w15:val="{DE5FA745-EC06-384A-BD13-27D11876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8A"/>
    <w:rPr>
      <w:rFonts w:ascii="Times New Roman" w:eastAsia="Times New Roman" w:hAnsi="Times New Roman" w:cs="Times New Roman"/>
    </w:rPr>
  </w:style>
  <w:style w:type="paragraph" w:styleId="Heading1">
    <w:name w:val="heading 1"/>
    <w:basedOn w:val="Normal"/>
    <w:link w:val="Heading1Char"/>
    <w:uiPriority w:val="9"/>
    <w:qFormat/>
    <w:rsid w:val="00BD758A"/>
    <w:pPr>
      <w:spacing w:before="100" w:beforeAutospacing="1" w:after="100" w:afterAutospacing="1"/>
      <w:outlineLvl w:val="0"/>
    </w:pPr>
    <w:rPr>
      <w:b/>
      <w:bCs/>
      <w:kern w:val="36"/>
      <w:szCs w:val="48"/>
    </w:rPr>
  </w:style>
  <w:style w:type="paragraph" w:styleId="Heading2">
    <w:name w:val="heading 2"/>
    <w:basedOn w:val="Normal"/>
    <w:next w:val="Normal"/>
    <w:link w:val="Heading2Char"/>
    <w:uiPriority w:val="9"/>
    <w:unhideWhenUsed/>
    <w:qFormat/>
    <w:rsid w:val="00BD758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D758A"/>
    <w:pPr>
      <w:keepNext/>
      <w:keepLines/>
      <w:spacing w:before="40"/>
      <w:outlineLvl w:val="2"/>
    </w:pPr>
    <w:rPr>
      <w:rFonts w:eastAsiaTheme="majorEastAsia"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58A"/>
    <w:rPr>
      <w:color w:val="0563C1" w:themeColor="hyperlink"/>
      <w:u w:val="single"/>
    </w:rPr>
  </w:style>
  <w:style w:type="paragraph" w:styleId="NormalWeb">
    <w:name w:val="Normal (Web)"/>
    <w:basedOn w:val="Normal"/>
    <w:uiPriority w:val="99"/>
    <w:unhideWhenUsed/>
    <w:rsid w:val="00BD758A"/>
    <w:pPr>
      <w:spacing w:before="100" w:beforeAutospacing="1" w:after="100" w:afterAutospacing="1"/>
    </w:pPr>
  </w:style>
  <w:style w:type="character" w:customStyle="1" w:styleId="apple-converted-space">
    <w:name w:val="apple-converted-space"/>
    <w:basedOn w:val="DefaultParagraphFont"/>
    <w:rsid w:val="00BD758A"/>
  </w:style>
  <w:style w:type="paragraph" w:styleId="FootnoteText">
    <w:name w:val="footnote text"/>
    <w:basedOn w:val="Normal"/>
    <w:link w:val="FootnoteTextChar"/>
    <w:uiPriority w:val="99"/>
    <w:semiHidden/>
    <w:unhideWhenUsed/>
    <w:rsid w:val="00BD758A"/>
    <w:rPr>
      <w:sz w:val="20"/>
      <w:szCs w:val="20"/>
    </w:rPr>
  </w:style>
  <w:style w:type="character" w:customStyle="1" w:styleId="FootnoteTextChar">
    <w:name w:val="Footnote Text Char"/>
    <w:basedOn w:val="DefaultParagraphFont"/>
    <w:link w:val="FootnoteText"/>
    <w:uiPriority w:val="99"/>
    <w:semiHidden/>
    <w:rsid w:val="00BD75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758A"/>
    <w:rPr>
      <w:vertAlign w:val="superscript"/>
    </w:rPr>
  </w:style>
  <w:style w:type="paragraph" w:styleId="ListParagraph">
    <w:name w:val="List Paragraph"/>
    <w:basedOn w:val="Normal"/>
    <w:uiPriority w:val="34"/>
    <w:qFormat/>
    <w:rsid w:val="00BD758A"/>
    <w:pPr>
      <w:ind w:left="720"/>
      <w:contextualSpacing/>
    </w:pPr>
  </w:style>
  <w:style w:type="character" w:customStyle="1" w:styleId="Heading1Char">
    <w:name w:val="Heading 1 Char"/>
    <w:basedOn w:val="DefaultParagraphFont"/>
    <w:link w:val="Heading1"/>
    <w:uiPriority w:val="9"/>
    <w:rsid w:val="00BD758A"/>
    <w:rPr>
      <w:rFonts w:ascii="Times New Roman" w:eastAsia="Times New Roman" w:hAnsi="Times New Roman" w:cs="Times New Roman"/>
      <w:b/>
      <w:bCs/>
      <w:kern w:val="36"/>
      <w:szCs w:val="48"/>
    </w:rPr>
  </w:style>
  <w:style w:type="character" w:customStyle="1" w:styleId="Heading2Char">
    <w:name w:val="Heading 2 Char"/>
    <w:basedOn w:val="DefaultParagraphFont"/>
    <w:link w:val="Heading2"/>
    <w:uiPriority w:val="9"/>
    <w:rsid w:val="00BD758A"/>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BD758A"/>
    <w:rPr>
      <w:rFonts w:ascii="Times New Roman" w:eastAsiaTheme="majorEastAsia" w:hAnsi="Times New Roman" w:cstheme="majorBidi"/>
      <w:i/>
      <w:color w:val="1F3763" w:themeColor="accent1" w:themeShade="7F"/>
    </w:rPr>
  </w:style>
  <w:style w:type="character" w:customStyle="1" w:styleId="authors">
    <w:name w:val="authors"/>
    <w:basedOn w:val="DefaultParagraphFont"/>
    <w:rsid w:val="00BD758A"/>
  </w:style>
  <w:style w:type="character" w:customStyle="1" w:styleId="arttitle">
    <w:name w:val="art_title"/>
    <w:basedOn w:val="DefaultParagraphFont"/>
    <w:rsid w:val="00BD758A"/>
  </w:style>
  <w:style w:type="character" w:customStyle="1" w:styleId="serialtitle">
    <w:name w:val="serial_title"/>
    <w:basedOn w:val="DefaultParagraphFont"/>
    <w:rsid w:val="00BD758A"/>
  </w:style>
  <w:style w:type="character" w:customStyle="1" w:styleId="volumeissue">
    <w:name w:val="volume_issue"/>
    <w:basedOn w:val="DefaultParagraphFont"/>
    <w:rsid w:val="00BD758A"/>
  </w:style>
  <w:style w:type="character" w:customStyle="1" w:styleId="pagerange">
    <w:name w:val="page_range"/>
    <w:basedOn w:val="DefaultParagraphFont"/>
    <w:rsid w:val="00BD758A"/>
  </w:style>
  <w:style w:type="character" w:customStyle="1" w:styleId="doilink">
    <w:name w:val="doi_link"/>
    <w:basedOn w:val="DefaultParagraphFont"/>
    <w:rsid w:val="00BD758A"/>
  </w:style>
  <w:style w:type="character" w:styleId="Emphasis">
    <w:name w:val="Emphasis"/>
    <w:basedOn w:val="DefaultParagraphFont"/>
    <w:uiPriority w:val="20"/>
    <w:qFormat/>
    <w:rsid w:val="00BD758A"/>
    <w:rPr>
      <w:i/>
      <w:iCs/>
    </w:rPr>
  </w:style>
  <w:style w:type="character" w:customStyle="1" w:styleId="Date2">
    <w:name w:val="Date2"/>
    <w:basedOn w:val="DefaultParagraphFont"/>
    <w:rsid w:val="00BD758A"/>
  </w:style>
  <w:style w:type="paragraph" w:styleId="Header">
    <w:name w:val="header"/>
    <w:basedOn w:val="Normal"/>
    <w:link w:val="HeaderChar"/>
    <w:uiPriority w:val="99"/>
    <w:unhideWhenUsed/>
    <w:rsid w:val="00BD758A"/>
    <w:pPr>
      <w:tabs>
        <w:tab w:val="center" w:pos="4680"/>
        <w:tab w:val="right" w:pos="9360"/>
      </w:tabs>
    </w:pPr>
  </w:style>
  <w:style w:type="character" w:customStyle="1" w:styleId="HeaderChar">
    <w:name w:val="Header Char"/>
    <w:basedOn w:val="DefaultParagraphFont"/>
    <w:link w:val="Header"/>
    <w:uiPriority w:val="99"/>
    <w:rsid w:val="00BD758A"/>
    <w:rPr>
      <w:rFonts w:ascii="Times New Roman" w:eastAsia="Times New Roman" w:hAnsi="Times New Roman" w:cs="Times New Roman"/>
    </w:rPr>
  </w:style>
  <w:style w:type="paragraph" w:styleId="Footer">
    <w:name w:val="footer"/>
    <w:basedOn w:val="Normal"/>
    <w:link w:val="FooterChar"/>
    <w:uiPriority w:val="99"/>
    <w:unhideWhenUsed/>
    <w:rsid w:val="00BD758A"/>
    <w:pPr>
      <w:tabs>
        <w:tab w:val="center" w:pos="4680"/>
        <w:tab w:val="right" w:pos="9360"/>
      </w:tabs>
    </w:pPr>
  </w:style>
  <w:style w:type="character" w:customStyle="1" w:styleId="FooterChar">
    <w:name w:val="Footer Char"/>
    <w:basedOn w:val="DefaultParagraphFont"/>
    <w:link w:val="Footer"/>
    <w:uiPriority w:val="99"/>
    <w:rsid w:val="00BD758A"/>
    <w:rPr>
      <w:rFonts w:ascii="Times New Roman" w:eastAsia="Times New Roman" w:hAnsi="Times New Roman" w:cs="Times New Roman"/>
    </w:rPr>
  </w:style>
  <w:style w:type="paragraph" w:styleId="Revision">
    <w:name w:val="Revision"/>
    <w:hidden/>
    <w:uiPriority w:val="99"/>
    <w:semiHidden/>
    <w:rsid w:val="00E627B3"/>
    <w:rPr>
      <w:rFonts w:ascii="Times New Roman" w:eastAsia="Times New Roman" w:hAnsi="Times New Roman" w:cs="Times New Roman"/>
    </w:rPr>
  </w:style>
  <w:style w:type="character" w:styleId="PageNumber">
    <w:name w:val="page number"/>
    <w:basedOn w:val="DefaultParagraphFont"/>
    <w:uiPriority w:val="99"/>
    <w:semiHidden/>
    <w:unhideWhenUsed/>
    <w:rsid w:val="0005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21645515.2016.1141158" TargetMode="External"/><Relationship Id="rId13" Type="http://schemas.openxmlformats.org/officeDocument/2006/relationships/hyperlink" Target="https://www.ncbi.nlm.nih.gov/pmc/articles/PMC4700047/?report=reader" TargetMode="External"/><Relationship Id="rId3" Type="http://schemas.openxmlformats.org/officeDocument/2006/relationships/hyperlink" Target="https://www.uspreventiveservicestaskforce.org/uspstf/about-uspstf/methods-and-processes/grade-definitions" TargetMode="External"/><Relationship Id="rId7" Type="http://schemas.openxmlformats.org/officeDocument/2006/relationships/hyperlink" Target="https://doi.org/10.1111/j.1540-6237.2007.00510.x" TargetMode="External"/><Relationship Id="rId12" Type="http://schemas.openxmlformats.org/officeDocument/2006/relationships/hyperlink" Target="https://pubmed.ncbi.nlm.nih.gov/35393933/" TargetMode="External"/><Relationship Id="rId2" Type="http://schemas.openxmlformats.org/officeDocument/2006/relationships/hyperlink" Target="https://www.uspreventiveservicestaskforce.org/uspstf/recommendation/prevention-of-human-immunodeficiency-virus-hiv-infection-pre-exposure-prophylaxis" TargetMode="External"/><Relationship Id="rId1" Type="http://schemas.openxmlformats.org/officeDocument/2006/relationships/hyperlink" Target="https://storage.courtlistener.com/recap/gov.uscourts.txnd.330381/gov.uscourts.txnd.330381.92.0_2.pdf" TargetMode="External"/><Relationship Id="rId6" Type="http://schemas.openxmlformats.org/officeDocument/2006/relationships/hyperlink" Target="https://www.sciencedirect.com/science/article/pii/S1369847818305941" TargetMode="External"/><Relationship Id="rId11" Type="http://schemas.openxmlformats.org/officeDocument/2006/relationships/hyperlink" Target="https://pubmed.ncbi.nlm.nih.gov/29487172/" TargetMode="External"/><Relationship Id="rId5" Type="http://schemas.openxmlformats.org/officeDocument/2006/relationships/hyperlink" Target="https://www.cms.gov/CCIIO/Resources/Fact-Sheets-and-FAQs/Downloads/FAQs-Part-47.pdf" TargetMode="External"/><Relationship Id="rId10" Type="http://schemas.openxmlformats.org/officeDocument/2006/relationships/hyperlink" Target="https://doi.org/10.1089/apc.2018.0289" TargetMode="External"/><Relationship Id="rId4" Type="http://schemas.openxmlformats.org/officeDocument/2006/relationships/hyperlink" Target="http://www.ahrq.gov/" TargetMode="External"/><Relationship Id="rId9" Type="http://schemas.openxmlformats.org/officeDocument/2006/relationships/hyperlink" Target="https://pubmed.ncbi.nlm.nih.gov/25065857/" TargetMode="External"/><Relationship Id="rId14" Type="http://schemas.openxmlformats.org/officeDocument/2006/relationships/hyperlink" Target="https://www.bloomberg.com/opinion/articles/2022-09-14/texas-prep-drug-ruling-in-braidwood-case-should-be-overtur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McNamara and Alsott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1939C13-F42D-432B-9195-AFE6C02D2256}"/>
</file>

<file path=customXml/itemProps2.xml><?xml version="1.0" encoding="utf-8"?>
<ds:datastoreItem xmlns:ds="http://schemas.openxmlformats.org/officeDocument/2006/customXml" ds:itemID="{6B5CD869-E4A3-49D7-9049-0828C7FC091E}"/>
</file>

<file path=customXml/itemProps3.xml><?xml version="1.0" encoding="utf-8"?>
<ds:datastoreItem xmlns:ds="http://schemas.openxmlformats.org/officeDocument/2006/customXml" ds:itemID="{9512507C-25EA-4726-9026-55B5381C904D}"/>
</file>

<file path=docProps/app.xml><?xml version="1.0" encoding="utf-8"?>
<Properties xmlns="http://schemas.openxmlformats.org/officeDocument/2006/extended-properties" xmlns:vt="http://schemas.openxmlformats.org/officeDocument/2006/docPropsVTypes">
  <Template>Normal.dotm</Template>
  <TotalTime>21</TotalTime>
  <Pages>7</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Meredithe</dc:creator>
  <cp:keywords/>
  <dc:description/>
  <cp:lastModifiedBy>McNamara, Meredithe</cp:lastModifiedBy>
  <cp:revision>3</cp:revision>
  <dcterms:created xsi:type="dcterms:W3CDTF">2023-01-16T00:38:00Z</dcterms:created>
  <dcterms:modified xsi:type="dcterms:W3CDTF">2023-01-16T02:30:00Z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