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2069" w14:textId="7D354B84" w:rsidR="00261635" w:rsidRDefault="00CB58F8" w:rsidP="00885EC9">
      <w:pPr>
        <w:contextualSpacing/>
        <w:jc w:val="center"/>
        <w:rPr>
          <w:rFonts w:asciiTheme="minorHAnsi" w:hAnsiTheme="minorHAnsi" w:cstheme="minorHAnsi"/>
          <w:b/>
          <w:bCs/>
        </w:rPr>
      </w:pPr>
      <w:r w:rsidRPr="008B1185">
        <w:rPr>
          <w:rFonts w:asciiTheme="minorHAnsi" w:hAnsiTheme="minorHAnsi" w:cstheme="minorHAnsi"/>
          <w:b/>
          <w:bCs/>
        </w:rPr>
        <w:t xml:space="preserve">Presentación del Informe sobre </w:t>
      </w:r>
      <w:proofErr w:type="spellStart"/>
      <w:r w:rsidRPr="008B1185">
        <w:rPr>
          <w:rFonts w:asciiTheme="minorHAnsi" w:hAnsiTheme="minorHAnsi" w:cstheme="minorHAnsi"/>
          <w:b/>
          <w:bCs/>
        </w:rPr>
        <w:t>FoRB</w:t>
      </w:r>
      <w:proofErr w:type="spellEnd"/>
      <w:r w:rsidRPr="008B1185">
        <w:rPr>
          <w:rFonts w:asciiTheme="minorHAnsi" w:hAnsiTheme="minorHAnsi" w:cstheme="minorHAnsi"/>
          <w:b/>
          <w:bCs/>
        </w:rPr>
        <w:t xml:space="preserve"> y SOGI</w:t>
      </w:r>
    </w:p>
    <w:p w14:paraId="0EC73394" w14:textId="77777777" w:rsidR="00570FE0" w:rsidRPr="00570FE0" w:rsidRDefault="00570FE0" w:rsidP="00570FE0">
      <w:pPr>
        <w:contextualSpacing/>
        <w:jc w:val="both"/>
        <w:rPr>
          <w:rFonts w:asciiTheme="minorHAnsi" w:hAnsiTheme="minorHAnsi" w:cstheme="minorHAnsi"/>
          <w:lang w:val="es-CO"/>
        </w:rPr>
      </w:pPr>
    </w:p>
    <w:p w14:paraId="3C161320" w14:textId="67A464F8" w:rsidR="00570FE0" w:rsidRPr="00570FE0" w:rsidRDefault="00570FE0" w:rsidP="00570FE0">
      <w:pPr>
        <w:contextualSpacing/>
        <w:jc w:val="center"/>
        <w:rPr>
          <w:rFonts w:asciiTheme="minorHAnsi" w:hAnsiTheme="minorHAnsi" w:cstheme="minorHAnsi"/>
          <w:i/>
          <w:iCs/>
          <w:lang w:val="es-CO"/>
        </w:rPr>
      </w:pPr>
      <w:r w:rsidRPr="00570FE0">
        <w:rPr>
          <w:rFonts w:asciiTheme="minorHAnsi" w:hAnsiTheme="minorHAnsi" w:cstheme="minorHAnsi"/>
          <w:i/>
          <w:iCs/>
          <w:lang w:val="es-CO"/>
        </w:rPr>
        <w:t>Tema: Libertad de religión o creencias y protección contra la violencia y la discriminación por motivos de orientación sexual e identidad de género</w:t>
      </w:r>
    </w:p>
    <w:p w14:paraId="0D324BFC" w14:textId="5D99BDE3" w:rsidR="00CB58F8" w:rsidRPr="008B1185" w:rsidRDefault="00CB58F8" w:rsidP="00885EC9">
      <w:pPr>
        <w:contextualSpacing/>
        <w:jc w:val="center"/>
        <w:rPr>
          <w:rFonts w:asciiTheme="minorHAnsi" w:hAnsiTheme="minorHAnsi" w:cstheme="minorHAnsi"/>
          <w:b/>
          <w:bCs/>
        </w:rPr>
      </w:pPr>
    </w:p>
    <w:p w14:paraId="45D3598B" w14:textId="77777777" w:rsidR="00570FE0" w:rsidRDefault="00CB58F8" w:rsidP="00885EC9">
      <w:pPr>
        <w:contextualSpacing/>
        <w:jc w:val="right"/>
        <w:rPr>
          <w:rFonts w:asciiTheme="minorHAnsi" w:hAnsiTheme="minorHAnsi" w:cstheme="minorHAnsi"/>
        </w:rPr>
      </w:pPr>
      <w:proofErr w:type="spellStart"/>
      <w:r w:rsidRPr="008B1185">
        <w:rPr>
          <w:rFonts w:asciiTheme="minorHAnsi" w:hAnsiTheme="minorHAnsi" w:cstheme="minorHAnsi"/>
        </w:rPr>
        <w:t>Pauline</w:t>
      </w:r>
      <w:proofErr w:type="spellEnd"/>
      <w:r w:rsidRPr="008B1185">
        <w:rPr>
          <w:rFonts w:asciiTheme="minorHAnsi" w:hAnsiTheme="minorHAnsi" w:cstheme="minorHAnsi"/>
        </w:rPr>
        <w:t xml:space="preserve"> Capdevielle</w:t>
      </w:r>
    </w:p>
    <w:p w14:paraId="6E16A845" w14:textId="7829E3E0" w:rsidR="00CB58F8" w:rsidRPr="008B1185" w:rsidRDefault="00570FE0" w:rsidP="00885EC9">
      <w:pPr>
        <w:contextualSpacing/>
        <w:jc w:val="right"/>
        <w:rPr>
          <w:rFonts w:asciiTheme="minorHAnsi" w:hAnsiTheme="minorHAnsi" w:cstheme="minorHAnsi"/>
        </w:rPr>
      </w:pPr>
      <w:r>
        <w:rPr>
          <w:rFonts w:asciiTheme="minorHAnsi" w:hAnsiTheme="minorHAnsi" w:cstheme="minorHAnsi"/>
        </w:rPr>
        <w:t>Instituto de Investigaciones Jurídicas, UNAM</w:t>
      </w:r>
      <w:r w:rsidR="00B048CB">
        <w:rPr>
          <w:rStyle w:val="Refdenotaalpie"/>
          <w:rFonts w:asciiTheme="minorHAnsi" w:hAnsiTheme="minorHAnsi" w:cstheme="minorHAnsi"/>
        </w:rPr>
        <w:footnoteReference w:id="1"/>
      </w:r>
    </w:p>
    <w:p w14:paraId="221D1482" w14:textId="50A87ACB" w:rsidR="00CB58F8" w:rsidRPr="008B1185" w:rsidRDefault="00CB58F8" w:rsidP="00570FE0">
      <w:pPr>
        <w:contextualSpacing/>
        <w:rPr>
          <w:rFonts w:asciiTheme="minorHAnsi" w:hAnsiTheme="minorHAnsi" w:cstheme="minorHAnsi"/>
        </w:rPr>
      </w:pPr>
    </w:p>
    <w:p w14:paraId="22D3D45D" w14:textId="53283D3E" w:rsidR="00163436" w:rsidRPr="00570FE0" w:rsidRDefault="00163436" w:rsidP="0061698E">
      <w:pPr>
        <w:numPr>
          <w:ilvl w:val="0"/>
          <w:numId w:val="11"/>
        </w:numPr>
        <w:spacing w:before="100" w:beforeAutospacing="1" w:after="100" w:afterAutospacing="1"/>
        <w:jc w:val="both"/>
        <w:rPr>
          <w:rFonts w:asciiTheme="minorHAnsi" w:eastAsia="Times New Roman" w:hAnsiTheme="minorHAnsi" w:cstheme="minorHAnsi"/>
          <w:szCs w:val="24"/>
          <w:lang w:val="es-CO" w:eastAsia="es-MX"/>
        </w:rPr>
      </w:pPr>
      <w:r w:rsidRPr="00D46B16">
        <w:rPr>
          <w:rFonts w:asciiTheme="minorHAnsi" w:eastAsia="Times New Roman" w:hAnsiTheme="minorHAnsi" w:cstheme="minorHAnsi"/>
          <w:szCs w:val="24"/>
          <w:lang w:val="es-CO" w:eastAsia="es-MX"/>
        </w:rPr>
        <w:t>¿Cuáles son los puntos de tensión reales o percibidos (si los hay) entre el derecho a manifestar la libertad de religión o de creencias y la ausencia de violencia y discriminación por motivos de orientación sexual e identidad de género? ¿Hay áreas en las que son mutuamente excluyentes?</w:t>
      </w:r>
    </w:p>
    <w:p w14:paraId="2DE88655" w14:textId="0360FE2B" w:rsidR="0061698E" w:rsidRPr="008B1185" w:rsidRDefault="0061698E" w:rsidP="0061698E">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 xml:space="preserve">América Latina </w:t>
      </w:r>
      <w:r w:rsidR="00570FE0">
        <w:rPr>
          <w:rFonts w:asciiTheme="minorHAnsi" w:eastAsia="Times New Roman" w:hAnsiTheme="minorHAnsi" w:cstheme="minorHAnsi"/>
          <w:szCs w:val="24"/>
          <w:lang w:eastAsia="es-MX"/>
        </w:rPr>
        <w:t>es</w:t>
      </w:r>
      <w:r w:rsidRPr="008B1185">
        <w:rPr>
          <w:rFonts w:asciiTheme="minorHAnsi" w:eastAsia="Times New Roman" w:hAnsiTheme="minorHAnsi" w:cstheme="minorHAnsi"/>
          <w:szCs w:val="24"/>
          <w:lang w:eastAsia="es-MX"/>
        </w:rPr>
        <w:t xml:space="preserve"> caracteriza</w:t>
      </w:r>
      <w:r w:rsidR="00570FE0">
        <w:rPr>
          <w:rFonts w:asciiTheme="minorHAnsi" w:eastAsia="Times New Roman" w:hAnsiTheme="minorHAnsi" w:cstheme="minorHAnsi"/>
          <w:szCs w:val="24"/>
          <w:lang w:eastAsia="es-MX"/>
        </w:rPr>
        <w:t>da</w:t>
      </w:r>
      <w:r w:rsidRPr="008B1185">
        <w:rPr>
          <w:rFonts w:asciiTheme="minorHAnsi" w:eastAsia="Times New Roman" w:hAnsiTheme="minorHAnsi" w:cstheme="minorHAnsi"/>
          <w:szCs w:val="24"/>
          <w:lang w:eastAsia="es-MX"/>
        </w:rPr>
        <w:t xml:space="preserve"> en la actualidad por una creciente diversidad </w:t>
      </w:r>
      <w:r w:rsidR="00570FE0">
        <w:rPr>
          <w:rFonts w:asciiTheme="minorHAnsi" w:eastAsia="Times New Roman" w:hAnsiTheme="minorHAnsi" w:cstheme="minorHAnsi"/>
          <w:szCs w:val="24"/>
          <w:lang w:eastAsia="es-MX"/>
        </w:rPr>
        <w:t xml:space="preserve">religiosa </w:t>
      </w:r>
      <w:r w:rsidRPr="008B1185">
        <w:rPr>
          <w:rFonts w:asciiTheme="minorHAnsi" w:eastAsia="Times New Roman" w:hAnsiTheme="minorHAnsi" w:cstheme="minorHAnsi"/>
          <w:szCs w:val="24"/>
          <w:lang w:eastAsia="es-MX"/>
        </w:rPr>
        <w:t xml:space="preserve">y una importante vitalidad </w:t>
      </w:r>
      <w:r w:rsidR="00570FE0">
        <w:rPr>
          <w:rFonts w:asciiTheme="minorHAnsi" w:eastAsia="Times New Roman" w:hAnsiTheme="minorHAnsi" w:cstheme="minorHAnsi"/>
          <w:szCs w:val="24"/>
          <w:lang w:eastAsia="es-MX"/>
        </w:rPr>
        <w:t>en la materia</w:t>
      </w:r>
      <w:r w:rsidRPr="008B1185">
        <w:rPr>
          <w:rFonts w:asciiTheme="minorHAnsi" w:eastAsia="Times New Roman" w:hAnsiTheme="minorHAnsi" w:cstheme="minorHAnsi"/>
          <w:szCs w:val="24"/>
          <w:lang w:eastAsia="es-MX"/>
        </w:rPr>
        <w:t>. Si bien dicho escenario regional es complejo</w:t>
      </w:r>
      <w:r w:rsidR="00570FE0">
        <w:rPr>
          <w:rFonts w:asciiTheme="minorHAnsi" w:eastAsia="Times New Roman" w:hAnsiTheme="minorHAnsi" w:cstheme="minorHAnsi"/>
          <w:szCs w:val="24"/>
          <w:lang w:eastAsia="es-MX"/>
        </w:rPr>
        <w:t xml:space="preserve"> y variado</w:t>
      </w:r>
      <w:r w:rsidRPr="008B1185">
        <w:rPr>
          <w:rFonts w:asciiTheme="minorHAnsi" w:eastAsia="Times New Roman" w:hAnsiTheme="minorHAnsi" w:cstheme="minorHAnsi"/>
          <w:szCs w:val="24"/>
          <w:lang w:eastAsia="es-MX"/>
        </w:rPr>
        <w:t xml:space="preserve">, </w:t>
      </w:r>
      <w:r w:rsidR="00570FE0">
        <w:rPr>
          <w:rFonts w:asciiTheme="minorHAnsi" w:eastAsia="Times New Roman" w:hAnsiTheme="minorHAnsi" w:cstheme="minorHAnsi"/>
          <w:szCs w:val="24"/>
          <w:lang w:eastAsia="es-MX"/>
        </w:rPr>
        <w:t>se encuentra</w:t>
      </w:r>
      <w:r w:rsidRPr="008B1185">
        <w:rPr>
          <w:rFonts w:asciiTheme="minorHAnsi" w:eastAsia="Times New Roman" w:hAnsiTheme="minorHAnsi" w:cstheme="minorHAnsi"/>
          <w:szCs w:val="24"/>
          <w:lang w:eastAsia="es-MX"/>
        </w:rPr>
        <w:t xml:space="preserve"> dominado </w:t>
      </w:r>
      <w:r w:rsidR="00570FE0">
        <w:rPr>
          <w:rFonts w:asciiTheme="minorHAnsi" w:eastAsia="Times New Roman" w:hAnsiTheme="minorHAnsi" w:cstheme="minorHAnsi"/>
          <w:szCs w:val="24"/>
          <w:lang w:eastAsia="es-MX"/>
        </w:rPr>
        <w:t xml:space="preserve">a nivel social y político </w:t>
      </w:r>
      <w:r w:rsidRPr="008B1185">
        <w:rPr>
          <w:rFonts w:asciiTheme="minorHAnsi" w:eastAsia="Times New Roman" w:hAnsiTheme="minorHAnsi" w:cstheme="minorHAnsi"/>
          <w:szCs w:val="24"/>
          <w:lang w:eastAsia="es-MX"/>
        </w:rPr>
        <w:t xml:space="preserve">por </w:t>
      </w:r>
      <w:r w:rsidR="00570FE0">
        <w:rPr>
          <w:rFonts w:asciiTheme="minorHAnsi" w:eastAsia="Times New Roman" w:hAnsiTheme="minorHAnsi" w:cstheme="minorHAnsi"/>
          <w:szCs w:val="24"/>
          <w:lang w:eastAsia="es-MX"/>
        </w:rPr>
        <w:t xml:space="preserve">las </w:t>
      </w:r>
      <w:r w:rsidRPr="008B1185">
        <w:rPr>
          <w:rFonts w:asciiTheme="minorHAnsi" w:eastAsia="Times New Roman" w:hAnsiTheme="minorHAnsi" w:cstheme="minorHAnsi"/>
          <w:szCs w:val="24"/>
          <w:lang w:eastAsia="es-MX"/>
        </w:rPr>
        <w:t xml:space="preserve">voces religiosas </w:t>
      </w:r>
      <w:r w:rsidR="00570FE0">
        <w:rPr>
          <w:rFonts w:asciiTheme="minorHAnsi" w:eastAsia="Times New Roman" w:hAnsiTheme="minorHAnsi" w:cstheme="minorHAnsi"/>
          <w:szCs w:val="24"/>
          <w:lang w:eastAsia="es-MX"/>
        </w:rPr>
        <w:t xml:space="preserve">más </w:t>
      </w:r>
      <w:r w:rsidRPr="008B1185">
        <w:rPr>
          <w:rFonts w:asciiTheme="minorHAnsi" w:eastAsia="Times New Roman" w:hAnsiTheme="minorHAnsi" w:cstheme="minorHAnsi"/>
          <w:szCs w:val="24"/>
          <w:lang w:eastAsia="es-MX"/>
        </w:rPr>
        <w:t>conservadoras,</w:t>
      </w:r>
      <w:r w:rsidR="00570FE0">
        <w:rPr>
          <w:rFonts w:asciiTheme="minorHAnsi" w:eastAsia="Times New Roman" w:hAnsiTheme="minorHAnsi" w:cstheme="minorHAnsi"/>
          <w:szCs w:val="24"/>
          <w:lang w:eastAsia="es-MX"/>
        </w:rPr>
        <w:t xml:space="preserve"> especialmente</w:t>
      </w:r>
      <w:r w:rsidRPr="008B1185">
        <w:rPr>
          <w:rFonts w:asciiTheme="minorHAnsi" w:eastAsia="Times New Roman" w:hAnsiTheme="minorHAnsi" w:cstheme="minorHAnsi"/>
          <w:szCs w:val="24"/>
          <w:lang w:eastAsia="es-MX"/>
        </w:rPr>
        <w:t xml:space="preserve"> en</w:t>
      </w:r>
      <w:r w:rsidR="00570FE0">
        <w:rPr>
          <w:rFonts w:asciiTheme="minorHAnsi" w:eastAsia="Times New Roman" w:hAnsiTheme="minorHAnsi" w:cstheme="minorHAnsi"/>
          <w:szCs w:val="24"/>
          <w:lang w:eastAsia="es-MX"/>
        </w:rPr>
        <w:t xml:space="preserve"> las</w:t>
      </w:r>
      <w:r w:rsidRPr="008B1185">
        <w:rPr>
          <w:rFonts w:asciiTheme="minorHAnsi" w:eastAsia="Times New Roman" w:hAnsiTheme="minorHAnsi" w:cstheme="minorHAnsi"/>
          <w:szCs w:val="24"/>
          <w:lang w:eastAsia="es-MX"/>
        </w:rPr>
        <w:t xml:space="preserve"> materias relacionadas con la sexualidad, la reproducción, la familia y la educación. </w:t>
      </w:r>
      <w:r w:rsidR="00FF7F80">
        <w:rPr>
          <w:rFonts w:asciiTheme="minorHAnsi" w:eastAsia="Times New Roman" w:hAnsiTheme="minorHAnsi" w:cstheme="minorHAnsi"/>
          <w:szCs w:val="24"/>
          <w:lang w:eastAsia="es-MX"/>
        </w:rPr>
        <w:t xml:space="preserve">El conservadurismo religioso es particularmente estridente respecto a los derechos humanos de las personas LGBTI. </w:t>
      </w:r>
      <w:r w:rsidRPr="008B1185">
        <w:rPr>
          <w:rFonts w:asciiTheme="minorHAnsi" w:eastAsia="Times New Roman" w:hAnsiTheme="minorHAnsi" w:cstheme="minorHAnsi"/>
          <w:szCs w:val="24"/>
          <w:lang w:eastAsia="es-MX"/>
        </w:rPr>
        <w:t xml:space="preserve">Asimismo, si bien la Iglesia católica </w:t>
      </w:r>
      <w:r w:rsidR="00FF7F80">
        <w:rPr>
          <w:rFonts w:asciiTheme="minorHAnsi" w:eastAsia="Times New Roman" w:hAnsiTheme="minorHAnsi" w:cstheme="minorHAnsi"/>
          <w:szCs w:val="24"/>
          <w:lang w:eastAsia="es-MX"/>
        </w:rPr>
        <w:t>–histórica y mayoritaria en la región—</w:t>
      </w:r>
      <w:r w:rsidRPr="008B1185">
        <w:rPr>
          <w:rFonts w:asciiTheme="minorHAnsi" w:eastAsia="Times New Roman" w:hAnsiTheme="minorHAnsi" w:cstheme="minorHAnsi"/>
          <w:szCs w:val="24"/>
          <w:lang w:eastAsia="es-MX"/>
        </w:rPr>
        <w:t xml:space="preserve">ha hecho alarde </w:t>
      </w:r>
      <w:r w:rsidR="00FF7F80">
        <w:rPr>
          <w:rFonts w:asciiTheme="minorHAnsi" w:eastAsia="Times New Roman" w:hAnsiTheme="minorHAnsi" w:cstheme="minorHAnsi"/>
          <w:szCs w:val="24"/>
          <w:lang w:eastAsia="es-MX"/>
        </w:rPr>
        <w:t xml:space="preserve">en los últimos años </w:t>
      </w:r>
      <w:r w:rsidRPr="008B1185">
        <w:rPr>
          <w:rFonts w:asciiTheme="minorHAnsi" w:eastAsia="Times New Roman" w:hAnsiTheme="minorHAnsi" w:cstheme="minorHAnsi"/>
          <w:szCs w:val="24"/>
          <w:lang w:eastAsia="es-MX"/>
        </w:rPr>
        <w:t>de un mayor acercamiento y empatía hacia las personas de la diversidad sexual, es importante señalar que sus posturas doctrinales en la materia no han evolucionado</w:t>
      </w:r>
      <w:r w:rsidR="00FF7F80">
        <w:rPr>
          <w:rFonts w:asciiTheme="minorHAnsi" w:eastAsia="Times New Roman" w:hAnsiTheme="minorHAnsi" w:cstheme="minorHAnsi"/>
          <w:szCs w:val="24"/>
          <w:lang w:eastAsia="es-MX"/>
        </w:rPr>
        <w:t xml:space="preserve"> y que sigue considerando</w:t>
      </w:r>
      <w:r w:rsidRPr="008B1185">
        <w:rPr>
          <w:rFonts w:asciiTheme="minorHAnsi" w:eastAsia="Times New Roman" w:hAnsiTheme="minorHAnsi" w:cstheme="minorHAnsi"/>
          <w:szCs w:val="24"/>
          <w:lang w:eastAsia="es-MX"/>
        </w:rPr>
        <w:t xml:space="preserve"> la homosexualidad como un “</w:t>
      </w:r>
      <w:r w:rsidR="00484143" w:rsidRPr="008B1185">
        <w:rPr>
          <w:rFonts w:asciiTheme="minorHAnsi" w:eastAsia="Times New Roman" w:hAnsiTheme="minorHAnsi" w:cstheme="minorHAnsi"/>
          <w:szCs w:val="24"/>
          <w:lang w:eastAsia="es-MX"/>
        </w:rPr>
        <w:t xml:space="preserve">comportamiento </w:t>
      </w:r>
      <w:r w:rsidR="006B4AAD" w:rsidRPr="008B1185">
        <w:rPr>
          <w:rFonts w:asciiTheme="minorHAnsi" w:eastAsia="Times New Roman" w:hAnsiTheme="minorHAnsi" w:cstheme="minorHAnsi"/>
          <w:szCs w:val="24"/>
          <w:lang w:eastAsia="es-MX"/>
        </w:rPr>
        <w:t>intrínsecamente</w:t>
      </w:r>
      <w:r w:rsidR="00484143" w:rsidRPr="008B1185">
        <w:rPr>
          <w:rFonts w:asciiTheme="minorHAnsi" w:eastAsia="Times New Roman" w:hAnsiTheme="minorHAnsi" w:cstheme="minorHAnsi"/>
          <w:szCs w:val="24"/>
          <w:lang w:eastAsia="es-MX"/>
        </w:rPr>
        <w:t xml:space="preserve"> malo desde el punto de vista moral”</w:t>
      </w:r>
      <w:r w:rsidR="00FF7F80">
        <w:rPr>
          <w:rStyle w:val="Refdenotaalpie"/>
          <w:rFonts w:asciiTheme="minorHAnsi" w:eastAsia="Times New Roman" w:hAnsiTheme="minorHAnsi" w:cstheme="minorHAnsi"/>
          <w:szCs w:val="24"/>
          <w:lang w:eastAsia="es-MX"/>
        </w:rPr>
        <w:footnoteReference w:id="2"/>
      </w:r>
      <w:r w:rsidR="00484143" w:rsidRPr="008B1185">
        <w:rPr>
          <w:rFonts w:asciiTheme="minorHAnsi" w:eastAsia="Times New Roman" w:hAnsiTheme="minorHAnsi" w:cstheme="minorHAnsi"/>
          <w:szCs w:val="24"/>
          <w:lang w:eastAsia="es-MX"/>
        </w:rPr>
        <w:t xml:space="preserve">. </w:t>
      </w:r>
      <w:r w:rsidRPr="008B1185">
        <w:rPr>
          <w:rFonts w:asciiTheme="minorHAnsi" w:eastAsia="Times New Roman" w:hAnsiTheme="minorHAnsi" w:cstheme="minorHAnsi"/>
          <w:szCs w:val="24"/>
          <w:lang w:eastAsia="es-MX"/>
        </w:rPr>
        <w:t xml:space="preserve">Cabe mencionar también que </w:t>
      </w:r>
      <w:r w:rsidR="00FF7F80">
        <w:rPr>
          <w:rFonts w:asciiTheme="minorHAnsi" w:eastAsia="Times New Roman" w:hAnsiTheme="minorHAnsi" w:cstheme="minorHAnsi"/>
          <w:szCs w:val="24"/>
          <w:lang w:eastAsia="es-MX"/>
        </w:rPr>
        <w:t>dicha institución</w:t>
      </w:r>
      <w:r w:rsidRPr="008B1185">
        <w:rPr>
          <w:rFonts w:asciiTheme="minorHAnsi" w:eastAsia="Times New Roman" w:hAnsiTheme="minorHAnsi" w:cstheme="minorHAnsi"/>
          <w:szCs w:val="24"/>
          <w:lang w:eastAsia="es-MX"/>
        </w:rPr>
        <w:t xml:space="preserve"> se</w:t>
      </w:r>
      <w:r w:rsidR="00FF7F80">
        <w:rPr>
          <w:rFonts w:asciiTheme="minorHAnsi" w:eastAsia="Times New Roman" w:hAnsiTheme="minorHAnsi" w:cstheme="minorHAnsi"/>
          <w:szCs w:val="24"/>
          <w:lang w:eastAsia="es-MX"/>
        </w:rPr>
        <w:t xml:space="preserve"> ha</w:t>
      </w:r>
      <w:r w:rsidRPr="008B1185">
        <w:rPr>
          <w:rFonts w:asciiTheme="minorHAnsi" w:eastAsia="Times New Roman" w:hAnsiTheme="minorHAnsi" w:cstheme="minorHAnsi"/>
          <w:szCs w:val="24"/>
          <w:lang w:eastAsia="es-MX"/>
        </w:rPr>
        <w:t xml:space="preserve"> opu</w:t>
      </w:r>
      <w:r w:rsidR="00FF7F80">
        <w:rPr>
          <w:rFonts w:asciiTheme="minorHAnsi" w:eastAsia="Times New Roman" w:hAnsiTheme="minorHAnsi" w:cstheme="minorHAnsi"/>
          <w:szCs w:val="24"/>
          <w:lang w:eastAsia="es-MX"/>
        </w:rPr>
        <w:t>e</w:t>
      </w:r>
      <w:r w:rsidRPr="008B1185">
        <w:rPr>
          <w:rFonts w:asciiTheme="minorHAnsi" w:eastAsia="Times New Roman" w:hAnsiTheme="minorHAnsi" w:cstheme="minorHAnsi"/>
          <w:szCs w:val="24"/>
          <w:lang w:eastAsia="es-MX"/>
        </w:rPr>
        <w:t>s</w:t>
      </w:r>
      <w:r w:rsidR="00FF7F80">
        <w:rPr>
          <w:rFonts w:asciiTheme="minorHAnsi" w:eastAsia="Times New Roman" w:hAnsiTheme="minorHAnsi" w:cstheme="minorHAnsi"/>
          <w:szCs w:val="24"/>
          <w:lang w:eastAsia="es-MX"/>
        </w:rPr>
        <w:t>t</w:t>
      </w:r>
      <w:r w:rsidRPr="008B1185">
        <w:rPr>
          <w:rFonts w:asciiTheme="minorHAnsi" w:eastAsia="Times New Roman" w:hAnsiTheme="minorHAnsi" w:cstheme="minorHAnsi"/>
          <w:szCs w:val="24"/>
          <w:lang w:eastAsia="es-MX"/>
        </w:rPr>
        <w:t xml:space="preserve">o sistemáticamente al matrimonio entre personas del mismo sexo en </w:t>
      </w:r>
      <w:r w:rsidR="00FF7F80">
        <w:rPr>
          <w:rFonts w:asciiTheme="minorHAnsi" w:eastAsia="Times New Roman" w:hAnsiTheme="minorHAnsi" w:cstheme="minorHAnsi"/>
          <w:szCs w:val="24"/>
          <w:lang w:eastAsia="es-MX"/>
        </w:rPr>
        <w:t>toda la región</w:t>
      </w:r>
      <w:r w:rsidRPr="008B1185">
        <w:rPr>
          <w:rFonts w:asciiTheme="minorHAnsi" w:eastAsia="Times New Roman" w:hAnsiTheme="minorHAnsi" w:cstheme="minorHAnsi"/>
          <w:szCs w:val="24"/>
          <w:lang w:eastAsia="es-MX"/>
        </w:rPr>
        <w:t>, buscan</w:t>
      </w:r>
      <w:r w:rsidR="00FF7F80">
        <w:rPr>
          <w:rFonts w:asciiTheme="minorHAnsi" w:eastAsia="Times New Roman" w:hAnsiTheme="minorHAnsi" w:cstheme="minorHAnsi"/>
          <w:szCs w:val="24"/>
          <w:lang w:eastAsia="es-MX"/>
        </w:rPr>
        <w:t>do</w:t>
      </w:r>
      <w:r w:rsidRPr="008B1185">
        <w:rPr>
          <w:rFonts w:asciiTheme="minorHAnsi" w:eastAsia="Times New Roman" w:hAnsiTheme="minorHAnsi" w:cstheme="minorHAnsi"/>
          <w:szCs w:val="24"/>
          <w:lang w:eastAsia="es-MX"/>
        </w:rPr>
        <w:t xml:space="preserve"> bloquear las iniciativas de ley </w:t>
      </w:r>
      <w:r w:rsidR="00FF7F80">
        <w:rPr>
          <w:rFonts w:asciiTheme="minorHAnsi" w:eastAsia="Times New Roman" w:hAnsiTheme="minorHAnsi" w:cstheme="minorHAnsi"/>
          <w:szCs w:val="24"/>
          <w:lang w:eastAsia="es-MX"/>
        </w:rPr>
        <w:t>en los países en l</w:t>
      </w:r>
      <w:r w:rsidR="00E9161B">
        <w:rPr>
          <w:rFonts w:asciiTheme="minorHAnsi" w:eastAsia="Times New Roman" w:hAnsiTheme="minorHAnsi" w:cstheme="minorHAnsi"/>
          <w:szCs w:val="24"/>
          <w:lang w:eastAsia="es-MX"/>
        </w:rPr>
        <w:t>a</w:t>
      </w:r>
      <w:r w:rsidR="00FF7F80">
        <w:rPr>
          <w:rFonts w:asciiTheme="minorHAnsi" w:eastAsia="Times New Roman" w:hAnsiTheme="minorHAnsi" w:cstheme="minorHAnsi"/>
          <w:szCs w:val="24"/>
          <w:lang w:eastAsia="es-MX"/>
        </w:rPr>
        <w:t>s que se presentaron.</w:t>
      </w:r>
    </w:p>
    <w:p w14:paraId="6FDB1CA7" w14:textId="77777777" w:rsidR="0061698E" w:rsidRPr="008B1185" w:rsidRDefault="0061698E" w:rsidP="0061698E">
      <w:pPr>
        <w:spacing w:before="100" w:beforeAutospacing="1" w:after="100" w:afterAutospacing="1"/>
        <w:contextualSpacing/>
        <w:jc w:val="both"/>
        <w:rPr>
          <w:rFonts w:asciiTheme="minorHAnsi" w:eastAsia="Times New Roman" w:hAnsiTheme="minorHAnsi" w:cstheme="minorHAnsi"/>
          <w:szCs w:val="24"/>
          <w:lang w:eastAsia="es-MX"/>
        </w:rPr>
      </w:pPr>
    </w:p>
    <w:p w14:paraId="144A4CC9" w14:textId="26D3A980" w:rsidR="0061698E" w:rsidRPr="008B1185" w:rsidRDefault="0061698E" w:rsidP="0061698E">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 xml:space="preserve">Igualmente, la gran mayoría de </w:t>
      </w:r>
      <w:r w:rsidR="00F000C0" w:rsidRPr="008B1185">
        <w:rPr>
          <w:rFonts w:asciiTheme="minorHAnsi" w:eastAsia="Times New Roman" w:hAnsiTheme="minorHAnsi" w:cstheme="minorHAnsi"/>
          <w:szCs w:val="24"/>
          <w:lang w:eastAsia="es-MX"/>
        </w:rPr>
        <w:t xml:space="preserve">las iglesias que componen el mosaico del mundo evangélico </w:t>
      </w:r>
      <w:r w:rsidR="00FF7F80">
        <w:rPr>
          <w:rFonts w:asciiTheme="minorHAnsi" w:eastAsia="Times New Roman" w:hAnsiTheme="minorHAnsi" w:cstheme="minorHAnsi"/>
          <w:szCs w:val="24"/>
          <w:lang w:eastAsia="es-MX"/>
        </w:rPr>
        <w:t xml:space="preserve">–en pleno </w:t>
      </w:r>
      <w:r w:rsidR="003C08FD">
        <w:rPr>
          <w:rFonts w:asciiTheme="minorHAnsi" w:eastAsia="Times New Roman" w:hAnsiTheme="minorHAnsi" w:cstheme="minorHAnsi"/>
          <w:szCs w:val="24"/>
          <w:lang w:eastAsia="es-MX"/>
        </w:rPr>
        <w:t>auge en la región</w:t>
      </w:r>
      <w:r w:rsidR="00FF7F80">
        <w:rPr>
          <w:rFonts w:asciiTheme="minorHAnsi" w:eastAsia="Times New Roman" w:hAnsiTheme="minorHAnsi" w:cstheme="minorHAnsi"/>
          <w:szCs w:val="24"/>
          <w:lang w:eastAsia="es-MX"/>
        </w:rPr>
        <w:t>—</w:t>
      </w:r>
      <w:r w:rsidR="00F000C0" w:rsidRPr="008B1185">
        <w:rPr>
          <w:rFonts w:asciiTheme="minorHAnsi" w:eastAsia="Times New Roman" w:hAnsiTheme="minorHAnsi" w:cstheme="minorHAnsi"/>
          <w:szCs w:val="24"/>
          <w:lang w:eastAsia="es-MX"/>
        </w:rPr>
        <w:t>rechaza los derechos para las personas LGBTI+</w:t>
      </w:r>
      <w:r w:rsidR="00D3751A" w:rsidRPr="008B1185">
        <w:rPr>
          <w:rFonts w:asciiTheme="minorHAnsi" w:eastAsia="Times New Roman" w:hAnsiTheme="minorHAnsi" w:cstheme="minorHAnsi"/>
          <w:szCs w:val="24"/>
          <w:lang w:eastAsia="es-MX"/>
        </w:rPr>
        <w:t xml:space="preserve">, en particular, </w:t>
      </w:r>
      <w:r w:rsidRPr="008B1185">
        <w:rPr>
          <w:rFonts w:asciiTheme="minorHAnsi" w:eastAsia="Times New Roman" w:hAnsiTheme="minorHAnsi" w:cstheme="minorHAnsi"/>
          <w:szCs w:val="24"/>
          <w:lang w:eastAsia="es-MX"/>
        </w:rPr>
        <w:t>el acceso al</w:t>
      </w:r>
      <w:r w:rsidR="00D3751A" w:rsidRPr="008B1185">
        <w:rPr>
          <w:rFonts w:asciiTheme="minorHAnsi" w:eastAsia="Times New Roman" w:hAnsiTheme="minorHAnsi" w:cstheme="minorHAnsi"/>
          <w:szCs w:val="24"/>
          <w:lang w:eastAsia="es-MX"/>
        </w:rPr>
        <w:t xml:space="preserve"> matrimonio</w:t>
      </w:r>
      <w:r w:rsidRPr="008B1185">
        <w:rPr>
          <w:rFonts w:asciiTheme="minorHAnsi" w:eastAsia="Times New Roman" w:hAnsiTheme="minorHAnsi" w:cstheme="minorHAnsi"/>
          <w:szCs w:val="24"/>
          <w:lang w:eastAsia="es-MX"/>
        </w:rPr>
        <w:t xml:space="preserve"> civil</w:t>
      </w:r>
      <w:r w:rsidR="00D3751A" w:rsidRPr="008B1185">
        <w:rPr>
          <w:rFonts w:asciiTheme="minorHAnsi" w:eastAsia="Times New Roman" w:hAnsiTheme="minorHAnsi" w:cstheme="minorHAnsi"/>
          <w:szCs w:val="24"/>
          <w:lang w:eastAsia="es-MX"/>
        </w:rPr>
        <w:t xml:space="preserve">, el derecho a la identidad de género </w:t>
      </w:r>
      <w:proofErr w:type="spellStart"/>
      <w:r w:rsidR="00D3751A" w:rsidRPr="008B1185">
        <w:rPr>
          <w:rFonts w:asciiTheme="minorHAnsi" w:eastAsia="Times New Roman" w:hAnsiTheme="minorHAnsi" w:cstheme="minorHAnsi"/>
          <w:szCs w:val="24"/>
          <w:lang w:eastAsia="es-MX"/>
        </w:rPr>
        <w:t>autopercibida</w:t>
      </w:r>
      <w:proofErr w:type="spellEnd"/>
      <w:r w:rsidR="005D4161" w:rsidRPr="008B1185">
        <w:rPr>
          <w:rFonts w:asciiTheme="minorHAnsi" w:eastAsia="Times New Roman" w:hAnsiTheme="minorHAnsi" w:cstheme="minorHAnsi"/>
          <w:szCs w:val="24"/>
          <w:lang w:eastAsia="es-MX"/>
        </w:rPr>
        <w:t>, la educación sexual integral, etc.</w:t>
      </w:r>
      <w:r w:rsidRPr="008B1185">
        <w:rPr>
          <w:rFonts w:asciiTheme="minorHAnsi" w:eastAsia="Times New Roman" w:hAnsiTheme="minorHAnsi" w:cstheme="minorHAnsi"/>
          <w:szCs w:val="24"/>
          <w:lang w:eastAsia="es-MX"/>
        </w:rPr>
        <w:t xml:space="preserve"> Al respecto, es interesante notar que en diferentes países se conformaron alianzas interreligiosas para entorpecer la adopción de reformas a favor de los derechos sexuales y </w:t>
      </w:r>
      <w:r w:rsidR="00E9161B">
        <w:rPr>
          <w:rFonts w:asciiTheme="minorHAnsi" w:eastAsia="Times New Roman" w:hAnsiTheme="minorHAnsi" w:cstheme="minorHAnsi"/>
          <w:szCs w:val="24"/>
          <w:lang w:eastAsia="es-MX"/>
        </w:rPr>
        <w:t xml:space="preserve">los derechos </w:t>
      </w:r>
      <w:r w:rsidRPr="008B1185">
        <w:rPr>
          <w:rFonts w:asciiTheme="minorHAnsi" w:eastAsia="Times New Roman" w:hAnsiTheme="minorHAnsi" w:cstheme="minorHAnsi"/>
          <w:szCs w:val="24"/>
          <w:lang w:eastAsia="es-MX"/>
        </w:rPr>
        <w:t>reproductivos.</w:t>
      </w:r>
      <w:r w:rsidR="003C08FD">
        <w:rPr>
          <w:rStyle w:val="Refdenotaalpie"/>
          <w:rFonts w:asciiTheme="minorHAnsi" w:eastAsia="Times New Roman" w:hAnsiTheme="minorHAnsi" w:cstheme="minorHAnsi"/>
          <w:szCs w:val="24"/>
          <w:lang w:eastAsia="es-MX"/>
        </w:rPr>
        <w:footnoteReference w:id="3"/>
      </w:r>
      <w:r w:rsidRPr="008B1185">
        <w:rPr>
          <w:rFonts w:asciiTheme="minorHAnsi" w:eastAsia="Times New Roman" w:hAnsiTheme="minorHAnsi" w:cstheme="minorHAnsi"/>
          <w:szCs w:val="24"/>
          <w:lang w:eastAsia="es-MX"/>
        </w:rPr>
        <w:t xml:space="preserve"> </w:t>
      </w:r>
      <w:r w:rsidR="005D4161" w:rsidRPr="008B1185">
        <w:rPr>
          <w:rFonts w:asciiTheme="minorHAnsi" w:eastAsia="Times New Roman" w:hAnsiTheme="minorHAnsi" w:cstheme="minorHAnsi"/>
          <w:szCs w:val="24"/>
          <w:lang w:eastAsia="es-MX"/>
        </w:rPr>
        <w:t xml:space="preserve">Lo anterior es así porque en muchos casos, las religiones sostienen una visión del mundo esencialista, basada en un binarismo </w:t>
      </w:r>
      <w:r w:rsidRPr="008B1185">
        <w:rPr>
          <w:rFonts w:asciiTheme="minorHAnsi" w:eastAsia="Times New Roman" w:hAnsiTheme="minorHAnsi" w:cstheme="minorHAnsi"/>
          <w:szCs w:val="24"/>
          <w:lang w:eastAsia="es-MX"/>
        </w:rPr>
        <w:t xml:space="preserve">estricto </w:t>
      </w:r>
      <w:r w:rsidR="005D4161" w:rsidRPr="008B1185">
        <w:rPr>
          <w:rFonts w:asciiTheme="minorHAnsi" w:eastAsia="Times New Roman" w:hAnsiTheme="minorHAnsi" w:cstheme="minorHAnsi"/>
          <w:szCs w:val="24"/>
          <w:lang w:eastAsia="es-MX"/>
        </w:rPr>
        <w:t xml:space="preserve">de género y una concepción </w:t>
      </w:r>
      <w:proofErr w:type="spellStart"/>
      <w:r w:rsidR="005D4161" w:rsidRPr="008B1185">
        <w:rPr>
          <w:rFonts w:asciiTheme="minorHAnsi" w:eastAsia="Times New Roman" w:hAnsiTheme="minorHAnsi" w:cstheme="minorHAnsi"/>
          <w:szCs w:val="24"/>
          <w:lang w:eastAsia="es-MX"/>
        </w:rPr>
        <w:t>cisheteronormada</w:t>
      </w:r>
      <w:proofErr w:type="spellEnd"/>
      <w:r w:rsidR="005D4161" w:rsidRPr="008B1185">
        <w:rPr>
          <w:rFonts w:asciiTheme="minorHAnsi" w:eastAsia="Times New Roman" w:hAnsiTheme="minorHAnsi" w:cstheme="minorHAnsi"/>
          <w:szCs w:val="24"/>
          <w:lang w:eastAsia="es-MX"/>
        </w:rPr>
        <w:t xml:space="preserve"> que no deja espacio para manifestaciones </w:t>
      </w:r>
      <w:r w:rsidR="005D4161" w:rsidRPr="008B1185">
        <w:rPr>
          <w:rFonts w:asciiTheme="minorHAnsi" w:eastAsia="Times New Roman" w:hAnsiTheme="minorHAnsi" w:cstheme="minorHAnsi"/>
          <w:szCs w:val="24"/>
          <w:lang w:eastAsia="es-MX"/>
        </w:rPr>
        <w:lastRenderedPageBreak/>
        <w:t xml:space="preserve">de diversidad en materia de sexualidad y género. </w:t>
      </w:r>
      <w:r w:rsidR="00E9161B">
        <w:rPr>
          <w:rFonts w:asciiTheme="minorHAnsi" w:eastAsia="Times New Roman" w:hAnsiTheme="minorHAnsi" w:cstheme="minorHAnsi"/>
          <w:szCs w:val="24"/>
          <w:lang w:eastAsia="es-MX"/>
        </w:rPr>
        <w:t>De esta manera</w:t>
      </w:r>
      <w:r w:rsidR="003C08FD">
        <w:rPr>
          <w:rFonts w:asciiTheme="minorHAnsi" w:eastAsia="Times New Roman" w:hAnsiTheme="minorHAnsi" w:cstheme="minorHAnsi"/>
          <w:szCs w:val="24"/>
          <w:lang w:eastAsia="es-MX"/>
        </w:rPr>
        <w:t>, en no pocos casos las instituciones religiosas hegemónicas buscan imponer su propia visión del mundo y</w:t>
      </w:r>
      <w:r w:rsidR="00E9161B">
        <w:rPr>
          <w:rFonts w:asciiTheme="minorHAnsi" w:eastAsia="Times New Roman" w:hAnsiTheme="minorHAnsi" w:cstheme="minorHAnsi"/>
          <w:szCs w:val="24"/>
          <w:lang w:eastAsia="es-MX"/>
        </w:rPr>
        <w:t xml:space="preserve"> sus</w:t>
      </w:r>
      <w:r w:rsidR="003C08FD">
        <w:rPr>
          <w:rFonts w:asciiTheme="minorHAnsi" w:eastAsia="Times New Roman" w:hAnsiTheme="minorHAnsi" w:cstheme="minorHAnsi"/>
          <w:szCs w:val="24"/>
          <w:lang w:eastAsia="es-MX"/>
        </w:rPr>
        <w:t xml:space="preserve"> pautas morales al conjunto de la sociedad, </w:t>
      </w:r>
      <w:r w:rsidR="00EB6F59">
        <w:rPr>
          <w:rFonts w:asciiTheme="minorHAnsi" w:eastAsia="Times New Roman" w:hAnsiTheme="minorHAnsi" w:cstheme="minorHAnsi"/>
          <w:szCs w:val="24"/>
          <w:lang w:eastAsia="es-MX"/>
        </w:rPr>
        <w:t>injiriéndose en los espacios políticos</w:t>
      </w:r>
      <w:r w:rsidR="00E9161B">
        <w:rPr>
          <w:rFonts w:asciiTheme="minorHAnsi" w:eastAsia="Times New Roman" w:hAnsiTheme="minorHAnsi" w:cstheme="minorHAnsi"/>
          <w:szCs w:val="24"/>
          <w:lang w:eastAsia="es-MX"/>
        </w:rPr>
        <w:t xml:space="preserve"> de deliberación democrática.</w:t>
      </w:r>
    </w:p>
    <w:p w14:paraId="4FDEC03B" w14:textId="77777777" w:rsidR="0061698E" w:rsidRPr="008B1185" w:rsidRDefault="0061698E" w:rsidP="0061698E">
      <w:pPr>
        <w:spacing w:before="100" w:beforeAutospacing="1" w:after="100" w:afterAutospacing="1"/>
        <w:contextualSpacing/>
        <w:jc w:val="both"/>
        <w:rPr>
          <w:rFonts w:asciiTheme="minorHAnsi" w:eastAsia="Times New Roman" w:hAnsiTheme="minorHAnsi" w:cstheme="minorHAnsi"/>
          <w:szCs w:val="24"/>
          <w:lang w:eastAsia="es-MX"/>
        </w:rPr>
      </w:pPr>
    </w:p>
    <w:p w14:paraId="7B8BFB29" w14:textId="4A5A46C6" w:rsidR="00163436" w:rsidRPr="008B1185" w:rsidRDefault="0061698E" w:rsidP="00163436">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 xml:space="preserve">Cabe mencionar que la Comisión </w:t>
      </w:r>
      <w:r w:rsidR="005D4161" w:rsidRPr="008B1185">
        <w:rPr>
          <w:rFonts w:asciiTheme="minorHAnsi" w:eastAsia="Times New Roman" w:hAnsiTheme="minorHAnsi" w:cstheme="minorHAnsi"/>
          <w:szCs w:val="24"/>
          <w:lang w:eastAsia="es-MX"/>
        </w:rPr>
        <w:t xml:space="preserve">Interamericana ha documentado </w:t>
      </w:r>
      <w:r w:rsidR="00EB6F59">
        <w:rPr>
          <w:rFonts w:asciiTheme="minorHAnsi" w:eastAsia="Times New Roman" w:hAnsiTheme="minorHAnsi" w:cstheme="minorHAnsi"/>
          <w:szCs w:val="24"/>
          <w:lang w:eastAsia="es-MX"/>
        </w:rPr>
        <w:t>el importante</w:t>
      </w:r>
      <w:r w:rsidR="005D4161" w:rsidRPr="008B1185">
        <w:rPr>
          <w:rFonts w:asciiTheme="minorHAnsi" w:eastAsia="Times New Roman" w:hAnsiTheme="minorHAnsi" w:cstheme="minorHAnsi"/>
          <w:szCs w:val="24"/>
          <w:lang w:eastAsia="es-MX"/>
        </w:rPr>
        <w:t xml:space="preserve"> protagonismo de </w:t>
      </w:r>
      <w:r w:rsidR="00EB6F59">
        <w:rPr>
          <w:rFonts w:asciiTheme="minorHAnsi" w:eastAsia="Times New Roman" w:hAnsiTheme="minorHAnsi" w:cstheme="minorHAnsi"/>
          <w:szCs w:val="24"/>
          <w:lang w:eastAsia="es-MX"/>
        </w:rPr>
        <w:t xml:space="preserve">los </w:t>
      </w:r>
      <w:r w:rsidR="005D4161" w:rsidRPr="008B1185">
        <w:rPr>
          <w:rFonts w:asciiTheme="minorHAnsi" w:eastAsia="Times New Roman" w:hAnsiTheme="minorHAnsi" w:cstheme="minorHAnsi"/>
          <w:szCs w:val="24"/>
          <w:lang w:eastAsia="es-MX"/>
        </w:rPr>
        <w:t xml:space="preserve">grupos anti-derechos de inspiración religiosa </w:t>
      </w:r>
      <w:r w:rsidR="001E4525" w:rsidRPr="008B1185">
        <w:rPr>
          <w:rFonts w:asciiTheme="minorHAnsi" w:eastAsia="Times New Roman" w:hAnsiTheme="minorHAnsi" w:cstheme="minorHAnsi"/>
          <w:szCs w:val="24"/>
          <w:lang w:eastAsia="es-MX"/>
        </w:rPr>
        <w:t>en</w:t>
      </w:r>
      <w:r w:rsidR="00EB6F59">
        <w:rPr>
          <w:rFonts w:asciiTheme="minorHAnsi" w:eastAsia="Times New Roman" w:hAnsiTheme="minorHAnsi" w:cstheme="minorHAnsi"/>
          <w:szCs w:val="24"/>
          <w:lang w:eastAsia="es-MX"/>
        </w:rPr>
        <w:t xml:space="preserve"> su </w:t>
      </w:r>
      <w:proofErr w:type="gramStart"/>
      <w:r w:rsidR="00EB6F59">
        <w:rPr>
          <w:rFonts w:asciiTheme="minorHAnsi" w:eastAsia="Times New Roman" w:hAnsiTheme="minorHAnsi" w:cstheme="minorHAnsi"/>
          <w:szCs w:val="24"/>
          <w:lang w:eastAsia="es-MX"/>
        </w:rPr>
        <w:t xml:space="preserve">informe </w:t>
      </w:r>
      <w:r w:rsidR="001E4525" w:rsidRPr="008B1185">
        <w:rPr>
          <w:rFonts w:asciiTheme="minorHAnsi" w:eastAsia="Times New Roman" w:hAnsiTheme="minorHAnsi" w:cstheme="minorHAnsi"/>
          <w:szCs w:val="24"/>
          <w:lang w:eastAsia="es-MX"/>
        </w:rPr>
        <w:t xml:space="preserve"> </w:t>
      </w:r>
      <w:r w:rsidR="00EB6F59" w:rsidRPr="00EB6F59">
        <w:rPr>
          <w:rFonts w:asciiTheme="minorHAnsi" w:eastAsia="Times New Roman" w:hAnsiTheme="minorHAnsi" w:cstheme="minorHAnsi"/>
          <w:i/>
          <w:iCs/>
          <w:szCs w:val="24"/>
          <w:lang w:eastAsia="es-MX"/>
        </w:rPr>
        <w:t>Avances</w:t>
      </w:r>
      <w:proofErr w:type="gramEnd"/>
      <w:r w:rsidR="00EB6F59" w:rsidRPr="00EB6F59">
        <w:rPr>
          <w:rFonts w:asciiTheme="minorHAnsi" w:eastAsia="Times New Roman" w:hAnsiTheme="minorHAnsi" w:cstheme="minorHAnsi"/>
          <w:i/>
          <w:iCs/>
          <w:szCs w:val="24"/>
          <w:lang w:eastAsia="es-MX"/>
        </w:rPr>
        <w:t xml:space="preserve"> y Desafíos hacia el reconocimiento de los derechos de las personas LGBTI en las Américas</w:t>
      </w:r>
      <w:r w:rsidR="00EB6F59" w:rsidRPr="00EB6F59">
        <w:rPr>
          <w:rStyle w:val="Refdenotaalpie"/>
          <w:rFonts w:asciiTheme="minorHAnsi" w:eastAsia="Times New Roman" w:hAnsiTheme="minorHAnsi" w:cstheme="minorHAnsi"/>
          <w:szCs w:val="24"/>
          <w:lang w:eastAsia="es-MX"/>
        </w:rPr>
        <w:footnoteReference w:id="4"/>
      </w:r>
      <w:r w:rsidR="00E9161B">
        <w:rPr>
          <w:rFonts w:asciiTheme="minorHAnsi" w:eastAsia="Times New Roman" w:hAnsiTheme="minorHAnsi" w:cstheme="minorHAnsi"/>
          <w:szCs w:val="24"/>
          <w:lang w:eastAsia="es-MX"/>
        </w:rPr>
        <w:t>. H</w:t>
      </w:r>
      <w:r w:rsidR="00021B0D">
        <w:rPr>
          <w:rFonts w:asciiTheme="minorHAnsi" w:eastAsia="Times New Roman" w:hAnsiTheme="minorHAnsi" w:cstheme="minorHAnsi"/>
          <w:szCs w:val="24"/>
          <w:lang w:eastAsia="es-MX"/>
        </w:rPr>
        <w:t>a señalad</w:t>
      </w:r>
      <w:r w:rsidR="00E9161B">
        <w:rPr>
          <w:rFonts w:asciiTheme="minorHAnsi" w:eastAsia="Times New Roman" w:hAnsiTheme="minorHAnsi" w:cstheme="minorHAnsi"/>
          <w:szCs w:val="24"/>
          <w:lang w:eastAsia="es-MX"/>
        </w:rPr>
        <w:t>o que estos sectores</w:t>
      </w:r>
      <w:r w:rsidR="00021B0D">
        <w:rPr>
          <w:rFonts w:asciiTheme="minorHAnsi" w:eastAsia="Times New Roman" w:hAnsiTheme="minorHAnsi" w:cstheme="minorHAnsi"/>
          <w:szCs w:val="24"/>
          <w:lang w:eastAsia="es-MX"/>
        </w:rPr>
        <w:t xml:space="preserve"> </w:t>
      </w:r>
      <w:r w:rsidR="001E4525" w:rsidRPr="008B1185">
        <w:rPr>
          <w:rFonts w:asciiTheme="minorHAnsi" w:eastAsia="Times New Roman" w:hAnsiTheme="minorHAnsi" w:cstheme="minorHAnsi"/>
          <w:szCs w:val="24"/>
          <w:lang w:eastAsia="es-MX"/>
        </w:rPr>
        <w:t>han buscado frenar el reconocimiento de los derechos de las personas LGBTI</w:t>
      </w:r>
      <w:r w:rsidR="00E9161B">
        <w:rPr>
          <w:rFonts w:asciiTheme="minorHAnsi" w:eastAsia="Times New Roman" w:hAnsiTheme="minorHAnsi" w:cstheme="minorHAnsi"/>
          <w:szCs w:val="24"/>
          <w:lang w:eastAsia="es-MX"/>
        </w:rPr>
        <w:t>+</w:t>
      </w:r>
      <w:r w:rsidR="00021B0D">
        <w:rPr>
          <w:rFonts w:asciiTheme="minorHAnsi" w:eastAsia="Times New Roman" w:hAnsiTheme="minorHAnsi" w:cstheme="minorHAnsi"/>
          <w:szCs w:val="24"/>
          <w:lang w:eastAsia="es-MX"/>
        </w:rPr>
        <w:t xml:space="preserve"> </w:t>
      </w:r>
      <w:r w:rsidR="001E4525" w:rsidRPr="008B1185">
        <w:rPr>
          <w:rFonts w:asciiTheme="minorHAnsi" w:eastAsia="Times New Roman" w:hAnsiTheme="minorHAnsi" w:cstheme="minorHAnsi"/>
          <w:szCs w:val="24"/>
          <w:lang w:eastAsia="es-MX"/>
        </w:rPr>
        <w:t xml:space="preserve">al activar el discurso de la “ideología de género” para oponerse al matrimonio igualitario, la educación </w:t>
      </w:r>
      <w:r w:rsidR="00E9161B">
        <w:rPr>
          <w:rFonts w:asciiTheme="minorHAnsi" w:eastAsia="Times New Roman" w:hAnsiTheme="minorHAnsi" w:cstheme="minorHAnsi"/>
          <w:szCs w:val="24"/>
          <w:lang w:eastAsia="es-MX"/>
        </w:rPr>
        <w:t>sexual integral</w:t>
      </w:r>
      <w:r w:rsidR="001E4525" w:rsidRPr="008B1185">
        <w:rPr>
          <w:rFonts w:asciiTheme="minorHAnsi" w:eastAsia="Times New Roman" w:hAnsiTheme="minorHAnsi" w:cstheme="minorHAnsi"/>
          <w:szCs w:val="24"/>
          <w:lang w:eastAsia="es-MX"/>
        </w:rPr>
        <w:t xml:space="preserve"> o incluso la despenalización de las relaciones homosexuales</w:t>
      </w:r>
      <w:r w:rsidR="00E9161B">
        <w:rPr>
          <w:rFonts w:asciiTheme="minorHAnsi" w:eastAsia="Times New Roman" w:hAnsiTheme="minorHAnsi" w:cstheme="minorHAnsi"/>
          <w:szCs w:val="24"/>
          <w:lang w:eastAsia="es-MX"/>
        </w:rPr>
        <w:t xml:space="preserve"> (en Belice)</w:t>
      </w:r>
      <w:r w:rsidR="001E4525" w:rsidRPr="008B1185">
        <w:rPr>
          <w:rFonts w:asciiTheme="minorHAnsi" w:eastAsia="Times New Roman" w:hAnsiTheme="minorHAnsi" w:cstheme="minorHAnsi"/>
          <w:szCs w:val="24"/>
          <w:lang w:eastAsia="es-MX"/>
        </w:rPr>
        <w:t xml:space="preserve">. </w:t>
      </w:r>
      <w:r w:rsidRPr="008B1185">
        <w:rPr>
          <w:rFonts w:asciiTheme="minorHAnsi" w:eastAsia="Times New Roman" w:hAnsiTheme="minorHAnsi" w:cstheme="minorHAnsi"/>
          <w:szCs w:val="24"/>
          <w:lang w:eastAsia="es-MX"/>
        </w:rPr>
        <w:t xml:space="preserve">En su </w:t>
      </w:r>
      <w:r w:rsidRPr="00021B0D">
        <w:rPr>
          <w:rFonts w:asciiTheme="minorHAnsi" w:eastAsia="Times New Roman" w:hAnsiTheme="minorHAnsi" w:cstheme="minorHAnsi"/>
          <w:szCs w:val="24"/>
          <w:lang w:eastAsia="es-MX"/>
        </w:rPr>
        <w:t>Opinión Consultiva 24-17</w:t>
      </w:r>
      <w:r w:rsidR="00021B0D">
        <w:rPr>
          <w:rStyle w:val="Refdenotaalpie"/>
          <w:rFonts w:asciiTheme="minorHAnsi" w:eastAsia="Times New Roman" w:hAnsiTheme="minorHAnsi" w:cstheme="minorHAnsi"/>
          <w:szCs w:val="24"/>
          <w:lang w:eastAsia="es-MX"/>
        </w:rPr>
        <w:footnoteReference w:id="5"/>
      </w:r>
      <w:r w:rsidRPr="00021B0D">
        <w:rPr>
          <w:rFonts w:asciiTheme="minorHAnsi" w:eastAsia="Times New Roman" w:hAnsiTheme="minorHAnsi" w:cstheme="minorHAnsi"/>
          <w:szCs w:val="24"/>
          <w:lang w:eastAsia="es-MX"/>
        </w:rPr>
        <w:t>, la</w:t>
      </w:r>
      <w:r w:rsidRPr="008B1185">
        <w:rPr>
          <w:rFonts w:asciiTheme="minorHAnsi" w:eastAsia="Times New Roman" w:hAnsiTheme="minorHAnsi" w:cstheme="minorHAnsi"/>
          <w:szCs w:val="24"/>
          <w:lang w:eastAsia="es-MX"/>
        </w:rPr>
        <w:t xml:space="preserve"> Corte Interamerican</w:t>
      </w:r>
      <w:r w:rsidR="00021B0D">
        <w:rPr>
          <w:rFonts w:asciiTheme="minorHAnsi" w:eastAsia="Times New Roman" w:hAnsiTheme="minorHAnsi" w:cstheme="minorHAnsi"/>
          <w:szCs w:val="24"/>
          <w:lang w:eastAsia="es-MX"/>
        </w:rPr>
        <w:t>a</w:t>
      </w:r>
      <w:r w:rsidRPr="008B1185">
        <w:rPr>
          <w:rFonts w:asciiTheme="minorHAnsi" w:eastAsia="Times New Roman" w:hAnsiTheme="minorHAnsi" w:cstheme="minorHAnsi"/>
          <w:szCs w:val="24"/>
          <w:lang w:eastAsia="es-MX"/>
        </w:rPr>
        <w:t xml:space="preserve"> de Derechos Humanos ha señalado que en ocasiones la resistencia </w:t>
      </w:r>
      <w:r w:rsidR="00021B0D">
        <w:rPr>
          <w:rFonts w:asciiTheme="minorHAnsi" w:eastAsia="Times New Roman" w:hAnsiTheme="minorHAnsi" w:cstheme="minorHAnsi"/>
          <w:szCs w:val="24"/>
          <w:lang w:eastAsia="es-MX"/>
        </w:rPr>
        <w:t>a</w:t>
      </w:r>
      <w:r w:rsidRPr="008B1185">
        <w:rPr>
          <w:rFonts w:asciiTheme="minorHAnsi" w:eastAsia="Times New Roman" w:hAnsiTheme="minorHAnsi" w:cstheme="minorHAnsi"/>
          <w:szCs w:val="24"/>
          <w:lang w:eastAsia="es-MX"/>
        </w:rPr>
        <w:t xml:space="preserve"> los derechos de las personas LGBTI+ está justificada </w:t>
      </w:r>
      <w:r w:rsidR="00021B0D">
        <w:rPr>
          <w:rFonts w:asciiTheme="minorHAnsi" w:eastAsia="Times New Roman" w:hAnsiTheme="minorHAnsi" w:cstheme="minorHAnsi"/>
          <w:szCs w:val="24"/>
          <w:lang w:eastAsia="es-MX"/>
        </w:rPr>
        <w:t>por</w:t>
      </w:r>
      <w:r w:rsidRPr="008B1185">
        <w:rPr>
          <w:rFonts w:asciiTheme="minorHAnsi" w:eastAsia="Times New Roman" w:hAnsiTheme="minorHAnsi" w:cstheme="minorHAnsi"/>
          <w:szCs w:val="24"/>
          <w:lang w:eastAsia="es-MX"/>
        </w:rPr>
        <w:t xml:space="preserve"> </w:t>
      </w:r>
      <w:r w:rsidR="00021B0D">
        <w:rPr>
          <w:rFonts w:asciiTheme="minorHAnsi" w:eastAsia="Times New Roman" w:hAnsiTheme="minorHAnsi" w:cstheme="minorHAnsi"/>
          <w:szCs w:val="24"/>
          <w:lang w:eastAsia="es-MX"/>
        </w:rPr>
        <w:t>un discurso religioso.</w:t>
      </w:r>
      <w:r w:rsidRPr="008B1185">
        <w:rPr>
          <w:rFonts w:asciiTheme="minorHAnsi" w:eastAsia="Times New Roman" w:hAnsiTheme="minorHAnsi" w:cstheme="minorHAnsi"/>
          <w:szCs w:val="24"/>
          <w:lang w:eastAsia="es-MX"/>
        </w:rPr>
        <w:t xml:space="preserve"> </w:t>
      </w:r>
      <w:r w:rsidR="00021B0D">
        <w:rPr>
          <w:rFonts w:asciiTheme="minorHAnsi" w:eastAsia="Times New Roman" w:hAnsiTheme="minorHAnsi" w:cstheme="minorHAnsi"/>
          <w:szCs w:val="24"/>
          <w:lang w:eastAsia="es-MX"/>
        </w:rPr>
        <w:t>Recordó, asimismo,</w:t>
      </w:r>
      <w:r w:rsidRPr="008B1185">
        <w:rPr>
          <w:rFonts w:asciiTheme="minorHAnsi" w:eastAsia="Times New Roman" w:hAnsiTheme="minorHAnsi" w:cstheme="minorHAnsi"/>
          <w:szCs w:val="24"/>
          <w:lang w:eastAsia="es-MX"/>
        </w:rPr>
        <w:t xml:space="preserve"> </w:t>
      </w:r>
      <w:proofErr w:type="gramStart"/>
      <w:r w:rsidRPr="008B1185">
        <w:rPr>
          <w:rFonts w:asciiTheme="minorHAnsi" w:eastAsia="Times New Roman" w:hAnsiTheme="minorHAnsi" w:cstheme="minorHAnsi"/>
          <w:szCs w:val="24"/>
          <w:lang w:eastAsia="es-MX"/>
        </w:rPr>
        <w:t>que</w:t>
      </w:r>
      <w:proofErr w:type="gramEnd"/>
      <w:r w:rsidRPr="008B1185">
        <w:rPr>
          <w:rFonts w:asciiTheme="minorHAnsi" w:eastAsia="Times New Roman" w:hAnsiTheme="minorHAnsi" w:cstheme="minorHAnsi"/>
          <w:szCs w:val="24"/>
          <w:lang w:eastAsia="es-MX"/>
        </w:rPr>
        <w:t xml:space="preserve"> si bien el derecho a la libertad de religión es una condición de dignidad de los creyentes, </w:t>
      </w:r>
      <w:r w:rsidR="00021B0D">
        <w:rPr>
          <w:rFonts w:asciiTheme="minorHAnsi" w:eastAsia="Times New Roman" w:hAnsiTheme="minorHAnsi" w:cstheme="minorHAnsi"/>
          <w:szCs w:val="24"/>
          <w:lang w:eastAsia="es-MX"/>
        </w:rPr>
        <w:t xml:space="preserve">las creencias religiosas o filosóficas particulares </w:t>
      </w:r>
      <w:r w:rsidRPr="008B1185">
        <w:rPr>
          <w:rFonts w:asciiTheme="minorHAnsi" w:eastAsia="Times New Roman" w:hAnsiTheme="minorHAnsi" w:cstheme="minorHAnsi"/>
          <w:szCs w:val="24"/>
          <w:lang w:eastAsia="es-MX"/>
        </w:rPr>
        <w:t>no puede</w:t>
      </w:r>
      <w:r w:rsidR="00021B0D">
        <w:rPr>
          <w:rFonts w:asciiTheme="minorHAnsi" w:eastAsia="Times New Roman" w:hAnsiTheme="minorHAnsi" w:cstheme="minorHAnsi"/>
          <w:szCs w:val="24"/>
          <w:lang w:eastAsia="es-MX"/>
        </w:rPr>
        <w:t>n</w:t>
      </w:r>
      <w:r w:rsidRPr="008B1185">
        <w:rPr>
          <w:rFonts w:asciiTheme="minorHAnsi" w:eastAsia="Times New Roman" w:hAnsiTheme="minorHAnsi" w:cstheme="minorHAnsi"/>
          <w:szCs w:val="24"/>
          <w:lang w:eastAsia="es-MX"/>
        </w:rPr>
        <w:t xml:space="preserve"> constituir un parámetro de convencionalidad ni servir de pretexto para lesionar los derechos</w:t>
      </w:r>
      <w:r w:rsidR="00021B0D">
        <w:rPr>
          <w:rFonts w:asciiTheme="minorHAnsi" w:eastAsia="Times New Roman" w:hAnsiTheme="minorHAnsi" w:cstheme="minorHAnsi"/>
          <w:szCs w:val="24"/>
          <w:lang w:eastAsia="es-MX"/>
        </w:rPr>
        <w:t xml:space="preserve"> humanos</w:t>
      </w:r>
      <w:r w:rsidRPr="008B1185">
        <w:rPr>
          <w:rFonts w:asciiTheme="minorHAnsi" w:eastAsia="Times New Roman" w:hAnsiTheme="minorHAnsi" w:cstheme="minorHAnsi"/>
          <w:szCs w:val="24"/>
          <w:lang w:eastAsia="es-MX"/>
        </w:rPr>
        <w:t xml:space="preserve"> de las personas.  </w:t>
      </w:r>
    </w:p>
    <w:p w14:paraId="097A873B" w14:textId="3D4F9E2E" w:rsidR="00981AAA" w:rsidRPr="00981AAA" w:rsidRDefault="00163436" w:rsidP="00885EC9">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8B1185">
        <w:rPr>
          <w:rFonts w:asciiTheme="minorHAnsi" w:hAnsiTheme="minorHAnsi" w:cstheme="minorHAnsi"/>
          <w:color w:val="000000" w:themeColor="text1"/>
          <w:sz w:val="22"/>
          <w:szCs w:val="22"/>
          <w:lang w:val="es-CO"/>
        </w:rPr>
        <w:t>¿</w:t>
      </w:r>
      <w:r w:rsidRPr="008B1185">
        <w:rPr>
          <w:rFonts w:asciiTheme="minorHAnsi" w:eastAsia="Times New Roman" w:hAnsiTheme="minorHAnsi" w:cstheme="minorHAnsi"/>
          <w:szCs w:val="24"/>
          <w:lang w:eastAsia="es-MX"/>
        </w:rPr>
        <w:t>Hay alguna forma en que el derecho a la libertad de religión o creencias y la ausencia de violencia y discriminación basada en la orientación sexual y la identidad de género se refuercen mutuamente?</w:t>
      </w:r>
    </w:p>
    <w:p w14:paraId="783AEF37" w14:textId="42523A97" w:rsidR="0061698E" w:rsidRPr="008B1185" w:rsidRDefault="0061698E" w:rsidP="00885EC9">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A nivel teórico y narrativo, la libertad de religión o de creencias y los derechos de las personas LGBTI+ pueden reforzarse o al menos convivir</w:t>
      </w:r>
      <w:r w:rsidR="00981AAA">
        <w:rPr>
          <w:rFonts w:asciiTheme="minorHAnsi" w:eastAsia="Times New Roman" w:hAnsiTheme="minorHAnsi" w:cstheme="minorHAnsi"/>
          <w:szCs w:val="24"/>
          <w:lang w:eastAsia="es-MX"/>
        </w:rPr>
        <w:t xml:space="preserve"> de manera pacífica</w:t>
      </w:r>
      <w:r w:rsidRPr="008B1185">
        <w:rPr>
          <w:rFonts w:asciiTheme="minorHAnsi" w:eastAsia="Times New Roman" w:hAnsiTheme="minorHAnsi" w:cstheme="minorHAnsi"/>
          <w:szCs w:val="24"/>
          <w:lang w:eastAsia="es-MX"/>
        </w:rPr>
        <w:t xml:space="preserve"> mediante el concepto de laicidad o de Estado laico. En su versión contemporánea y orientada hacia la protección irrestricta de los derechos humanos, la laicidad se articula como un espacio de libertad de las personas ante cualquier imposición dogmática, ya sea de índole religioso, político, filosófico, etc. A nivel institucional, dicho ámbito de libertad se garantiza por la autonomía entre el Estado y las iglesias, dejando a las personas la posibilidad de sostener las creencias de su elección, o de no sostener ninguna</w:t>
      </w:r>
      <w:r w:rsidRPr="008B1185">
        <w:rPr>
          <w:rStyle w:val="Refdenotaalpie"/>
          <w:rFonts w:asciiTheme="minorHAnsi" w:eastAsia="Times New Roman" w:hAnsiTheme="minorHAnsi" w:cstheme="minorHAnsi"/>
          <w:szCs w:val="24"/>
          <w:lang w:eastAsia="es-MX"/>
        </w:rPr>
        <w:footnoteReference w:id="6"/>
      </w:r>
      <w:r w:rsidRPr="008B1185">
        <w:rPr>
          <w:rFonts w:asciiTheme="minorHAnsi" w:eastAsia="Times New Roman" w:hAnsiTheme="minorHAnsi" w:cstheme="minorHAnsi"/>
          <w:szCs w:val="24"/>
          <w:lang w:eastAsia="es-MX"/>
        </w:rPr>
        <w:t xml:space="preserve">. De esta manera, la laicidad garantiza tanto la libertad </w:t>
      </w:r>
      <w:r w:rsidRPr="008B1185">
        <w:rPr>
          <w:rFonts w:asciiTheme="minorHAnsi" w:eastAsia="Times New Roman" w:hAnsiTheme="minorHAnsi" w:cstheme="minorHAnsi"/>
          <w:i/>
          <w:iCs/>
          <w:szCs w:val="24"/>
          <w:lang w:eastAsia="es-MX"/>
        </w:rPr>
        <w:t xml:space="preserve">de </w:t>
      </w:r>
      <w:r w:rsidRPr="008B1185">
        <w:rPr>
          <w:rFonts w:asciiTheme="minorHAnsi" w:eastAsia="Times New Roman" w:hAnsiTheme="minorHAnsi" w:cstheme="minorHAnsi"/>
          <w:szCs w:val="24"/>
          <w:lang w:eastAsia="es-MX"/>
        </w:rPr>
        <w:t>religión</w:t>
      </w:r>
      <w:r w:rsidR="00981AAA">
        <w:rPr>
          <w:rFonts w:asciiTheme="minorHAnsi" w:eastAsia="Times New Roman" w:hAnsiTheme="minorHAnsi" w:cstheme="minorHAnsi"/>
          <w:szCs w:val="24"/>
          <w:lang w:eastAsia="es-MX"/>
        </w:rPr>
        <w:t xml:space="preserve"> </w:t>
      </w:r>
      <w:r w:rsidRPr="008B1185">
        <w:rPr>
          <w:rFonts w:asciiTheme="minorHAnsi" w:eastAsia="Times New Roman" w:hAnsiTheme="minorHAnsi" w:cstheme="minorHAnsi"/>
          <w:szCs w:val="24"/>
          <w:lang w:eastAsia="es-MX"/>
        </w:rPr>
        <w:t xml:space="preserve">como </w:t>
      </w:r>
      <w:r w:rsidRPr="008B1185">
        <w:rPr>
          <w:rFonts w:asciiTheme="minorHAnsi" w:eastAsia="Times New Roman" w:hAnsiTheme="minorHAnsi" w:cstheme="minorHAnsi"/>
          <w:i/>
          <w:iCs/>
          <w:szCs w:val="24"/>
          <w:lang w:eastAsia="es-MX"/>
        </w:rPr>
        <w:t>frente</w:t>
      </w:r>
      <w:r w:rsidRPr="008B1185">
        <w:rPr>
          <w:rFonts w:asciiTheme="minorHAnsi" w:eastAsia="Times New Roman" w:hAnsiTheme="minorHAnsi" w:cstheme="minorHAnsi"/>
          <w:szCs w:val="24"/>
          <w:lang w:eastAsia="es-MX"/>
        </w:rPr>
        <w:t xml:space="preserve"> a la religión y de manera general, los derechos a la autonomía, autodeterminación, a la intimidad y privacidad y al libre desarrollo de la personalidad</w:t>
      </w:r>
      <w:r w:rsidR="00981AAA">
        <w:rPr>
          <w:rFonts w:asciiTheme="minorHAnsi" w:eastAsia="Times New Roman" w:hAnsiTheme="minorHAnsi" w:cstheme="minorHAnsi"/>
          <w:szCs w:val="24"/>
          <w:lang w:eastAsia="es-MX"/>
        </w:rPr>
        <w:t xml:space="preserve"> sea para los creyentes como para los no creyentes</w:t>
      </w:r>
      <w:r w:rsidRPr="008B1185">
        <w:rPr>
          <w:rFonts w:asciiTheme="minorHAnsi" w:eastAsia="Times New Roman" w:hAnsiTheme="minorHAnsi" w:cstheme="minorHAnsi"/>
          <w:szCs w:val="24"/>
          <w:lang w:eastAsia="es-MX"/>
        </w:rPr>
        <w:t>. Lo anterior es particularmente importante respecto de las personas perteneciente a la comunidad LGBTI</w:t>
      </w:r>
      <w:r w:rsidR="00981AAA">
        <w:rPr>
          <w:rFonts w:asciiTheme="minorHAnsi" w:eastAsia="Times New Roman" w:hAnsiTheme="minorHAnsi" w:cstheme="minorHAnsi"/>
          <w:szCs w:val="24"/>
          <w:lang w:eastAsia="es-MX"/>
        </w:rPr>
        <w:t>+</w:t>
      </w:r>
      <w:r w:rsidRPr="008B1185">
        <w:rPr>
          <w:rFonts w:asciiTheme="minorHAnsi" w:eastAsia="Times New Roman" w:hAnsiTheme="minorHAnsi" w:cstheme="minorHAnsi"/>
          <w:szCs w:val="24"/>
          <w:lang w:eastAsia="es-MX"/>
        </w:rPr>
        <w:t xml:space="preserve"> cuyo estilo de vida pueden advertirse en contradicción con </w:t>
      </w:r>
      <w:r w:rsidR="00981AAA">
        <w:rPr>
          <w:rFonts w:asciiTheme="minorHAnsi" w:eastAsia="Times New Roman" w:hAnsiTheme="minorHAnsi" w:cstheme="minorHAnsi"/>
          <w:szCs w:val="24"/>
          <w:lang w:eastAsia="es-MX"/>
        </w:rPr>
        <w:t>l</w:t>
      </w:r>
      <w:r w:rsidRPr="008B1185">
        <w:rPr>
          <w:rFonts w:asciiTheme="minorHAnsi" w:eastAsia="Times New Roman" w:hAnsiTheme="minorHAnsi" w:cstheme="minorHAnsi"/>
          <w:szCs w:val="24"/>
          <w:lang w:eastAsia="es-MX"/>
        </w:rPr>
        <w:t xml:space="preserve">as posturas morales sostenidas </w:t>
      </w:r>
      <w:r w:rsidRPr="008B1185">
        <w:rPr>
          <w:rFonts w:asciiTheme="minorHAnsi" w:eastAsia="Times New Roman" w:hAnsiTheme="minorHAnsi" w:cstheme="minorHAnsi"/>
          <w:szCs w:val="24"/>
          <w:lang w:eastAsia="es-MX"/>
        </w:rPr>
        <w:lastRenderedPageBreak/>
        <w:t xml:space="preserve">por </w:t>
      </w:r>
      <w:r w:rsidR="00981AAA">
        <w:rPr>
          <w:rFonts w:asciiTheme="minorHAnsi" w:eastAsia="Times New Roman" w:hAnsiTheme="minorHAnsi" w:cstheme="minorHAnsi"/>
          <w:szCs w:val="24"/>
          <w:lang w:eastAsia="es-MX"/>
        </w:rPr>
        <w:t>algunas</w:t>
      </w:r>
      <w:r w:rsidRPr="008B1185">
        <w:rPr>
          <w:rFonts w:asciiTheme="minorHAnsi" w:eastAsia="Times New Roman" w:hAnsiTheme="minorHAnsi" w:cstheme="minorHAnsi"/>
          <w:szCs w:val="24"/>
          <w:lang w:eastAsia="es-MX"/>
        </w:rPr>
        <w:t xml:space="preserve"> instituciones religiosas. Al respecto, el Estado laico ha de actuar como un arbitro imparcial, protegiendo y promoviendo los derechos de todas las personas, e impidiendo que algunos grupos, aunque fuesen mayoritarios, impongan sus creencias y pautas morales a toda la sociedad. De esta manera, el recurso teórico y narrativo a la laicidad permite hacer hincapié en la idea de un pacto en el que cada uno reconoce al otro la misma libertad para sostener creencias o convicciones fundamentales y tomar decisiones relevantes en su trayectoria vital, sin imposiciones ni </w:t>
      </w:r>
      <w:r w:rsidRPr="00981AAA">
        <w:rPr>
          <w:rFonts w:asciiTheme="minorHAnsi" w:eastAsia="Times New Roman" w:hAnsiTheme="minorHAnsi" w:cstheme="minorHAnsi"/>
          <w:szCs w:val="24"/>
          <w:lang w:eastAsia="es-MX"/>
        </w:rPr>
        <w:t>violencia</w:t>
      </w:r>
      <w:r w:rsidR="00981AAA">
        <w:rPr>
          <w:rFonts w:asciiTheme="minorHAnsi" w:eastAsia="Times New Roman" w:hAnsiTheme="minorHAnsi" w:cstheme="minorHAnsi"/>
          <w:szCs w:val="24"/>
          <w:lang w:eastAsia="es-MX"/>
        </w:rPr>
        <w:t>s</w:t>
      </w:r>
      <w:r w:rsidRPr="00981AAA">
        <w:rPr>
          <w:rFonts w:asciiTheme="minorHAnsi" w:eastAsia="Times New Roman" w:hAnsiTheme="minorHAnsi" w:cstheme="minorHAnsi"/>
          <w:szCs w:val="24"/>
          <w:lang w:eastAsia="es-MX"/>
        </w:rPr>
        <w:t>.</w:t>
      </w:r>
      <w:r w:rsidRPr="008B1185">
        <w:rPr>
          <w:rFonts w:asciiTheme="minorHAnsi" w:eastAsia="Times New Roman" w:hAnsiTheme="minorHAnsi" w:cstheme="minorHAnsi"/>
          <w:szCs w:val="24"/>
          <w:lang w:eastAsia="es-MX"/>
        </w:rPr>
        <w:t xml:space="preserve"> </w:t>
      </w:r>
    </w:p>
    <w:p w14:paraId="4EE3D5FF" w14:textId="77777777" w:rsidR="0061698E" w:rsidRPr="008B1185" w:rsidRDefault="0061698E" w:rsidP="00885EC9">
      <w:pPr>
        <w:spacing w:before="100" w:beforeAutospacing="1" w:after="100" w:afterAutospacing="1"/>
        <w:contextualSpacing/>
        <w:jc w:val="both"/>
        <w:rPr>
          <w:rFonts w:asciiTheme="minorHAnsi" w:eastAsia="Times New Roman" w:hAnsiTheme="minorHAnsi" w:cstheme="minorHAnsi"/>
          <w:szCs w:val="24"/>
          <w:lang w:eastAsia="es-MX"/>
        </w:rPr>
      </w:pPr>
    </w:p>
    <w:p w14:paraId="696FA855" w14:textId="0459FF03" w:rsidR="008773D5" w:rsidRPr="008B1185" w:rsidRDefault="0061698E" w:rsidP="0061698E">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En una</w:t>
      </w:r>
      <w:r w:rsidR="000F7ACA" w:rsidRPr="008B1185">
        <w:rPr>
          <w:rFonts w:asciiTheme="minorHAnsi" w:eastAsia="Times New Roman" w:hAnsiTheme="minorHAnsi" w:cstheme="minorHAnsi"/>
          <w:szCs w:val="24"/>
          <w:lang w:eastAsia="es-MX"/>
        </w:rPr>
        <w:t xml:space="preserve"> misma</w:t>
      </w:r>
      <w:r w:rsidRPr="008B1185">
        <w:rPr>
          <w:rFonts w:asciiTheme="minorHAnsi" w:eastAsia="Times New Roman" w:hAnsiTheme="minorHAnsi" w:cstheme="minorHAnsi"/>
          <w:szCs w:val="24"/>
          <w:lang w:eastAsia="es-MX"/>
        </w:rPr>
        <w:t xml:space="preserve"> veta argumentativa, </w:t>
      </w:r>
      <w:r w:rsidR="000F7ACA" w:rsidRPr="008B1185">
        <w:rPr>
          <w:rFonts w:asciiTheme="minorHAnsi" w:eastAsia="Times New Roman" w:hAnsiTheme="minorHAnsi" w:cstheme="minorHAnsi"/>
          <w:szCs w:val="24"/>
          <w:lang w:eastAsia="es-MX"/>
        </w:rPr>
        <w:t xml:space="preserve">es importante insistir en una lectura integral, interdependiente e indivisible de los derechos humanos. Dicho enfoque </w:t>
      </w:r>
      <w:r w:rsidR="005E3F5D" w:rsidRPr="008B1185">
        <w:rPr>
          <w:rFonts w:asciiTheme="minorHAnsi" w:eastAsia="Times New Roman" w:hAnsiTheme="minorHAnsi" w:cstheme="minorHAnsi"/>
          <w:szCs w:val="24"/>
          <w:lang w:eastAsia="es-MX"/>
        </w:rPr>
        <w:t>insiste en la idea de que los derechos humanos no pueden disfrutarse de manera aislada, sino que todos son igualmente valiosos para lograr su objetivo</w:t>
      </w:r>
      <w:r w:rsidR="00422A9B">
        <w:rPr>
          <w:rFonts w:asciiTheme="minorHAnsi" w:eastAsia="Times New Roman" w:hAnsiTheme="minorHAnsi" w:cstheme="minorHAnsi"/>
          <w:szCs w:val="24"/>
          <w:lang w:eastAsia="es-MX"/>
        </w:rPr>
        <w:t>,</w:t>
      </w:r>
      <w:r w:rsidR="005E3F5D" w:rsidRPr="008B1185">
        <w:rPr>
          <w:rFonts w:asciiTheme="minorHAnsi" w:eastAsia="Times New Roman" w:hAnsiTheme="minorHAnsi" w:cstheme="minorHAnsi"/>
          <w:szCs w:val="24"/>
          <w:lang w:eastAsia="es-MX"/>
        </w:rPr>
        <w:t xml:space="preserve"> </w:t>
      </w:r>
      <w:r w:rsidR="00422A9B">
        <w:rPr>
          <w:rFonts w:asciiTheme="minorHAnsi" w:eastAsia="Times New Roman" w:hAnsiTheme="minorHAnsi" w:cstheme="minorHAnsi"/>
          <w:szCs w:val="24"/>
          <w:lang w:eastAsia="es-MX"/>
        </w:rPr>
        <w:t xml:space="preserve">el cual </w:t>
      </w:r>
      <w:r w:rsidR="005E3F5D" w:rsidRPr="008B1185">
        <w:rPr>
          <w:rFonts w:asciiTheme="minorHAnsi" w:eastAsia="Times New Roman" w:hAnsiTheme="minorHAnsi" w:cstheme="minorHAnsi"/>
          <w:szCs w:val="24"/>
          <w:lang w:eastAsia="es-MX"/>
        </w:rPr>
        <w:t xml:space="preserve">es asegurar una vida digna a las personas. Asimismo, no existe jerarquías entre </w:t>
      </w:r>
      <w:r w:rsidR="00422A9B">
        <w:rPr>
          <w:rFonts w:asciiTheme="minorHAnsi" w:eastAsia="Times New Roman" w:hAnsiTheme="minorHAnsi" w:cstheme="minorHAnsi"/>
          <w:szCs w:val="24"/>
          <w:lang w:eastAsia="es-MX"/>
        </w:rPr>
        <w:t xml:space="preserve">derechos y el goce de </w:t>
      </w:r>
      <w:r w:rsidR="005E3F5D" w:rsidRPr="008B1185">
        <w:rPr>
          <w:rFonts w:asciiTheme="minorHAnsi" w:eastAsia="Times New Roman" w:hAnsiTheme="minorHAnsi" w:cstheme="minorHAnsi"/>
          <w:szCs w:val="24"/>
          <w:lang w:eastAsia="es-MX"/>
        </w:rPr>
        <w:t xml:space="preserve">uno no puede cancelar el ejercicio de otro. </w:t>
      </w:r>
      <w:r w:rsidR="00422A9B">
        <w:rPr>
          <w:rFonts w:asciiTheme="minorHAnsi" w:eastAsia="Times New Roman" w:hAnsiTheme="minorHAnsi" w:cstheme="minorHAnsi"/>
          <w:szCs w:val="24"/>
          <w:lang w:eastAsia="es-MX"/>
        </w:rPr>
        <w:t>Lo anterior es fundamental</w:t>
      </w:r>
      <w:r w:rsidR="005E3F5D" w:rsidRPr="008B1185">
        <w:rPr>
          <w:rFonts w:asciiTheme="minorHAnsi" w:eastAsia="Times New Roman" w:hAnsiTheme="minorHAnsi" w:cstheme="minorHAnsi"/>
          <w:szCs w:val="24"/>
          <w:lang w:eastAsia="es-MX"/>
        </w:rPr>
        <w:t>, y</w:t>
      </w:r>
      <w:r w:rsidR="00422A9B">
        <w:rPr>
          <w:rFonts w:asciiTheme="minorHAnsi" w:eastAsia="Times New Roman" w:hAnsiTheme="minorHAnsi" w:cstheme="minorHAnsi"/>
          <w:szCs w:val="24"/>
          <w:lang w:eastAsia="es-MX"/>
        </w:rPr>
        <w:t>a que</w:t>
      </w:r>
      <w:r w:rsidR="005E3F5D" w:rsidRPr="008B1185">
        <w:rPr>
          <w:rFonts w:asciiTheme="minorHAnsi" w:eastAsia="Times New Roman" w:hAnsiTheme="minorHAnsi" w:cstheme="minorHAnsi"/>
          <w:szCs w:val="24"/>
          <w:lang w:eastAsia="es-MX"/>
        </w:rPr>
        <w:t xml:space="preserve"> </w:t>
      </w:r>
      <w:r w:rsidR="00422A9B">
        <w:rPr>
          <w:rFonts w:asciiTheme="minorHAnsi" w:eastAsia="Times New Roman" w:hAnsiTheme="minorHAnsi" w:cstheme="minorHAnsi"/>
          <w:szCs w:val="24"/>
          <w:lang w:eastAsia="es-MX"/>
        </w:rPr>
        <w:t>algunos</w:t>
      </w:r>
      <w:r w:rsidR="005E3F5D" w:rsidRPr="008B1185">
        <w:rPr>
          <w:rFonts w:asciiTheme="minorHAnsi" w:eastAsia="Times New Roman" w:hAnsiTheme="minorHAnsi" w:cstheme="minorHAnsi"/>
          <w:szCs w:val="24"/>
          <w:lang w:eastAsia="es-MX"/>
        </w:rPr>
        <w:t xml:space="preserve"> discursos de </w:t>
      </w:r>
      <w:r w:rsidR="00422A9B">
        <w:rPr>
          <w:rFonts w:asciiTheme="minorHAnsi" w:eastAsia="Times New Roman" w:hAnsiTheme="minorHAnsi" w:cstheme="minorHAnsi"/>
          <w:szCs w:val="24"/>
          <w:lang w:eastAsia="es-MX"/>
        </w:rPr>
        <w:t xml:space="preserve">los </w:t>
      </w:r>
      <w:r w:rsidR="005E3F5D" w:rsidRPr="008B1185">
        <w:rPr>
          <w:rFonts w:asciiTheme="minorHAnsi" w:eastAsia="Times New Roman" w:hAnsiTheme="minorHAnsi" w:cstheme="minorHAnsi"/>
          <w:szCs w:val="24"/>
          <w:lang w:eastAsia="es-MX"/>
        </w:rPr>
        <w:t xml:space="preserve">movimientos conservadores de inspiración religiosa </w:t>
      </w:r>
      <w:r w:rsidR="00422A9B">
        <w:rPr>
          <w:rFonts w:asciiTheme="minorHAnsi" w:eastAsia="Times New Roman" w:hAnsiTheme="minorHAnsi" w:cstheme="minorHAnsi"/>
          <w:szCs w:val="24"/>
          <w:lang w:eastAsia="es-MX"/>
        </w:rPr>
        <w:t xml:space="preserve">utilizan la retórica de los derechos humanos para imponer su agenda ultraconservadora, por ejemplo, movilizando </w:t>
      </w:r>
      <w:r w:rsidR="005E3F5D" w:rsidRPr="008B1185">
        <w:rPr>
          <w:rFonts w:asciiTheme="minorHAnsi" w:eastAsia="Times New Roman" w:hAnsiTheme="minorHAnsi" w:cstheme="minorHAnsi"/>
          <w:szCs w:val="24"/>
          <w:lang w:eastAsia="es-MX"/>
        </w:rPr>
        <w:t>el interés superior de los meno</w:t>
      </w:r>
      <w:r w:rsidR="00422A9B">
        <w:rPr>
          <w:rFonts w:asciiTheme="minorHAnsi" w:eastAsia="Times New Roman" w:hAnsiTheme="minorHAnsi" w:cstheme="minorHAnsi"/>
          <w:szCs w:val="24"/>
          <w:lang w:eastAsia="es-MX"/>
        </w:rPr>
        <w:t>re</w:t>
      </w:r>
      <w:r w:rsidR="005E3F5D" w:rsidRPr="008B1185">
        <w:rPr>
          <w:rFonts w:asciiTheme="minorHAnsi" w:eastAsia="Times New Roman" w:hAnsiTheme="minorHAnsi" w:cstheme="minorHAnsi"/>
          <w:szCs w:val="24"/>
          <w:lang w:eastAsia="es-MX"/>
        </w:rPr>
        <w:t xml:space="preserve">s, la protección de la familia, el derecho de los padres a educar a sus hijos de acuerdo con sus propias convicciones, etc. para cancelar los derechos de las personas </w:t>
      </w:r>
      <w:r w:rsidR="005E3F5D" w:rsidRPr="00422A9B">
        <w:rPr>
          <w:rFonts w:asciiTheme="minorHAnsi" w:eastAsia="Times New Roman" w:hAnsiTheme="minorHAnsi" w:cstheme="minorHAnsi"/>
          <w:szCs w:val="24"/>
          <w:lang w:eastAsia="es-MX"/>
        </w:rPr>
        <w:t>LGBTI+.</w:t>
      </w:r>
      <w:r w:rsidR="00422A9B">
        <w:rPr>
          <w:rStyle w:val="Refdenotaalpie"/>
          <w:rFonts w:asciiTheme="minorHAnsi" w:eastAsia="Times New Roman" w:hAnsiTheme="minorHAnsi" w:cstheme="minorHAnsi"/>
          <w:szCs w:val="24"/>
          <w:lang w:eastAsia="es-MX"/>
        </w:rPr>
        <w:footnoteReference w:id="7"/>
      </w:r>
      <w:r w:rsidR="005E3F5D" w:rsidRPr="008B1185">
        <w:rPr>
          <w:rFonts w:asciiTheme="minorHAnsi" w:eastAsia="Times New Roman" w:hAnsiTheme="minorHAnsi" w:cstheme="minorHAnsi"/>
          <w:szCs w:val="24"/>
          <w:lang w:eastAsia="es-MX"/>
        </w:rPr>
        <w:t xml:space="preserve"> </w:t>
      </w:r>
    </w:p>
    <w:p w14:paraId="503B093B" w14:textId="424F8C91" w:rsidR="00163436" w:rsidRPr="008B1185" w:rsidRDefault="00163436" w:rsidP="00D46B16">
      <w:pPr>
        <w:pStyle w:val="Prrafodelista"/>
        <w:numPr>
          <w:ilvl w:val="0"/>
          <w:numId w:val="11"/>
        </w:numPr>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3A9BCAFF" w14:textId="0B98CAD8" w:rsidR="008B1185" w:rsidRPr="008B1185" w:rsidRDefault="008773D5" w:rsidP="00163436">
      <w:p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Es</w:t>
      </w:r>
      <w:r w:rsidR="008B1185" w:rsidRPr="008B1185">
        <w:rPr>
          <w:rFonts w:asciiTheme="minorHAnsi" w:eastAsia="Times New Roman" w:hAnsiTheme="minorHAnsi" w:cstheme="minorHAnsi"/>
          <w:szCs w:val="24"/>
          <w:lang w:eastAsia="es-MX"/>
        </w:rPr>
        <w:t>tá</w:t>
      </w:r>
      <w:r w:rsidRPr="008B1185">
        <w:rPr>
          <w:rFonts w:asciiTheme="minorHAnsi" w:eastAsia="Times New Roman" w:hAnsiTheme="minorHAnsi" w:cstheme="minorHAnsi"/>
          <w:szCs w:val="24"/>
          <w:lang w:eastAsia="es-MX"/>
        </w:rPr>
        <w:t xml:space="preserve"> muy bien documentado en trabajos académicos la consolidación, en los últimos años, de voces religiosas disidentes, que han promovido nuevos acercamientos </w:t>
      </w:r>
      <w:r w:rsidR="0016455B" w:rsidRPr="008B1185">
        <w:rPr>
          <w:rFonts w:asciiTheme="minorHAnsi" w:eastAsia="Times New Roman" w:hAnsiTheme="minorHAnsi" w:cstheme="minorHAnsi"/>
          <w:szCs w:val="24"/>
          <w:lang w:eastAsia="es-MX"/>
        </w:rPr>
        <w:t>emancipatorios para</w:t>
      </w:r>
      <w:r w:rsidRPr="008B1185">
        <w:rPr>
          <w:rFonts w:asciiTheme="minorHAnsi" w:eastAsia="Times New Roman" w:hAnsiTheme="minorHAnsi" w:cstheme="minorHAnsi"/>
          <w:szCs w:val="24"/>
          <w:lang w:eastAsia="es-MX"/>
        </w:rPr>
        <w:t xml:space="preserve"> personas LGBTI+ a partir de distintas narrativas, en particular, mediante teologías incluyentes y progresistas, así como mediante recursos seculares como el Estado laico y los derechos humanos</w:t>
      </w:r>
      <w:r w:rsidR="00B32B5F">
        <w:rPr>
          <w:rStyle w:val="Refdenotaalpie"/>
          <w:rFonts w:asciiTheme="minorHAnsi" w:eastAsia="Times New Roman" w:hAnsiTheme="minorHAnsi" w:cstheme="minorHAnsi"/>
          <w:szCs w:val="24"/>
          <w:lang w:eastAsia="es-MX"/>
        </w:rPr>
        <w:footnoteReference w:id="8"/>
      </w:r>
      <w:r w:rsidRPr="008B1185">
        <w:rPr>
          <w:rFonts w:asciiTheme="minorHAnsi" w:eastAsia="Times New Roman" w:hAnsiTheme="minorHAnsi" w:cstheme="minorHAnsi"/>
          <w:szCs w:val="24"/>
          <w:lang w:eastAsia="es-MX"/>
        </w:rPr>
        <w:t>.</w:t>
      </w:r>
      <w:r w:rsidR="008B1185">
        <w:rPr>
          <w:rFonts w:asciiTheme="minorHAnsi" w:eastAsia="Times New Roman" w:hAnsiTheme="minorHAnsi" w:cstheme="minorHAnsi"/>
          <w:szCs w:val="24"/>
          <w:lang w:eastAsia="es-MX"/>
        </w:rPr>
        <w:t xml:space="preserve"> </w:t>
      </w:r>
      <w:r w:rsidR="00B32B5F">
        <w:rPr>
          <w:rFonts w:asciiTheme="minorHAnsi" w:eastAsia="Times New Roman" w:hAnsiTheme="minorHAnsi" w:cstheme="minorHAnsi"/>
          <w:szCs w:val="24"/>
          <w:lang w:eastAsia="es-MX"/>
        </w:rPr>
        <w:t xml:space="preserve">En México, como en otros países latinoamericanos, la asociación </w:t>
      </w:r>
      <w:proofErr w:type="gramStart"/>
      <w:r w:rsidR="00B32B5F">
        <w:rPr>
          <w:rFonts w:asciiTheme="minorHAnsi" w:eastAsia="Times New Roman" w:hAnsiTheme="minorHAnsi" w:cstheme="minorHAnsi"/>
          <w:szCs w:val="24"/>
          <w:lang w:eastAsia="es-MX"/>
        </w:rPr>
        <w:t>Católicas</w:t>
      </w:r>
      <w:proofErr w:type="gramEnd"/>
      <w:r w:rsidR="00B32B5F">
        <w:rPr>
          <w:rFonts w:asciiTheme="minorHAnsi" w:eastAsia="Times New Roman" w:hAnsiTheme="minorHAnsi" w:cstheme="minorHAnsi"/>
          <w:szCs w:val="24"/>
          <w:lang w:eastAsia="es-MX"/>
        </w:rPr>
        <w:t xml:space="preserve"> por el Derecho a Decidir ha logrado consolidarse como una voz religiosa alternativa, que reconcilia la adhesión al credo católico con identidades transgresoras, tal como ser feminista o pertenecer al colectivo LGBTI+. En México, la labor de dicha asociación ha sido reconocida por las autoridades públicas, por</w:t>
      </w:r>
      <w:r w:rsidR="009838C0">
        <w:rPr>
          <w:rFonts w:asciiTheme="minorHAnsi" w:eastAsia="Times New Roman" w:hAnsiTheme="minorHAnsi" w:cstheme="minorHAnsi"/>
          <w:szCs w:val="24"/>
          <w:lang w:eastAsia="es-MX"/>
        </w:rPr>
        <w:t xml:space="preserve"> ejemplo, por</w:t>
      </w:r>
      <w:r w:rsidR="00B32B5F">
        <w:rPr>
          <w:rFonts w:asciiTheme="minorHAnsi" w:eastAsia="Times New Roman" w:hAnsiTheme="minorHAnsi" w:cstheme="minorHAnsi"/>
          <w:szCs w:val="24"/>
          <w:lang w:eastAsia="es-MX"/>
        </w:rPr>
        <w:t xml:space="preserve"> la Comisión de Derechos Humanos de</w:t>
      </w:r>
      <w:r w:rsidR="009838C0">
        <w:rPr>
          <w:rFonts w:asciiTheme="minorHAnsi" w:eastAsia="Times New Roman" w:hAnsiTheme="minorHAnsi" w:cstheme="minorHAnsi"/>
          <w:szCs w:val="24"/>
          <w:lang w:eastAsia="es-MX"/>
        </w:rPr>
        <w:t xml:space="preserve"> la Ciudad de México.</w:t>
      </w:r>
      <w:r w:rsidR="009838C0">
        <w:rPr>
          <w:rStyle w:val="Refdenotaalpie"/>
          <w:rFonts w:asciiTheme="minorHAnsi" w:eastAsia="Times New Roman" w:hAnsiTheme="minorHAnsi" w:cstheme="minorHAnsi"/>
          <w:szCs w:val="24"/>
          <w:lang w:eastAsia="es-MX"/>
        </w:rPr>
        <w:footnoteReference w:id="9"/>
      </w:r>
    </w:p>
    <w:p w14:paraId="26E03FD4" w14:textId="66400EE8" w:rsidR="008B1185" w:rsidRDefault="00885EC9" w:rsidP="00D46B16">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lastRenderedPageBreak/>
        <w:t>¿Cuáles son las tendencias clave o los casos significativos de prácticas discriminatorias o abusivas por parte de proveedores individuales de bienes o servicios en la esfera pública contra personas LGBT</w:t>
      </w:r>
      <w:r w:rsidR="009838C0">
        <w:rPr>
          <w:rFonts w:asciiTheme="minorHAnsi" w:eastAsia="Times New Roman" w:hAnsiTheme="minorHAnsi" w:cstheme="minorHAnsi"/>
          <w:szCs w:val="24"/>
          <w:lang w:eastAsia="es-MX"/>
        </w:rPr>
        <w:t>I</w:t>
      </w:r>
      <w:r w:rsidRPr="008B1185">
        <w:rPr>
          <w:rFonts w:asciiTheme="minorHAnsi" w:eastAsia="Times New Roman" w:hAnsiTheme="minorHAnsi" w:cstheme="minorHAnsi"/>
          <w:szCs w:val="24"/>
          <w:lang w:eastAsia="es-MX"/>
        </w:rPr>
        <w:t>+ y de género diverso que se basan en narrativas religiosas?</w:t>
      </w:r>
    </w:p>
    <w:p w14:paraId="2DC2135F" w14:textId="1FC2A071" w:rsidR="008B1185" w:rsidRPr="00C1727E" w:rsidRDefault="00983578" w:rsidP="00C1727E">
      <w:pPr>
        <w:spacing w:before="100" w:beforeAutospacing="1" w:after="100" w:afterAutospacing="1"/>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En México, no se conoce casos de discriminación hacia personas LGBTI+ basada</w:t>
      </w:r>
      <w:r w:rsidR="00C1727E">
        <w:rPr>
          <w:rFonts w:asciiTheme="minorHAnsi" w:eastAsia="Times New Roman" w:hAnsiTheme="minorHAnsi" w:cstheme="minorHAnsi"/>
          <w:szCs w:val="24"/>
          <w:lang w:eastAsia="es-MX"/>
        </w:rPr>
        <w:t xml:space="preserve"> abiertamente</w:t>
      </w:r>
      <w:r>
        <w:rPr>
          <w:rFonts w:asciiTheme="minorHAnsi" w:eastAsia="Times New Roman" w:hAnsiTheme="minorHAnsi" w:cstheme="minorHAnsi"/>
          <w:szCs w:val="24"/>
          <w:lang w:eastAsia="es-MX"/>
        </w:rPr>
        <w:t xml:space="preserve"> en </w:t>
      </w:r>
      <w:r w:rsidR="00C1727E">
        <w:rPr>
          <w:rFonts w:asciiTheme="minorHAnsi" w:eastAsia="Times New Roman" w:hAnsiTheme="minorHAnsi" w:cstheme="minorHAnsi"/>
          <w:szCs w:val="24"/>
          <w:lang w:eastAsia="es-MX"/>
        </w:rPr>
        <w:t xml:space="preserve">discursos religiosos. Se trata, en dado caso, de una discriminación muy solapada, nutrida </w:t>
      </w:r>
      <w:r w:rsidR="00E9161B">
        <w:rPr>
          <w:rFonts w:asciiTheme="minorHAnsi" w:eastAsia="Times New Roman" w:hAnsiTheme="minorHAnsi" w:cstheme="minorHAnsi"/>
          <w:szCs w:val="24"/>
          <w:lang w:eastAsia="es-MX"/>
        </w:rPr>
        <w:t>por</w:t>
      </w:r>
      <w:r w:rsidR="00C1727E">
        <w:rPr>
          <w:rFonts w:asciiTheme="minorHAnsi" w:eastAsia="Times New Roman" w:hAnsiTheme="minorHAnsi" w:cstheme="minorHAnsi"/>
          <w:szCs w:val="24"/>
          <w:lang w:eastAsia="es-MX"/>
        </w:rPr>
        <w:t xml:space="preserve"> una cultura machista, patriarcal y religiosa, que se ejerce a nivel social y cultural en diferentes aspectos de la vida cotidiana: en la escuela, en </w:t>
      </w:r>
      <w:r w:rsidR="00E9161B">
        <w:rPr>
          <w:rFonts w:asciiTheme="minorHAnsi" w:eastAsia="Times New Roman" w:hAnsiTheme="minorHAnsi" w:cstheme="minorHAnsi"/>
          <w:szCs w:val="24"/>
          <w:lang w:eastAsia="es-MX"/>
        </w:rPr>
        <w:t>el trabajo</w:t>
      </w:r>
      <w:r w:rsidR="00C1727E">
        <w:rPr>
          <w:rFonts w:asciiTheme="minorHAnsi" w:eastAsia="Times New Roman" w:hAnsiTheme="minorHAnsi" w:cstheme="minorHAnsi"/>
          <w:szCs w:val="24"/>
          <w:lang w:eastAsia="es-MX"/>
        </w:rPr>
        <w:t xml:space="preserve">, </w:t>
      </w:r>
      <w:r w:rsidR="00E9161B">
        <w:rPr>
          <w:rFonts w:asciiTheme="minorHAnsi" w:eastAsia="Times New Roman" w:hAnsiTheme="minorHAnsi" w:cstheme="minorHAnsi"/>
          <w:szCs w:val="24"/>
          <w:lang w:eastAsia="es-MX"/>
        </w:rPr>
        <w:t>en el acceso a la</w:t>
      </w:r>
      <w:r w:rsidR="00C1727E">
        <w:rPr>
          <w:rFonts w:asciiTheme="minorHAnsi" w:eastAsia="Times New Roman" w:hAnsiTheme="minorHAnsi" w:cstheme="minorHAnsi"/>
          <w:szCs w:val="24"/>
          <w:lang w:eastAsia="es-MX"/>
        </w:rPr>
        <w:t xml:space="preserve"> vivienda, etc. Sin embargo, casos han sido documentados en otros países, especialmente en Estados Unidos, donde diferentes proveedores de bienes y servicios se han negado a atender pareja del mismo sexo. Es el famoso caso </w:t>
      </w:r>
      <w:proofErr w:type="spellStart"/>
      <w:r w:rsidR="00C1727E" w:rsidRPr="00C1727E">
        <w:rPr>
          <w:rFonts w:asciiTheme="minorHAnsi" w:eastAsia="Times New Roman" w:hAnsiTheme="minorHAnsi" w:cstheme="minorHAnsi"/>
          <w:szCs w:val="24"/>
          <w:lang w:eastAsia="es-MX"/>
        </w:rPr>
        <w:t>Masterpiece</w:t>
      </w:r>
      <w:proofErr w:type="spellEnd"/>
      <w:r w:rsidR="00C1727E" w:rsidRPr="00C1727E">
        <w:rPr>
          <w:rFonts w:asciiTheme="minorHAnsi" w:eastAsia="Times New Roman" w:hAnsiTheme="minorHAnsi" w:cstheme="minorHAnsi"/>
          <w:szCs w:val="24"/>
          <w:lang w:eastAsia="es-MX"/>
        </w:rPr>
        <w:t xml:space="preserve"> </w:t>
      </w:r>
      <w:proofErr w:type="spellStart"/>
      <w:r w:rsidR="00C1727E" w:rsidRPr="00C1727E">
        <w:rPr>
          <w:rFonts w:asciiTheme="minorHAnsi" w:eastAsia="Times New Roman" w:hAnsiTheme="minorHAnsi" w:cstheme="minorHAnsi"/>
          <w:szCs w:val="24"/>
          <w:lang w:eastAsia="es-MX"/>
        </w:rPr>
        <w:t>Cakeshop</w:t>
      </w:r>
      <w:proofErr w:type="spellEnd"/>
      <w:r w:rsidR="00C1727E" w:rsidRPr="00C1727E">
        <w:rPr>
          <w:rFonts w:asciiTheme="minorHAnsi" w:eastAsia="Times New Roman" w:hAnsiTheme="minorHAnsi" w:cstheme="minorHAnsi"/>
          <w:szCs w:val="24"/>
          <w:lang w:eastAsia="es-MX"/>
        </w:rPr>
        <w:t xml:space="preserve">, Ltd., v. Colorado Civil </w:t>
      </w:r>
      <w:proofErr w:type="spellStart"/>
      <w:r w:rsidR="00C1727E" w:rsidRPr="00C1727E">
        <w:rPr>
          <w:rFonts w:asciiTheme="minorHAnsi" w:eastAsia="Times New Roman" w:hAnsiTheme="minorHAnsi" w:cstheme="minorHAnsi"/>
          <w:szCs w:val="24"/>
          <w:lang w:eastAsia="es-MX"/>
        </w:rPr>
        <w:t>Rights</w:t>
      </w:r>
      <w:proofErr w:type="spellEnd"/>
      <w:r w:rsidR="00C1727E" w:rsidRPr="00C1727E">
        <w:rPr>
          <w:rFonts w:asciiTheme="minorHAnsi" w:eastAsia="Times New Roman" w:hAnsiTheme="minorHAnsi" w:cstheme="minorHAnsi"/>
          <w:szCs w:val="24"/>
          <w:lang w:eastAsia="es-MX"/>
        </w:rPr>
        <w:t xml:space="preserve"> </w:t>
      </w:r>
      <w:proofErr w:type="spellStart"/>
      <w:r w:rsidR="00C1727E" w:rsidRPr="00C1727E">
        <w:rPr>
          <w:rFonts w:asciiTheme="minorHAnsi" w:eastAsia="Times New Roman" w:hAnsiTheme="minorHAnsi" w:cstheme="minorHAnsi"/>
          <w:szCs w:val="24"/>
          <w:lang w:eastAsia="es-MX"/>
        </w:rPr>
        <w:t>Commision</w:t>
      </w:r>
      <w:proofErr w:type="spellEnd"/>
      <w:r w:rsidR="00C1727E" w:rsidRPr="00C1727E">
        <w:rPr>
          <w:rFonts w:asciiTheme="minorHAnsi" w:eastAsia="Times New Roman" w:hAnsiTheme="minorHAnsi" w:cstheme="minorHAnsi"/>
          <w:szCs w:val="24"/>
          <w:lang w:eastAsia="es-MX"/>
        </w:rPr>
        <w:t xml:space="preserve"> (584 U.S.) </w:t>
      </w:r>
      <w:r w:rsidR="00C1727E">
        <w:rPr>
          <w:rFonts w:asciiTheme="minorHAnsi" w:eastAsia="Times New Roman" w:hAnsiTheme="minorHAnsi" w:cstheme="minorHAnsi"/>
          <w:szCs w:val="24"/>
          <w:lang w:eastAsia="es-MX"/>
        </w:rPr>
        <w:t xml:space="preserve">en la que la Suprema Corte estadounidense dio la razón a un pastelero que se negó a elaborar el pastel de boda </w:t>
      </w:r>
      <w:r w:rsidR="00E9161B">
        <w:rPr>
          <w:rFonts w:asciiTheme="minorHAnsi" w:eastAsia="Times New Roman" w:hAnsiTheme="minorHAnsi" w:cstheme="minorHAnsi"/>
          <w:szCs w:val="24"/>
          <w:lang w:eastAsia="es-MX"/>
        </w:rPr>
        <w:t>para</w:t>
      </w:r>
      <w:r w:rsidR="00C1727E">
        <w:rPr>
          <w:rFonts w:asciiTheme="minorHAnsi" w:eastAsia="Times New Roman" w:hAnsiTheme="minorHAnsi" w:cstheme="minorHAnsi"/>
          <w:szCs w:val="24"/>
          <w:lang w:eastAsia="es-MX"/>
        </w:rPr>
        <w:t xml:space="preserve"> una pareja gay, al alegar una incompatibilidad con sus creencias religiosas.</w:t>
      </w:r>
    </w:p>
    <w:p w14:paraId="5FD6F0A9" w14:textId="6A1DA0D8" w:rsidR="008B1185" w:rsidRDefault="008B1185" w:rsidP="00D46B16">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8B1185">
        <w:rPr>
          <w:rFonts w:asciiTheme="minorHAnsi" w:hAnsiTheme="minorHAnsi" w:cstheme="minorHAnsi"/>
          <w:color w:val="000000" w:themeColor="text1"/>
          <w:sz w:val="22"/>
          <w:szCs w:val="22"/>
          <w:lang w:val="es-CO"/>
        </w:rPr>
        <w:t>¿</w:t>
      </w:r>
      <w:r w:rsidRPr="008B1185">
        <w:rPr>
          <w:rFonts w:asciiTheme="minorHAnsi" w:eastAsia="Times New Roman" w:hAnsiTheme="minorHAnsi" w:cstheme="minorHAnsi"/>
          <w:szCs w:val="24"/>
          <w:lang w:eastAsia="es-MX"/>
        </w:rPr>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78AB3D55" w14:textId="1F27CF82" w:rsidR="008B1185" w:rsidRPr="004F3C84" w:rsidRDefault="00C1727E" w:rsidP="004F3C84">
      <w:pPr>
        <w:spacing w:before="100" w:beforeAutospacing="1" w:after="100" w:afterAutospacing="1"/>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No se ha adoptado semejantes leyes en México. </w:t>
      </w:r>
    </w:p>
    <w:p w14:paraId="43FDD8AF" w14:textId="67B3CBA4" w:rsidR="008B1185" w:rsidRPr="008B1185" w:rsidRDefault="00885EC9" w:rsidP="00D46B16">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legalmente sobre la base de la libertad de religión o de creencias? En caso afirmativo, explique el resultado y la justificación del caso(s).</w:t>
      </w:r>
    </w:p>
    <w:p w14:paraId="48B2D97A" w14:textId="567312C0" w:rsidR="008B1185" w:rsidRPr="008B1185" w:rsidRDefault="008B1185" w:rsidP="008B1185">
      <w:pPr>
        <w:spacing w:before="100" w:beforeAutospacing="1" w:after="100" w:afterAutospacing="1"/>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En México</w:t>
      </w:r>
      <w:r w:rsidR="00E9161B">
        <w:rPr>
          <w:rFonts w:asciiTheme="minorHAnsi" w:eastAsia="Times New Roman" w:hAnsiTheme="minorHAnsi" w:cstheme="minorHAnsi"/>
          <w:szCs w:val="24"/>
          <w:lang w:eastAsia="es-MX"/>
        </w:rPr>
        <w:t>,</w:t>
      </w:r>
      <w:r>
        <w:rPr>
          <w:rFonts w:asciiTheme="minorHAnsi" w:eastAsia="Times New Roman" w:hAnsiTheme="minorHAnsi" w:cstheme="minorHAnsi"/>
          <w:szCs w:val="24"/>
          <w:lang w:eastAsia="es-MX"/>
        </w:rPr>
        <w:t xml:space="preserve"> un ejemplo interesante en la materia ha sido la prohibición de las ECOSIEG, acrónimo utilizado </w:t>
      </w:r>
      <w:r w:rsidRPr="008B1185">
        <w:rPr>
          <w:rFonts w:asciiTheme="minorHAnsi" w:eastAsia="Times New Roman" w:hAnsiTheme="minorHAnsi" w:cstheme="minorHAnsi"/>
          <w:szCs w:val="24"/>
          <w:lang w:eastAsia="es-MX"/>
        </w:rPr>
        <w:t>para referirse al conjunto de métodos orientado a cambiar la orientación sexual, la identidad de género o la expresión de género de las personas</w:t>
      </w:r>
      <w:r w:rsidR="00C1727E">
        <w:rPr>
          <w:rFonts w:asciiTheme="minorHAnsi" w:eastAsia="Times New Roman" w:hAnsiTheme="minorHAnsi" w:cstheme="minorHAnsi"/>
          <w:szCs w:val="24"/>
          <w:lang w:eastAsia="es-MX"/>
        </w:rPr>
        <w:t>.</w:t>
      </w:r>
      <w:r w:rsidRPr="008B1185">
        <w:rPr>
          <w:rFonts w:asciiTheme="minorHAnsi" w:eastAsia="Times New Roman" w:hAnsiTheme="minorHAnsi" w:cstheme="minorHAnsi"/>
          <w:szCs w:val="24"/>
          <w:lang w:eastAsia="es-MX"/>
        </w:rPr>
        <w:t xml:space="preserve"> Estas prácticas suelen ser más conocidas como “terapia de conversión”, “terapia de reparación”, “terapia crítica de género” o incluso “cura gay”. En su documento titulado </w:t>
      </w:r>
      <w:r w:rsidRPr="008B1185">
        <w:rPr>
          <w:rFonts w:asciiTheme="minorHAnsi" w:eastAsia="Times New Roman" w:hAnsiTheme="minorHAnsi" w:cstheme="minorHAnsi"/>
          <w:i/>
          <w:iCs/>
          <w:szCs w:val="24"/>
          <w:lang w:eastAsia="es-MX"/>
        </w:rPr>
        <w:t>Poniéndole límite al engaño: Un estudio jurídico mundial sobre la regulación de las mal llamadas “terapias de conversión”</w:t>
      </w:r>
      <w:r w:rsidR="004F3C84">
        <w:rPr>
          <w:rStyle w:val="Refdenotaalpie"/>
          <w:rFonts w:asciiTheme="minorHAnsi" w:eastAsia="Times New Roman" w:hAnsiTheme="minorHAnsi" w:cstheme="minorHAnsi"/>
          <w:szCs w:val="24"/>
          <w:lang w:eastAsia="es-MX"/>
        </w:rPr>
        <w:footnoteReference w:id="10"/>
      </w:r>
      <w:r w:rsidRPr="008B1185">
        <w:rPr>
          <w:rFonts w:asciiTheme="minorHAnsi" w:eastAsia="Times New Roman" w:hAnsiTheme="minorHAnsi" w:cstheme="minorHAnsi"/>
          <w:szCs w:val="24"/>
          <w:lang w:eastAsia="es-MX"/>
        </w:rPr>
        <w:t xml:space="preserve">, la ILGA señala </w:t>
      </w:r>
      <w:r>
        <w:rPr>
          <w:rFonts w:asciiTheme="minorHAnsi" w:eastAsia="Times New Roman" w:hAnsiTheme="minorHAnsi" w:cstheme="minorHAnsi"/>
          <w:szCs w:val="24"/>
          <w:lang w:eastAsia="es-MX"/>
        </w:rPr>
        <w:t xml:space="preserve">que, si bien durante mucho tiempo la </w:t>
      </w:r>
      <w:r w:rsidR="00E9161B">
        <w:rPr>
          <w:rFonts w:asciiTheme="minorHAnsi" w:eastAsia="Times New Roman" w:hAnsiTheme="minorHAnsi" w:cstheme="minorHAnsi"/>
          <w:szCs w:val="24"/>
          <w:lang w:eastAsia="es-MX"/>
        </w:rPr>
        <w:t xml:space="preserve">propia </w:t>
      </w:r>
      <w:r>
        <w:rPr>
          <w:rFonts w:asciiTheme="minorHAnsi" w:eastAsia="Times New Roman" w:hAnsiTheme="minorHAnsi" w:cstheme="minorHAnsi"/>
          <w:szCs w:val="24"/>
          <w:lang w:eastAsia="es-MX"/>
        </w:rPr>
        <w:t xml:space="preserve">ciencia patologizó </w:t>
      </w:r>
      <w:r>
        <w:rPr>
          <w:rFonts w:asciiTheme="minorHAnsi" w:eastAsia="Times New Roman" w:hAnsiTheme="minorHAnsi" w:cstheme="minorHAnsi"/>
          <w:szCs w:val="24"/>
          <w:lang w:eastAsia="es-MX"/>
        </w:rPr>
        <w:lastRenderedPageBreak/>
        <w:t xml:space="preserve">e incluso intentó curar las orientaciones no heterosexuales, en la actualidad la oferta que prevalece es de índole confesional, la cual se expresa en </w:t>
      </w:r>
      <w:r w:rsidRPr="008B1185">
        <w:rPr>
          <w:rFonts w:asciiTheme="minorHAnsi" w:eastAsia="Times New Roman" w:hAnsiTheme="minorHAnsi" w:cstheme="minorHAnsi"/>
          <w:szCs w:val="24"/>
          <w:lang w:eastAsia="es-MX"/>
        </w:rPr>
        <w:t>consejería religiosa, terapia y estancias en campamento</w:t>
      </w:r>
      <w:r w:rsidR="004F3C84">
        <w:rPr>
          <w:rFonts w:asciiTheme="minorHAnsi" w:eastAsia="Times New Roman" w:hAnsiTheme="minorHAnsi" w:cstheme="minorHAnsi"/>
          <w:szCs w:val="24"/>
          <w:lang w:eastAsia="es-MX"/>
        </w:rPr>
        <w:t xml:space="preserve">. </w:t>
      </w:r>
      <w:r w:rsidRPr="008B1185">
        <w:rPr>
          <w:rFonts w:asciiTheme="minorHAnsi" w:eastAsia="Times New Roman" w:hAnsiTheme="minorHAnsi" w:cstheme="minorHAnsi"/>
          <w:szCs w:val="24"/>
          <w:lang w:eastAsia="es-MX"/>
        </w:rPr>
        <w:t xml:space="preserve">Estos grupos religiosos, en muchos casos organizados en redes transnacionales, utilizan una narrativa basada en la condena bíblica de la homosexualidad, la figura de Jesús que acoge a los arrepentidos, la abstinencia de las relaciones sexuales homosexuales como redención, así como la importancia del culto y de la oración para modificar el comportamiento y escapar del sufrimiento. El estilo de vida gay es presentado como intrínsecamente pecaminoso y caracterizado por la promiscuidad, la lujuria, la pornografía y el abuso de drogas, </w:t>
      </w:r>
      <w:proofErr w:type="gramStart"/>
      <w:r w:rsidRPr="008B1185">
        <w:rPr>
          <w:rFonts w:asciiTheme="minorHAnsi" w:eastAsia="Times New Roman" w:hAnsiTheme="minorHAnsi" w:cstheme="minorHAnsi"/>
          <w:szCs w:val="24"/>
          <w:lang w:eastAsia="es-MX"/>
        </w:rPr>
        <w:t>y</w:t>
      </w:r>
      <w:proofErr w:type="gramEnd"/>
      <w:r w:rsidRPr="008B1185">
        <w:rPr>
          <w:rFonts w:asciiTheme="minorHAnsi" w:eastAsia="Times New Roman" w:hAnsiTheme="minorHAnsi" w:cstheme="minorHAnsi"/>
          <w:szCs w:val="24"/>
          <w:lang w:eastAsia="es-MX"/>
        </w:rPr>
        <w:t xml:space="preserve"> por lo tanto, incompatible con el camino de Dios. En algunos casos, se recurren a rituales y exorcismos. De manera paralela a la retórica religiosa, se utiliza las ideas de fluidez del género para validar la posibilidad de cambio, y la orientación sexual no heterosexual como consecuencia de traumas en la infancia</w:t>
      </w:r>
      <w:r w:rsidR="004023AD">
        <w:rPr>
          <w:rFonts w:asciiTheme="minorHAnsi" w:eastAsia="Times New Roman" w:hAnsiTheme="minorHAnsi" w:cstheme="minorHAnsi"/>
          <w:szCs w:val="24"/>
          <w:lang w:eastAsia="es-MX"/>
        </w:rPr>
        <w:t>.</w:t>
      </w:r>
    </w:p>
    <w:p w14:paraId="779856A5" w14:textId="77777777" w:rsidR="00F37103" w:rsidRDefault="008B1185" w:rsidP="00F37103">
      <w:pPr>
        <w:spacing w:before="100" w:beforeAutospacing="1" w:after="100" w:afterAutospacing="1"/>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 xml:space="preserve">En 2017, el Consejo Nacional para Prevenir la Discriminación en México publicó el pronunciamiento 01/2017 titulado </w:t>
      </w:r>
      <w:r w:rsidR="00D46B16">
        <w:rPr>
          <w:rFonts w:asciiTheme="minorHAnsi" w:eastAsia="Times New Roman" w:hAnsiTheme="minorHAnsi" w:cstheme="minorHAnsi"/>
          <w:szCs w:val="24"/>
          <w:lang w:eastAsia="es-MX"/>
        </w:rPr>
        <w:t>“</w:t>
      </w:r>
      <w:r w:rsidRPr="008B1185">
        <w:rPr>
          <w:rFonts w:asciiTheme="minorHAnsi" w:eastAsia="Times New Roman" w:hAnsiTheme="minorHAnsi" w:cstheme="minorHAnsi"/>
          <w:szCs w:val="24"/>
          <w:lang w:eastAsia="es-MX"/>
        </w:rPr>
        <w:t>Las terapias de conversión</w:t>
      </w:r>
      <w:r w:rsidR="00D46B16">
        <w:rPr>
          <w:rFonts w:asciiTheme="minorHAnsi" w:eastAsia="Times New Roman" w:hAnsiTheme="minorHAnsi" w:cstheme="minorHAnsi"/>
          <w:szCs w:val="24"/>
          <w:lang w:eastAsia="es-MX"/>
        </w:rPr>
        <w:t xml:space="preserve">” en el que advierte </w:t>
      </w:r>
      <w:r w:rsidR="004023AD">
        <w:rPr>
          <w:rFonts w:asciiTheme="minorHAnsi" w:eastAsia="Times New Roman" w:hAnsiTheme="minorHAnsi" w:cstheme="minorHAnsi"/>
          <w:szCs w:val="24"/>
          <w:lang w:eastAsia="es-MX"/>
        </w:rPr>
        <w:t xml:space="preserve">que </w:t>
      </w:r>
      <w:r w:rsidRPr="008B1185">
        <w:rPr>
          <w:rFonts w:asciiTheme="minorHAnsi" w:eastAsia="Times New Roman" w:hAnsiTheme="minorHAnsi" w:cstheme="minorHAnsi"/>
          <w:szCs w:val="24"/>
          <w:lang w:eastAsia="es-MX"/>
        </w:rPr>
        <w:t>las posturas que respaldan las terapias de conversión muchas veces “se sustentan en principios e ideas religiosas o políticas que se oponen a los derechos humanos de las personas gais y lesbianas”.</w:t>
      </w:r>
      <w:r w:rsidR="004023AD">
        <w:rPr>
          <w:rStyle w:val="Refdenotaalpie"/>
          <w:rFonts w:asciiTheme="minorHAnsi" w:eastAsia="Times New Roman" w:hAnsiTheme="minorHAnsi" w:cstheme="minorHAnsi"/>
          <w:szCs w:val="24"/>
          <w:lang w:eastAsia="es-MX"/>
        </w:rPr>
        <w:footnoteReference w:id="11"/>
      </w:r>
      <w:r w:rsidRPr="008B1185">
        <w:rPr>
          <w:rFonts w:asciiTheme="minorHAnsi" w:eastAsia="Times New Roman" w:hAnsiTheme="minorHAnsi" w:cstheme="minorHAnsi"/>
          <w:szCs w:val="24"/>
          <w:lang w:eastAsia="es-MX"/>
        </w:rPr>
        <w:t xml:space="preserve"> Es tajante en afirmar que “Ninguna norma, decisión o práctica —sea por parte de autoridades o por particulares— puede restringir de modo alguno los derechos de una persona, a partir de su orientación sexual”. </w:t>
      </w:r>
      <w:r w:rsidR="00D46B16">
        <w:rPr>
          <w:rFonts w:asciiTheme="minorHAnsi" w:eastAsia="Times New Roman" w:hAnsiTheme="minorHAnsi" w:cstheme="minorHAnsi"/>
          <w:szCs w:val="24"/>
          <w:lang w:eastAsia="es-MX"/>
        </w:rPr>
        <w:t>E</w:t>
      </w:r>
      <w:r w:rsidRPr="008B1185">
        <w:rPr>
          <w:rFonts w:asciiTheme="minorHAnsi" w:eastAsia="Times New Roman" w:hAnsiTheme="minorHAnsi" w:cstheme="minorHAnsi"/>
          <w:szCs w:val="24"/>
          <w:lang w:eastAsia="es-MX"/>
        </w:rPr>
        <w:t xml:space="preserve">l 24 de julio de 2020, el Congreso de la Ciudad de México aprobó una reforma al Código Penal local para prohibir “las terapias de conversión” </w:t>
      </w:r>
      <w:r w:rsidR="00D46B16">
        <w:rPr>
          <w:rFonts w:asciiTheme="minorHAnsi" w:eastAsia="Times New Roman" w:hAnsiTheme="minorHAnsi" w:cstheme="minorHAnsi"/>
          <w:szCs w:val="24"/>
          <w:lang w:eastAsia="es-MX"/>
        </w:rPr>
        <w:t xml:space="preserve">y tipificarlas </w:t>
      </w:r>
      <w:r w:rsidRPr="008B1185">
        <w:rPr>
          <w:rFonts w:asciiTheme="minorHAnsi" w:eastAsia="Times New Roman" w:hAnsiTheme="minorHAnsi" w:cstheme="minorHAnsi"/>
          <w:szCs w:val="24"/>
          <w:lang w:eastAsia="es-MX"/>
        </w:rPr>
        <w:t>como delito en contra del libre desarrollo de la personalidad e identidad sexual de las personas.</w:t>
      </w:r>
      <w:r w:rsidRPr="008B1185">
        <w:rPr>
          <w:rFonts w:asciiTheme="minorHAnsi" w:eastAsia="Times New Roman" w:hAnsiTheme="minorHAnsi" w:cstheme="minorHAnsi"/>
          <w:szCs w:val="24"/>
          <w:vertAlign w:val="superscript"/>
          <w:lang w:eastAsia="es-MX"/>
        </w:rPr>
        <w:footnoteReference w:id="12"/>
      </w:r>
    </w:p>
    <w:p w14:paraId="31D80BD5" w14:textId="5FD1794F" w:rsidR="00F37103" w:rsidRDefault="00F37103" w:rsidP="00F37103">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F37103">
        <w:rPr>
          <w:rFonts w:asciiTheme="minorHAnsi" w:eastAsia="Times New Roman" w:hAnsiTheme="minorHAnsi" w:cstheme="minorHAnsi"/>
          <w:szCs w:val="24"/>
          <w:lang w:eastAsia="es-MX"/>
        </w:rPr>
        <w:t>¿Existen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legalmente sobre la base de la libertad de religión o de creencias? En caso afirmativo, explique el resultado y la justificación del caso(s).</w:t>
      </w:r>
    </w:p>
    <w:p w14:paraId="235BF688" w14:textId="2F63DA0F" w:rsidR="00F37103" w:rsidRPr="008B1185" w:rsidRDefault="00F37103" w:rsidP="00071EC0">
      <w:pPr>
        <w:spacing w:before="100" w:beforeAutospacing="1" w:after="100" w:afterAutospacing="1"/>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No se tiene conocimiento de legislación afín en México.</w:t>
      </w:r>
    </w:p>
    <w:p w14:paraId="5FCAF30A" w14:textId="3D1580F6" w:rsidR="00885EC9" w:rsidRPr="00D46B16" w:rsidRDefault="00885EC9" w:rsidP="00D46B16">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sidRPr="00D46B16">
        <w:rPr>
          <w:rFonts w:asciiTheme="minorHAnsi" w:eastAsia="Times New Roman" w:hAnsiTheme="minorHAnsi" w:cstheme="minorHAnsi"/>
          <w:szCs w:val="24"/>
          <w:lang w:eastAsia="es-MX"/>
        </w:rPr>
        <w:t>¿Qué papel (si lo ha tenido) ha jugado el concepto de objeción de conciencia en la limitación del pleno disfrute del derecho a no sufrir violencia ni discriminación por motivos de orientación sexual e identidad de género?</w:t>
      </w:r>
    </w:p>
    <w:p w14:paraId="185F6C3A" w14:textId="5ECB45B0" w:rsidR="000F3412" w:rsidRDefault="000F3412" w:rsidP="00A35066">
      <w:pPr>
        <w:spacing w:before="100" w:beforeAutospacing="1" w:after="100" w:afterAutospacing="1"/>
        <w:contextualSpacing/>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lastRenderedPageBreak/>
        <w:t>En México y más ampliamente en América Latina, la objeción de conciencia ha sido utilizada como una herramienta colectiva de resistencia a determinados derechos humanos, en particular, los de la comunidad LGBTI</w:t>
      </w:r>
      <w:r w:rsidR="00E9161B">
        <w:rPr>
          <w:rFonts w:asciiTheme="minorHAnsi" w:eastAsia="Times New Roman" w:hAnsiTheme="minorHAnsi" w:cstheme="minorHAnsi"/>
          <w:szCs w:val="24"/>
          <w:lang w:eastAsia="es-MX"/>
        </w:rPr>
        <w:t>+</w:t>
      </w:r>
      <w:r>
        <w:rPr>
          <w:rFonts w:asciiTheme="minorHAnsi" w:eastAsia="Times New Roman" w:hAnsiTheme="minorHAnsi" w:cstheme="minorHAnsi"/>
          <w:szCs w:val="24"/>
          <w:lang w:eastAsia="es-MX"/>
        </w:rPr>
        <w:t xml:space="preserve">. En México, diferentes leyes de objeción de conciencia han sido impulsadas a nivel de las entidades federativas por parte de sectores conservadores y religiosos, para </w:t>
      </w:r>
      <w:r w:rsidR="004023AD">
        <w:rPr>
          <w:rFonts w:asciiTheme="minorHAnsi" w:eastAsia="Times New Roman" w:hAnsiTheme="minorHAnsi" w:cstheme="minorHAnsi"/>
          <w:szCs w:val="24"/>
          <w:lang w:eastAsia="es-MX"/>
        </w:rPr>
        <w:t xml:space="preserve">obstaculizar </w:t>
      </w:r>
      <w:r>
        <w:rPr>
          <w:rFonts w:asciiTheme="minorHAnsi" w:eastAsia="Times New Roman" w:hAnsiTheme="minorHAnsi" w:cstheme="minorHAnsi"/>
          <w:szCs w:val="24"/>
          <w:lang w:eastAsia="es-MX"/>
        </w:rPr>
        <w:t>el acceso a</w:t>
      </w:r>
      <w:r w:rsidR="004023AD">
        <w:rPr>
          <w:rFonts w:asciiTheme="minorHAnsi" w:eastAsia="Times New Roman" w:hAnsiTheme="minorHAnsi" w:cstheme="minorHAnsi"/>
          <w:szCs w:val="24"/>
          <w:lang w:eastAsia="es-MX"/>
        </w:rPr>
        <w:t xml:space="preserve"> los</w:t>
      </w:r>
      <w:r>
        <w:rPr>
          <w:rFonts w:asciiTheme="minorHAnsi" w:eastAsia="Times New Roman" w:hAnsiTheme="minorHAnsi" w:cstheme="minorHAnsi"/>
          <w:szCs w:val="24"/>
          <w:lang w:eastAsia="es-MX"/>
        </w:rPr>
        <w:t xml:space="preserve"> servicios de salud</w:t>
      </w:r>
      <w:r w:rsidR="002A19B4">
        <w:rPr>
          <w:rFonts w:asciiTheme="minorHAnsi" w:eastAsia="Times New Roman" w:hAnsiTheme="minorHAnsi" w:cstheme="minorHAnsi"/>
          <w:szCs w:val="24"/>
          <w:lang w:eastAsia="es-MX"/>
        </w:rPr>
        <w:t xml:space="preserve"> que advierten en contradicción con su ideario religioso y moral, </w:t>
      </w:r>
      <w:r w:rsidR="004023AD">
        <w:rPr>
          <w:rFonts w:asciiTheme="minorHAnsi" w:eastAsia="Times New Roman" w:hAnsiTheme="minorHAnsi" w:cstheme="minorHAnsi"/>
          <w:szCs w:val="24"/>
          <w:lang w:eastAsia="es-MX"/>
        </w:rPr>
        <w:t>en particular, en</w:t>
      </w:r>
      <w:r w:rsidR="002A19B4">
        <w:rPr>
          <w:rFonts w:asciiTheme="minorHAnsi" w:eastAsia="Times New Roman" w:hAnsiTheme="minorHAnsi" w:cstheme="minorHAnsi"/>
          <w:szCs w:val="24"/>
          <w:lang w:eastAsia="es-MX"/>
        </w:rPr>
        <w:t xml:space="preserve"> materia de aborto, anticoncepción de emergencia, </w:t>
      </w:r>
      <w:r w:rsidR="00E9161B">
        <w:rPr>
          <w:rFonts w:asciiTheme="minorHAnsi" w:eastAsia="Times New Roman" w:hAnsiTheme="minorHAnsi" w:cstheme="minorHAnsi"/>
          <w:szCs w:val="24"/>
          <w:lang w:eastAsia="es-MX"/>
        </w:rPr>
        <w:t>atención médica a</w:t>
      </w:r>
      <w:r w:rsidR="002A19B4">
        <w:rPr>
          <w:rFonts w:asciiTheme="minorHAnsi" w:eastAsia="Times New Roman" w:hAnsiTheme="minorHAnsi" w:cstheme="minorHAnsi"/>
          <w:szCs w:val="24"/>
          <w:lang w:eastAsia="es-MX"/>
        </w:rPr>
        <w:t xml:space="preserve"> personas homosexuales </w:t>
      </w:r>
      <w:r w:rsidR="004023AD">
        <w:rPr>
          <w:rFonts w:asciiTheme="minorHAnsi" w:eastAsia="Times New Roman" w:hAnsiTheme="minorHAnsi" w:cstheme="minorHAnsi"/>
          <w:szCs w:val="24"/>
          <w:lang w:eastAsia="es-MX"/>
        </w:rPr>
        <w:t>y</w:t>
      </w:r>
      <w:r w:rsidR="002A19B4">
        <w:rPr>
          <w:rFonts w:asciiTheme="minorHAnsi" w:eastAsia="Times New Roman" w:hAnsiTheme="minorHAnsi" w:cstheme="minorHAnsi"/>
          <w:szCs w:val="24"/>
          <w:lang w:eastAsia="es-MX"/>
        </w:rPr>
        <w:t xml:space="preserve"> trans, etc. En 2019, las organizaciones LGBTI</w:t>
      </w:r>
      <w:r w:rsidR="00E9161B">
        <w:rPr>
          <w:rFonts w:asciiTheme="minorHAnsi" w:eastAsia="Times New Roman" w:hAnsiTheme="minorHAnsi" w:cstheme="minorHAnsi"/>
          <w:szCs w:val="24"/>
          <w:lang w:eastAsia="es-MX"/>
        </w:rPr>
        <w:t>+</w:t>
      </w:r>
      <w:r w:rsidR="002A19B4">
        <w:rPr>
          <w:rFonts w:asciiTheme="minorHAnsi" w:eastAsia="Times New Roman" w:hAnsiTheme="minorHAnsi" w:cstheme="minorHAnsi"/>
          <w:szCs w:val="24"/>
          <w:lang w:eastAsia="es-MX"/>
        </w:rPr>
        <w:t xml:space="preserve"> del estado de Nuevo León denunciaron la aprobación de una ley de objeción de conciencia por parte del Congreso local, que permitiera a los profesionales de salud no atender casos que afecten su moralidad, como podría ser la prestación de auxilio a personas LGBTI</w:t>
      </w:r>
      <w:r w:rsidR="00E9161B">
        <w:rPr>
          <w:rFonts w:asciiTheme="minorHAnsi" w:eastAsia="Times New Roman" w:hAnsiTheme="minorHAnsi" w:cstheme="minorHAnsi"/>
          <w:szCs w:val="24"/>
          <w:lang w:eastAsia="es-MX"/>
        </w:rPr>
        <w:t>+</w:t>
      </w:r>
      <w:r w:rsidR="002A19B4">
        <w:rPr>
          <w:rFonts w:asciiTheme="minorHAnsi" w:eastAsia="Times New Roman" w:hAnsiTheme="minorHAnsi" w:cstheme="minorHAnsi"/>
          <w:szCs w:val="24"/>
          <w:lang w:eastAsia="es-MX"/>
        </w:rPr>
        <w:t>.</w:t>
      </w:r>
      <w:r w:rsidR="002A19B4">
        <w:rPr>
          <w:rStyle w:val="Refdenotaalpie"/>
          <w:rFonts w:asciiTheme="minorHAnsi" w:eastAsia="Times New Roman" w:hAnsiTheme="minorHAnsi" w:cstheme="minorHAnsi"/>
          <w:szCs w:val="24"/>
          <w:lang w:eastAsia="es-MX"/>
        </w:rPr>
        <w:footnoteReference w:id="13"/>
      </w:r>
    </w:p>
    <w:p w14:paraId="03BE49C9" w14:textId="362144B0" w:rsidR="00B048CB" w:rsidRDefault="00B048CB" w:rsidP="00A35066">
      <w:pPr>
        <w:spacing w:before="100" w:beforeAutospacing="1" w:after="100" w:afterAutospacing="1"/>
        <w:contextualSpacing/>
        <w:jc w:val="both"/>
        <w:rPr>
          <w:rFonts w:asciiTheme="minorHAnsi" w:eastAsia="Times New Roman" w:hAnsiTheme="minorHAnsi" w:cstheme="minorHAnsi"/>
          <w:szCs w:val="24"/>
          <w:lang w:eastAsia="es-MX"/>
        </w:rPr>
      </w:pPr>
    </w:p>
    <w:p w14:paraId="3554F545" w14:textId="3BE43342" w:rsidR="00B048CB" w:rsidRPr="00B048CB" w:rsidRDefault="00B048CB" w:rsidP="00A35066">
      <w:pPr>
        <w:numPr>
          <w:ilvl w:val="0"/>
          <w:numId w:val="11"/>
        </w:num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¿Se ha definido, limitado y/o regulado suficientemente el alcance y la aplicación de la objeción de conciencia para 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4B559FD6" w14:textId="2EE1A3DE" w:rsidR="002A19B4" w:rsidRDefault="002A19B4" w:rsidP="00A35066">
      <w:pPr>
        <w:spacing w:before="100" w:beforeAutospacing="1" w:after="100" w:afterAutospacing="1"/>
        <w:contextualSpacing/>
        <w:jc w:val="both"/>
        <w:rPr>
          <w:rFonts w:asciiTheme="minorHAnsi" w:eastAsia="Times New Roman" w:hAnsiTheme="minorHAnsi" w:cstheme="minorHAnsi"/>
          <w:szCs w:val="24"/>
          <w:lang w:eastAsia="es-MX"/>
        </w:rPr>
      </w:pPr>
    </w:p>
    <w:p w14:paraId="64E4793D" w14:textId="094D572E" w:rsidR="00A35066" w:rsidRPr="00B048CB" w:rsidRDefault="002A19B4" w:rsidP="00B048CB">
      <w:pPr>
        <w:contextualSpacing/>
        <w:jc w:val="both"/>
        <w:rPr>
          <w:rFonts w:asciiTheme="minorHAnsi" w:eastAsia="Times New Roman" w:hAnsiTheme="minorHAnsi" w:cstheme="minorHAnsi"/>
          <w:lang w:val="es-MX" w:eastAsia="es-MX"/>
        </w:rPr>
      </w:pPr>
      <w:r>
        <w:rPr>
          <w:rFonts w:asciiTheme="minorHAnsi" w:eastAsia="Times New Roman" w:hAnsiTheme="minorHAnsi" w:cstheme="minorHAnsi"/>
          <w:szCs w:val="24"/>
          <w:lang w:eastAsia="es-MX"/>
        </w:rPr>
        <w:t xml:space="preserve">Para evitar que el derecho a la objeción de conciencia afectara los derechos humanos de las y los usuarios de los servicios de salud, </w:t>
      </w:r>
      <w:r w:rsidR="000D3E6E">
        <w:rPr>
          <w:rFonts w:asciiTheme="minorHAnsi" w:eastAsia="Times New Roman" w:hAnsiTheme="minorHAnsi" w:cstheme="minorHAnsi"/>
          <w:szCs w:val="24"/>
          <w:lang w:eastAsia="es-MX"/>
        </w:rPr>
        <w:t xml:space="preserve">en particular los de los grupos vulnerables, la Suprema Corte mexicana examinó la cuestión en septiembre de 2021. En </w:t>
      </w:r>
      <w:r w:rsidR="004023AD">
        <w:rPr>
          <w:rFonts w:asciiTheme="minorHAnsi" w:eastAsia="Times New Roman" w:hAnsiTheme="minorHAnsi" w:cstheme="minorHAnsi"/>
          <w:szCs w:val="24"/>
          <w:lang w:eastAsia="es-MX"/>
        </w:rPr>
        <w:t xml:space="preserve">su </w:t>
      </w:r>
      <w:r w:rsidR="000D3E6E">
        <w:rPr>
          <w:rFonts w:asciiTheme="minorHAnsi" w:eastAsia="Times New Roman" w:hAnsiTheme="minorHAnsi" w:cstheme="minorHAnsi"/>
          <w:szCs w:val="24"/>
          <w:lang w:eastAsia="es-MX"/>
        </w:rPr>
        <w:t>sentencia</w:t>
      </w:r>
      <w:r w:rsidR="004023AD">
        <w:rPr>
          <w:rFonts w:asciiTheme="minorHAnsi" w:eastAsia="Times New Roman" w:hAnsiTheme="minorHAnsi" w:cstheme="minorHAnsi"/>
          <w:szCs w:val="24"/>
          <w:lang w:eastAsia="es-MX"/>
        </w:rPr>
        <w:t>,</w:t>
      </w:r>
      <w:r w:rsidR="004023AD">
        <w:rPr>
          <w:rStyle w:val="Refdenotaalpie"/>
          <w:rFonts w:asciiTheme="minorHAnsi" w:eastAsia="Times New Roman" w:hAnsiTheme="minorHAnsi" w:cstheme="minorHAnsi"/>
          <w:szCs w:val="24"/>
          <w:lang w:eastAsia="es-MX"/>
        </w:rPr>
        <w:footnoteReference w:id="14"/>
      </w:r>
      <w:r w:rsidR="000D3E6E">
        <w:rPr>
          <w:rFonts w:asciiTheme="minorHAnsi" w:eastAsia="Times New Roman" w:hAnsiTheme="minorHAnsi" w:cstheme="minorHAnsi"/>
          <w:szCs w:val="24"/>
          <w:lang w:eastAsia="es-MX"/>
        </w:rPr>
        <w:t xml:space="preserve"> el alto tribunal señaló que la objeción de conciencia, si bien constituye un derecho que deriva de la libertad de conciencia y de religión, no tiene carácter absoluto, sino que debe ser regulado para armonizarse con otros derechos, en particular, el derecho a la salud, a la no discriminación, a la integridad y al libre desarrollo de la personalidad. Por esta razón, la Corte identificó una serie de límites para su ejercicio</w:t>
      </w:r>
      <w:r w:rsidR="00E9161B">
        <w:rPr>
          <w:rFonts w:asciiTheme="minorHAnsi" w:eastAsia="Times New Roman" w:hAnsiTheme="minorHAnsi" w:cstheme="minorHAnsi"/>
          <w:szCs w:val="24"/>
          <w:lang w:eastAsia="es-MX"/>
        </w:rPr>
        <w:t>,</w:t>
      </w:r>
      <w:r w:rsidR="000D3E6E">
        <w:rPr>
          <w:rFonts w:asciiTheme="minorHAnsi" w:eastAsia="Times New Roman" w:hAnsiTheme="minorHAnsi" w:cstheme="minorHAnsi"/>
          <w:szCs w:val="24"/>
          <w:lang w:eastAsia="es-MX"/>
        </w:rPr>
        <w:t xml:space="preserve"> entre ellos: 1) </w:t>
      </w:r>
      <w:r w:rsidR="00E9161B">
        <w:rPr>
          <w:rFonts w:asciiTheme="minorHAnsi" w:eastAsia="Times New Roman" w:hAnsiTheme="minorHAnsi" w:cstheme="minorHAnsi"/>
          <w:szCs w:val="24"/>
          <w:lang w:eastAsia="es-MX"/>
        </w:rPr>
        <w:t>el</w:t>
      </w:r>
      <w:r w:rsidR="000D3E6E">
        <w:rPr>
          <w:rFonts w:asciiTheme="minorHAnsi" w:eastAsia="Times New Roman" w:hAnsiTheme="minorHAnsi" w:cstheme="minorHAnsi"/>
          <w:szCs w:val="24"/>
          <w:lang w:eastAsia="es-MX"/>
        </w:rPr>
        <w:t xml:space="preserve"> ejercicio</w:t>
      </w:r>
      <w:r w:rsidR="00E9161B">
        <w:rPr>
          <w:rFonts w:asciiTheme="minorHAnsi" w:eastAsia="Times New Roman" w:hAnsiTheme="minorHAnsi" w:cstheme="minorHAnsi"/>
          <w:szCs w:val="24"/>
          <w:lang w:eastAsia="es-MX"/>
        </w:rPr>
        <w:t xml:space="preserve"> de la objeción de conciencia es</w:t>
      </w:r>
      <w:r w:rsidR="000D3E6E">
        <w:rPr>
          <w:rFonts w:asciiTheme="minorHAnsi" w:eastAsia="Times New Roman" w:hAnsiTheme="minorHAnsi" w:cstheme="minorHAnsi"/>
          <w:szCs w:val="24"/>
          <w:lang w:eastAsia="es-MX"/>
        </w:rPr>
        <w:t xml:space="preserve"> individual, 2) </w:t>
      </w:r>
      <w:r w:rsidR="00E9161B">
        <w:rPr>
          <w:rFonts w:asciiTheme="minorHAnsi" w:eastAsia="Times New Roman" w:hAnsiTheme="minorHAnsi" w:cstheme="minorHAnsi"/>
          <w:szCs w:val="24"/>
          <w:lang w:eastAsia="es-MX"/>
        </w:rPr>
        <w:t xml:space="preserve">el objetor tiene la </w:t>
      </w:r>
      <w:r w:rsidR="000D3E6E">
        <w:rPr>
          <w:rFonts w:asciiTheme="minorHAnsi" w:eastAsia="Times New Roman" w:hAnsiTheme="minorHAnsi" w:cstheme="minorHAnsi"/>
          <w:szCs w:val="24"/>
          <w:lang w:eastAsia="es-MX"/>
        </w:rPr>
        <w:t xml:space="preserve">obligación de remitir </w:t>
      </w:r>
      <w:r w:rsidR="00E9161B">
        <w:rPr>
          <w:rFonts w:asciiTheme="minorHAnsi" w:eastAsia="Times New Roman" w:hAnsiTheme="minorHAnsi" w:cstheme="minorHAnsi"/>
          <w:szCs w:val="24"/>
          <w:lang w:eastAsia="es-MX"/>
        </w:rPr>
        <w:t>la persona a</w:t>
      </w:r>
      <w:r w:rsidR="000D3E6E">
        <w:rPr>
          <w:rFonts w:asciiTheme="minorHAnsi" w:eastAsia="Times New Roman" w:hAnsiTheme="minorHAnsi" w:cstheme="minorHAnsi"/>
          <w:szCs w:val="24"/>
          <w:lang w:eastAsia="es-MX"/>
        </w:rPr>
        <w:t xml:space="preserve"> un colega no objetor, 3) </w:t>
      </w:r>
      <w:r w:rsidR="00E9161B">
        <w:rPr>
          <w:rFonts w:asciiTheme="minorHAnsi" w:eastAsia="Times New Roman" w:hAnsiTheme="minorHAnsi" w:cstheme="minorHAnsi"/>
          <w:szCs w:val="24"/>
          <w:lang w:eastAsia="es-MX"/>
        </w:rPr>
        <w:t>no puede invocarse la</w:t>
      </w:r>
      <w:r w:rsidR="000D3E6E">
        <w:rPr>
          <w:rFonts w:asciiTheme="minorHAnsi" w:eastAsia="Times New Roman" w:hAnsiTheme="minorHAnsi" w:cstheme="minorHAnsi"/>
          <w:szCs w:val="24"/>
          <w:lang w:eastAsia="es-MX"/>
        </w:rPr>
        <w:t xml:space="preserve"> </w:t>
      </w:r>
      <w:proofErr w:type="spellStart"/>
      <w:r w:rsidR="000D3E6E">
        <w:rPr>
          <w:rFonts w:asciiTheme="minorHAnsi" w:eastAsia="Times New Roman" w:hAnsiTheme="minorHAnsi" w:cstheme="minorHAnsi"/>
          <w:szCs w:val="24"/>
          <w:lang w:eastAsia="es-MX"/>
        </w:rPr>
        <w:t>objeta</w:t>
      </w:r>
      <w:r w:rsidR="00E9161B">
        <w:rPr>
          <w:rFonts w:asciiTheme="minorHAnsi" w:eastAsia="Times New Roman" w:hAnsiTheme="minorHAnsi" w:cstheme="minorHAnsi"/>
          <w:szCs w:val="24"/>
          <w:lang w:eastAsia="es-MX"/>
        </w:rPr>
        <w:t>ción</w:t>
      </w:r>
      <w:proofErr w:type="spellEnd"/>
      <w:r w:rsidR="00E9161B">
        <w:rPr>
          <w:rFonts w:asciiTheme="minorHAnsi" w:eastAsia="Times New Roman" w:hAnsiTheme="minorHAnsi" w:cstheme="minorHAnsi"/>
          <w:szCs w:val="24"/>
          <w:lang w:eastAsia="es-MX"/>
        </w:rPr>
        <w:t xml:space="preserve"> de conciencia</w:t>
      </w:r>
      <w:r w:rsidR="000D3E6E">
        <w:rPr>
          <w:rFonts w:asciiTheme="minorHAnsi" w:eastAsia="Times New Roman" w:hAnsiTheme="minorHAnsi" w:cstheme="minorHAnsi"/>
          <w:szCs w:val="24"/>
          <w:lang w:eastAsia="es-MX"/>
        </w:rPr>
        <w:t xml:space="preserve"> en caso de emergencia o cuando implica una carga desproporcionada para </w:t>
      </w:r>
      <w:r w:rsidR="00E9161B">
        <w:rPr>
          <w:rFonts w:asciiTheme="minorHAnsi" w:eastAsia="Times New Roman" w:hAnsiTheme="minorHAnsi" w:cstheme="minorHAnsi"/>
          <w:szCs w:val="24"/>
          <w:lang w:eastAsia="es-MX"/>
        </w:rPr>
        <w:t>la persona usuaria de los servicios de salud</w:t>
      </w:r>
      <w:r w:rsidR="000D3E6E">
        <w:rPr>
          <w:rFonts w:asciiTheme="minorHAnsi" w:eastAsia="Times New Roman" w:hAnsiTheme="minorHAnsi" w:cstheme="minorHAnsi"/>
          <w:szCs w:val="24"/>
          <w:lang w:eastAsia="es-MX"/>
        </w:rPr>
        <w:t xml:space="preserve">; 4) el Estado </w:t>
      </w:r>
      <w:r w:rsidR="00E9161B">
        <w:rPr>
          <w:rFonts w:asciiTheme="minorHAnsi" w:eastAsia="Times New Roman" w:hAnsiTheme="minorHAnsi" w:cstheme="minorHAnsi"/>
          <w:szCs w:val="24"/>
          <w:lang w:eastAsia="es-MX"/>
        </w:rPr>
        <w:t>tiene la obligación de contar</w:t>
      </w:r>
      <w:r w:rsidR="000D3E6E">
        <w:rPr>
          <w:rFonts w:asciiTheme="minorHAnsi" w:eastAsia="Times New Roman" w:hAnsiTheme="minorHAnsi" w:cstheme="minorHAnsi"/>
          <w:szCs w:val="24"/>
          <w:lang w:eastAsia="es-MX"/>
        </w:rPr>
        <w:t xml:space="preserve"> siempre con personal no objetor. </w:t>
      </w:r>
      <w:r w:rsidR="006D3C4E">
        <w:rPr>
          <w:rFonts w:asciiTheme="minorHAnsi" w:eastAsia="Times New Roman" w:hAnsiTheme="minorHAnsi" w:cstheme="minorHAnsi"/>
          <w:szCs w:val="24"/>
          <w:lang w:eastAsia="es-MX"/>
        </w:rPr>
        <w:t xml:space="preserve">A lo largo de la sentencia, la Corte enfatiza la situación de las personas de la diversidad sexual y de género, los cuales han sido históricamente discriminados y cuyos </w:t>
      </w:r>
      <w:r w:rsidR="00B048CB">
        <w:rPr>
          <w:rFonts w:asciiTheme="minorHAnsi" w:eastAsia="Times New Roman" w:hAnsiTheme="minorHAnsi" w:cstheme="minorHAnsi"/>
          <w:szCs w:val="24"/>
          <w:lang w:eastAsia="es-MX"/>
        </w:rPr>
        <w:t xml:space="preserve">derechos </w:t>
      </w:r>
      <w:r w:rsidR="00AC7D7B">
        <w:rPr>
          <w:rFonts w:asciiTheme="minorHAnsi" w:eastAsia="Times New Roman" w:hAnsiTheme="minorHAnsi" w:cstheme="minorHAnsi"/>
          <w:szCs w:val="24"/>
          <w:lang w:eastAsia="es-MX"/>
        </w:rPr>
        <w:t xml:space="preserve">han sido </w:t>
      </w:r>
      <w:r w:rsidR="00B048CB">
        <w:rPr>
          <w:rFonts w:asciiTheme="minorHAnsi" w:eastAsia="Times New Roman" w:hAnsiTheme="minorHAnsi" w:cstheme="minorHAnsi"/>
          <w:szCs w:val="24"/>
          <w:lang w:eastAsia="es-MX"/>
        </w:rPr>
        <w:t>vulnerados</w:t>
      </w:r>
      <w:r w:rsidR="00AC7D7B">
        <w:rPr>
          <w:rFonts w:asciiTheme="minorHAnsi" w:eastAsia="Times New Roman" w:hAnsiTheme="minorHAnsi" w:cstheme="minorHAnsi"/>
          <w:szCs w:val="24"/>
          <w:lang w:eastAsia="es-MX"/>
        </w:rPr>
        <w:t xml:space="preserve"> </w:t>
      </w:r>
      <w:r w:rsidR="00B048CB">
        <w:rPr>
          <w:rFonts w:asciiTheme="minorHAnsi" w:eastAsia="Times New Roman" w:hAnsiTheme="minorHAnsi" w:cstheme="minorHAnsi"/>
          <w:szCs w:val="24"/>
          <w:lang w:eastAsia="es-MX"/>
        </w:rPr>
        <w:t xml:space="preserve">en el ámbito sanitario debido a las convicciones religiosas e </w:t>
      </w:r>
      <w:r w:rsidR="00B048CB">
        <w:rPr>
          <w:rFonts w:asciiTheme="minorHAnsi" w:eastAsia="Times New Roman" w:hAnsiTheme="minorHAnsi" w:cstheme="minorHAnsi"/>
          <w:szCs w:val="24"/>
          <w:lang w:eastAsia="es-MX"/>
        </w:rPr>
        <w:lastRenderedPageBreak/>
        <w:t xml:space="preserve">ideológicas del personal de salud (párr. 454). Es por esta razón que el tribunal afirma </w:t>
      </w:r>
      <w:r w:rsidR="00B048CB" w:rsidRPr="00B048CB">
        <w:rPr>
          <w:rFonts w:asciiTheme="minorHAnsi" w:eastAsia="Times New Roman" w:hAnsiTheme="minorHAnsi" w:cstheme="minorHAnsi"/>
          <w:szCs w:val="24"/>
          <w:lang w:eastAsia="es-MX"/>
        </w:rPr>
        <w:t xml:space="preserve">que </w:t>
      </w:r>
      <w:r w:rsidR="00B048CB">
        <w:rPr>
          <w:rFonts w:asciiTheme="minorHAnsi" w:eastAsia="Times New Roman" w:hAnsiTheme="minorHAnsi" w:cstheme="minorHAnsi"/>
          <w:szCs w:val="24"/>
          <w:lang w:eastAsia="es-MX"/>
        </w:rPr>
        <w:t>“</w:t>
      </w:r>
      <w:r w:rsidR="00B048CB" w:rsidRPr="00B048CB">
        <w:rPr>
          <w:rFonts w:asciiTheme="minorHAnsi" w:eastAsia="Times New Roman" w:hAnsiTheme="minorHAnsi" w:cstheme="minorHAnsi"/>
          <w:lang w:val="es-MX" w:eastAsia="es-MX"/>
        </w:rPr>
        <w:t>jamás podrá ser válida una objeción de conciencia que pretenda desconocer los principios fundamentales del Estado Me</w:t>
      </w:r>
      <w:r w:rsidR="00B048CB">
        <w:rPr>
          <w:rFonts w:asciiTheme="minorHAnsi" w:eastAsia="Times New Roman" w:hAnsiTheme="minorHAnsi" w:cstheme="minorHAnsi"/>
          <w:lang w:val="es-MX" w:eastAsia="es-MX"/>
        </w:rPr>
        <w:t xml:space="preserve">xicano” (parr. 425), como sería el caso de discriminción por razón de género o orientación sexuald. </w:t>
      </w:r>
    </w:p>
    <w:p w14:paraId="65A36890" w14:textId="77777777" w:rsidR="00A35066" w:rsidRPr="008B1185" w:rsidRDefault="00A35066" w:rsidP="00A35066">
      <w:pPr>
        <w:spacing w:before="100" w:beforeAutospacing="1" w:after="100" w:afterAutospacing="1"/>
        <w:contextualSpacing/>
        <w:jc w:val="both"/>
        <w:rPr>
          <w:rFonts w:asciiTheme="minorHAnsi" w:eastAsia="Times New Roman" w:hAnsiTheme="minorHAnsi" w:cstheme="minorHAnsi"/>
          <w:szCs w:val="24"/>
          <w:lang w:eastAsia="es-MX"/>
        </w:rPr>
      </w:pPr>
    </w:p>
    <w:p w14:paraId="6D61648D" w14:textId="5E1C456F" w:rsidR="00885EC9" w:rsidRDefault="00885EC9" w:rsidP="00B048CB">
      <w:pPr>
        <w:numPr>
          <w:ilvl w:val="0"/>
          <w:numId w:val="11"/>
        </w:numPr>
        <w:spacing w:before="100" w:beforeAutospacing="1" w:after="100" w:afterAutospacing="1"/>
        <w:contextualSpacing/>
        <w:jc w:val="both"/>
        <w:rPr>
          <w:rFonts w:asciiTheme="minorHAnsi" w:eastAsia="Times New Roman" w:hAnsiTheme="minorHAnsi" w:cstheme="minorHAnsi"/>
          <w:szCs w:val="24"/>
          <w:lang w:eastAsia="es-MX"/>
        </w:rPr>
      </w:pPr>
      <w:r w:rsidRPr="008B1185">
        <w:rPr>
          <w:rFonts w:asciiTheme="minorHAnsi" w:eastAsia="Times New Roman" w:hAnsiTheme="minorHAnsi" w:cstheme="minorHAnsi"/>
          <w:szCs w:val="24"/>
          <w:lang w:eastAsia="es-MX"/>
        </w:rPr>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7DA09FAB" w14:textId="161A55FD" w:rsidR="00B048CB" w:rsidRDefault="00B048CB" w:rsidP="00B048CB">
      <w:pPr>
        <w:spacing w:before="100" w:beforeAutospacing="1" w:after="100" w:afterAutospacing="1"/>
        <w:contextualSpacing/>
        <w:jc w:val="both"/>
        <w:rPr>
          <w:rFonts w:asciiTheme="minorHAnsi" w:eastAsia="Times New Roman" w:hAnsiTheme="minorHAnsi" w:cstheme="minorHAnsi"/>
          <w:szCs w:val="24"/>
          <w:lang w:eastAsia="es-MX"/>
        </w:rPr>
      </w:pPr>
    </w:p>
    <w:p w14:paraId="10AA9ADE" w14:textId="24B137BC" w:rsidR="00A4228A" w:rsidRDefault="00B048CB" w:rsidP="00B048CB">
      <w:pPr>
        <w:spacing w:before="100" w:beforeAutospacing="1" w:after="100" w:afterAutospacing="1"/>
        <w:contextualSpacing/>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No existe semejante legislación en México. </w:t>
      </w:r>
    </w:p>
    <w:p w14:paraId="3BB590C2" w14:textId="6267705C" w:rsidR="00A4228A" w:rsidRDefault="00F37103" w:rsidP="00F37103">
      <w:pPr>
        <w:pStyle w:val="Prrafodelista"/>
        <w:numPr>
          <w:ilvl w:val="0"/>
          <w:numId w:val="11"/>
        </w:numPr>
        <w:spacing w:before="100" w:beforeAutospacing="1" w:after="100" w:afterAutospacing="1"/>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Buenas prácticas</w:t>
      </w:r>
    </w:p>
    <w:p w14:paraId="200AA2F2" w14:textId="13CDCA57" w:rsidR="00F37103" w:rsidRDefault="00F37103" w:rsidP="00F37103">
      <w:pPr>
        <w:pStyle w:val="Prrafodelista"/>
        <w:numPr>
          <w:ilvl w:val="1"/>
          <w:numId w:val="11"/>
        </w:numPr>
        <w:jc w:val="both"/>
        <w:rPr>
          <w:rFonts w:asciiTheme="minorHAnsi" w:eastAsia="Times New Roman" w:hAnsiTheme="minorHAnsi" w:cstheme="minorHAnsi"/>
          <w:szCs w:val="24"/>
          <w:lang w:eastAsia="es-MX"/>
        </w:rPr>
      </w:pPr>
      <w:r w:rsidRPr="00F37103">
        <w:rPr>
          <w:rFonts w:asciiTheme="minorHAnsi" w:eastAsia="Times New Roman" w:hAnsiTheme="minorHAnsi" w:cstheme="minorHAnsi"/>
          <w:szCs w:val="24"/>
          <w:lang w:eastAsia="es-MX"/>
        </w:rPr>
        <w:t>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promover la libertad de religión o creencias de las personas LGBT+ y de género diverso, y realizó esfuerzos para prevenir, mitigar y responder a cualquier violencia y/o discriminación justificada en nombre de la religión.</w:t>
      </w:r>
    </w:p>
    <w:p w14:paraId="58D82081" w14:textId="465A7C8F" w:rsidR="00F241DA" w:rsidRDefault="00F241DA" w:rsidP="00F241DA">
      <w:pPr>
        <w:jc w:val="both"/>
        <w:rPr>
          <w:rFonts w:asciiTheme="minorHAnsi" w:eastAsia="Times New Roman" w:hAnsiTheme="minorHAnsi" w:cstheme="minorHAnsi"/>
          <w:szCs w:val="24"/>
          <w:lang w:eastAsia="es-MX"/>
        </w:rPr>
      </w:pPr>
    </w:p>
    <w:p w14:paraId="3FD3F60E" w14:textId="03DF9EC1" w:rsidR="00F241DA" w:rsidRPr="00F241DA" w:rsidRDefault="00F241DA" w:rsidP="006F545F">
      <w:pPr>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No tengo conocimiento de buenas prácticas a nivel internacional, nacional o local.</w:t>
      </w:r>
      <w:bookmarkStart w:id="0" w:name="_Toc73100678"/>
    </w:p>
    <w:bookmarkEnd w:id="0"/>
    <w:p w14:paraId="32170423" w14:textId="77777777" w:rsidR="006F545F" w:rsidRPr="006F545F" w:rsidRDefault="006F545F" w:rsidP="006F545F">
      <w:pPr>
        <w:jc w:val="both"/>
        <w:rPr>
          <w:rFonts w:asciiTheme="minorHAnsi" w:eastAsia="Times New Roman" w:hAnsiTheme="minorHAnsi" w:cstheme="minorHAnsi"/>
          <w:szCs w:val="24"/>
          <w:lang w:eastAsia="es-MX"/>
        </w:rPr>
      </w:pPr>
    </w:p>
    <w:p w14:paraId="354E65FE" w14:textId="7CD1238F" w:rsidR="00F37103" w:rsidRDefault="00F37103" w:rsidP="00F241DA">
      <w:pPr>
        <w:pStyle w:val="Prrafodelista"/>
        <w:numPr>
          <w:ilvl w:val="1"/>
          <w:numId w:val="11"/>
        </w:numPr>
        <w:jc w:val="both"/>
        <w:rPr>
          <w:rFonts w:asciiTheme="minorHAnsi" w:eastAsia="Times New Roman" w:hAnsiTheme="minorHAnsi" w:cstheme="minorHAnsi"/>
          <w:szCs w:val="24"/>
          <w:lang w:eastAsia="es-MX"/>
        </w:rPr>
      </w:pPr>
      <w:r w:rsidRPr="00F37103">
        <w:rPr>
          <w:rFonts w:asciiTheme="minorHAnsi" w:eastAsia="Times New Roman" w:hAnsiTheme="minorHAnsi" w:cstheme="minorHAnsi"/>
          <w:szCs w:val="24"/>
          <w:lang w:eastAsia="es-MX"/>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p>
    <w:p w14:paraId="7E4E0ED2" w14:textId="77777777" w:rsidR="00F241DA" w:rsidRPr="00F241DA" w:rsidRDefault="00F241DA" w:rsidP="00F241DA">
      <w:pPr>
        <w:pStyle w:val="Prrafodelista"/>
        <w:ind w:left="1440"/>
        <w:jc w:val="both"/>
        <w:rPr>
          <w:rFonts w:asciiTheme="minorHAnsi" w:eastAsia="Times New Roman" w:hAnsiTheme="minorHAnsi" w:cstheme="minorHAnsi"/>
          <w:szCs w:val="24"/>
          <w:lang w:eastAsia="es-MX"/>
        </w:rPr>
      </w:pPr>
    </w:p>
    <w:p w14:paraId="34DA16F9" w14:textId="6FE066DB" w:rsidR="00F241DA" w:rsidRDefault="00F241DA" w:rsidP="00F241DA">
      <w:pPr>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No tengo conocimiento </w:t>
      </w:r>
      <w:r>
        <w:rPr>
          <w:rFonts w:asciiTheme="minorHAnsi" w:eastAsia="Times New Roman" w:hAnsiTheme="minorHAnsi" w:cstheme="minorHAnsi"/>
          <w:szCs w:val="24"/>
          <w:lang w:eastAsia="es-MX"/>
        </w:rPr>
        <w:t xml:space="preserve">de semejantes medidas. Al contrario, los Estados suelen escudarse tras la libertad institucional de las iglesias o incluso el principio de separación entre el Estado y las iglesias para no garantizar los derechos de las personas LGBTI </w:t>
      </w:r>
      <w:r w:rsidR="00E77C55">
        <w:rPr>
          <w:rFonts w:asciiTheme="minorHAnsi" w:eastAsia="Times New Roman" w:hAnsiTheme="minorHAnsi" w:cstheme="minorHAnsi"/>
          <w:szCs w:val="24"/>
          <w:lang w:eastAsia="es-MX"/>
        </w:rPr>
        <w:t xml:space="preserve">a participar en la vida religiosa. </w:t>
      </w:r>
    </w:p>
    <w:p w14:paraId="0C5EDB1E" w14:textId="77777777" w:rsidR="00F37103" w:rsidRPr="00F37103" w:rsidRDefault="00F37103" w:rsidP="00F37103">
      <w:pPr>
        <w:spacing w:before="100" w:beforeAutospacing="1" w:after="100" w:afterAutospacing="1"/>
        <w:ind w:left="708"/>
        <w:jc w:val="both"/>
        <w:rPr>
          <w:rFonts w:asciiTheme="minorHAnsi" w:eastAsia="Times New Roman" w:hAnsiTheme="minorHAnsi" w:cstheme="minorHAnsi"/>
          <w:szCs w:val="24"/>
          <w:lang w:eastAsia="es-MX"/>
        </w:rPr>
      </w:pPr>
    </w:p>
    <w:p w14:paraId="20B7C8F4" w14:textId="77777777" w:rsidR="004D4460" w:rsidRPr="008B1185" w:rsidRDefault="004D4460" w:rsidP="004D4460">
      <w:pPr>
        <w:spacing w:before="100" w:beforeAutospacing="1" w:after="100" w:afterAutospacing="1"/>
        <w:contextualSpacing/>
        <w:jc w:val="both"/>
        <w:rPr>
          <w:rFonts w:asciiTheme="minorHAnsi" w:eastAsia="Times New Roman" w:hAnsiTheme="minorHAnsi" w:cstheme="minorHAnsi"/>
          <w:szCs w:val="24"/>
          <w:lang w:eastAsia="es-MX"/>
        </w:rPr>
      </w:pPr>
    </w:p>
    <w:p w14:paraId="0ED91FB7" w14:textId="76B3FADA" w:rsidR="00885EC9" w:rsidRPr="008B1185" w:rsidRDefault="00885EC9" w:rsidP="00885EC9">
      <w:pPr>
        <w:contextualSpacing/>
        <w:jc w:val="both"/>
        <w:rPr>
          <w:rFonts w:asciiTheme="minorHAnsi" w:hAnsiTheme="minorHAnsi" w:cstheme="minorHAnsi"/>
        </w:rPr>
      </w:pPr>
    </w:p>
    <w:sectPr w:rsidR="00885EC9" w:rsidRPr="008B1185" w:rsidSect="008B7A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A1C9" w14:textId="77777777" w:rsidR="009D1635" w:rsidRDefault="009D1635" w:rsidP="00CB58F8">
      <w:r>
        <w:separator/>
      </w:r>
    </w:p>
  </w:endnote>
  <w:endnote w:type="continuationSeparator" w:id="0">
    <w:p w14:paraId="483A3E11" w14:textId="77777777" w:rsidR="009D1635" w:rsidRDefault="009D1635" w:rsidP="00CB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FBEF" w14:textId="77777777" w:rsidR="009D1635" w:rsidRDefault="009D1635" w:rsidP="00CB58F8">
      <w:r>
        <w:separator/>
      </w:r>
    </w:p>
  </w:footnote>
  <w:footnote w:type="continuationSeparator" w:id="0">
    <w:p w14:paraId="067466E6" w14:textId="77777777" w:rsidR="009D1635" w:rsidRDefault="009D1635" w:rsidP="00CB58F8">
      <w:r>
        <w:continuationSeparator/>
      </w:r>
    </w:p>
  </w:footnote>
  <w:footnote w:id="1">
    <w:p w14:paraId="1608AB8A" w14:textId="1E611516" w:rsidR="00B048CB" w:rsidRPr="004023AD" w:rsidRDefault="00B048CB" w:rsidP="00B048CB">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Investigadora en el Instituto de Investigaciones Jurídicas de la UNAM (México). Abogada, especializada en cuestiones de laicidad, discriminación, derechos sexuales y derechos reproductivos. </w:t>
      </w:r>
    </w:p>
  </w:footnote>
  <w:footnote w:id="2">
    <w:p w14:paraId="6D23AB79" w14:textId="40214EF7" w:rsidR="00FF7F80" w:rsidRPr="004023AD" w:rsidRDefault="00FF7F80" w:rsidP="00FF7F80">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Congregación para la Doctrina de la Fe, “Carta a los obispos de la Iglesia católica sobre la atención pastoral a las personas homosexuales”, 1º de octubre de 1986, disponible en: </w:t>
      </w:r>
      <w:r w:rsidRPr="004023AD">
        <w:rPr>
          <w:rFonts w:asciiTheme="minorHAnsi" w:hAnsiTheme="minorHAnsi" w:cstheme="minorHAnsi"/>
        </w:rPr>
        <w:t>https://www.vatican.va/roman_curia/congregations/cfaith/documents/rc_con_cfaith_doc_19861001_homosexual-persons_sp.html</w:t>
      </w:r>
    </w:p>
  </w:footnote>
  <w:footnote w:id="3">
    <w:p w14:paraId="7EF723A1" w14:textId="1E5E7494" w:rsidR="003C08FD" w:rsidRPr="004023AD" w:rsidRDefault="003C08FD" w:rsidP="003C08FD">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De la Torre, Renée, “Alianzas interreligiosas que retan la laicidad en México”, en </w:t>
      </w:r>
      <w:r w:rsidRPr="004023AD">
        <w:rPr>
          <w:rFonts w:asciiTheme="minorHAnsi" w:hAnsiTheme="minorHAnsi" w:cstheme="minorHAnsi"/>
        </w:rPr>
        <w:t>Rev. Rupturas</w:t>
      </w:r>
      <w:r w:rsidRPr="004023AD">
        <w:rPr>
          <w:rFonts w:asciiTheme="minorHAnsi" w:hAnsiTheme="minorHAnsi" w:cstheme="minorHAnsi"/>
        </w:rPr>
        <w:t>, no.</w:t>
      </w:r>
      <w:r w:rsidRPr="004023AD">
        <w:rPr>
          <w:rFonts w:asciiTheme="minorHAnsi" w:hAnsiTheme="minorHAnsi" w:cstheme="minorHAnsi"/>
        </w:rPr>
        <w:t xml:space="preserve"> 9</w:t>
      </w:r>
      <w:r w:rsidRPr="004023AD">
        <w:rPr>
          <w:rFonts w:asciiTheme="minorHAnsi" w:hAnsiTheme="minorHAnsi" w:cstheme="minorHAnsi"/>
        </w:rPr>
        <w:t xml:space="preserve">, vol. </w:t>
      </w:r>
      <w:r w:rsidRPr="004023AD">
        <w:rPr>
          <w:rFonts w:asciiTheme="minorHAnsi" w:hAnsiTheme="minorHAnsi" w:cstheme="minorHAnsi"/>
        </w:rPr>
        <w:t>1, Costa Rica</w:t>
      </w:r>
      <w:r w:rsidRPr="004023AD">
        <w:rPr>
          <w:rFonts w:asciiTheme="minorHAnsi" w:hAnsiTheme="minorHAnsi" w:cstheme="minorHAnsi"/>
        </w:rPr>
        <w:t>,</w:t>
      </w:r>
      <w:r w:rsidRPr="004023AD">
        <w:rPr>
          <w:rFonts w:asciiTheme="minorHAnsi" w:hAnsiTheme="minorHAnsi" w:cstheme="minorHAnsi"/>
        </w:rPr>
        <w:t xml:space="preserve"> Ene-Jun 2019</w:t>
      </w:r>
      <w:r w:rsidRPr="004023AD">
        <w:rPr>
          <w:rFonts w:asciiTheme="minorHAnsi" w:hAnsiTheme="minorHAnsi" w:cstheme="minorHAnsi"/>
        </w:rPr>
        <w:t xml:space="preserve">, </w:t>
      </w:r>
      <w:proofErr w:type="spellStart"/>
      <w:r w:rsidRPr="004023AD">
        <w:rPr>
          <w:rFonts w:asciiTheme="minorHAnsi" w:hAnsiTheme="minorHAnsi" w:cstheme="minorHAnsi"/>
        </w:rPr>
        <w:t>pp</w:t>
      </w:r>
      <w:proofErr w:type="spellEnd"/>
      <w:r w:rsidRPr="004023AD">
        <w:rPr>
          <w:rFonts w:asciiTheme="minorHAnsi" w:hAnsiTheme="minorHAnsi" w:cstheme="minorHAnsi"/>
        </w:rPr>
        <w:t xml:space="preserve"> 155-178.</w:t>
      </w:r>
    </w:p>
  </w:footnote>
  <w:footnote w:id="4">
    <w:p w14:paraId="0CEBA4F4" w14:textId="15CFF3AC" w:rsidR="00EB6F59" w:rsidRPr="004023AD" w:rsidRDefault="00EB6F59" w:rsidP="00EB6F59">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Comisión Interamericana de Derechos Humanos, </w:t>
      </w:r>
      <w:r w:rsidRPr="004023AD">
        <w:rPr>
          <w:rFonts w:asciiTheme="minorHAnsi" w:eastAsia="Times New Roman" w:hAnsiTheme="minorHAnsi" w:cstheme="minorHAnsi"/>
          <w:i/>
          <w:iCs/>
          <w:szCs w:val="24"/>
          <w:lang w:eastAsia="es-MX"/>
        </w:rPr>
        <w:t>Avances y Desafíos hacia el reconocimiento de los derechos de las personas LGBTI en las Américas</w:t>
      </w:r>
      <w:r w:rsidRPr="004023AD">
        <w:rPr>
          <w:rFonts w:asciiTheme="minorHAnsi" w:eastAsia="Times New Roman" w:hAnsiTheme="minorHAnsi" w:cstheme="minorHAnsi"/>
          <w:szCs w:val="24"/>
          <w:lang w:eastAsia="es-MX"/>
        </w:rPr>
        <w:t>,</w:t>
      </w:r>
      <w:r w:rsidRPr="004023AD">
        <w:rPr>
          <w:rFonts w:asciiTheme="minorHAnsi" w:eastAsia="Times New Roman" w:hAnsiTheme="minorHAnsi" w:cstheme="minorHAnsi"/>
          <w:szCs w:val="24"/>
          <w:lang w:eastAsia="es-MX"/>
        </w:rPr>
        <w:t xml:space="preserve"> </w:t>
      </w:r>
      <w:r w:rsidRPr="004023AD">
        <w:rPr>
          <w:rFonts w:asciiTheme="minorHAnsi" w:eastAsia="Times New Roman" w:hAnsiTheme="minorHAnsi" w:cstheme="minorHAnsi"/>
          <w:szCs w:val="24"/>
          <w:lang w:eastAsia="es-MX"/>
        </w:rPr>
        <w:t>a</w:t>
      </w:r>
      <w:r w:rsidRPr="004023AD">
        <w:rPr>
          <w:rFonts w:asciiTheme="minorHAnsi" w:eastAsia="Times New Roman" w:hAnsiTheme="minorHAnsi" w:cstheme="minorHAnsi"/>
          <w:szCs w:val="24"/>
          <w:lang w:eastAsia="es-MX"/>
        </w:rPr>
        <w:t>probado por la Comisión Interamericana de Derechos Humanos el 7 de diciembre de 2018</w:t>
      </w:r>
      <w:r w:rsidRPr="004023AD">
        <w:rPr>
          <w:rFonts w:asciiTheme="minorHAnsi" w:eastAsia="Times New Roman" w:hAnsiTheme="minorHAnsi" w:cstheme="minorHAnsi"/>
          <w:szCs w:val="24"/>
          <w:lang w:eastAsia="es-MX"/>
        </w:rPr>
        <w:t xml:space="preserve">, </w:t>
      </w:r>
      <w:r w:rsidRPr="004023AD">
        <w:rPr>
          <w:rFonts w:asciiTheme="minorHAnsi" w:eastAsia="Times New Roman" w:hAnsiTheme="minorHAnsi" w:cstheme="minorHAnsi"/>
          <w:szCs w:val="24"/>
          <w:lang w:eastAsia="es-MX"/>
        </w:rPr>
        <w:t>Comisión Interamericana de Derechos Humanos</w:t>
      </w:r>
      <w:r w:rsidRPr="004023AD">
        <w:rPr>
          <w:rFonts w:asciiTheme="minorHAnsi" w:eastAsia="Times New Roman" w:hAnsiTheme="minorHAnsi" w:cstheme="minorHAnsi"/>
          <w:szCs w:val="24"/>
          <w:lang w:eastAsia="es-MX"/>
        </w:rPr>
        <w:t xml:space="preserve">, 2018, disponible en: </w:t>
      </w:r>
      <w:hyperlink r:id="rId1" w:history="1">
        <w:r w:rsidRPr="004023AD">
          <w:rPr>
            <w:rStyle w:val="Hipervnculo"/>
            <w:rFonts w:asciiTheme="minorHAnsi" w:eastAsia="Times New Roman" w:hAnsiTheme="minorHAnsi" w:cstheme="minorHAnsi"/>
            <w:szCs w:val="24"/>
            <w:lang w:eastAsia="es-MX"/>
          </w:rPr>
          <w:t>http://www.oas.org/es/cidh/informes/pdfs/LGBTI-ReconocimientoDerechos2019.pdf</w:t>
        </w:r>
      </w:hyperlink>
      <w:r w:rsidRPr="004023AD">
        <w:rPr>
          <w:rFonts w:asciiTheme="minorHAnsi" w:eastAsia="Times New Roman" w:hAnsiTheme="minorHAnsi" w:cstheme="minorHAnsi"/>
          <w:szCs w:val="24"/>
          <w:lang w:eastAsia="es-MX"/>
        </w:rPr>
        <w:t xml:space="preserve"> </w:t>
      </w:r>
    </w:p>
  </w:footnote>
  <w:footnote w:id="5">
    <w:p w14:paraId="20A0B01F" w14:textId="7FE98D5F" w:rsidR="00021B0D" w:rsidRPr="004023AD" w:rsidRDefault="00021B0D" w:rsidP="00981AAA">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Corte Interamericana de Derechos Humanos, </w:t>
      </w:r>
      <w:r w:rsidRPr="004023AD">
        <w:rPr>
          <w:rFonts w:asciiTheme="minorHAnsi" w:hAnsiTheme="minorHAnsi" w:cstheme="minorHAnsi"/>
          <w:i/>
          <w:iCs/>
        </w:rPr>
        <w:t>Opinión Consultiva 24-17</w:t>
      </w:r>
      <w:r w:rsidRPr="004023AD">
        <w:rPr>
          <w:rFonts w:asciiTheme="minorHAnsi" w:hAnsiTheme="minorHAnsi" w:cstheme="minorHAnsi"/>
        </w:rPr>
        <w:t>, 24 de noviembre de 2017</w:t>
      </w:r>
      <w:r w:rsidR="00981AAA" w:rsidRPr="004023AD">
        <w:rPr>
          <w:rFonts w:asciiTheme="minorHAnsi" w:hAnsiTheme="minorHAnsi" w:cstheme="minorHAnsi"/>
        </w:rPr>
        <w:t xml:space="preserve"> solicitada por la República de Costa Rica, disponible en: </w:t>
      </w:r>
      <w:hyperlink r:id="rId2" w:history="1">
        <w:r w:rsidR="00981AAA" w:rsidRPr="004023AD">
          <w:rPr>
            <w:rStyle w:val="Hipervnculo"/>
            <w:rFonts w:asciiTheme="minorHAnsi" w:hAnsiTheme="minorHAnsi" w:cstheme="minorHAnsi"/>
          </w:rPr>
          <w:t>https://www.corteidh.or.cr/docs/opiniones/seriea_24_esp.pdf</w:t>
        </w:r>
      </w:hyperlink>
      <w:r w:rsidR="00981AAA" w:rsidRPr="004023AD">
        <w:rPr>
          <w:rFonts w:asciiTheme="minorHAnsi" w:hAnsiTheme="minorHAnsi" w:cstheme="minorHAnsi"/>
        </w:rPr>
        <w:t xml:space="preserve"> </w:t>
      </w:r>
    </w:p>
  </w:footnote>
  <w:footnote w:id="6">
    <w:p w14:paraId="70C560F0" w14:textId="49D58268" w:rsidR="00981AAA" w:rsidRPr="004023AD" w:rsidRDefault="0061698E" w:rsidP="00B048CB">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Declaración Universal de la Laicidad en el Siglo XXI</w:t>
      </w:r>
      <w:r w:rsidR="00981AAA" w:rsidRPr="004023AD">
        <w:rPr>
          <w:rFonts w:asciiTheme="minorHAnsi" w:hAnsiTheme="minorHAnsi" w:cstheme="minorHAnsi"/>
        </w:rPr>
        <w:t xml:space="preserve">, disponible en: </w:t>
      </w:r>
      <w:hyperlink r:id="rId3" w:history="1">
        <w:r w:rsidR="00981AAA" w:rsidRPr="004023AD">
          <w:rPr>
            <w:rStyle w:val="Hipervnculo"/>
            <w:rFonts w:asciiTheme="minorHAnsi" w:hAnsiTheme="minorHAnsi" w:cstheme="minorHAnsi"/>
          </w:rPr>
          <w:t>https://archivos.juridicas.unam.mx/www/bjv/libros/6/2512/14.pdf</w:t>
        </w:r>
      </w:hyperlink>
    </w:p>
    <w:p w14:paraId="7FFEC002" w14:textId="77777777" w:rsidR="00981AAA" w:rsidRPr="004023AD" w:rsidRDefault="00981AAA" w:rsidP="00B048CB">
      <w:pPr>
        <w:pStyle w:val="Textonotapie"/>
        <w:jc w:val="both"/>
        <w:rPr>
          <w:rFonts w:asciiTheme="minorHAnsi" w:hAnsiTheme="minorHAnsi" w:cstheme="minorHAnsi"/>
        </w:rPr>
      </w:pPr>
    </w:p>
  </w:footnote>
  <w:footnote w:id="7">
    <w:p w14:paraId="40A1F717" w14:textId="6F3EC864" w:rsidR="00422A9B" w:rsidRPr="004023AD" w:rsidRDefault="00422A9B">
      <w:pPr>
        <w:pStyle w:val="Textonotapie"/>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Ha sido el caso de algunos grupos como </w:t>
      </w:r>
      <w:proofErr w:type="spellStart"/>
      <w:r w:rsidRPr="004023AD">
        <w:rPr>
          <w:rFonts w:asciiTheme="minorHAnsi" w:hAnsiTheme="minorHAnsi" w:cstheme="minorHAnsi"/>
        </w:rPr>
        <w:t>ConMisHijosNoTeMetas</w:t>
      </w:r>
      <w:proofErr w:type="spellEnd"/>
      <w:r w:rsidRPr="004023AD">
        <w:rPr>
          <w:rFonts w:asciiTheme="minorHAnsi" w:hAnsiTheme="minorHAnsi" w:cstheme="minorHAnsi"/>
        </w:rPr>
        <w:t xml:space="preserve"> en Perú, el Frente Nacional para la Familia en México. </w:t>
      </w:r>
    </w:p>
  </w:footnote>
  <w:footnote w:id="8">
    <w:p w14:paraId="04425732" w14:textId="28D4265D" w:rsidR="00B32B5F" w:rsidRPr="004023AD" w:rsidRDefault="00B32B5F">
      <w:pPr>
        <w:pStyle w:val="Textonotapie"/>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Sobre este tema, véase por ejemplo Bárcenas, Karina, </w:t>
      </w:r>
      <w:r w:rsidRPr="004023AD">
        <w:rPr>
          <w:rFonts w:asciiTheme="minorHAnsi" w:hAnsiTheme="minorHAnsi" w:cstheme="minorHAnsi"/>
        </w:rPr>
        <w:t>Bajo un mismo cielo: las iglesias para la diversidad sexual y de género en un campo religioso conservador</w:t>
      </w:r>
      <w:r w:rsidRPr="004023AD">
        <w:rPr>
          <w:rFonts w:asciiTheme="minorHAnsi" w:hAnsiTheme="minorHAnsi" w:cstheme="minorHAnsi"/>
        </w:rPr>
        <w:t xml:space="preserve"> </w:t>
      </w:r>
      <w:r w:rsidRPr="004023AD">
        <w:rPr>
          <w:rFonts w:asciiTheme="minorHAnsi" w:hAnsiTheme="minorHAnsi" w:cstheme="minorHAnsi"/>
        </w:rPr>
        <w:t>M</w:t>
      </w:r>
      <w:r w:rsidRPr="004023AD">
        <w:rPr>
          <w:rFonts w:asciiTheme="minorHAnsi" w:hAnsiTheme="minorHAnsi" w:cstheme="minorHAnsi"/>
        </w:rPr>
        <w:t>é</w:t>
      </w:r>
      <w:r w:rsidRPr="004023AD">
        <w:rPr>
          <w:rFonts w:asciiTheme="minorHAnsi" w:hAnsiTheme="minorHAnsi" w:cstheme="minorHAnsi"/>
        </w:rPr>
        <w:t>xico, Universidad Nacional Autónoma de México, 2020, 380 pp.</w:t>
      </w:r>
    </w:p>
  </w:footnote>
  <w:footnote w:id="9">
    <w:p w14:paraId="51C66670" w14:textId="1902F1BC" w:rsidR="009838C0" w:rsidRPr="004023AD" w:rsidRDefault="009838C0" w:rsidP="009838C0">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“La Comisión de Derechos Humanos se suma a la celebración del 25 aniversario de </w:t>
      </w:r>
      <w:proofErr w:type="spellStart"/>
      <w:r w:rsidRPr="004023AD">
        <w:rPr>
          <w:rFonts w:asciiTheme="minorHAnsi" w:hAnsiTheme="minorHAnsi" w:cstheme="minorHAnsi"/>
        </w:rPr>
        <w:t>Cátolicas</w:t>
      </w:r>
      <w:proofErr w:type="spellEnd"/>
      <w:r w:rsidRPr="004023AD">
        <w:rPr>
          <w:rFonts w:asciiTheme="minorHAnsi" w:hAnsiTheme="minorHAnsi" w:cstheme="minorHAnsi"/>
        </w:rPr>
        <w:t xml:space="preserve"> por el Derecho a Decidir”, 13 de diciembre de 2019, Comisión de Derechos Humanos de la Ciudad de México, disponible en: </w:t>
      </w:r>
      <w:hyperlink r:id="rId4" w:history="1">
        <w:r w:rsidRPr="004023AD">
          <w:rPr>
            <w:rStyle w:val="Hipervnculo"/>
            <w:rFonts w:asciiTheme="minorHAnsi" w:hAnsiTheme="minorHAnsi" w:cstheme="minorHAnsi"/>
          </w:rPr>
          <w:t>https://cdhcm.org.mx/2019/12/la-comision-de-derechos-humanos-se-suma-a-la-celebracion-por-el-25-aniversario-de-catolicas-por-el-derecho-a-decidir/</w:t>
        </w:r>
      </w:hyperlink>
      <w:r w:rsidRPr="004023AD">
        <w:rPr>
          <w:rFonts w:asciiTheme="minorHAnsi" w:hAnsiTheme="minorHAnsi" w:cstheme="minorHAnsi"/>
        </w:rPr>
        <w:t xml:space="preserve"> </w:t>
      </w:r>
    </w:p>
  </w:footnote>
  <w:footnote w:id="10">
    <w:p w14:paraId="3ECF3021" w14:textId="77777777" w:rsidR="004F3C84" w:rsidRPr="004023AD" w:rsidRDefault="004F3C84" w:rsidP="004F3C84">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ILGA, </w:t>
      </w:r>
      <w:r w:rsidRPr="004023AD">
        <w:rPr>
          <w:rFonts w:asciiTheme="minorHAnsi" w:hAnsiTheme="minorHAnsi" w:cstheme="minorHAnsi"/>
          <w:i/>
          <w:iCs/>
        </w:rPr>
        <w:t>Poniéndole límite al engaño: Un estudio jurídico mundial sobre la regulación de las mal llamadas “terapias de conversión”</w:t>
      </w:r>
      <w:r w:rsidRPr="004023AD">
        <w:rPr>
          <w:rFonts w:asciiTheme="minorHAnsi" w:hAnsiTheme="minorHAnsi" w:cstheme="minorHAnsi"/>
          <w:iCs/>
        </w:rPr>
        <w:t xml:space="preserve">, </w:t>
      </w:r>
      <w:r w:rsidRPr="004023AD">
        <w:rPr>
          <w:rFonts w:asciiTheme="minorHAnsi" w:hAnsiTheme="minorHAnsi" w:cstheme="minorHAnsi"/>
        </w:rPr>
        <w:t xml:space="preserve">Ginebra, ILGA Mundo, 2020, disponible en: </w:t>
      </w:r>
      <w:hyperlink r:id="rId5" w:history="1">
        <w:r w:rsidRPr="004023AD">
          <w:rPr>
            <w:rStyle w:val="Hipervnculo"/>
            <w:rFonts w:asciiTheme="minorHAnsi" w:hAnsiTheme="minorHAnsi" w:cstheme="minorHAnsi"/>
          </w:rPr>
          <w:t>https://pavlov.psyciencia.com/2022/02/ILGA-World-poniendole-limites-engano-estudio-juridico-mundial-terapias-de-conversion.pdf</w:t>
        </w:r>
      </w:hyperlink>
      <w:r w:rsidRPr="004023AD">
        <w:rPr>
          <w:rFonts w:asciiTheme="minorHAnsi" w:hAnsiTheme="minorHAnsi" w:cstheme="minorHAnsi"/>
        </w:rPr>
        <w:t xml:space="preserve"> </w:t>
      </w:r>
    </w:p>
    <w:p w14:paraId="2D76317D" w14:textId="77777777" w:rsidR="004F3C84" w:rsidRPr="004023AD" w:rsidRDefault="004F3C84" w:rsidP="004F3C84">
      <w:pPr>
        <w:pStyle w:val="Textonotapie"/>
        <w:rPr>
          <w:rFonts w:asciiTheme="minorHAnsi" w:hAnsiTheme="minorHAnsi" w:cstheme="minorHAnsi"/>
        </w:rPr>
      </w:pPr>
    </w:p>
  </w:footnote>
  <w:footnote w:id="11">
    <w:p w14:paraId="48A6137D" w14:textId="7A79E302" w:rsidR="004023AD" w:rsidRPr="004023AD" w:rsidRDefault="004023AD" w:rsidP="004023AD">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Consejo Nacional para</w:t>
      </w:r>
      <w:r>
        <w:rPr>
          <w:rFonts w:asciiTheme="minorHAnsi" w:hAnsiTheme="minorHAnsi" w:cstheme="minorHAnsi"/>
        </w:rPr>
        <w:t xml:space="preserve"> Prevenir la Discriminación, Pronunciamiento 01/2017, Terapias de conversión, disponible en: </w:t>
      </w:r>
      <w:r w:rsidRPr="004023AD">
        <w:rPr>
          <w:rFonts w:asciiTheme="minorHAnsi" w:hAnsiTheme="minorHAnsi" w:cstheme="minorHAnsi"/>
        </w:rPr>
        <w:t>https://www.conapred.org.mx/index.php?contenido=boletin&amp;id=974&amp;id_opcion=&amp;op=213</w:t>
      </w:r>
    </w:p>
  </w:footnote>
  <w:footnote w:id="12">
    <w:p w14:paraId="02BB92ED" w14:textId="2F443FD1" w:rsidR="008B1185" w:rsidRPr="004023AD" w:rsidRDefault="008B1185" w:rsidP="00B048CB">
      <w:pPr>
        <w:contextualSpacing/>
        <w:jc w:val="both"/>
        <w:rPr>
          <w:rFonts w:asciiTheme="minorHAnsi" w:hAnsiTheme="minorHAnsi" w:cstheme="minorHAnsi"/>
          <w:sz w:val="20"/>
        </w:rPr>
      </w:pPr>
      <w:r w:rsidRPr="004023AD">
        <w:rPr>
          <w:rStyle w:val="Refdenotaalpie"/>
          <w:rFonts w:asciiTheme="minorHAnsi" w:hAnsiTheme="minorHAnsi" w:cstheme="minorHAnsi"/>
          <w:sz w:val="20"/>
        </w:rPr>
        <w:footnoteRef/>
      </w:r>
      <w:r w:rsidRPr="004023AD">
        <w:rPr>
          <w:rFonts w:asciiTheme="minorHAnsi" w:hAnsiTheme="minorHAnsi" w:cstheme="minorHAnsi"/>
          <w:sz w:val="20"/>
        </w:rPr>
        <w:t xml:space="preserve"> </w:t>
      </w:r>
      <w:r w:rsidR="004023AD">
        <w:rPr>
          <w:rFonts w:asciiTheme="minorHAnsi" w:hAnsiTheme="minorHAnsi" w:cstheme="minorHAnsi"/>
          <w:sz w:val="20"/>
        </w:rPr>
        <w:t xml:space="preserve">Decreto por el que se reforma y adiciona, diversas disposiciones del Código Penal del Distrito Federal, Gaceta Oficial de la Ciudad de México, 29 de julio de 2020, disponible en: </w:t>
      </w:r>
      <w:hyperlink r:id="rId6" w:history="1">
        <w:r w:rsidR="004023AD" w:rsidRPr="007B1A48">
          <w:rPr>
            <w:rStyle w:val="Hipervnculo"/>
            <w:rFonts w:asciiTheme="minorHAnsi" w:hAnsiTheme="minorHAnsi" w:cstheme="minorHAnsi"/>
            <w:sz w:val="20"/>
          </w:rPr>
          <w:t>https://paot.org.mx/centro/codigos/df/pdf/2020/GOCDMX_BIS_29_2020-2-3.pdf</w:t>
        </w:r>
      </w:hyperlink>
      <w:r w:rsidR="004023AD">
        <w:rPr>
          <w:rFonts w:asciiTheme="minorHAnsi" w:hAnsiTheme="minorHAnsi" w:cstheme="minorHAnsi"/>
          <w:sz w:val="20"/>
        </w:rPr>
        <w:t xml:space="preserve"> </w:t>
      </w:r>
    </w:p>
  </w:footnote>
  <w:footnote w:id="13">
    <w:p w14:paraId="0F8CE610" w14:textId="05E29242" w:rsidR="002A19B4" w:rsidRPr="004023AD" w:rsidRDefault="002A19B4" w:rsidP="00B048CB">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w:t>
      </w:r>
      <w:r w:rsidR="006C57CD">
        <w:rPr>
          <w:rFonts w:asciiTheme="minorHAnsi" w:hAnsiTheme="minorHAnsi" w:cstheme="minorHAnsi"/>
        </w:rPr>
        <w:t xml:space="preserve">“En Congreso de NL aprueban a médicos objeción de conciencia; Estado vetará, y </w:t>
      </w:r>
      <w:proofErr w:type="spellStart"/>
      <w:r w:rsidR="006C57CD">
        <w:rPr>
          <w:rFonts w:asciiTheme="minorHAnsi" w:hAnsiTheme="minorHAnsi" w:cstheme="minorHAnsi"/>
        </w:rPr>
        <w:t>Conapred</w:t>
      </w:r>
      <w:proofErr w:type="spellEnd"/>
      <w:r w:rsidR="006C57CD">
        <w:rPr>
          <w:rFonts w:asciiTheme="minorHAnsi" w:hAnsiTheme="minorHAnsi" w:cstheme="minorHAnsi"/>
        </w:rPr>
        <w:t xml:space="preserve"> Protesta, </w:t>
      </w:r>
      <w:r w:rsidR="006C57CD" w:rsidRPr="006C57CD">
        <w:rPr>
          <w:rFonts w:asciiTheme="minorHAnsi" w:hAnsiTheme="minorHAnsi" w:cstheme="minorHAnsi"/>
        </w:rPr>
        <w:t>Proceso</w:t>
      </w:r>
      <w:r w:rsidR="006C57CD">
        <w:rPr>
          <w:rFonts w:asciiTheme="minorHAnsi" w:hAnsiTheme="minorHAnsi" w:cstheme="minorHAnsi"/>
        </w:rPr>
        <w:t xml:space="preserve">, 22 de octubre de 2019, disponible en: </w:t>
      </w:r>
      <w:r w:rsidRPr="006C57CD">
        <w:rPr>
          <w:rFonts w:asciiTheme="minorHAnsi" w:hAnsiTheme="minorHAnsi" w:cstheme="minorHAnsi"/>
        </w:rPr>
        <w:t>https</w:t>
      </w:r>
      <w:r w:rsidRPr="004023AD">
        <w:rPr>
          <w:rFonts w:asciiTheme="minorHAnsi" w:hAnsiTheme="minorHAnsi" w:cstheme="minorHAnsi"/>
        </w:rPr>
        <w:t>://www.proceso.com.mx/nacional/estados/2019/10/22/en-congreso-de-nl-aprueban-medicos-objecion-de-conciencia-estado-vetara-conapred-protesta-233115.html</w:t>
      </w:r>
    </w:p>
  </w:footnote>
  <w:footnote w:id="14">
    <w:p w14:paraId="35F7809C" w14:textId="4A2BCE12" w:rsidR="004023AD" w:rsidRPr="004023AD" w:rsidRDefault="004023AD" w:rsidP="00366599">
      <w:pPr>
        <w:pStyle w:val="Textonotapie"/>
        <w:jc w:val="both"/>
        <w:rPr>
          <w:rFonts w:asciiTheme="minorHAnsi" w:hAnsiTheme="minorHAnsi" w:cstheme="minorHAnsi"/>
        </w:rPr>
      </w:pPr>
      <w:r w:rsidRPr="004023AD">
        <w:rPr>
          <w:rStyle w:val="Refdenotaalpie"/>
          <w:rFonts w:asciiTheme="minorHAnsi" w:hAnsiTheme="minorHAnsi" w:cstheme="minorHAnsi"/>
        </w:rPr>
        <w:footnoteRef/>
      </w:r>
      <w:r w:rsidRPr="004023AD">
        <w:rPr>
          <w:rFonts w:asciiTheme="minorHAnsi" w:hAnsiTheme="minorHAnsi" w:cstheme="minorHAnsi"/>
        </w:rPr>
        <w:t xml:space="preserve"> Suprema Corte de Justicia de la Nación, Pleno, Acción de Inconstitucionalidad 54/2018, </w:t>
      </w:r>
      <w:r w:rsidR="00366599">
        <w:rPr>
          <w:rFonts w:asciiTheme="minorHAnsi" w:hAnsiTheme="minorHAnsi" w:cstheme="minorHAnsi"/>
        </w:rPr>
        <w:t xml:space="preserve">resuelta en la sesión del 21 de septiembre de 2021, disponible en: </w:t>
      </w:r>
      <w:hyperlink r:id="rId7" w:history="1">
        <w:r w:rsidR="006C57CD" w:rsidRPr="007B1A48">
          <w:rPr>
            <w:rStyle w:val="Hipervnculo"/>
            <w:rFonts w:asciiTheme="minorHAnsi" w:hAnsiTheme="minorHAnsi" w:cstheme="minorHAnsi"/>
          </w:rPr>
          <w:t>https://www.scjn.gob.mx/sites/default/files/sinopsis_asuntos_destacados/documento/2021-10/TP-210921-LMAM-0054-18.pdf</w:t>
        </w:r>
      </w:hyperlink>
      <w:r w:rsidR="006C57CD">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6D1"/>
    <w:multiLevelType w:val="multilevel"/>
    <w:tmpl w:val="34F02630"/>
    <w:styleLink w:val="Listaactual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05625"/>
    <w:multiLevelType w:val="multilevel"/>
    <w:tmpl w:val="0CA46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F4E4C"/>
    <w:multiLevelType w:val="hybridMultilevel"/>
    <w:tmpl w:val="58366B5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E292D"/>
    <w:multiLevelType w:val="hybridMultilevel"/>
    <w:tmpl w:val="B3BA7A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B7305"/>
    <w:multiLevelType w:val="multilevel"/>
    <w:tmpl w:val="BB78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F5A86"/>
    <w:multiLevelType w:val="hybridMultilevel"/>
    <w:tmpl w:val="E47CEE3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6519B9"/>
    <w:multiLevelType w:val="multilevel"/>
    <w:tmpl w:val="34F02630"/>
    <w:styleLink w:val="Listaactual1"/>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C9583D"/>
    <w:multiLevelType w:val="multilevel"/>
    <w:tmpl w:val="CE6CA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8F19FA"/>
    <w:multiLevelType w:val="hybridMultilevel"/>
    <w:tmpl w:val="42180C68"/>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364CB"/>
    <w:multiLevelType w:val="multilevel"/>
    <w:tmpl w:val="1D92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207E4"/>
    <w:multiLevelType w:val="multilevel"/>
    <w:tmpl w:val="CADA8030"/>
    <w:lvl w:ilvl="0">
      <w:start w:val="4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86E6E"/>
    <w:multiLevelType w:val="hybridMultilevel"/>
    <w:tmpl w:val="2934302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6418C2"/>
    <w:multiLevelType w:val="hybridMultilevel"/>
    <w:tmpl w:val="42AE63EA"/>
    <w:lvl w:ilvl="0" w:tplc="FFFFFFFF">
      <w:start w:val="1"/>
      <w:numFmt w:val="decimal"/>
      <w:lvlText w:val="%1."/>
      <w:lvlJc w:val="left"/>
      <w:pPr>
        <w:ind w:left="720" w:hanging="360"/>
      </w:pPr>
    </w:lvl>
    <w:lvl w:ilvl="1" w:tplc="0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1788548">
    <w:abstractNumId w:val="4"/>
  </w:num>
  <w:num w:numId="2" w16cid:durableId="1980382455">
    <w:abstractNumId w:val="10"/>
  </w:num>
  <w:num w:numId="3" w16cid:durableId="98838914">
    <w:abstractNumId w:val="1"/>
  </w:num>
  <w:num w:numId="4" w16cid:durableId="1711414440">
    <w:abstractNumId w:val="8"/>
  </w:num>
  <w:num w:numId="5" w16cid:durableId="305472927">
    <w:abstractNumId w:val="5"/>
  </w:num>
  <w:num w:numId="6" w16cid:durableId="265969532">
    <w:abstractNumId w:val="3"/>
  </w:num>
  <w:num w:numId="7" w16cid:durableId="1222137280">
    <w:abstractNumId w:val="12"/>
  </w:num>
  <w:num w:numId="8" w16cid:durableId="1275287697">
    <w:abstractNumId w:val="9"/>
  </w:num>
  <w:num w:numId="9" w16cid:durableId="169954638">
    <w:abstractNumId w:val="6"/>
  </w:num>
  <w:num w:numId="10" w16cid:durableId="1345521043">
    <w:abstractNumId w:val="0"/>
  </w:num>
  <w:num w:numId="11" w16cid:durableId="63921369">
    <w:abstractNumId w:val="13"/>
  </w:num>
  <w:num w:numId="12" w16cid:durableId="687951524">
    <w:abstractNumId w:val="11"/>
  </w:num>
  <w:num w:numId="13" w16cid:durableId="2056542084">
    <w:abstractNumId w:val="2"/>
  </w:num>
  <w:num w:numId="14" w16cid:durableId="885872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F8"/>
    <w:rsid w:val="00021B0D"/>
    <w:rsid w:val="00071EC0"/>
    <w:rsid w:val="000A6B88"/>
    <w:rsid w:val="000D3E6E"/>
    <w:rsid w:val="000F3412"/>
    <w:rsid w:val="000F7ACA"/>
    <w:rsid w:val="00163436"/>
    <w:rsid w:val="0016455B"/>
    <w:rsid w:val="001E4525"/>
    <w:rsid w:val="002476BD"/>
    <w:rsid w:val="00261635"/>
    <w:rsid w:val="002A19B4"/>
    <w:rsid w:val="002E5B39"/>
    <w:rsid w:val="00366599"/>
    <w:rsid w:val="003C08FD"/>
    <w:rsid w:val="004023AD"/>
    <w:rsid w:val="00422A9B"/>
    <w:rsid w:val="0043062E"/>
    <w:rsid w:val="00484143"/>
    <w:rsid w:val="004D4460"/>
    <w:rsid w:val="004F3C84"/>
    <w:rsid w:val="00540434"/>
    <w:rsid w:val="00570FE0"/>
    <w:rsid w:val="005C0EE0"/>
    <w:rsid w:val="005D4161"/>
    <w:rsid w:val="005E3F5D"/>
    <w:rsid w:val="0061698E"/>
    <w:rsid w:val="006B4AAD"/>
    <w:rsid w:val="006C57CD"/>
    <w:rsid w:val="006D3C4E"/>
    <w:rsid w:val="006F545F"/>
    <w:rsid w:val="008162CB"/>
    <w:rsid w:val="008773D5"/>
    <w:rsid w:val="00885EC9"/>
    <w:rsid w:val="008B1185"/>
    <w:rsid w:val="008B7ABF"/>
    <w:rsid w:val="009370AC"/>
    <w:rsid w:val="009721CF"/>
    <w:rsid w:val="00981AAA"/>
    <w:rsid w:val="00983578"/>
    <w:rsid w:val="009838C0"/>
    <w:rsid w:val="009D1635"/>
    <w:rsid w:val="00A30824"/>
    <w:rsid w:val="00A35066"/>
    <w:rsid w:val="00A36EDD"/>
    <w:rsid w:val="00A4228A"/>
    <w:rsid w:val="00AC7D7B"/>
    <w:rsid w:val="00B048CB"/>
    <w:rsid w:val="00B32B5F"/>
    <w:rsid w:val="00C1727E"/>
    <w:rsid w:val="00CB58F8"/>
    <w:rsid w:val="00D3751A"/>
    <w:rsid w:val="00D46B16"/>
    <w:rsid w:val="00E20382"/>
    <w:rsid w:val="00E77C55"/>
    <w:rsid w:val="00E9161B"/>
    <w:rsid w:val="00EB6F59"/>
    <w:rsid w:val="00ED7807"/>
    <w:rsid w:val="00F000C0"/>
    <w:rsid w:val="00F241DA"/>
    <w:rsid w:val="00F37103"/>
    <w:rsid w:val="00FF7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C7B39B6"/>
  <w15:chartTrackingRefBased/>
  <w15:docId w15:val="{EE1BFCD2-0709-014B-AD7F-377544AB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uerpo en alfa"/>
        <w:sz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E0"/>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58F8"/>
    <w:rPr>
      <w:sz w:val="20"/>
    </w:rPr>
  </w:style>
  <w:style w:type="character" w:customStyle="1" w:styleId="TextonotapieCar">
    <w:name w:val="Texto nota pie Car"/>
    <w:basedOn w:val="Fuentedeprrafopredeter"/>
    <w:link w:val="Textonotapie"/>
    <w:uiPriority w:val="99"/>
    <w:semiHidden/>
    <w:rsid w:val="00CB58F8"/>
    <w:rPr>
      <w:sz w:val="20"/>
      <w:lang w:val="es-ES"/>
    </w:rPr>
  </w:style>
  <w:style w:type="character" w:styleId="Refdenotaalpie">
    <w:name w:val="footnote reference"/>
    <w:basedOn w:val="Fuentedeprrafopredeter"/>
    <w:uiPriority w:val="99"/>
    <w:semiHidden/>
    <w:unhideWhenUsed/>
    <w:rsid w:val="00CB58F8"/>
    <w:rPr>
      <w:vertAlign w:val="superscript"/>
    </w:rPr>
  </w:style>
  <w:style w:type="character" w:styleId="Hipervnculo">
    <w:name w:val="Hyperlink"/>
    <w:basedOn w:val="Fuentedeprrafopredeter"/>
    <w:uiPriority w:val="99"/>
    <w:unhideWhenUsed/>
    <w:rsid w:val="00A36EDD"/>
    <w:rPr>
      <w:color w:val="0563C1" w:themeColor="hyperlink"/>
      <w:u w:val="single"/>
    </w:rPr>
  </w:style>
  <w:style w:type="character" w:styleId="Mencinsinresolver">
    <w:name w:val="Unresolved Mention"/>
    <w:basedOn w:val="Fuentedeprrafopredeter"/>
    <w:uiPriority w:val="99"/>
    <w:semiHidden/>
    <w:unhideWhenUsed/>
    <w:rsid w:val="00A36EDD"/>
    <w:rPr>
      <w:color w:val="605E5C"/>
      <w:shd w:val="clear" w:color="auto" w:fill="E1DFDD"/>
    </w:rPr>
  </w:style>
  <w:style w:type="paragraph" w:styleId="Prrafodelista">
    <w:name w:val="List Paragraph"/>
    <w:basedOn w:val="Normal"/>
    <w:uiPriority w:val="34"/>
    <w:qFormat/>
    <w:rsid w:val="00163436"/>
    <w:pPr>
      <w:ind w:left="720"/>
      <w:contextualSpacing/>
    </w:pPr>
  </w:style>
  <w:style w:type="numbering" w:customStyle="1" w:styleId="Listaactual1">
    <w:name w:val="Lista actual1"/>
    <w:uiPriority w:val="99"/>
    <w:rsid w:val="00D46B16"/>
    <w:pPr>
      <w:numPr>
        <w:numId w:val="9"/>
      </w:numPr>
    </w:pPr>
  </w:style>
  <w:style w:type="numbering" w:customStyle="1" w:styleId="Listaactual2">
    <w:name w:val="Lista actual2"/>
    <w:uiPriority w:val="99"/>
    <w:rsid w:val="00D46B16"/>
    <w:pPr>
      <w:numPr>
        <w:numId w:val="10"/>
      </w:numPr>
    </w:pPr>
  </w:style>
  <w:style w:type="paragraph" w:styleId="NormalWeb">
    <w:name w:val="Normal (Web)"/>
    <w:basedOn w:val="Normal"/>
    <w:uiPriority w:val="99"/>
    <w:unhideWhenUsed/>
    <w:rsid w:val="00B048CB"/>
    <w:rPr>
      <w:rFonts w:cs="Times New Roman"/>
      <w:szCs w:val="24"/>
    </w:rPr>
  </w:style>
  <w:style w:type="paragraph" w:styleId="Encabezado">
    <w:name w:val="header"/>
    <w:basedOn w:val="Normal"/>
    <w:link w:val="EncabezadoCar"/>
    <w:uiPriority w:val="99"/>
    <w:unhideWhenUsed/>
    <w:rsid w:val="00B048CB"/>
    <w:pPr>
      <w:tabs>
        <w:tab w:val="center" w:pos="4419"/>
        <w:tab w:val="right" w:pos="8838"/>
      </w:tabs>
    </w:pPr>
  </w:style>
  <w:style w:type="character" w:customStyle="1" w:styleId="EncabezadoCar">
    <w:name w:val="Encabezado Car"/>
    <w:basedOn w:val="Fuentedeprrafopredeter"/>
    <w:link w:val="Encabezado"/>
    <w:uiPriority w:val="99"/>
    <w:rsid w:val="00B048CB"/>
    <w:rPr>
      <w:lang w:val="es-ES"/>
    </w:rPr>
  </w:style>
  <w:style w:type="paragraph" w:styleId="Piedepgina">
    <w:name w:val="footer"/>
    <w:basedOn w:val="Normal"/>
    <w:link w:val="PiedepginaCar"/>
    <w:uiPriority w:val="99"/>
    <w:unhideWhenUsed/>
    <w:rsid w:val="00B048CB"/>
    <w:pPr>
      <w:tabs>
        <w:tab w:val="center" w:pos="4419"/>
        <w:tab w:val="right" w:pos="8838"/>
      </w:tabs>
    </w:pPr>
  </w:style>
  <w:style w:type="character" w:customStyle="1" w:styleId="PiedepginaCar">
    <w:name w:val="Pie de página Car"/>
    <w:basedOn w:val="Fuentedeprrafopredeter"/>
    <w:link w:val="Piedepgina"/>
    <w:uiPriority w:val="99"/>
    <w:rsid w:val="00B048C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2779">
      <w:bodyDiv w:val="1"/>
      <w:marLeft w:val="0"/>
      <w:marRight w:val="0"/>
      <w:marTop w:val="0"/>
      <w:marBottom w:val="0"/>
      <w:divBdr>
        <w:top w:val="none" w:sz="0" w:space="0" w:color="auto"/>
        <w:left w:val="none" w:sz="0" w:space="0" w:color="auto"/>
        <w:bottom w:val="none" w:sz="0" w:space="0" w:color="auto"/>
        <w:right w:val="none" w:sz="0" w:space="0" w:color="auto"/>
      </w:divBdr>
    </w:div>
    <w:div w:id="342439683">
      <w:bodyDiv w:val="1"/>
      <w:marLeft w:val="0"/>
      <w:marRight w:val="0"/>
      <w:marTop w:val="0"/>
      <w:marBottom w:val="0"/>
      <w:divBdr>
        <w:top w:val="none" w:sz="0" w:space="0" w:color="auto"/>
        <w:left w:val="none" w:sz="0" w:space="0" w:color="auto"/>
        <w:bottom w:val="none" w:sz="0" w:space="0" w:color="auto"/>
        <w:right w:val="none" w:sz="0" w:space="0" w:color="auto"/>
      </w:divBdr>
      <w:divsChild>
        <w:div w:id="1168521157">
          <w:marLeft w:val="0"/>
          <w:marRight w:val="0"/>
          <w:marTop w:val="0"/>
          <w:marBottom w:val="0"/>
          <w:divBdr>
            <w:top w:val="none" w:sz="0" w:space="0" w:color="auto"/>
            <w:left w:val="none" w:sz="0" w:space="0" w:color="auto"/>
            <w:bottom w:val="none" w:sz="0" w:space="0" w:color="auto"/>
            <w:right w:val="none" w:sz="0" w:space="0" w:color="auto"/>
          </w:divBdr>
          <w:divsChild>
            <w:div w:id="1207644705">
              <w:marLeft w:val="0"/>
              <w:marRight w:val="0"/>
              <w:marTop w:val="0"/>
              <w:marBottom w:val="0"/>
              <w:divBdr>
                <w:top w:val="none" w:sz="0" w:space="0" w:color="auto"/>
                <w:left w:val="none" w:sz="0" w:space="0" w:color="auto"/>
                <w:bottom w:val="none" w:sz="0" w:space="0" w:color="auto"/>
                <w:right w:val="none" w:sz="0" w:space="0" w:color="auto"/>
              </w:divBdr>
              <w:divsChild>
                <w:div w:id="9339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246">
      <w:bodyDiv w:val="1"/>
      <w:marLeft w:val="0"/>
      <w:marRight w:val="0"/>
      <w:marTop w:val="0"/>
      <w:marBottom w:val="0"/>
      <w:divBdr>
        <w:top w:val="none" w:sz="0" w:space="0" w:color="auto"/>
        <w:left w:val="none" w:sz="0" w:space="0" w:color="auto"/>
        <w:bottom w:val="none" w:sz="0" w:space="0" w:color="auto"/>
        <w:right w:val="none" w:sz="0" w:space="0" w:color="auto"/>
      </w:divBdr>
    </w:div>
    <w:div w:id="1244410533">
      <w:bodyDiv w:val="1"/>
      <w:marLeft w:val="0"/>
      <w:marRight w:val="0"/>
      <w:marTop w:val="0"/>
      <w:marBottom w:val="0"/>
      <w:divBdr>
        <w:top w:val="none" w:sz="0" w:space="0" w:color="auto"/>
        <w:left w:val="none" w:sz="0" w:space="0" w:color="auto"/>
        <w:bottom w:val="none" w:sz="0" w:space="0" w:color="auto"/>
        <w:right w:val="none" w:sz="0" w:space="0" w:color="auto"/>
      </w:divBdr>
      <w:divsChild>
        <w:div w:id="1384672399">
          <w:marLeft w:val="0"/>
          <w:marRight w:val="0"/>
          <w:marTop w:val="0"/>
          <w:marBottom w:val="0"/>
          <w:divBdr>
            <w:top w:val="none" w:sz="0" w:space="0" w:color="auto"/>
            <w:left w:val="none" w:sz="0" w:space="0" w:color="auto"/>
            <w:bottom w:val="none" w:sz="0" w:space="0" w:color="auto"/>
            <w:right w:val="none" w:sz="0" w:space="0" w:color="auto"/>
          </w:divBdr>
          <w:divsChild>
            <w:div w:id="1333412434">
              <w:marLeft w:val="0"/>
              <w:marRight w:val="0"/>
              <w:marTop w:val="0"/>
              <w:marBottom w:val="0"/>
              <w:divBdr>
                <w:top w:val="none" w:sz="0" w:space="0" w:color="auto"/>
                <w:left w:val="none" w:sz="0" w:space="0" w:color="auto"/>
                <w:bottom w:val="none" w:sz="0" w:space="0" w:color="auto"/>
                <w:right w:val="none" w:sz="0" w:space="0" w:color="auto"/>
              </w:divBdr>
              <w:divsChild>
                <w:div w:id="335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8922">
      <w:bodyDiv w:val="1"/>
      <w:marLeft w:val="0"/>
      <w:marRight w:val="0"/>
      <w:marTop w:val="0"/>
      <w:marBottom w:val="0"/>
      <w:divBdr>
        <w:top w:val="none" w:sz="0" w:space="0" w:color="auto"/>
        <w:left w:val="none" w:sz="0" w:space="0" w:color="auto"/>
        <w:bottom w:val="none" w:sz="0" w:space="0" w:color="auto"/>
        <w:right w:val="none" w:sz="0" w:space="0" w:color="auto"/>
      </w:divBdr>
    </w:div>
    <w:div w:id="1602688350">
      <w:bodyDiv w:val="1"/>
      <w:marLeft w:val="0"/>
      <w:marRight w:val="0"/>
      <w:marTop w:val="0"/>
      <w:marBottom w:val="0"/>
      <w:divBdr>
        <w:top w:val="none" w:sz="0" w:space="0" w:color="auto"/>
        <w:left w:val="none" w:sz="0" w:space="0" w:color="auto"/>
        <w:bottom w:val="none" w:sz="0" w:space="0" w:color="auto"/>
        <w:right w:val="none" w:sz="0" w:space="0" w:color="auto"/>
      </w:divBdr>
    </w:div>
    <w:div w:id="20296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6/2512/14.pdf" TargetMode="External"/><Relationship Id="rId7" Type="http://schemas.openxmlformats.org/officeDocument/2006/relationships/hyperlink" Target="https://www.scjn.gob.mx/sites/default/files/sinopsis_asuntos_destacados/documento/2021-10/TP-210921-LMAM-0054-18.pdf" TargetMode="External"/><Relationship Id="rId2" Type="http://schemas.openxmlformats.org/officeDocument/2006/relationships/hyperlink" Target="https://www.corteidh.or.cr/docs/opiniones/seriea_24_esp.pdf" TargetMode="External"/><Relationship Id="rId1" Type="http://schemas.openxmlformats.org/officeDocument/2006/relationships/hyperlink" Target="http://www.oas.org/es/cidh/informes/pdfs/LGBTI-ReconocimientoDerechos2019.pdf" TargetMode="External"/><Relationship Id="rId6" Type="http://schemas.openxmlformats.org/officeDocument/2006/relationships/hyperlink" Target="https://paot.org.mx/centro/codigos/df/pdf/2020/GOCDMX_BIS_29_2020-2-3.pdf" TargetMode="External"/><Relationship Id="rId5" Type="http://schemas.openxmlformats.org/officeDocument/2006/relationships/hyperlink" Target="https://pavlov.psyciencia.com/2022/02/ILGA-World-poniendole-limites-engano-estudio-juridico-mundial-terapias-de-conversion.pdf" TargetMode="External"/><Relationship Id="rId4" Type="http://schemas.openxmlformats.org/officeDocument/2006/relationships/hyperlink" Target="https://cdhcm.org.mx/2019/12/la-comision-de-derechos-humanos-se-suma-a-la-celebracion-por-el-25-aniversario-de-catolicas-por-el-derecho-a-decid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Instituto de Investigaciones Jurídicas de la UNAM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1C5057B-FA44-844C-A763-3CA02ED6BBFA}">
  <ds:schemaRefs>
    <ds:schemaRef ds:uri="http://schemas.openxmlformats.org/officeDocument/2006/bibliography"/>
  </ds:schemaRefs>
</ds:datastoreItem>
</file>

<file path=customXml/itemProps2.xml><?xml version="1.0" encoding="utf-8"?>
<ds:datastoreItem xmlns:ds="http://schemas.openxmlformats.org/officeDocument/2006/customXml" ds:itemID="{0CF4CD4F-EA4C-48B3-90A0-2AEFEBB35C73}"/>
</file>

<file path=customXml/itemProps3.xml><?xml version="1.0" encoding="utf-8"?>
<ds:datastoreItem xmlns:ds="http://schemas.openxmlformats.org/officeDocument/2006/customXml" ds:itemID="{D982DE7F-CC82-4AB0-8F4C-7A80FCE6D06F}"/>
</file>

<file path=customXml/itemProps4.xml><?xml version="1.0" encoding="utf-8"?>
<ds:datastoreItem xmlns:ds="http://schemas.openxmlformats.org/officeDocument/2006/customXml" ds:itemID="{A0388B3F-CA9B-4977-AED7-B4B2DDF3294D}"/>
</file>

<file path=docProps/app.xml><?xml version="1.0" encoding="utf-8"?>
<Properties xmlns="http://schemas.openxmlformats.org/officeDocument/2006/extended-properties" xmlns:vt="http://schemas.openxmlformats.org/officeDocument/2006/docPropsVTypes">
  <Template>Normal.dotm</Template>
  <TotalTime>353</TotalTime>
  <Pages>7</Pages>
  <Words>2828</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Capdevielle</dc:creator>
  <cp:keywords/>
  <dc:description/>
  <cp:lastModifiedBy>Pauline Capdevielle</cp:lastModifiedBy>
  <cp:revision>14</cp:revision>
  <dcterms:created xsi:type="dcterms:W3CDTF">2023-01-05T17:08:00Z</dcterms:created>
  <dcterms:modified xsi:type="dcterms:W3CDTF">2023-01-13T16:03:00Z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