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D8E5C" w14:textId="77777777" w:rsidR="00324046" w:rsidRPr="009609E3" w:rsidRDefault="00324046" w:rsidP="00B82086">
      <w:pPr>
        <w:autoSpaceDE w:val="0"/>
        <w:autoSpaceDN w:val="0"/>
        <w:adjustRightInd w:val="0"/>
        <w:spacing w:before="100" w:beforeAutospacing="1" w:after="100" w:afterAutospacing="1" w:line="240" w:lineRule="auto"/>
        <w:jc w:val="center"/>
        <w:rPr>
          <w:rFonts w:ascii="Times New Roman" w:hAnsi="Times New Roman" w:cs="Times New Roman"/>
          <w:b/>
          <w:sz w:val="24"/>
          <w:szCs w:val="24"/>
          <w:lang w:val="en-GB"/>
        </w:rPr>
      </w:pPr>
      <w:r w:rsidRPr="009609E3">
        <w:rPr>
          <w:rFonts w:ascii="Times New Roman" w:hAnsi="Times New Roman" w:cs="Times New Roman"/>
          <w:b/>
          <w:sz w:val="24"/>
          <w:szCs w:val="24"/>
          <w:lang w:val="en-GB"/>
        </w:rPr>
        <w:t>Independent Expert on protection against violence and discrimination based on sexual orientation and gender identity</w:t>
      </w:r>
      <w:r w:rsidR="00B82086">
        <w:rPr>
          <w:rFonts w:ascii="Times New Roman" w:hAnsi="Times New Roman" w:cs="Times New Roman"/>
          <w:b/>
          <w:sz w:val="24"/>
          <w:szCs w:val="24"/>
          <w:lang w:val="en-GB"/>
        </w:rPr>
        <w:t xml:space="preserve"> - </w:t>
      </w:r>
      <w:r w:rsidRPr="009609E3">
        <w:rPr>
          <w:rFonts w:ascii="Times New Roman" w:hAnsi="Times New Roman" w:cs="Times New Roman"/>
          <w:b/>
          <w:sz w:val="24"/>
          <w:szCs w:val="24"/>
          <w:lang w:val="en-GB"/>
        </w:rPr>
        <w:t>Gender, sexual orientation and gender identity</w:t>
      </w:r>
    </w:p>
    <w:p w14:paraId="6FCB3FA1" w14:textId="77777777" w:rsidR="00324046" w:rsidRPr="009609E3" w:rsidRDefault="00324046" w:rsidP="00324046">
      <w:pPr>
        <w:autoSpaceDE w:val="0"/>
        <w:autoSpaceDN w:val="0"/>
        <w:adjustRightInd w:val="0"/>
        <w:spacing w:before="100" w:beforeAutospacing="1" w:after="100" w:afterAutospacing="1" w:line="240" w:lineRule="auto"/>
        <w:jc w:val="center"/>
        <w:rPr>
          <w:rFonts w:ascii="Times New Roman" w:hAnsi="Times New Roman" w:cs="Times New Roman"/>
          <w:b/>
          <w:sz w:val="24"/>
          <w:szCs w:val="24"/>
          <w:lang w:val="en-GB"/>
        </w:rPr>
      </w:pPr>
      <w:r w:rsidRPr="009609E3">
        <w:rPr>
          <w:rFonts w:ascii="Times New Roman" w:hAnsi="Times New Roman" w:cs="Times New Roman"/>
          <w:b/>
          <w:sz w:val="24"/>
          <w:szCs w:val="24"/>
          <w:lang w:val="en-GB"/>
        </w:rPr>
        <w:t>Republic of Croatia</w:t>
      </w:r>
    </w:p>
    <w:p w14:paraId="4B092243" w14:textId="77777777" w:rsidR="00B074B6" w:rsidRPr="00DC11B1" w:rsidRDefault="00B074B6" w:rsidP="00B074B6">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lang w:val="en-GB"/>
        </w:rPr>
        <w:t>1) 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w:t>
      </w:r>
    </w:p>
    <w:p w14:paraId="38743304" w14:textId="77777777" w:rsidR="00B074B6" w:rsidRPr="00DC11B1" w:rsidRDefault="00B074B6" w:rsidP="00B074B6">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lang w:val="en-GB"/>
        </w:rPr>
        <w:t xml:space="preserve">a) </w:t>
      </w:r>
      <w:proofErr w:type="gramStart"/>
      <w:r w:rsidRPr="00DC11B1">
        <w:rPr>
          <w:rFonts w:ascii="Times New Roman" w:hAnsi="Times New Roman" w:cs="Times New Roman"/>
          <w:b/>
          <w:i/>
          <w:color w:val="2F5496" w:themeColor="accent5" w:themeShade="BF"/>
          <w:sz w:val="24"/>
          <w:szCs w:val="24"/>
          <w:lang w:val="en-GB"/>
        </w:rPr>
        <w:t>if</w:t>
      </w:r>
      <w:proofErr w:type="gramEnd"/>
      <w:r w:rsidRPr="00DC11B1">
        <w:rPr>
          <w:rFonts w:ascii="Times New Roman" w:hAnsi="Times New Roman" w:cs="Times New Roman"/>
          <w:b/>
          <w:i/>
          <w:color w:val="2F5496" w:themeColor="accent5" w:themeShade="BF"/>
          <w:sz w:val="24"/>
          <w:szCs w:val="24"/>
          <w:lang w:val="en-GB"/>
        </w:rPr>
        <w:t xml:space="preserve"> that is the case, has the State carried out evaluations, assessments or evidence-gathering about the impact of the implementation of such actions and, if so, what are the main trends identified?</w:t>
      </w:r>
    </w:p>
    <w:p w14:paraId="5CD5EFA7" w14:textId="77777777" w:rsidR="00B074B6" w:rsidRPr="00DC11B1" w:rsidRDefault="00B074B6" w:rsidP="00B074B6">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lang w:val="en-GB"/>
        </w:rPr>
        <w:t xml:space="preserve">b) </w:t>
      </w:r>
      <w:proofErr w:type="gramStart"/>
      <w:r w:rsidRPr="00DC11B1">
        <w:rPr>
          <w:rFonts w:ascii="Times New Roman" w:hAnsi="Times New Roman" w:cs="Times New Roman"/>
          <w:b/>
          <w:i/>
          <w:color w:val="2F5496" w:themeColor="accent5" w:themeShade="BF"/>
          <w:sz w:val="24"/>
          <w:szCs w:val="24"/>
          <w:lang w:val="en-GB"/>
        </w:rPr>
        <w:t>if</w:t>
      </w:r>
      <w:proofErr w:type="gramEnd"/>
      <w:r w:rsidRPr="00DC11B1">
        <w:rPr>
          <w:rFonts w:ascii="Times New Roman" w:hAnsi="Times New Roman" w:cs="Times New Roman"/>
          <w:b/>
          <w:i/>
          <w:color w:val="2F5496" w:themeColor="accent5" w:themeShade="BF"/>
          <w:sz w:val="24"/>
          <w:szCs w:val="24"/>
          <w:lang w:val="en-GB"/>
        </w:rPr>
        <w:t xml:space="preserve"> that is not the case, please provide information as to the reasons.</w:t>
      </w:r>
    </w:p>
    <w:p w14:paraId="1657B349" w14:textId="77777777" w:rsidR="00324046" w:rsidRPr="009609E3" w:rsidRDefault="00B5351B" w:rsidP="00B074B6">
      <w:pPr>
        <w:autoSpaceDE w:val="0"/>
        <w:autoSpaceDN w:val="0"/>
        <w:adjustRightInd w:val="0"/>
        <w:spacing w:before="100" w:beforeAutospacing="1" w:after="100" w:afterAutospacing="1" w:line="240" w:lineRule="auto"/>
        <w:jc w:val="both"/>
        <w:rPr>
          <w:rFonts w:ascii="Times New Roman" w:hAnsi="Times New Roman" w:cs="Times New Roman"/>
          <w:bCs/>
          <w:sz w:val="24"/>
          <w:szCs w:val="24"/>
          <w:lang w:val="en-GB"/>
        </w:rPr>
      </w:pPr>
      <w:r w:rsidRPr="009609E3">
        <w:rPr>
          <w:rFonts w:ascii="Times New Roman" w:hAnsi="Times New Roman" w:cs="Times New Roman"/>
          <w:sz w:val="24"/>
          <w:szCs w:val="24"/>
          <w:lang w:val="en-GB"/>
        </w:rPr>
        <w:t>Promoting and respecting human rights is a core commitment and a central prio</w:t>
      </w:r>
      <w:r w:rsidR="00324046" w:rsidRPr="009609E3">
        <w:rPr>
          <w:rFonts w:ascii="Times New Roman" w:hAnsi="Times New Roman" w:cs="Times New Roman"/>
          <w:sz w:val="24"/>
          <w:szCs w:val="24"/>
          <w:lang w:val="en-GB"/>
        </w:rPr>
        <w:t>rity for the Republic of Croatia</w:t>
      </w:r>
      <w:r w:rsidRPr="009609E3">
        <w:rPr>
          <w:rFonts w:ascii="Times New Roman" w:hAnsi="Times New Roman" w:cs="Times New Roman"/>
          <w:sz w:val="24"/>
          <w:szCs w:val="24"/>
          <w:lang w:val="en-GB"/>
        </w:rPr>
        <w:t xml:space="preserve">. </w:t>
      </w:r>
      <w:r w:rsidR="00324046" w:rsidRPr="009609E3">
        <w:rPr>
          <w:rFonts w:ascii="Times New Roman" w:hAnsi="Times New Roman" w:cs="Times New Roman"/>
          <w:bCs/>
          <w:sz w:val="24"/>
          <w:szCs w:val="24"/>
          <w:lang w:val="en-GB"/>
        </w:rPr>
        <w:t>Croatia continues</w:t>
      </w:r>
      <w:r w:rsidRPr="009609E3">
        <w:rPr>
          <w:rFonts w:ascii="Times New Roman" w:hAnsi="Times New Roman" w:cs="Times New Roman"/>
          <w:bCs/>
          <w:sz w:val="24"/>
          <w:szCs w:val="24"/>
          <w:lang w:val="en-GB"/>
        </w:rPr>
        <w:t xml:space="preserve"> to advocate the enhancement and protection of rights of LGBTI persons at the national and international level, and remains dedicated to combating and suppressing all forms of discrimination and violence based on sexual orientation.</w:t>
      </w:r>
      <w:r w:rsidR="00324046" w:rsidRPr="009609E3">
        <w:rPr>
          <w:rFonts w:ascii="Times New Roman" w:hAnsi="Times New Roman" w:cs="Times New Roman"/>
          <w:bCs/>
          <w:sz w:val="24"/>
          <w:szCs w:val="24"/>
          <w:lang w:val="en-GB"/>
        </w:rPr>
        <w:t xml:space="preserve"> </w:t>
      </w:r>
      <w:r w:rsidR="00B074B6" w:rsidRPr="009609E3">
        <w:rPr>
          <w:rFonts w:ascii="Times New Roman" w:hAnsi="Times New Roman" w:cs="Times New Roman"/>
          <w:sz w:val="24"/>
          <w:szCs w:val="24"/>
          <w:lang w:val="en-GB"/>
        </w:rPr>
        <w:t>In addition,</w:t>
      </w:r>
      <w:r w:rsidR="00324046" w:rsidRPr="009609E3">
        <w:rPr>
          <w:rFonts w:ascii="Times New Roman" w:hAnsi="Times New Roman" w:cs="Times New Roman"/>
          <w:sz w:val="24"/>
          <w:szCs w:val="24"/>
          <w:lang w:val="en-GB"/>
        </w:rPr>
        <w:t xml:space="preserve"> Croatia</w:t>
      </w:r>
      <w:r w:rsidRPr="009609E3">
        <w:rPr>
          <w:rFonts w:ascii="Times New Roman" w:hAnsi="Times New Roman" w:cs="Times New Roman"/>
          <w:sz w:val="24"/>
          <w:szCs w:val="24"/>
          <w:lang w:val="en-GB"/>
        </w:rPr>
        <w:t xml:space="preserve"> will continue with its efforts to prevent and address homophobic incidents and to combat hate crime against LGBTI </w:t>
      </w:r>
      <w:r w:rsidR="00EF71DB" w:rsidRPr="009609E3">
        <w:rPr>
          <w:rFonts w:ascii="Times New Roman" w:hAnsi="Times New Roman" w:cs="Times New Roman"/>
          <w:sz w:val="24"/>
          <w:szCs w:val="24"/>
          <w:lang w:val="en-GB"/>
        </w:rPr>
        <w:t xml:space="preserve">persons </w:t>
      </w:r>
      <w:r w:rsidRPr="009609E3">
        <w:rPr>
          <w:rFonts w:ascii="Times New Roman" w:hAnsi="Times New Roman" w:cs="Times New Roman"/>
          <w:sz w:val="24"/>
          <w:szCs w:val="24"/>
          <w:lang w:val="en-GB"/>
        </w:rPr>
        <w:t>in Croatia</w:t>
      </w:r>
      <w:r w:rsidR="005B35D9">
        <w:rPr>
          <w:rFonts w:ascii="Times New Roman" w:hAnsi="Times New Roman" w:cs="Times New Roman"/>
          <w:sz w:val="24"/>
          <w:szCs w:val="24"/>
          <w:lang w:val="en-GB"/>
        </w:rPr>
        <w:t xml:space="preserve"> also</w:t>
      </w:r>
      <w:r w:rsidRPr="009609E3">
        <w:rPr>
          <w:rFonts w:ascii="Times New Roman" w:hAnsi="Times New Roman" w:cs="Times New Roman"/>
          <w:sz w:val="24"/>
          <w:szCs w:val="24"/>
          <w:lang w:val="en-GB"/>
        </w:rPr>
        <w:t xml:space="preserve"> through education, tolerance building, and awareness-raising activities. </w:t>
      </w:r>
      <w:r w:rsidR="00EF71DB" w:rsidRPr="009609E3">
        <w:rPr>
          <w:rFonts w:ascii="Times New Roman" w:hAnsi="Times New Roman" w:cs="Times New Roman"/>
          <w:sz w:val="24"/>
          <w:szCs w:val="24"/>
          <w:lang w:val="en-GB"/>
        </w:rPr>
        <w:t>We are</w:t>
      </w:r>
      <w:r w:rsidRPr="009609E3">
        <w:rPr>
          <w:rFonts w:ascii="Times New Roman" w:hAnsi="Times New Roman" w:cs="Times New Roman"/>
          <w:sz w:val="24"/>
          <w:szCs w:val="24"/>
          <w:lang w:val="en-GB"/>
        </w:rPr>
        <w:t xml:space="preserve"> committed to a comprehensive protection of human rights with a conviction that all human rights are universal, indivisible, interrelated, interdependent, and mutually reinforcing. </w:t>
      </w:r>
      <w:r w:rsidR="00B074B6" w:rsidRPr="009609E3">
        <w:rPr>
          <w:rFonts w:ascii="Times New Roman" w:hAnsi="Times New Roman" w:cs="Times New Roman"/>
          <w:sz w:val="24"/>
          <w:szCs w:val="24"/>
          <w:lang w:val="en-GB"/>
        </w:rPr>
        <w:t>Croatia is a</w:t>
      </w:r>
      <w:r w:rsidR="00324046" w:rsidRPr="009609E3">
        <w:rPr>
          <w:rFonts w:ascii="Times New Roman" w:hAnsi="Times New Roman" w:cs="Times New Roman"/>
          <w:sz w:val="24"/>
          <w:szCs w:val="24"/>
          <w:lang w:val="en-GB"/>
        </w:rPr>
        <w:t xml:space="preserve"> member of the United Nations LGBTI Core Group for Combating Violence and Discrimination.</w:t>
      </w:r>
    </w:p>
    <w:p w14:paraId="3D85B449" w14:textId="77777777" w:rsidR="00EF71DB" w:rsidRPr="009609E3" w:rsidRDefault="006C0366" w:rsidP="00124BA0">
      <w:pPr>
        <w:spacing w:before="100" w:beforeAutospacing="1" w:after="100" w:afterAutospacing="1" w:line="240" w:lineRule="auto"/>
        <w:jc w:val="both"/>
        <w:rPr>
          <w:rFonts w:ascii="Times New Roman" w:hAnsi="Times New Roman" w:cs="Times New Roman"/>
          <w:b/>
          <w:sz w:val="24"/>
          <w:szCs w:val="24"/>
          <w:u w:val="single"/>
          <w:lang w:val="en-GB"/>
        </w:rPr>
      </w:pPr>
      <w:r w:rsidRPr="009609E3">
        <w:rPr>
          <w:rFonts w:ascii="Times New Roman" w:hAnsi="Times New Roman" w:cs="Times New Roman"/>
          <w:b/>
          <w:sz w:val="24"/>
          <w:szCs w:val="24"/>
          <w:u w:val="single"/>
          <w:lang w:val="en-GB"/>
        </w:rPr>
        <w:t>Legal framework</w:t>
      </w:r>
    </w:p>
    <w:p w14:paraId="4D623A46" w14:textId="3E9A56D2" w:rsidR="006C0366" w:rsidRDefault="00B5351B" w:rsidP="00124BA0">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sz w:val="24"/>
          <w:szCs w:val="24"/>
          <w:lang w:val="en-GB"/>
        </w:rPr>
        <w:t xml:space="preserve">The basic legal act in the Republic of Croatia, the </w:t>
      </w:r>
      <w:r w:rsidRPr="009609E3">
        <w:rPr>
          <w:rFonts w:ascii="Times New Roman" w:hAnsi="Times New Roman" w:cs="Times New Roman"/>
          <w:b/>
          <w:sz w:val="24"/>
          <w:szCs w:val="24"/>
          <w:lang w:val="en-GB"/>
        </w:rPr>
        <w:t>Constitution of the Republic of Croatia</w:t>
      </w:r>
      <w:r w:rsidRPr="009609E3">
        <w:rPr>
          <w:rFonts w:ascii="Times New Roman" w:hAnsi="Times New Roman" w:cs="Times New Roman"/>
          <w:sz w:val="24"/>
          <w:szCs w:val="24"/>
          <w:lang w:val="en-GB"/>
        </w:rPr>
        <w:t xml:space="preserve"> states equality as</w:t>
      </w:r>
      <w:r w:rsidR="006C0366" w:rsidRPr="009609E3">
        <w:rPr>
          <w:rFonts w:ascii="Times New Roman" w:hAnsi="Times New Roman" w:cs="Times New Roman"/>
          <w:sz w:val="24"/>
          <w:szCs w:val="24"/>
          <w:lang w:val="en-GB"/>
        </w:rPr>
        <w:t xml:space="preserve"> one of the fundamental values and </w:t>
      </w:r>
      <w:r w:rsidRPr="009609E3">
        <w:rPr>
          <w:rFonts w:ascii="Times New Roman" w:hAnsi="Times New Roman" w:cs="Times New Roman"/>
          <w:sz w:val="24"/>
          <w:szCs w:val="24"/>
          <w:lang w:val="en-GB"/>
        </w:rPr>
        <w:t xml:space="preserve">pays particular attention to the protection of human rights, combating discrimination and preventing abuse. </w:t>
      </w:r>
    </w:p>
    <w:p w14:paraId="40B72328" w14:textId="37CB0F21" w:rsidR="00E33B81" w:rsidRPr="00E33B81" w:rsidRDefault="00E33B81" w:rsidP="00E33B81">
      <w:pPr>
        <w:spacing w:before="100" w:beforeAutospacing="1" w:after="100" w:afterAutospacing="1" w:line="240" w:lineRule="auto"/>
        <w:jc w:val="both"/>
        <w:rPr>
          <w:rFonts w:ascii="Times New Roman" w:hAnsi="Times New Roman" w:cs="Times New Roman"/>
          <w:sz w:val="24"/>
          <w:szCs w:val="24"/>
          <w:lang w:val="en-GB"/>
        </w:rPr>
      </w:pPr>
      <w:r w:rsidRPr="00E33B81">
        <w:rPr>
          <w:rFonts w:ascii="Times New Roman" w:hAnsi="Times New Roman" w:cs="Times New Roman"/>
          <w:b/>
          <w:bCs/>
          <w:sz w:val="24"/>
          <w:szCs w:val="24"/>
          <w:lang w:val="en-GB"/>
        </w:rPr>
        <w:t>The Criminal Code</w:t>
      </w:r>
      <w:r w:rsidRPr="00E33B81">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E33B81">
        <w:rPr>
          <w:rFonts w:ascii="Times New Roman" w:hAnsi="Times New Roman" w:cs="Times New Roman"/>
          <w:sz w:val="24"/>
          <w:szCs w:val="24"/>
          <w:lang w:val="en-GB"/>
        </w:rPr>
        <w:t xml:space="preserve">hereinafter referred to as CC ) prescribes ,, Hate crime’’ in Article 87 paragraph 21, as follows: A hate crime shall mean a criminal offence committed on account of a person's race, colour, religion, national or ethnic origin, language, disability, gender, sexual orientation or gender identity. Unless a more severe punishment is explicitly prescribed by this Code, such conduct shall be taken as an aggravating circumstance.   </w:t>
      </w:r>
    </w:p>
    <w:p w14:paraId="4CCC8AE0" w14:textId="77777777" w:rsidR="00E33B81" w:rsidRPr="00E33B81" w:rsidRDefault="00E33B81" w:rsidP="00E33B81">
      <w:pPr>
        <w:spacing w:before="100" w:beforeAutospacing="1" w:after="100" w:afterAutospacing="1" w:line="240" w:lineRule="auto"/>
        <w:jc w:val="both"/>
        <w:rPr>
          <w:rFonts w:ascii="Times New Roman" w:hAnsi="Times New Roman" w:cs="Times New Roman"/>
          <w:sz w:val="24"/>
          <w:szCs w:val="24"/>
          <w:lang w:val="en-GB"/>
        </w:rPr>
      </w:pPr>
      <w:r w:rsidRPr="00E33B81">
        <w:rPr>
          <w:rFonts w:ascii="Times New Roman" w:hAnsi="Times New Roman" w:cs="Times New Roman"/>
          <w:sz w:val="24"/>
          <w:szCs w:val="24"/>
          <w:lang w:val="en-GB"/>
        </w:rPr>
        <w:t xml:space="preserve">The CC prescribes certain criminal offences where the motive </w:t>
      </w:r>
      <w:proofErr w:type="gramStart"/>
      <w:r w:rsidRPr="00E33B81">
        <w:rPr>
          <w:rFonts w:ascii="Times New Roman" w:hAnsi="Times New Roman" w:cs="Times New Roman"/>
          <w:sz w:val="24"/>
          <w:szCs w:val="24"/>
          <w:lang w:val="en-GB"/>
        </w:rPr>
        <w:t>,,out</w:t>
      </w:r>
      <w:proofErr w:type="gramEnd"/>
      <w:r w:rsidRPr="00E33B81">
        <w:rPr>
          <w:rFonts w:ascii="Times New Roman" w:hAnsi="Times New Roman" w:cs="Times New Roman"/>
          <w:sz w:val="24"/>
          <w:szCs w:val="24"/>
          <w:lang w:val="en-GB"/>
        </w:rPr>
        <w:t xml:space="preserve"> of hatred” is integral part of the legal description of the criminal offence (such as, for example Aggravated Murder, Bodily Injury, Serious Bodily Injury…) and a more severe punishment is explicitly prescribed by the Criminal Code. For all other criminal offences, the legal description of which does not explicitly contain the motive </w:t>
      </w:r>
      <w:proofErr w:type="gramStart"/>
      <w:r w:rsidRPr="00E33B81">
        <w:rPr>
          <w:rFonts w:ascii="Times New Roman" w:hAnsi="Times New Roman" w:cs="Times New Roman"/>
          <w:sz w:val="24"/>
          <w:szCs w:val="24"/>
          <w:lang w:val="en-GB"/>
        </w:rPr>
        <w:t>,,out</w:t>
      </w:r>
      <w:proofErr w:type="gramEnd"/>
      <w:r w:rsidRPr="00E33B81">
        <w:rPr>
          <w:rFonts w:ascii="Times New Roman" w:hAnsi="Times New Roman" w:cs="Times New Roman"/>
          <w:sz w:val="24"/>
          <w:szCs w:val="24"/>
          <w:lang w:val="en-GB"/>
        </w:rPr>
        <w:t xml:space="preserve"> of hatred” alongside with a more severe punishment, the fact that it was committed out of hatred shall be taken as an aggravating circumstance when determining the sentence.</w:t>
      </w:r>
    </w:p>
    <w:p w14:paraId="5DF888F1" w14:textId="77777777" w:rsidR="00E33B81" w:rsidRPr="00E33B81" w:rsidRDefault="00E33B81" w:rsidP="00E33B81">
      <w:pPr>
        <w:spacing w:before="100" w:beforeAutospacing="1" w:after="100" w:afterAutospacing="1" w:line="240" w:lineRule="auto"/>
        <w:jc w:val="both"/>
        <w:rPr>
          <w:rFonts w:ascii="Times New Roman" w:hAnsi="Times New Roman" w:cs="Times New Roman"/>
          <w:sz w:val="24"/>
          <w:szCs w:val="24"/>
          <w:lang w:val="en-GB"/>
        </w:rPr>
      </w:pPr>
      <w:r w:rsidRPr="00E33B81">
        <w:rPr>
          <w:rFonts w:ascii="Times New Roman" w:hAnsi="Times New Roman" w:cs="Times New Roman"/>
          <w:sz w:val="24"/>
          <w:szCs w:val="24"/>
          <w:lang w:val="en-GB"/>
        </w:rPr>
        <w:lastRenderedPageBreak/>
        <w:t>By the Act on Amendments to the Criminal Code (Official Gazette no. 126/19) for a number of criminal offences containing the motive ,,out of hatred'' the prescribed sentences were made stricter (for example Bodily Injury, Serious Bodily Injury). Stricter sentences were also prescribed for criminal offences Domestic Violence (Article 179a of the CC), Rape (Article 153 of the CC), Sexual Harassment (Article 156 of the CC), Lewd Acts (Article 155 of the CC), Serious Criminal Offences against Sexual Freedom (Article 154 of the CC). Also, the concept of the criminal offence Rape was changed in a way that any non-consensual sexual intercourse or sexual act equated with it shall be considered a criminal offense of Rape, even when there is no use of force or threat to the life and body of the raped or other person.</w:t>
      </w:r>
    </w:p>
    <w:p w14:paraId="22AA7007" w14:textId="77777777" w:rsidR="00E33B81" w:rsidRPr="00E33B81" w:rsidRDefault="00E33B81" w:rsidP="00E33B81">
      <w:pPr>
        <w:spacing w:before="100" w:beforeAutospacing="1" w:after="100" w:afterAutospacing="1" w:line="240" w:lineRule="auto"/>
        <w:jc w:val="both"/>
        <w:rPr>
          <w:rFonts w:ascii="Times New Roman" w:hAnsi="Times New Roman" w:cs="Times New Roman"/>
          <w:sz w:val="24"/>
          <w:szCs w:val="24"/>
          <w:lang w:val="en-GB"/>
        </w:rPr>
      </w:pPr>
      <w:r w:rsidRPr="00E33B81">
        <w:rPr>
          <w:rFonts w:ascii="Times New Roman" w:hAnsi="Times New Roman" w:cs="Times New Roman"/>
          <w:sz w:val="24"/>
          <w:szCs w:val="24"/>
          <w:lang w:val="en-GB"/>
        </w:rPr>
        <w:t>The CC prescribes criminal offence of Violation of Equality in Article 125. The perpetrator of this offence is whoever, on the basis of race, ethnic affiliation, skin colour, gender, language, religion, political and other convictions, national or social origin, property, birth, education, social status, marital or family status, age, state of health, disability, genetic inheritance, gender identity, expression, sexual orientation or other characteristics, denies, limits or conditions another the right to acquire goods or receive services, the right to carry out an activity, the right to employment and promotion,  or whoever on the basis of any such characteristic or affiliation gives another privileges or advantages. The perpetrator shall be punished by imprisonment not exceeding three years. The same punishment shall be inflicted on whoever persecutes individuals or organisations because of their commitment to equality of people.</w:t>
      </w:r>
    </w:p>
    <w:p w14:paraId="42019D9E" w14:textId="7A368B80" w:rsidR="00E33B81" w:rsidRDefault="00E33B81" w:rsidP="00E33B81">
      <w:pPr>
        <w:spacing w:before="100" w:beforeAutospacing="1" w:after="100" w:afterAutospacing="1" w:line="240" w:lineRule="auto"/>
        <w:jc w:val="both"/>
        <w:rPr>
          <w:rFonts w:ascii="Times New Roman" w:hAnsi="Times New Roman" w:cs="Times New Roman"/>
          <w:sz w:val="24"/>
          <w:szCs w:val="24"/>
          <w:lang w:val="en-GB"/>
        </w:rPr>
      </w:pPr>
      <w:r w:rsidRPr="00E33B81">
        <w:rPr>
          <w:rFonts w:ascii="Times New Roman" w:hAnsi="Times New Roman" w:cs="Times New Roman"/>
          <w:sz w:val="24"/>
          <w:szCs w:val="24"/>
          <w:lang w:val="en-GB"/>
        </w:rPr>
        <w:t>Furthermore the Article 325 of the Criminal Code prescribes criminal offence Public Incitement to Violence and Hatred.</w:t>
      </w:r>
    </w:p>
    <w:p w14:paraId="1E05CB31" w14:textId="77777777" w:rsidR="00E33B81" w:rsidRPr="003172D5" w:rsidRDefault="00E33B81" w:rsidP="00E33B81">
      <w:pPr>
        <w:spacing w:line="256" w:lineRule="auto"/>
        <w:jc w:val="center"/>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Public Incitement to Violence and Hatred</w:t>
      </w:r>
    </w:p>
    <w:p w14:paraId="5F50D79D" w14:textId="77777777" w:rsidR="00E33B81" w:rsidRPr="003172D5" w:rsidRDefault="00E33B81" w:rsidP="00E33B81">
      <w:pPr>
        <w:spacing w:line="256" w:lineRule="auto"/>
        <w:jc w:val="center"/>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Article 325 of the Criminal Code</w:t>
      </w:r>
    </w:p>
    <w:p w14:paraId="3B6C8072" w14:textId="77777777" w:rsidR="00E33B81" w:rsidRPr="003172D5" w:rsidRDefault="00E33B81" w:rsidP="00E33B81">
      <w:pPr>
        <w:spacing w:line="256" w:lineRule="auto"/>
        <w:jc w:val="both"/>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 xml:space="preserve">(1) Whoever in print, through radio, television, computer system or network, at a public gathering or in some other way publicly incites to or makes available to the public tracts, pictures or other material instigating violence or hatred directed against a group of persons or a member of such a group on account of their race, religion, national or ethnic origin, language, descent, colour, </w:t>
      </w:r>
      <w:r w:rsidRPr="003172D5">
        <w:rPr>
          <w:rFonts w:ascii="Times New Roman" w:eastAsia="Calibri" w:hAnsi="Times New Roman" w:cs="Times New Roman"/>
          <w:sz w:val="24"/>
          <w:szCs w:val="24"/>
          <w:u w:val="single"/>
          <w:lang w:val="en-GB"/>
        </w:rPr>
        <w:t>gender, sexual orientation, gender identity</w:t>
      </w:r>
      <w:r w:rsidRPr="003172D5">
        <w:rPr>
          <w:rFonts w:ascii="Times New Roman" w:eastAsia="Calibri" w:hAnsi="Times New Roman" w:cs="Times New Roman"/>
          <w:sz w:val="24"/>
          <w:szCs w:val="24"/>
          <w:lang w:val="en-GB"/>
        </w:rPr>
        <w:t xml:space="preserve">, disability or any other characteristics  shall be punished by imprisonment not exceeding three years. </w:t>
      </w:r>
    </w:p>
    <w:p w14:paraId="4C886A28" w14:textId="77777777" w:rsidR="00E33B81" w:rsidRPr="003172D5" w:rsidRDefault="00E33B81" w:rsidP="00E33B81">
      <w:pPr>
        <w:spacing w:line="256" w:lineRule="auto"/>
        <w:jc w:val="both"/>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 xml:space="preserve">(2) Whoever organises or runs a group of three or more persons for the purpose of committing the offence referred to in paragraph 1 of this Article shall be punished by imprisonment from six months to five years. </w:t>
      </w:r>
    </w:p>
    <w:p w14:paraId="285D6B15" w14:textId="77777777" w:rsidR="00E33B81" w:rsidRPr="003172D5" w:rsidRDefault="00E33B81" w:rsidP="00E33B81">
      <w:pPr>
        <w:spacing w:line="256" w:lineRule="auto"/>
        <w:jc w:val="both"/>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(3) Whoever participates in the association referred to in paragraph 2 of this Article shall be punished by imprisonment not exceeding one year.</w:t>
      </w:r>
    </w:p>
    <w:p w14:paraId="22E1C359" w14:textId="77777777" w:rsidR="00E33B81" w:rsidRPr="003172D5" w:rsidRDefault="00E33B81" w:rsidP="00E33B81">
      <w:pPr>
        <w:spacing w:line="256" w:lineRule="auto"/>
        <w:jc w:val="both"/>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 xml:space="preserve">(4) The same punishment as referred to in paragraph 1 of this Article shall be inflicted on whoever publicly approves of, denies or grossly trivialises the crimes of genocide, crimes of aggression, crimes against humanity or war crimes, directed against a group of persons or a member of such a group on account of their race, religion, national or ethnic origin, descent or colour in a manner likely to incite to violence or hatred against such a group or a member of such a group. </w:t>
      </w:r>
    </w:p>
    <w:p w14:paraId="4A0FE215" w14:textId="77777777" w:rsidR="00E33B81" w:rsidRPr="003172D5" w:rsidRDefault="00E33B81" w:rsidP="00E33B81">
      <w:pPr>
        <w:spacing w:line="256" w:lineRule="auto"/>
        <w:jc w:val="both"/>
        <w:rPr>
          <w:rFonts w:ascii="Times New Roman" w:eastAsia="Calibri" w:hAnsi="Times New Roman" w:cs="Times New Roman"/>
          <w:sz w:val="24"/>
          <w:szCs w:val="24"/>
          <w:lang w:val="en-GB"/>
        </w:rPr>
      </w:pPr>
      <w:r w:rsidRPr="003172D5">
        <w:rPr>
          <w:rFonts w:ascii="Times New Roman" w:eastAsia="Calibri" w:hAnsi="Times New Roman" w:cs="Times New Roman"/>
          <w:sz w:val="24"/>
          <w:szCs w:val="24"/>
          <w:lang w:val="en-GB"/>
        </w:rPr>
        <w:t>(5) The attempt of criminal offence referred to in paragraph 1 and 4 of this Article shall be punishable.</w:t>
      </w:r>
    </w:p>
    <w:p w14:paraId="5E6114AC" w14:textId="77777777" w:rsidR="00E33B81" w:rsidRPr="003172D5" w:rsidRDefault="00E33B81" w:rsidP="00E33B81">
      <w:pPr>
        <w:spacing w:line="276" w:lineRule="auto"/>
        <w:jc w:val="both"/>
        <w:rPr>
          <w:rFonts w:ascii="Times New Roman" w:hAnsi="Times New Roman" w:cs="Times New Roman"/>
          <w:sz w:val="24"/>
          <w:szCs w:val="24"/>
          <w:lang w:val="en-GB"/>
        </w:rPr>
      </w:pPr>
    </w:p>
    <w:p w14:paraId="4D62EA8B" w14:textId="7B961690"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The aforesaid criminal offences shall be prosecuted ex officio. According to the </w:t>
      </w:r>
      <w:r w:rsidRPr="003172D5">
        <w:rPr>
          <w:rFonts w:ascii="Times New Roman" w:hAnsi="Times New Roman" w:cs="Times New Roman"/>
          <w:b/>
          <w:bCs/>
          <w:sz w:val="24"/>
          <w:szCs w:val="24"/>
          <w:lang w:val="en-GB"/>
        </w:rPr>
        <w:t>Criminal Procedure Act</w:t>
      </w:r>
      <w:r w:rsidRPr="003172D5">
        <w:rPr>
          <w:rFonts w:ascii="Times New Roman" w:hAnsi="Times New Roman" w:cs="Times New Roman"/>
          <w:sz w:val="24"/>
          <w:szCs w:val="24"/>
          <w:lang w:val="en-GB"/>
        </w:rPr>
        <w:t xml:space="preserve"> (hereinafter referred to as CPA) , unless otherwise provided by law, the State Attorney shall initiate criminal proceedings if there are reasonable grounds for believing that a particular person committed a criminal offence prosecuted ex officio and there are no statutory obstacles to the prosecution of the said person.</w:t>
      </w:r>
      <w:r w:rsidRPr="003172D5">
        <w:rPr>
          <w:rFonts w:ascii="Times New Roman" w:hAnsi="Times New Roman" w:cs="Times New Roman"/>
          <w:sz w:val="24"/>
          <w:szCs w:val="24"/>
        </w:rPr>
        <w:t xml:space="preserve"> </w:t>
      </w:r>
      <w:r w:rsidRPr="003172D5">
        <w:rPr>
          <w:rFonts w:ascii="Times New Roman" w:hAnsi="Times New Roman" w:cs="Times New Roman"/>
          <w:sz w:val="24"/>
          <w:szCs w:val="24"/>
          <w:lang w:val="en-GB"/>
        </w:rPr>
        <w:t>Proceedings shall be conducted without delay. In the case of proceedings in which the defendant has been temporarily deprived of liberty, the court and state bodies shall proceed with particular urgency.</w:t>
      </w:r>
    </w:p>
    <w:p w14:paraId="54CC6DF7" w14:textId="3ED8112C"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According to the CPA, the victim has, among other, the right to access services providing support to victims of criminal offences, the right to efficient psychological and other professional assistance and support of the body, authority or institution providing assistance to victims of criminal offences as provided for by law, the right to protection from intimidation and retaliation and the right to protection of the dignity of the victim when testifying.</w:t>
      </w:r>
      <w:r w:rsidRPr="003172D5">
        <w:rPr>
          <w:rFonts w:ascii="Times New Roman" w:hAnsi="Times New Roman" w:cs="Times New Roman"/>
          <w:sz w:val="24"/>
          <w:szCs w:val="24"/>
        </w:rPr>
        <w:t xml:space="preserve"> </w:t>
      </w:r>
      <w:r w:rsidRPr="003172D5">
        <w:rPr>
          <w:rFonts w:ascii="Times New Roman" w:hAnsi="Times New Roman" w:cs="Times New Roman"/>
          <w:sz w:val="24"/>
          <w:szCs w:val="24"/>
          <w:lang w:val="en-GB"/>
        </w:rPr>
        <w:t>Before questioning the victim, the body conducting the questioning shall carry out, in cooperation with the bodies, organisations or institutions providing assistance and support to victims of criminal offences, an individual assessment of the victim. The individual assessment shall include establishing whether there is a need to take special protection measures in respect of the victim and if yes, which ones (special method of questioning the victim, use of communication technology so as to avoid visual contact between the victim and the perpetrator and other measures provided for by law). Where the victim of a criminal offence is a child, it shall be presumed that special protection measures need to be taken and it shall be established which ones. The individual assessment of a victim shall take into account the personal characteristics of the victim, the type or nature of the criminal offences and the circumstances of the criminal offence. In this context particular attention shall be paid to victims who have suffered considerable harm due to the severity of the criminal offence, victims of a criminal offence committed with a bias related to their personal characteristics and victims whose relationship to the perpetrator makes them particularly vulnerable. In the same terms, victims of terrorism, organised crime, human trafficking, gender-based violence, violence in a close relationship, sexual violence and exploitation, hate crime and victims with disabilities shall be duly included in the individual assessment.</w:t>
      </w:r>
    </w:p>
    <w:p w14:paraId="41A38A0D" w14:textId="77777777" w:rsidR="00E33B81" w:rsidRPr="003172D5" w:rsidRDefault="00E33B81" w:rsidP="00E33B81">
      <w:pPr>
        <w:spacing w:line="276" w:lineRule="auto"/>
        <w:jc w:val="both"/>
        <w:rPr>
          <w:rFonts w:ascii="Times New Roman" w:hAnsi="Times New Roman" w:cs="Times New Roman"/>
          <w:sz w:val="24"/>
          <w:szCs w:val="24"/>
        </w:rPr>
      </w:pPr>
      <w:r w:rsidRPr="003172D5">
        <w:rPr>
          <w:rFonts w:ascii="Times New Roman" w:hAnsi="Times New Roman" w:cs="Times New Roman"/>
          <w:sz w:val="24"/>
          <w:szCs w:val="24"/>
          <w:lang w:val="en-GB"/>
        </w:rPr>
        <w:t xml:space="preserve">CC is harmonized with </w:t>
      </w:r>
      <w:proofErr w:type="spellStart"/>
      <w:r w:rsidRPr="003172D5">
        <w:rPr>
          <w:rFonts w:ascii="Times New Roman" w:hAnsi="Times New Roman" w:cs="Times New Roman"/>
          <w:sz w:val="24"/>
          <w:szCs w:val="24"/>
        </w:rPr>
        <w:t>Council</w:t>
      </w:r>
      <w:proofErr w:type="spellEnd"/>
      <w:r w:rsidRPr="003172D5">
        <w:rPr>
          <w:rFonts w:ascii="Times New Roman" w:hAnsi="Times New Roman" w:cs="Times New Roman"/>
          <w:sz w:val="24"/>
          <w:szCs w:val="24"/>
        </w:rPr>
        <w:t> </w:t>
      </w:r>
      <w:r w:rsidRPr="003172D5">
        <w:rPr>
          <w:rFonts w:ascii="Times New Roman" w:hAnsi="Times New Roman" w:cs="Times New Roman"/>
          <w:bCs/>
          <w:sz w:val="24"/>
          <w:szCs w:val="24"/>
        </w:rPr>
        <w:t xml:space="preserve">Framework </w:t>
      </w:r>
      <w:proofErr w:type="spellStart"/>
      <w:r w:rsidRPr="003172D5">
        <w:rPr>
          <w:rFonts w:ascii="Times New Roman" w:hAnsi="Times New Roman" w:cs="Times New Roman"/>
          <w:bCs/>
          <w:sz w:val="24"/>
          <w:szCs w:val="24"/>
        </w:rPr>
        <w:t>Decision</w:t>
      </w:r>
      <w:proofErr w:type="spellEnd"/>
      <w:r w:rsidRPr="003172D5">
        <w:rPr>
          <w:rFonts w:ascii="Times New Roman" w:hAnsi="Times New Roman" w:cs="Times New Roman"/>
          <w:bCs/>
          <w:sz w:val="24"/>
          <w:szCs w:val="24"/>
        </w:rPr>
        <w:t xml:space="preserve"> 2008/913</w:t>
      </w:r>
      <w:r w:rsidRPr="003172D5">
        <w:rPr>
          <w:rFonts w:ascii="Times New Roman" w:hAnsi="Times New Roman" w:cs="Times New Roman"/>
          <w:sz w:val="24"/>
          <w:szCs w:val="24"/>
        </w:rPr>
        <w:t xml:space="preserve">/JHA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28 </w:t>
      </w:r>
      <w:proofErr w:type="spellStart"/>
      <w:r w:rsidRPr="003172D5">
        <w:rPr>
          <w:rFonts w:ascii="Times New Roman" w:hAnsi="Times New Roman" w:cs="Times New Roman"/>
          <w:sz w:val="24"/>
          <w:szCs w:val="24"/>
        </w:rPr>
        <w:t>November</w:t>
      </w:r>
      <w:proofErr w:type="spellEnd"/>
      <w:r w:rsidRPr="003172D5">
        <w:rPr>
          <w:rFonts w:ascii="Times New Roman" w:hAnsi="Times New Roman" w:cs="Times New Roman"/>
          <w:sz w:val="24"/>
          <w:szCs w:val="24"/>
        </w:rPr>
        <w:t xml:space="preserve"> 2008 on </w:t>
      </w:r>
      <w:proofErr w:type="spellStart"/>
      <w:r w:rsidRPr="003172D5">
        <w:rPr>
          <w:rFonts w:ascii="Times New Roman" w:hAnsi="Times New Roman" w:cs="Times New Roman"/>
          <w:sz w:val="24"/>
          <w:szCs w:val="24"/>
        </w:rPr>
        <w:t>combating</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certain</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forms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expressions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racism</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xenophobia</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by</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means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criminal</w:t>
      </w:r>
      <w:proofErr w:type="spellEnd"/>
      <w:r w:rsidRPr="003172D5">
        <w:rPr>
          <w:rFonts w:ascii="Times New Roman" w:hAnsi="Times New Roman" w:cs="Times New Roman"/>
          <w:sz w:val="24"/>
          <w:szCs w:val="24"/>
        </w:rPr>
        <w:t> </w:t>
      </w:r>
      <w:proofErr w:type="spellStart"/>
      <w:r w:rsidRPr="003172D5">
        <w:rPr>
          <w:rFonts w:ascii="Times New Roman" w:hAnsi="Times New Roman" w:cs="Times New Roman"/>
          <w:sz w:val="24"/>
          <w:szCs w:val="24"/>
        </w:rPr>
        <w:t>law</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Additional</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Protocol</w:t>
      </w:r>
      <w:proofErr w:type="spellEnd"/>
      <w:r w:rsidRPr="003172D5">
        <w:rPr>
          <w:rFonts w:ascii="Times New Roman" w:hAnsi="Times New Roman" w:cs="Times New Roman"/>
          <w:sz w:val="24"/>
          <w:szCs w:val="24"/>
        </w:rPr>
        <w:t xml:space="preserve"> to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Convention</w:t>
      </w:r>
      <w:proofErr w:type="spellEnd"/>
      <w:r w:rsidRPr="003172D5">
        <w:rPr>
          <w:rFonts w:ascii="Times New Roman" w:hAnsi="Times New Roman" w:cs="Times New Roman"/>
          <w:sz w:val="24"/>
          <w:szCs w:val="24"/>
        </w:rPr>
        <w:t xml:space="preserve"> on </w:t>
      </w:r>
      <w:proofErr w:type="spellStart"/>
      <w:r w:rsidRPr="003172D5">
        <w:rPr>
          <w:rFonts w:ascii="Times New Roman" w:hAnsi="Times New Roman" w:cs="Times New Roman"/>
          <w:sz w:val="24"/>
          <w:szCs w:val="24"/>
        </w:rPr>
        <w:t>Cybercrime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concerning</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criminalisation</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acts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a </w:t>
      </w:r>
      <w:proofErr w:type="spellStart"/>
      <w:r w:rsidRPr="003172D5">
        <w:rPr>
          <w:rFonts w:ascii="Times New Roman" w:hAnsi="Times New Roman" w:cs="Times New Roman"/>
          <w:sz w:val="24"/>
          <w:szCs w:val="24"/>
        </w:rPr>
        <w:t>racist</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xenofobic</w:t>
      </w:r>
      <w:proofErr w:type="spellEnd"/>
      <w:r w:rsidRPr="003172D5">
        <w:rPr>
          <w:rFonts w:ascii="Times New Roman" w:hAnsi="Times New Roman" w:cs="Times New Roman"/>
          <w:sz w:val="24"/>
          <w:szCs w:val="24"/>
        </w:rPr>
        <w:t xml:space="preserve"> nature </w:t>
      </w:r>
      <w:proofErr w:type="spellStart"/>
      <w:r w:rsidRPr="003172D5">
        <w:rPr>
          <w:rFonts w:ascii="Times New Roman" w:hAnsi="Times New Roman" w:cs="Times New Roman"/>
          <w:sz w:val="24"/>
          <w:szCs w:val="24"/>
        </w:rPr>
        <w:t>commited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through</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computer</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systems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CPA </w:t>
      </w:r>
      <w:proofErr w:type="spellStart"/>
      <w:r w:rsidRPr="003172D5">
        <w:rPr>
          <w:rFonts w:ascii="Times New Roman" w:hAnsi="Times New Roman" w:cs="Times New Roman"/>
          <w:sz w:val="24"/>
          <w:szCs w:val="24"/>
        </w:rPr>
        <w:t>is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in</w:t>
      </w:r>
      <w:proofErr w:type="spellEnd"/>
      <w:r w:rsidRPr="003172D5">
        <w:rPr>
          <w:rFonts w:ascii="Times New Roman" w:hAnsi="Times New Roman" w:cs="Times New Roman"/>
          <w:sz w:val="24"/>
          <w:szCs w:val="24"/>
        </w:rPr>
        <w:t xml:space="preserve"> line </w:t>
      </w:r>
      <w:proofErr w:type="spellStart"/>
      <w:r w:rsidRPr="003172D5">
        <w:rPr>
          <w:rFonts w:ascii="Times New Roman" w:hAnsi="Times New Roman" w:cs="Times New Roman"/>
          <w:sz w:val="24"/>
          <w:szCs w:val="24"/>
        </w:rPr>
        <w:t>with</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Directive</w:t>
      </w:r>
      <w:proofErr w:type="spellEnd"/>
      <w:r w:rsidRPr="003172D5">
        <w:rPr>
          <w:rFonts w:ascii="Times New Roman" w:hAnsi="Times New Roman" w:cs="Times New Roman"/>
          <w:sz w:val="24"/>
          <w:szCs w:val="24"/>
        </w:rPr>
        <w:t xml:space="preserve"> 2012/29/EU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European </w:t>
      </w:r>
      <w:proofErr w:type="spellStart"/>
      <w:r w:rsidRPr="003172D5">
        <w:rPr>
          <w:rFonts w:ascii="Times New Roman" w:hAnsi="Times New Roman" w:cs="Times New Roman"/>
          <w:sz w:val="24"/>
          <w:szCs w:val="24"/>
        </w:rPr>
        <w:t>Parliament</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Council</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25 </w:t>
      </w:r>
      <w:proofErr w:type="spellStart"/>
      <w:r w:rsidRPr="003172D5">
        <w:rPr>
          <w:rFonts w:ascii="Times New Roman" w:hAnsi="Times New Roman" w:cs="Times New Roman"/>
          <w:sz w:val="24"/>
          <w:szCs w:val="24"/>
        </w:rPr>
        <w:t>October</w:t>
      </w:r>
      <w:proofErr w:type="spellEnd"/>
      <w:r w:rsidRPr="003172D5">
        <w:rPr>
          <w:rFonts w:ascii="Times New Roman" w:hAnsi="Times New Roman" w:cs="Times New Roman"/>
          <w:sz w:val="24"/>
          <w:szCs w:val="24"/>
        </w:rPr>
        <w:t xml:space="preserve"> 2012 </w:t>
      </w:r>
      <w:proofErr w:type="spellStart"/>
      <w:r w:rsidRPr="003172D5">
        <w:rPr>
          <w:rFonts w:ascii="Times New Roman" w:hAnsi="Times New Roman" w:cs="Times New Roman"/>
          <w:sz w:val="24"/>
          <w:szCs w:val="24"/>
        </w:rPr>
        <w:t>establishing</w:t>
      </w:r>
      <w:proofErr w:type="spellEnd"/>
      <w:r w:rsidRPr="003172D5">
        <w:rPr>
          <w:rFonts w:ascii="Times New Roman" w:hAnsi="Times New Roman" w:cs="Times New Roman"/>
          <w:sz w:val="24"/>
          <w:szCs w:val="24"/>
        </w:rPr>
        <w:t xml:space="preserve"> minimum </w:t>
      </w:r>
      <w:proofErr w:type="spellStart"/>
      <w:r w:rsidRPr="003172D5">
        <w:rPr>
          <w:rFonts w:ascii="Times New Roman" w:hAnsi="Times New Roman" w:cs="Times New Roman"/>
          <w:sz w:val="24"/>
          <w:szCs w:val="24"/>
        </w:rPr>
        <w:t>standards</w:t>
      </w:r>
      <w:proofErr w:type="spellEnd"/>
      <w:r w:rsidRPr="003172D5">
        <w:rPr>
          <w:rFonts w:ascii="Times New Roman" w:hAnsi="Times New Roman" w:cs="Times New Roman"/>
          <w:sz w:val="24"/>
          <w:szCs w:val="24"/>
        </w:rPr>
        <w:t xml:space="preserve"> on </w:t>
      </w:r>
      <w:proofErr w:type="spellStart"/>
      <w:r w:rsidRPr="003172D5">
        <w:rPr>
          <w:rFonts w:ascii="Times New Roman" w:hAnsi="Times New Roman" w:cs="Times New Roman"/>
          <w:sz w:val="24"/>
          <w:szCs w:val="24"/>
        </w:rPr>
        <w:t>the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rights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support</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protection</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victims</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of</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crime</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and</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replacing</w:t>
      </w:r>
      <w:proofErr w:type="spellEnd"/>
      <w:r w:rsidRPr="003172D5">
        <w:rPr>
          <w:rFonts w:ascii="Times New Roman" w:hAnsi="Times New Roman" w:cs="Times New Roman"/>
          <w:sz w:val="24"/>
          <w:szCs w:val="24"/>
        </w:rPr>
        <w:t xml:space="preserve"> </w:t>
      </w:r>
      <w:proofErr w:type="spellStart"/>
      <w:r w:rsidRPr="003172D5">
        <w:rPr>
          <w:rFonts w:ascii="Times New Roman" w:hAnsi="Times New Roman" w:cs="Times New Roman"/>
          <w:sz w:val="24"/>
          <w:szCs w:val="24"/>
        </w:rPr>
        <w:t>Council</w:t>
      </w:r>
      <w:proofErr w:type="spellEnd"/>
      <w:r w:rsidRPr="003172D5">
        <w:rPr>
          <w:rFonts w:ascii="Times New Roman" w:hAnsi="Times New Roman" w:cs="Times New Roman"/>
          <w:sz w:val="24"/>
          <w:szCs w:val="24"/>
        </w:rPr>
        <w:t xml:space="preserve"> Framework </w:t>
      </w:r>
      <w:proofErr w:type="spellStart"/>
      <w:r w:rsidRPr="003172D5">
        <w:rPr>
          <w:rFonts w:ascii="Times New Roman" w:hAnsi="Times New Roman" w:cs="Times New Roman"/>
          <w:sz w:val="24"/>
          <w:szCs w:val="24"/>
        </w:rPr>
        <w:t>Decision</w:t>
      </w:r>
      <w:proofErr w:type="spellEnd"/>
      <w:r w:rsidRPr="003172D5">
        <w:rPr>
          <w:rFonts w:ascii="Times New Roman" w:hAnsi="Times New Roman" w:cs="Times New Roman"/>
          <w:sz w:val="24"/>
          <w:szCs w:val="24"/>
        </w:rPr>
        <w:t xml:space="preserve"> 2001/220/JHA.</w:t>
      </w:r>
    </w:p>
    <w:p w14:paraId="4C625C88" w14:textId="77777777" w:rsidR="00EF71DB" w:rsidRPr="009609E3" w:rsidRDefault="00EF71DB" w:rsidP="00124BA0">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sz w:val="24"/>
          <w:szCs w:val="24"/>
          <w:lang w:val="en-GB"/>
        </w:rPr>
        <w:t xml:space="preserve">In Croatian legislation, the concept of gender and gender identity is contained in </w:t>
      </w:r>
      <w:r w:rsidR="005B35D9">
        <w:rPr>
          <w:rFonts w:ascii="Times New Roman" w:hAnsi="Times New Roman" w:cs="Times New Roman"/>
          <w:sz w:val="24"/>
          <w:szCs w:val="24"/>
          <w:lang w:val="en-GB"/>
        </w:rPr>
        <w:t>the following acts:</w:t>
      </w:r>
    </w:p>
    <w:p w14:paraId="7484A3B9" w14:textId="77777777" w:rsidR="00B5351B" w:rsidRPr="009609E3" w:rsidRDefault="00B5351B" w:rsidP="00124BA0">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b/>
          <w:sz w:val="24"/>
          <w:szCs w:val="24"/>
          <w:u w:val="single"/>
          <w:lang w:val="en-GB"/>
        </w:rPr>
        <w:t>Anti-Discrimination Act (OG 85/08, 112/12)</w:t>
      </w:r>
      <w:r w:rsidR="00EF71DB" w:rsidRPr="009609E3">
        <w:rPr>
          <w:rFonts w:ascii="Times New Roman" w:hAnsi="Times New Roman" w:cs="Times New Roman"/>
          <w:b/>
          <w:sz w:val="24"/>
          <w:szCs w:val="24"/>
          <w:u w:val="single"/>
          <w:lang w:val="en-GB"/>
        </w:rPr>
        <w:t xml:space="preserve"> </w:t>
      </w:r>
      <w:r w:rsidRPr="009609E3">
        <w:rPr>
          <w:rFonts w:ascii="Times New Roman" w:hAnsi="Times New Roman" w:cs="Times New Roman"/>
          <w:sz w:val="24"/>
          <w:szCs w:val="24"/>
          <w:lang w:val="en-GB"/>
        </w:rPr>
        <w:t xml:space="preserve">ensures the protection and promotion of equality as the highest values ​​of the constitutional order of the Republic of Croatia. </w:t>
      </w:r>
      <w:r w:rsidRPr="009609E3">
        <w:rPr>
          <w:rFonts w:ascii="Times New Roman" w:hAnsi="Times New Roman" w:cs="Times New Roman"/>
          <w:sz w:val="24"/>
          <w:szCs w:val="24"/>
          <w:shd w:val="clear" w:color="auto" w:fill="FFFFFF"/>
          <w:lang w:val="en-GB"/>
        </w:rPr>
        <w:t>Th</w:t>
      </w:r>
      <w:r w:rsidR="009609E3" w:rsidRPr="009609E3">
        <w:rPr>
          <w:rFonts w:ascii="Times New Roman" w:hAnsi="Times New Roman" w:cs="Times New Roman"/>
          <w:sz w:val="24"/>
          <w:szCs w:val="24"/>
          <w:shd w:val="clear" w:color="auto" w:fill="FFFFFF"/>
          <w:lang w:val="en-GB"/>
        </w:rPr>
        <w:t xml:space="preserve">is </w:t>
      </w:r>
      <w:r w:rsidR="00124BA0" w:rsidRPr="009609E3">
        <w:rPr>
          <w:rFonts w:ascii="Times New Roman" w:hAnsi="Times New Roman" w:cs="Times New Roman"/>
          <w:sz w:val="24"/>
          <w:szCs w:val="24"/>
          <w:shd w:val="clear" w:color="auto" w:fill="FFFFFF"/>
          <w:lang w:val="en-GB"/>
        </w:rPr>
        <w:t>Act fulfil</w:t>
      </w:r>
      <w:r w:rsidRPr="009609E3">
        <w:rPr>
          <w:rFonts w:ascii="Times New Roman" w:hAnsi="Times New Roman" w:cs="Times New Roman"/>
          <w:sz w:val="24"/>
          <w:szCs w:val="24"/>
          <w:shd w:val="clear" w:color="auto" w:fill="FFFFFF"/>
          <w:lang w:val="en-GB"/>
        </w:rPr>
        <w:t xml:space="preserve">s the </w:t>
      </w:r>
      <w:r w:rsidRPr="009609E3">
        <w:rPr>
          <w:rFonts w:ascii="Times New Roman" w:hAnsi="Times New Roman" w:cs="Times New Roman"/>
          <w:sz w:val="24"/>
          <w:szCs w:val="24"/>
          <w:shd w:val="clear" w:color="auto" w:fill="FFFFFF"/>
          <w:lang w:val="en-GB"/>
        </w:rPr>
        <w:lastRenderedPageBreak/>
        <w:t>preconditions for achieving equal opportunities and regulates protection against discrimination on the grounds of race, ethnicity, colo</w:t>
      </w:r>
      <w:r w:rsidR="00124BA0" w:rsidRPr="009609E3">
        <w:rPr>
          <w:rFonts w:ascii="Times New Roman" w:hAnsi="Times New Roman" w:cs="Times New Roman"/>
          <w:sz w:val="24"/>
          <w:szCs w:val="24"/>
          <w:shd w:val="clear" w:color="auto" w:fill="FFFFFF"/>
          <w:lang w:val="en-GB"/>
        </w:rPr>
        <w:t>u</w:t>
      </w:r>
      <w:r w:rsidRPr="009609E3">
        <w:rPr>
          <w:rFonts w:ascii="Times New Roman" w:hAnsi="Times New Roman" w:cs="Times New Roman"/>
          <w:sz w:val="24"/>
          <w:szCs w:val="24"/>
          <w:shd w:val="clear" w:color="auto" w:fill="FFFFFF"/>
          <w:lang w:val="en-GB"/>
        </w:rPr>
        <w:t xml:space="preserve">r, sex, language, religion, political or other belief, national or social origin, property status, trade union membership, education, social status, marital or family status, age, health status, disability, genetic inheritance, </w:t>
      </w:r>
      <w:r w:rsidRPr="00DC11B1">
        <w:rPr>
          <w:rFonts w:ascii="Times New Roman" w:hAnsi="Times New Roman" w:cs="Times New Roman"/>
          <w:b/>
          <w:sz w:val="24"/>
          <w:szCs w:val="24"/>
          <w:shd w:val="clear" w:color="auto" w:fill="FFFFFF"/>
          <w:lang w:val="en-GB"/>
        </w:rPr>
        <w:t>gender identity, expression or sexual orientation.</w:t>
      </w:r>
    </w:p>
    <w:p w14:paraId="0588EF8E" w14:textId="77777777" w:rsidR="00324046" w:rsidRPr="00C808F0" w:rsidRDefault="009609E3" w:rsidP="00C808F0">
      <w:pPr>
        <w:spacing w:before="100" w:beforeAutospacing="1" w:after="100" w:afterAutospacing="1" w:line="240" w:lineRule="auto"/>
        <w:jc w:val="both"/>
        <w:rPr>
          <w:rFonts w:ascii="Times New Roman" w:hAnsi="Times New Roman" w:cs="Times New Roman"/>
          <w:sz w:val="24"/>
          <w:szCs w:val="24"/>
          <w:lang w:val="en-GB"/>
        </w:rPr>
      </w:pPr>
      <w:r w:rsidRPr="00EC128F">
        <w:rPr>
          <w:rFonts w:ascii="Times New Roman" w:hAnsi="Times New Roman" w:cs="Times New Roman"/>
          <w:b/>
          <w:sz w:val="24"/>
          <w:szCs w:val="24"/>
          <w:lang w:val="en-GB"/>
        </w:rPr>
        <w:t>Act on Gender Equality (OG 82/08, 69/17</w:t>
      </w:r>
      <w:r w:rsidRPr="00EC128F">
        <w:rPr>
          <w:rFonts w:ascii="Times New Roman" w:hAnsi="Times New Roman" w:cs="Times New Roman"/>
          <w:b/>
          <w:i/>
          <w:sz w:val="24"/>
          <w:szCs w:val="24"/>
          <w:lang w:val="en-GB"/>
        </w:rPr>
        <w:t>)</w:t>
      </w:r>
      <w:r w:rsidR="00DC11B1" w:rsidRPr="00DC11B1">
        <w:t xml:space="preserve"> </w:t>
      </w:r>
      <w:r w:rsidR="00DC11B1" w:rsidRPr="00DC11B1">
        <w:rPr>
          <w:rFonts w:ascii="Times New Roman" w:hAnsi="Times New Roman" w:cs="Times New Roman"/>
          <w:sz w:val="24"/>
          <w:szCs w:val="24"/>
          <w:lang w:val="en-GB"/>
        </w:rPr>
        <w:t xml:space="preserve">prohibits discrimination on the grounds of </w:t>
      </w:r>
      <w:r w:rsidR="00DC11B1" w:rsidRPr="005B35D9">
        <w:rPr>
          <w:rFonts w:ascii="Times New Roman" w:hAnsi="Times New Roman" w:cs="Times New Roman"/>
          <w:b/>
          <w:sz w:val="24"/>
          <w:szCs w:val="24"/>
          <w:lang w:val="en-GB"/>
        </w:rPr>
        <w:t xml:space="preserve">sexual </w:t>
      </w:r>
      <w:r w:rsidR="00C808F0" w:rsidRPr="005B35D9">
        <w:rPr>
          <w:rFonts w:ascii="Times New Roman" w:hAnsi="Times New Roman" w:cs="Times New Roman"/>
          <w:b/>
          <w:sz w:val="24"/>
          <w:szCs w:val="24"/>
          <w:lang w:val="en-GB"/>
        </w:rPr>
        <w:t>orientation</w:t>
      </w:r>
      <w:r w:rsidR="00C808F0">
        <w:rPr>
          <w:rFonts w:ascii="Times New Roman" w:hAnsi="Times New Roman" w:cs="Times New Roman"/>
          <w:sz w:val="24"/>
          <w:szCs w:val="24"/>
          <w:lang w:val="en-GB"/>
        </w:rPr>
        <w:t>, as well as the p</w:t>
      </w:r>
      <w:r w:rsidR="00C808F0" w:rsidRPr="00C808F0">
        <w:rPr>
          <w:rFonts w:ascii="Times New Roman" w:hAnsi="Times New Roman" w:cs="Times New Roman"/>
          <w:sz w:val="24"/>
          <w:szCs w:val="24"/>
          <w:lang w:val="en-GB"/>
        </w:rPr>
        <w:t>ublic display and presentation of any person in an insulting, belittling or humilia</w:t>
      </w:r>
      <w:r w:rsidR="00C808F0">
        <w:rPr>
          <w:rFonts w:ascii="Times New Roman" w:hAnsi="Times New Roman" w:cs="Times New Roman"/>
          <w:sz w:val="24"/>
          <w:szCs w:val="24"/>
          <w:lang w:val="en-GB"/>
        </w:rPr>
        <w:t xml:space="preserve">ting manner, as regards his/her </w:t>
      </w:r>
      <w:r w:rsidR="00C808F0" w:rsidRPr="005B35D9">
        <w:rPr>
          <w:rFonts w:ascii="Times New Roman" w:hAnsi="Times New Roman" w:cs="Times New Roman"/>
          <w:b/>
          <w:sz w:val="24"/>
          <w:szCs w:val="24"/>
          <w:lang w:val="en-GB"/>
        </w:rPr>
        <w:t>gender and sexual orientation.</w:t>
      </w:r>
    </w:p>
    <w:p w14:paraId="715ADE2B" w14:textId="77777777" w:rsidR="00DC11B1" w:rsidRPr="00EC128F" w:rsidRDefault="00DC11B1" w:rsidP="00C808F0">
      <w:pPr>
        <w:pStyle w:val="t-9-8"/>
        <w:jc w:val="both"/>
        <w:textAlignment w:val="baseline"/>
        <w:rPr>
          <w:lang w:val="en-GB"/>
        </w:rPr>
      </w:pPr>
      <w:r w:rsidRPr="00EC128F">
        <w:rPr>
          <w:b/>
          <w:lang w:val="en-GB"/>
        </w:rPr>
        <w:t xml:space="preserve">The Labour </w:t>
      </w:r>
      <w:r w:rsidR="00C808F0" w:rsidRPr="00EC128F">
        <w:rPr>
          <w:b/>
          <w:lang w:val="en-GB"/>
        </w:rPr>
        <w:t>Act (OG 93/14, 127/17, 98/19)</w:t>
      </w:r>
      <w:r w:rsidRPr="00EC128F">
        <w:rPr>
          <w:b/>
          <w:lang w:val="en-GB"/>
        </w:rPr>
        <w:t xml:space="preserve"> </w:t>
      </w:r>
      <w:r w:rsidR="00C808F0">
        <w:rPr>
          <w:lang w:val="en-GB"/>
        </w:rPr>
        <w:t>prohibits di</w:t>
      </w:r>
      <w:r w:rsidR="00C808F0" w:rsidRPr="00C808F0">
        <w:rPr>
          <w:lang w:val="en-GB"/>
        </w:rPr>
        <w:t xml:space="preserve">rect or indirect discrimination in the field of work and working conditions, including selection criteria and conditions in employment, promotion, vocational guidance, </w:t>
      </w:r>
      <w:r w:rsidR="00C808F0">
        <w:rPr>
          <w:lang w:val="en-GB"/>
        </w:rPr>
        <w:t>professional training and upskilling</w:t>
      </w:r>
      <w:r w:rsidR="00C808F0" w:rsidRPr="00C808F0">
        <w:rPr>
          <w:lang w:val="en-GB"/>
        </w:rPr>
        <w:t xml:space="preserve">, in accordance </w:t>
      </w:r>
      <w:r w:rsidR="00C808F0">
        <w:rPr>
          <w:lang w:val="en-GB"/>
        </w:rPr>
        <w:t>with this Act and special laws.</w:t>
      </w:r>
      <w:r w:rsidR="00EC128F">
        <w:rPr>
          <w:lang w:val="en-GB"/>
        </w:rPr>
        <w:t xml:space="preserve"> </w:t>
      </w:r>
      <w:r w:rsidR="00C808F0" w:rsidRPr="00C808F0">
        <w:rPr>
          <w:lang w:val="en-GB"/>
        </w:rPr>
        <w:t>The employer is obliged to protect the dignity of the employee during the performance of work from the actions of superiors, associates and persons with whom the employee regularly comes into contact in the performance of their duties, if such conduct is undesirable and contrary to this Act and special laws.</w:t>
      </w:r>
    </w:p>
    <w:p w14:paraId="460A11AE" w14:textId="77777777" w:rsidR="006E0455" w:rsidRDefault="006E0455" w:rsidP="00124BA0">
      <w:pPr>
        <w:pStyle w:val="t-9-8"/>
        <w:jc w:val="both"/>
        <w:textAlignment w:val="baseline"/>
        <w:rPr>
          <w:lang w:val="en-GB"/>
        </w:rPr>
      </w:pPr>
      <w:r w:rsidRPr="00EC128F">
        <w:rPr>
          <w:b/>
          <w:lang w:val="en-GB"/>
        </w:rPr>
        <w:t>Act on Protection a</w:t>
      </w:r>
      <w:r w:rsidR="00EC128F" w:rsidRPr="00EC128F">
        <w:rPr>
          <w:b/>
          <w:lang w:val="en-GB"/>
        </w:rPr>
        <w:t xml:space="preserve">gainst Domestic Violence (OG </w:t>
      </w:r>
      <w:r w:rsidRPr="00EC128F">
        <w:rPr>
          <w:b/>
          <w:lang w:val="en-GB"/>
        </w:rPr>
        <w:t>70/17</w:t>
      </w:r>
      <w:r w:rsidR="00EC128F">
        <w:rPr>
          <w:b/>
          <w:lang w:val="en-GB"/>
        </w:rPr>
        <w:t>, 126/19</w:t>
      </w:r>
      <w:r w:rsidRPr="00EC128F">
        <w:rPr>
          <w:b/>
          <w:lang w:val="en-GB"/>
        </w:rPr>
        <w:t>)</w:t>
      </w:r>
      <w:r w:rsidR="00EC128F" w:rsidRPr="00EC128F">
        <w:rPr>
          <w:b/>
          <w:lang w:val="en-GB"/>
        </w:rPr>
        <w:t xml:space="preserve"> </w:t>
      </w:r>
      <w:r w:rsidR="00EC128F" w:rsidRPr="00EC128F">
        <w:rPr>
          <w:lang w:val="en-GB"/>
        </w:rPr>
        <w:t>prescribes</w:t>
      </w:r>
      <w:r w:rsidRPr="009609E3">
        <w:rPr>
          <w:lang w:val="en-GB"/>
        </w:rPr>
        <w:t xml:space="preserve"> protection against violence between persons: a spouse, an extramarital partner, a life partner, an informal partner, their joint children and children of each of them, a relative by blood in a direct line, a relative in the side line up t</w:t>
      </w:r>
      <w:r w:rsidR="00EC128F">
        <w:rPr>
          <w:lang w:val="en-GB"/>
        </w:rPr>
        <w:t xml:space="preserve">o the third degree, in-law relative </w:t>
      </w:r>
      <w:r w:rsidRPr="009609E3">
        <w:rPr>
          <w:lang w:val="en-GB"/>
        </w:rPr>
        <w:t xml:space="preserve">until the end of the second degree, adoptive parent and adoptee. Provisions of this Act also apply to a former spouse, </w:t>
      </w:r>
      <w:r w:rsidR="00EC128F">
        <w:rPr>
          <w:lang w:val="en-GB"/>
        </w:rPr>
        <w:t xml:space="preserve">former </w:t>
      </w:r>
      <w:r w:rsidRPr="009609E3">
        <w:rPr>
          <w:lang w:val="en-GB"/>
        </w:rPr>
        <w:t>extramarital partner, former life partner, former informal life partner, persons having a joint child, and persons living in a joint household.</w:t>
      </w:r>
    </w:p>
    <w:p w14:paraId="0B551602" w14:textId="77777777" w:rsidR="005F34B9" w:rsidRPr="009609E3" w:rsidRDefault="005F34B9" w:rsidP="00124BA0">
      <w:pPr>
        <w:spacing w:before="100" w:beforeAutospacing="1" w:after="100" w:afterAutospacing="1" w:line="240" w:lineRule="auto"/>
        <w:jc w:val="both"/>
        <w:rPr>
          <w:rFonts w:ascii="Times New Roman" w:hAnsi="Times New Roman" w:cs="Times New Roman"/>
          <w:sz w:val="24"/>
          <w:szCs w:val="24"/>
          <w:lang w:val="en-GB"/>
        </w:rPr>
      </w:pPr>
      <w:r w:rsidRPr="00EC128F">
        <w:rPr>
          <w:rFonts w:ascii="Times New Roman" w:hAnsi="Times New Roman" w:cs="Times New Roman"/>
          <w:b/>
          <w:sz w:val="24"/>
          <w:szCs w:val="24"/>
          <w:lang w:val="en-GB"/>
        </w:rPr>
        <w:t>Same-Sex Life Partnership Act</w:t>
      </w:r>
      <w:r w:rsidR="00EC128F" w:rsidRPr="00EC128F">
        <w:rPr>
          <w:rFonts w:ascii="Times New Roman" w:hAnsi="Times New Roman" w:cs="Times New Roman"/>
          <w:b/>
          <w:sz w:val="24"/>
          <w:szCs w:val="24"/>
          <w:lang w:val="en-GB"/>
        </w:rPr>
        <w:t xml:space="preserve"> (OG 92/14, 98/19</w:t>
      </w:r>
      <w:r w:rsidR="00EC128F" w:rsidRPr="00EC128F">
        <w:rPr>
          <w:rFonts w:ascii="Times New Roman" w:hAnsi="Times New Roman" w:cs="Times New Roman"/>
          <w:sz w:val="24"/>
          <w:szCs w:val="24"/>
          <w:lang w:val="en-GB"/>
        </w:rPr>
        <w:t>)</w:t>
      </w:r>
      <w:r w:rsidRPr="009609E3">
        <w:rPr>
          <w:rFonts w:ascii="Times New Roman" w:hAnsi="Times New Roman" w:cs="Times New Roman"/>
          <w:sz w:val="24"/>
          <w:szCs w:val="24"/>
          <w:lang w:val="en-GB"/>
        </w:rPr>
        <w:t xml:space="preserve"> enables a registered (and unregistered) life partnership of persons of the same-sex.</w:t>
      </w:r>
      <w:r w:rsidR="00EC128F">
        <w:rPr>
          <w:rFonts w:ascii="Times New Roman" w:hAnsi="Times New Roman" w:cs="Times New Roman"/>
          <w:sz w:val="24"/>
          <w:szCs w:val="24"/>
          <w:lang w:val="en-GB"/>
        </w:rPr>
        <w:t xml:space="preserve"> </w:t>
      </w:r>
      <w:r w:rsidR="00EC128F" w:rsidRPr="009609E3">
        <w:rPr>
          <w:rFonts w:ascii="Times New Roman" w:hAnsi="Times New Roman" w:cs="Times New Roman"/>
          <w:sz w:val="24"/>
          <w:szCs w:val="24"/>
          <w:lang w:val="en-GB"/>
        </w:rPr>
        <w:t xml:space="preserve">The Act provides a clear legal recognition of the constitutionally protected “family life” status for same sex couples. This status is regulated through the legal form of “life-partnership”. Same sex couples can acquire status of life-term partners through an act of partnership registration. The same-sex partners are provided access to labour rights, retirement, health insurance and protection, social benefits, tax benefits, equal access to goods and services as well as </w:t>
      </w:r>
      <w:r w:rsidR="00867811">
        <w:rPr>
          <w:rFonts w:ascii="Times New Roman" w:hAnsi="Times New Roman" w:cs="Times New Roman"/>
          <w:sz w:val="24"/>
          <w:szCs w:val="24"/>
          <w:lang w:val="en-GB"/>
        </w:rPr>
        <w:t xml:space="preserve">other </w:t>
      </w:r>
      <w:r w:rsidR="00EC128F" w:rsidRPr="009609E3">
        <w:rPr>
          <w:rFonts w:ascii="Times New Roman" w:hAnsi="Times New Roman" w:cs="Times New Roman"/>
          <w:sz w:val="24"/>
          <w:szCs w:val="24"/>
          <w:lang w:val="en-GB"/>
        </w:rPr>
        <w:t xml:space="preserve">family privileges already granted to married different-sex couples. </w:t>
      </w:r>
      <w:r w:rsidRPr="009609E3">
        <w:rPr>
          <w:rFonts w:ascii="Times New Roman" w:hAnsi="Times New Roman" w:cs="Times New Roman"/>
          <w:sz w:val="24"/>
          <w:szCs w:val="24"/>
          <w:lang w:val="en-GB"/>
        </w:rPr>
        <w:t>The Act lays down the principles on which a life partnership is based, which include equality, mutual respect of dignity, mutual assistance and respect of life partners. At the same time, the Act prohibits any form of violence in family life relationship as well as any form of discrimination, whether direct or indirect, based on a concluded life partnership, sexual orientation or gender identity.</w:t>
      </w:r>
    </w:p>
    <w:p w14:paraId="5A39FD60" w14:textId="77777777" w:rsidR="00723B62" w:rsidRPr="009609E3" w:rsidRDefault="00EF71DB" w:rsidP="00124BA0">
      <w:pPr>
        <w:autoSpaceDE w:val="0"/>
        <w:autoSpaceDN w:val="0"/>
        <w:adjustRightInd w:val="0"/>
        <w:spacing w:before="100" w:beforeAutospacing="1" w:after="100" w:afterAutospacing="1" w:line="240" w:lineRule="auto"/>
        <w:jc w:val="both"/>
        <w:rPr>
          <w:rFonts w:ascii="Times New Roman" w:hAnsi="Times New Roman" w:cs="Times New Roman"/>
          <w:b/>
          <w:sz w:val="24"/>
          <w:szCs w:val="24"/>
          <w:u w:val="single"/>
          <w:lang w:val="en-GB"/>
        </w:rPr>
      </w:pPr>
      <w:r w:rsidRPr="009609E3">
        <w:rPr>
          <w:rFonts w:ascii="Times New Roman" w:hAnsi="Times New Roman" w:cs="Times New Roman"/>
          <w:b/>
          <w:sz w:val="24"/>
          <w:szCs w:val="24"/>
          <w:u w:val="single"/>
          <w:lang w:val="en-GB"/>
        </w:rPr>
        <w:t>Policy Framework</w:t>
      </w:r>
      <w:r w:rsidR="00D80911" w:rsidRPr="009609E3">
        <w:rPr>
          <w:rFonts w:ascii="Times New Roman" w:hAnsi="Times New Roman" w:cs="Times New Roman"/>
          <w:b/>
          <w:sz w:val="24"/>
          <w:szCs w:val="24"/>
          <w:u w:val="single"/>
          <w:lang w:val="en-GB"/>
        </w:rPr>
        <w:t xml:space="preserve"> </w:t>
      </w:r>
    </w:p>
    <w:p w14:paraId="7DBA43FB" w14:textId="02CFE672" w:rsidR="00EC128F" w:rsidRDefault="009609E3" w:rsidP="00DC11B1">
      <w:pPr>
        <w:pStyle w:val="NormalWeb"/>
        <w:jc w:val="both"/>
        <w:rPr>
          <w:lang w:val="en-GB"/>
        </w:rPr>
      </w:pPr>
      <w:r w:rsidRPr="009609E3">
        <w:rPr>
          <w:shd w:val="clear" w:color="auto" w:fill="FFFFFF"/>
          <w:lang w:val="en-GB"/>
        </w:rPr>
        <w:t xml:space="preserve">The concept of gender and gender-based violence is contained in the </w:t>
      </w:r>
      <w:r w:rsidRPr="00DC11B1">
        <w:rPr>
          <w:b/>
          <w:shd w:val="clear" w:color="auto" w:fill="FFFFFF"/>
          <w:lang w:val="en-GB"/>
        </w:rPr>
        <w:t xml:space="preserve">National Strategy for Protection against Domestic Violence for the period 2017-2022. </w:t>
      </w:r>
      <w:r w:rsidR="006E0455" w:rsidRPr="009609E3">
        <w:rPr>
          <w:shd w:val="clear" w:color="auto" w:fill="FFFFFF"/>
          <w:lang w:val="en-GB"/>
        </w:rPr>
        <w:t xml:space="preserve">National Strategy refers to all forms of domestic violence and, in accordance with applicable legal provisions, such as the Act on Protection against Domestic Violence and the Criminal Code, considers family members to be marital and extramarital partners, former spouses and extramarital partners, life partners or </w:t>
      </w:r>
      <w:r w:rsidR="006E0455" w:rsidRPr="009609E3">
        <w:rPr>
          <w:b/>
          <w:shd w:val="clear" w:color="auto" w:fill="FFFFFF"/>
          <w:lang w:val="en-GB"/>
        </w:rPr>
        <w:t>informal life partners, i.e. persons living in the same-sex partnership under a special regulation.</w:t>
      </w:r>
      <w:r w:rsidRPr="009609E3">
        <w:rPr>
          <w:lang w:val="en-GB"/>
        </w:rPr>
        <w:t xml:space="preserve"> Each measure of the National Strategy is based on one or more Articles of the Istanbul Convention, whereby its benefit is constituted.</w:t>
      </w:r>
    </w:p>
    <w:p w14:paraId="7CC86340" w14:textId="6084D93A" w:rsidR="00F73461" w:rsidRPr="00DC11B1" w:rsidRDefault="00F73461" w:rsidP="00DC11B1">
      <w:pPr>
        <w:pStyle w:val="NormalWeb"/>
        <w:jc w:val="both"/>
        <w:rPr>
          <w:lang w:val="en-GB"/>
        </w:rPr>
      </w:pPr>
      <w:r>
        <w:rPr>
          <w:lang w:val="en-GB"/>
        </w:rPr>
        <w:lastRenderedPageBreak/>
        <w:t xml:space="preserve">New National Plan for Gender Equality </w:t>
      </w:r>
      <w:proofErr w:type="spellStart"/>
      <w:r w:rsidR="007D41AC">
        <w:rPr>
          <w:lang w:val="en-GB"/>
        </w:rPr>
        <w:t>Equality</w:t>
      </w:r>
      <w:proofErr w:type="spellEnd"/>
      <w:r w:rsidR="007D41AC">
        <w:rPr>
          <w:lang w:val="en-GB"/>
        </w:rPr>
        <w:t xml:space="preserve"> 2021-2027 will include measures that refer to gender identity and sexual orientation.</w:t>
      </w:r>
    </w:p>
    <w:p w14:paraId="6DCEFAE7" w14:textId="77777777" w:rsidR="00DC11B1" w:rsidRPr="00DC11B1" w:rsidRDefault="00DC11B1" w:rsidP="00DC11B1">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shd w:val="clear" w:color="auto" w:fill="FFFFFF"/>
          <w:lang w:val="en-GB"/>
        </w:rPr>
        <w:t>2</w:t>
      </w:r>
      <w:r w:rsidRPr="00DC11B1">
        <w:rPr>
          <w:rFonts w:ascii="Times New Roman" w:hAnsi="Times New Roman" w:cs="Times New Roman"/>
          <w:b/>
          <w:i/>
          <w:color w:val="2F5496" w:themeColor="accent5" w:themeShade="BF"/>
          <w:sz w:val="24"/>
          <w:szCs w:val="24"/>
          <w:lang w:val="en-GB"/>
        </w:rPr>
        <w:t xml:space="preserve">) Has the State ratified, signed, od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 </w:t>
      </w:r>
    </w:p>
    <w:p w14:paraId="387C6089" w14:textId="77777777" w:rsidR="00DC11B1" w:rsidRPr="00DC11B1" w:rsidRDefault="00DC11B1" w:rsidP="00DC11B1">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lang w:val="en-GB"/>
        </w:rPr>
        <w:t xml:space="preserve">a) </w:t>
      </w:r>
      <w:proofErr w:type="gramStart"/>
      <w:r w:rsidRPr="00DC11B1">
        <w:rPr>
          <w:rFonts w:ascii="Times New Roman" w:hAnsi="Times New Roman" w:cs="Times New Roman"/>
          <w:b/>
          <w:i/>
          <w:color w:val="2F5496" w:themeColor="accent5" w:themeShade="BF"/>
          <w:sz w:val="24"/>
          <w:szCs w:val="24"/>
          <w:lang w:val="en-GB"/>
        </w:rPr>
        <w:t>if</w:t>
      </w:r>
      <w:proofErr w:type="gramEnd"/>
      <w:r w:rsidRPr="00DC11B1">
        <w:rPr>
          <w:rFonts w:ascii="Times New Roman" w:hAnsi="Times New Roman" w:cs="Times New Roman"/>
          <w:b/>
          <w:i/>
          <w:color w:val="2F5496" w:themeColor="accent5" w:themeShade="BF"/>
          <w:sz w:val="24"/>
          <w:szCs w:val="24"/>
          <w:lang w:val="en-GB"/>
        </w:rPr>
        <w:t xml:space="preserve"> that is the case, has the State carried out evaluations, assessments or evidence-gathering about the impact of the implementation of such actions and, if so, what are the main trends identified?</w:t>
      </w:r>
    </w:p>
    <w:p w14:paraId="169041E9" w14:textId="77777777" w:rsidR="00DC11B1" w:rsidRPr="00DC11B1" w:rsidRDefault="00DC11B1" w:rsidP="00DC11B1">
      <w:pPr>
        <w:autoSpaceDE w:val="0"/>
        <w:autoSpaceDN w:val="0"/>
        <w:adjustRightInd w:val="0"/>
        <w:spacing w:before="100" w:beforeAutospacing="1" w:after="100" w:afterAutospacing="1"/>
        <w:jc w:val="both"/>
        <w:rPr>
          <w:rFonts w:ascii="Times New Roman" w:hAnsi="Times New Roman" w:cs="Times New Roman"/>
          <w:b/>
          <w:i/>
          <w:color w:val="2F5496" w:themeColor="accent5" w:themeShade="BF"/>
          <w:sz w:val="24"/>
          <w:szCs w:val="24"/>
          <w:lang w:val="en-GB"/>
        </w:rPr>
      </w:pPr>
      <w:r w:rsidRPr="00DC11B1">
        <w:rPr>
          <w:rFonts w:ascii="Times New Roman" w:hAnsi="Times New Roman" w:cs="Times New Roman"/>
          <w:b/>
          <w:i/>
          <w:color w:val="2F5496" w:themeColor="accent5" w:themeShade="BF"/>
          <w:sz w:val="24"/>
          <w:szCs w:val="24"/>
          <w:lang w:val="en-GB"/>
        </w:rPr>
        <w:t xml:space="preserve">b) </w:t>
      </w:r>
      <w:proofErr w:type="gramStart"/>
      <w:r w:rsidRPr="00DC11B1">
        <w:rPr>
          <w:rFonts w:ascii="Times New Roman" w:hAnsi="Times New Roman" w:cs="Times New Roman"/>
          <w:b/>
          <w:i/>
          <w:color w:val="2F5496" w:themeColor="accent5" w:themeShade="BF"/>
          <w:sz w:val="24"/>
          <w:szCs w:val="24"/>
          <w:lang w:val="en-GB"/>
        </w:rPr>
        <w:t>if</w:t>
      </w:r>
      <w:proofErr w:type="gramEnd"/>
      <w:r w:rsidRPr="00DC11B1">
        <w:rPr>
          <w:rFonts w:ascii="Times New Roman" w:hAnsi="Times New Roman" w:cs="Times New Roman"/>
          <w:b/>
          <w:i/>
          <w:color w:val="2F5496" w:themeColor="accent5" w:themeShade="BF"/>
          <w:sz w:val="24"/>
          <w:szCs w:val="24"/>
          <w:lang w:val="en-GB"/>
        </w:rPr>
        <w:t xml:space="preserve"> that is not the case, please provide information as to the reasons.</w:t>
      </w:r>
    </w:p>
    <w:p w14:paraId="373D4ED4" w14:textId="77777777" w:rsidR="00B5351B" w:rsidRPr="009609E3" w:rsidRDefault="00334004" w:rsidP="00124BA0">
      <w:pPr>
        <w:spacing w:before="100" w:beforeAutospacing="1" w:after="100" w:afterAutospacing="1" w:line="240" w:lineRule="auto"/>
        <w:jc w:val="both"/>
        <w:rPr>
          <w:rFonts w:ascii="Times New Roman" w:hAnsi="Times New Roman" w:cs="Times New Roman"/>
          <w:b/>
          <w:sz w:val="24"/>
          <w:szCs w:val="24"/>
          <w:u w:val="single"/>
          <w:shd w:val="clear" w:color="auto" w:fill="FFFFFF"/>
          <w:lang w:val="en-GB"/>
        </w:rPr>
      </w:pPr>
      <w:r w:rsidRPr="009609E3">
        <w:rPr>
          <w:rFonts w:ascii="Times New Roman" w:hAnsi="Times New Roman" w:cs="Times New Roman"/>
          <w:b/>
          <w:sz w:val="24"/>
          <w:szCs w:val="24"/>
          <w:u w:val="single"/>
          <w:shd w:val="clear" w:color="auto" w:fill="FFFFFF"/>
          <w:lang w:val="en-GB"/>
        </w:rPr>
        <w:t>Council of Europe Convention on Preventing and Combating Violence again</w:t>
      </w:r>
      <w:r w:rsidR="00B5351B" w:rsidRPr="009609E3">
        <w:rPr>
          <w:rFonts w:ascii="Times New Roman" w:hAnsi="Times New Roman" w:cs="Times New Roman"/>
          <w:b/>
          <w:sz w:val="24"/>
          <w:szCs w:val="24"/>
          <w:u w:val="single"/>
          <w:shd w:val="clear" w:color="auto" w:fill="FFFFFF"/>
          <w:lang w:val="en-GB"/>
        </w:rPr>
        <w:t>st Women and Domestic Violence</w:t>
      </w:r>
    </w:p>
    <w:p w14:paraId="4605E3EC" w14:textId="77777777" w:rsidR="00334004" w:rsidRPr="009609E3" w:rsidRDefault="00334004" w:rsidP="00124BA0">
      <w:pPr>
        <w:spacing w:before="100" w:beforeAutospacing="1" w:after="100" w:afterAutospacing="1" w:line="240" w:lineRule="auto"/>
        <w:jc w:val="both"/>
        <w:rPr>
          <w:rFonts w:ascii="Times New Roman" w:hAnsi="Times New Roman" w:cs="Times New Roman"/>
          <w:sz w:val="24"/>
          <w:szCs w:val="24"/>
          <w:shd w:val="clear" w:color="auto" w:fill="FFFFFF"/>
          <w:lang w:val="en-GB"/>
        </w:rPr>
      </w:pPr>
      <w:r w:rsidRPr="009609E3">
        <w:rPr>
          <w:rFonts w:ascii="Times New Roman" w:hAnsi="Times New Roman" w:cs="Times New Roman"/>
          <w:sz w:val="24"/>
          <w:szCs w:val="24"/>
          <w:shd w:val="clear" w:color="auto" w:fill="FFFFFF"/>
          <w:lang w:val="en-GB"/>
        </w:rPr>
        <w:t>Article 3 of the Convention defines the concept of gender and the concept of gender-based violence.</w:t>
      </w:r>
      <w:r w:rsidR="00C4554B">
        <w:rPr>
          <w:rFonts w:ascii="Times New Roman" w:hAnsi="Times New Roman" w:cs="Times New Roman"/>
          <w:sz w:val="24"/>
          <w:szCs w:val="24"/>
          <w:shd w:val="clear" w:color="auto" w:fill="FFFFFF"/>
          <w:lang w:val="en-GB"/>
        </w:rPr>
        <w:t xml:space="preserve"> In Article 4, t</w:t>
      </w:r>
      <w:r w:rsidR="00C4554B" w:rsidRPr="00C4554B">
        <w:rPr>
          <w:rFonts w:ascii="Times New Roman" w:hAnsi="Times New Roman" w:cs="Times New Roman"/>
          <w:sz w:val="24"/>
          <w:szCs w:val="24"/>
          <w:shd w:val="clear" w:color="auto" w:fill="FFFFFF"/>
          <w:lang w:val="en-GB"/>
        </w:rPr>
        <w:t>he implemen</w:t>
      </w:r>
      <w:r w:rsidR="00C4554B">
        <w:rPr>
          <w:rFonts w:ascii="Times New Roman" w:hAnsi="Times New Roman" w:cs="Times New Roman"/>
          <w:sz w:val="24"/>
          <w:szCs w:val="24"/>
          <w:shd w:val="clear" w:color="auto" w:fill="FFFFFF"/>
          <w:lang w:val="en-GB"/>
        </w:rPr>
        <w:t>tation of the provisions of the</w:t>
      </w:r>
      <w:r w:rsidR="00C4554B" w:rsidRPr="00C4554B">
        <w:rPr>
          <w:rFonts w:ascii="Times New Roman" w:hAnsi="Times New Roman" w:cs="Times New Roman"/>
          <w:sz w:val="24"/>
          <w:szCs w:val="24"/>
          <w:shd w:val="clear" w:color="auto" w:fill="FFFFFF"/>
          <w:lang w:val="en-GB"/>
        </w:rPr>
        <w:t xml:space="preserve"> Convention by the Parties, in particular measures to protect the rights of victims, shall be secured without discrimination on any ground such as sex, gender, race, colour, language, religion, political or other opinion, national or social origin, association with a national minority, property, birth, </w:t>
      </w:r>
      <w:r w:rsidR="00C4554B" w:rsidRPr="00C4554B">
        <w:rPr>
          <w:rFonts w:ascii="Times New Roman" w:hAnsi="Times New Roman" w:cs="Times New Roman"/>
          <w:b/>
          <w:sz w:val="24"/>
          <w:szCs w:val="24"/>
          <w:u w:val="single"/>
          <w:shd w:val="clear" w:color="auto" w:fill="FFFFFF"/>
          <w:lang w:val="en-GB"/>
        </w:rPr>
        <w:t>sexual orientation, gender identity,</w:t>
      </w:r>
      <w:r w:rsidR="00C4554B" w:rsidRPr="00C4554B">
        <w:rPr>
          <w:rFonts w:ascii="Times New Roman" w:hAnsi="Times New Roman" w:cs="Times New Roman"/>
          <w:sz w:val="24"/>
          <w:szCs w:val="24"/>
          <w:shd w:val="clear" w:color="auto" w:fill="FFFFFF"/>
          <w:lang w:val="en-GB"/>
        </w:rPr>
        <w:t xml:space="preserve"> age, state of health, disability, marital status, migrant or refugee status, or other status.</w:t>
      </w:r>
      <w:r w:rsidR="00C4554B">
        <w:rPr>
          <w:rFonts w:ascii="Times New Roman" w:hAnsi="Times New Roman" w:cs="Times New Roman"/>
          <w:sz w:val="24"/>
          <w:szCs w:val="24"/>
          <w:shd w:val="clear" w:color="auto" w:fill="FFFFFF"/>
          <w:lang w:val="en-GB"/>
        </w:rPr>
        <w:t xml:space="preserve"> Article 6 states, among other,</w:t>
      </w:r>
      <w:r w:rsidR="00A965BD">
        <w:rPr>
          <w:rFonts w:ascii="Times New Roman" w:hAnsi="Times New Roman" w:cs="Times New Roman"/>
          <w:sz w:val="24"/>
          <w:szCs w:val="24"/>
          <w:shd w:val="clear" w:color="auto" w:fill="FFFFFF"/>
          <w:lang w:val="en-GB"/>
        </w:rPr>
        <w:t xml:space="preserve"> that P</w:t>
      </w:r>
      <w:r w:rsidR="00C4554B" w:rsidRPr="00C4554B">
        <w:rPr>
          <w:rFonts w:ascii="Times New Roman" w:hAnsi="Times New Roman" w:cs="Times New Roman"/>
          <w:sz w:val="24"/>
          <w:szCs w:val="24"/>
          <w:shd w:val="clear" w:color="auto" w:fill="FFFFFF"/>
          <w:lang w:val="en-GB"/>
        </w:rPr>
        <w:t xml:space="preserve">arties </w:t>
      </w:r>
      <w:r w:rsidR="00C4554B">
        <w:rPr>
          <w:rFonts w:ascii="Times New Roman" w:hAnsi="Times New Roman" w:cs="Times New Roman"/>
          <w:sz w:val="24"/>
          <w:szCs w:val="24"/>
          <w:shd w:val="clear" w:color="auto" w:fill="FFFFFF"/>
          <w:lang w:val="en-GB"/>
        </w:rPr>
        <w:t xml:space="preserve">of the Convention </w:t>
      </w:r>
      <w:r w:rsidR="00C4554B" w:rsidRPr="00C4554B">
        <w:rPr>
          <w:rFonts w:ascii="Times New Roman" w:hAnsi="Times New Roman" w:cs="Times New Roman"/>
          <w:sz w:val="24"/>
          <w:szCs w:val="24"/>
          <w:shd w:val="clear" w:color="auto" w:fill="FFFFFF"/>
          <w:lang w:val="en-GB"/>
        </w:rPr>
        <w:t xml:space="preserve">shall undertake to include a </w:t>
      </w:r>
      <w:r w:rsidR="00C4554B" w:rsidRPr="00A965BD">
        <w:rPr>
          <w:rFonts w:ascii="Times New Roman" w:hAnsi="Times New Roman" w:cs="Times New Roman"/>
          <w:b/>
          <w:sz w:val="24"/>
          <w:szCs w:val="24"/>
          <w:u w:val="single"/>
          <w:shd w:val="clear" w:color="auto" w:fill="FFFFFF"/>
          <w:lang w:val="en-GB"/>
        </w:rPr>
        <w:t>gender perspective</w:t>
      </w:r>
      <w:r w:rsidR="00C4554B" w:rsidRPr="00C4554B">
        <w:rPr>
          <w:rFonts w:ascii="Times New Roman" w:hAnsi="Times New Roman" w:cs="Times New Roman"/>
          <w:sz w:val="24"/>
          <w:szCs w:val="24"/>
          <w:shd w:val="clear" w:color="auto" w:fill="FFFFFF"/>
          <w:lang w:val="en-GB"/>
        </w:rPr>
        <w:t xml:space="preserve"> in the implementation and evaluation of the impact of the provisions of th</w:t>
      </w:r>
      <w:r w:rsidR="00C4554B">
        <w:rPr>
          <w:rFonts w:ascii="Times New Roman" w:hAnsi="Times New Roman" w:cs="Times New Roman"/>
          <w:sz w:val="24"/>
          <w:szCs w:val="24"/>
          <w:shd w:val="clear" w:color="auto" w:fill="FFFFFF"/>
          <w:lang w:val="en-GB"/>
        </w:rPr>
        <w:t>e</w:t>
      </w:r>
      <w:r w:rsidR="00C4554B" w:rsidRPr="00C4554B">
        <w:rPr>
          <w:rFonts w:ascii="Times New Roman" w:hAnsi="Times New Roman" w:cs="Times New Roman"/>
          <w:sz w:val="24"/>
          <w:szCs w:val="24"/>
          <w:shd w:val="clear" w:color="auto" w:fill="FFFFFF"/>
          <w:lang w:val="en-GB"/>
        </w:rPr>
        <w:t xml:space="preserve"> Convention</w:t>
      </w:r>
      <w:r w:rsidR="00C4554B">
        <w:rPr>
          <w:rFonts w:ascii="Times New Roman" w:hAnsi="Times New Roman" w:cs="Times New Roman"/>
          <w:sz w:val="24"/>
          <w:szCs w:val="24"/>
          <w:shd w:val="clear" w:color="auto" w:fill="FFFFFF"/>
          <w:lang w:val="en-GB"/>
        </w:rPr>
        <w:t>.</w:t>
      </w:r>
    </w:p>
    <w:p w14:paraId="6B05A475" w14:textId="77777777" w:rsidR="00334004" w:rsidRPr="009609E3" w:rsidRDefault="00334004" w:rsidP="00124BA0">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sz w:val="24"/>
          <w:szCs w:val="24"/>
          <w:lang w:val="en-GB"/>
        </w:rPr>
        <w:t xml:space="preserve">Croatian Parliament, on the proposal of the Government of the Republic of Croatia, </w:t>
      </w:r>
      <w:r w:rsidR="00A965BD">
        <w:rPr>
          <w:rFonts w:ascii="Times New Roman" w:hAnsi="Times New Roman" w:cs="Times New Roman"/>
          <w:sz w:val="24"/>
          <w:szCs w:val="24"/>
          <w:lang w:val="en-GB"/>
        </w:rPr>
        <w:t>in</w:t>
      </w:r>
      <w:r w:rsidRPr="009609E3">
        <w:rPr>
          <w:rFonts w:ascii="Times New Roman" w:hAnsi="Times New Roman" w:cs="Times New Roman"/>
          <w:sz w:val="24"/>
          <w:szCs w:val="24"/>
          <w:lang w:val="en-GB"/>
        </w:rPr>
        <w:t xml:space="preserve"> 2018 adopted the Law on the Ratification of the Convention. By adopting this Law, Cro</w:t>
      </w:r>
      <w:r w:rsidR="009609E3">
        <w:rPr>
          <w:rFonts w:ascii="Times New Roman" w:hAnsi="Times New Roman" w:cs="Times New Roman"/>
          <w:sz w:val="24"/>
          <w:szCs w:val="24"/>
          <w:lang w:val="en-GB"/>
        </w:rPr>
        <w:t xml:space="preserve">atia ratified the Convention, </w:t>
      </w:r>
      <w:r w:rsidRPr="009609E3">
        <w:rPr>
          <w:rFonts w:ascii="Times New Roman" w:hAnsi="Times New Roman" w:cs="Times New Roman"/>
          <w:sz w:val="24"/>
          <w:szCs w:val="24"/>
          <w:lang w:val="en-GB"/>
        </w:rPr>
        <w:t>it entered into force in relation to Croatia on 1 October 2018 and it became part of the internal legal order.</w:t>
      </w:r>
    </w:p>
    <w:p w14:paraId="52830088" w14:textId="77777777" w:rsidR="00CF0EFE" w:rsidRPr="009609E3" w:rsidRDefault="00CF0EFE" w:rsidP="00CF0EFE">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sz w:val="24"/>
          <w:szCs w:val="24"/>
          <w:lang w:val="en-GB"/>
        </w:rPr>
        <w:t xml:space="preserve">When depositing the instrument of ratification, </w:t>
      </w:r>
      <w:r>
        <w:rPr>
          <w:rFonts w:ascii="Times New Roman" w:hAnsi="Times New Roman" w:cs="Times New Roman"/>
          <w:sz w:val="24"/>
          <w:szCs w:val="24"/>
          <w:lang w:val="en-GB"/>
        </w:rPr>
        <w:t>i</w:t>
      </w:r>
      <w:r w:rsidRPr="00CF0EFE">
        <w:rPr>
          <w:rFonts w:ascii="Times New Roman" w:hAnsi="Times New Roman" w:cs="Times New Roman"/>
          <w:sz w:val="24"/>
          <w:szCs w:val="24"/>
          <w:lang w:val="en-GB"/>
        </w:rPr>
        <w:t>n accordance with Article 78, paragraph 2</w:t>
      </w:r>
      <w:r>
        <w:rPr>
          <w:rFonts w:ascii="Times New Roman" w:hAnsi="Times New Roman" w:cs="Times New Roman"/>
          <w:sz w:val="24"/>
          <w:szCs w:val="24"/>
          <w:lang w:val="en-GB"/>
        </w:rPr>
        <w:t xml:space="preserve"> of the Convention,</w:t>
      </w:r>
      <w:r w:rsidRPr="009609E3">
        <w:rPr>
          <w:rFonts w:ascii="Times New Roman" w:hAnsi="Times New Roman" w:cs="Times New Roman"/>
          <w:sz w:val="24"/>
          <w:szCs w:val="24"/>
          <w:lang w:val="en-GB"/>
        </w:rPr>
        <w:t xml:space="preserve"> Cr</w:t>
      </w:r>
      <w:r>
        <w:rPr>
          <w:rFonts w:ascii="Times New Roman" w:hAnsi="Times New Roman" w:cs="Times New Roman"/>
          <w:sz w:val="24"/>
          <w:szCs w:val="24"/>
          <w:lang w:val="en-GB"/>
        </w:rPr>
        <w:t xml:space="preserve">oatia expressed the reservation, where it </w:t>
      </w:r>
      <w:r w:rsidRPr="00CF0EFE">
        <w:rPr>
          <w:rFonts w:ascii="Times New Roman" w:hAnsi="Times New Roman" w:cs="Times New Roman"/>
          <w:sz w:val="24"/>
          <w:szCs w:val="24"/>
          <w:lang w:val="en-GB"/>
        </w:rPr>
        <w:t>reserves the right to apply the provisions laid down in Article 30, paragraph 2, only in respect of the victims who exercise the right to compensation in accordance with the national legislation governing the issue of compensation for the victims of offences.</w:t>
      </w:r>
    </w:p>
    <w:p w14:paraId="06B84E22" w14:textId="77777777" w:rsidR="00CF0EFE" w:rsidRPr="009609E3" w:rsidRDefault="00CF0EFE" w:rsidP="00CF0EFE">
      <w:pPr>
        <w:spacing w:before="100" w:beforeAutospacing="1" w:after="100" w:afterAutospacing="1" w:line="240" w:lineRule="auto"/>
        <w:jc w:val="both"/>
        <w:rPr>
          <w:rFonts w:ascii="Times New Roman" w:hAnsi="Times New Roman" w:cs="Times New Roman"/>
          <w:bCs/>
          <w:sz w:val="24"/>
          <w:szCs w:val="24"/>
          <w:lang w:val="en-GB"/>
        </w:rPr>
      </w:pPr>
      <w:r w:rsidRPr="002C3260">
        <w:rPr>
          <w:rFonts w:ascii="Times New Roman" w:hAnsi="Times New Roman" w:cs="Times New Roman"/>
          <w:bCs/>
          <w:sz w:val="24"/>
          <w:szCs w:val="24"/>
          <w:lang w:val="en-GB"/>
        </w:rPr>
        <w:t xml:space="preserve">The Law on the Ratification of the Convention incorporated an interpretative statement as an institute stating how Croatia understands its obligations, stating that the provisions of the Convention do not contain obligations to introduce gender ideology nor redefine the constitutional definitions of marriage. </w:t>
      </w:r>
    </w:p>
    <w:p w14:paraId="679A10F7" w14:textId="77777777" w:rsidR="00CF0EFE" w:rsidRPr="009609E3" w:rsidRDefault="00CF0EFE" w:rsidP="00CF0EFE">
      <w:pPr>
        <w:spacing w:before="100" w:beforeAutospacing="1" w:after="100" w:afterAutospacing="1" w:line="240" w:lineRule="auto"/>
        <w:jc w:val="both"/>
        <w:rPr>
          <w:rFonts w:ascii="Times New Roman" w:hAnsi="Times New Roman" w:cs="Times New Roman"/>
          <w:sz w:val="24"/>
          <w:szCs w:val="24"/>
          <w:lang w:val="en-GB"/>
        </w:rPr>
      </w:pPr>
      <w:r w:rsidRPr="009609E3">
        <w:rPr>
          <w:rFonts w:ascii="Times New Roman" w:hAnsi="Times New Roman" w:cs="Times New Roman"/>
          <w:sz w:val="24"/>
          <w:szCs w:val="24"/>
          <w:lang w:val="en-GB"/>
        </w:rPr>
        <w:t xml:space="preserve">Croatian Ministry </w:t>
      </w:r>
      <w:r>
        <w:rPr>
          <w:rFonts w:ascii="Times New Roman" w:hAnsi="Times New Roman" w:cs="Times New Roman"/>
          <w:sz w:val="24"/>
          <w:szCs w:val="24"/>
          <w:lang w:val="en-GB"/>
        </w:rPr>
        <w:t xml:space="preserve">of Labour, Pension System, Family </w:t>
      </w:r>
      <w:r w:rsidRPr="009609E3">
        <w:rPr>
          <w:rFonts w:ascii="Times New Roman" w:hAnsi="Times New Roman" w:cs="Times New Roman"/>
          <w:sz w:val="24"/>
          <w:szCs w:val="24"/>
          <w:lang w:val="en-GB"/>
        </w:rPr>
        <w:t>and Social Policy has been design</w:t>
      </w:r>
      <w:r>
        <w:rPr>
          <w:rFonts w:ascii="Times New Roman" w:hAnsi="Times New Roman" w:cs="Times New Roman"/>
          <w:sz w:val="24"/>
          <w:szCs w:val="24"/>
          <w:lang w:val="en-GB"/>
        </w:rPr>
        <w:t>ated as the coordinator of the C</w:t>
      </w:r>
      <w:r w:rsidRPr="009609E3">
        <w:rPr>
          <w:rFonts w:ascii="Times New Roman" w:hAnsi="Times New Roman" w:cs="Times New Roman"/>
          <w:sz w:val="24"/>
          <w:szCs w:val="24"/>
          <w:lang w:val="en-GB"/>
        </w:rPr>
        <w:t>onvention implementation at the national level, in accordance with Article 10 of the Convention.</w:t>
      </w:r>
    </w:p>
    <w:p w14:paraId="1C89D0CA" w14:textId="4C17CD3A" w:rsidR="00804616" w:rsidRDefault="00B5351B" w:rsidP="00804616">
      <w:pPr>
        <w:pStyle w:val="NormalWeb"/>
        <w:jc w:val="both"/>
        <w:rPr>
          <w:lang w:val="en-GB"/>
        </w:rPr>
      </w:pPr>
      <w:r w:rsidRPr="009609E3">
        <w:rPr>
          <w:lang w:val="en-GB"/>
        </w:rPr>
        <w:lastRenderedPageBreak/>
        <w:t>The Convention constitutes a legal framework for further upgrading of the framework necessary for the efficient prevention and prosecution and punishment of perpetrators. In the same way, its ratification enabled the strengthening of the existing human rights protection system and created additional prerequisites for more efficient proceedings of central government authorities and other entities providing assistance to victims. After entry into force of the Convention, its active application has started</w:t>
      </w:r>
      <w:r w:rsidR="00804616">
        <w:rPr>
          <w:lang w:val="en-GB"/>
        </w:rPr>
        <w:t xml:space="preserve"> and is being continuously evaluated and monitored</w:t>
      </w:r>
      <w:r w:rsidRPr="009609E3">
        <w:rPr>
          <w:lang w:val="en-GB"/>
        </w:rPr>
        <w:t xml:space="preserve">. </w:t>
      </w:r>
    </w:p>
    <w:p w14:paraId="67DAA705" w14:textId="77777777" w:rsidR="000620FD" w:rsidRPr="000620FD" w:rsidRDefault="000620FD" w:rsidP="000620FD">
      <w:pPr>
        <w:pStyle w:val="NormalWeb"/>
        <w:jc w:val="both"/>
        <w:rPr>
          <w:b/>
          <w:i/>
          <w:color w:val="2F5496" w:themeColor="accent5" w:themeShade="BF"/>
          <w:lang w:val="en-GB" w:eastAsia="en-US"/>
        </w:rPr>
      </w:pPr>
      <w:r w:rsidRPr="000620FD">
        <w:rPr>
          <w:b/>
          <w:i/>
          <w:color w:val="2F5496" w:themeColor="accent5" w:themeShade="BF"/>
          <w:lang w:val="en-GB" w:eastAsia="en-US"/>
        </w:rPr>
        <w:t>3.</w:t>
      </w:r>
      <w:r w:rsidRPr="000620FD">
        <w:rPr>
          <w:b/>
          <w:i/>
          <w:color w:val="2F5496" w:themeColor="accent5" w:themeShade="BF"/>
          <w:lang w:val="en-GB" w:eastAsia="en-US"/>
        </w:rPr>
        <w:tab/>
        <w:t xml:space="preserve">What kind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w:t>
      </w:r>
      <w:proofErr w:type="gramStart"/>
      <w:r w:rsidRPr="000620FD">
        <w:rPr>
          <w:b/>
          <w:i/>
          <w:color w:val="2F5496" w:themeColor="accent5" w:themeShade="BF"/>
          <w:lang w:val="en-GB" w:eastAsia="en-US"/>
        </w:rPr>
        <w:t>trans</w:t>
      </w:r>
      <w:proofErr w:type="gramEnd"/>
      <w:r w:rsidRPr="000620FD">
        <w:rPr>
          <w:b/>
          <w:i/>
          <w:color w:val="2F5496" w:themeColor="accent5" w:themeShade="BF"/>
          <w:lang w:val="en-GB" w:eastAsia="en-US"/>
        </w:rPr>
        <w:t xml:space="preserve"> women, trans men and gender diverse persons?</w:t>
      </w:r>
    </w:p>
    <w:p w14:paraId="4A465B49" w14:textId="77777777" w:rsidR="000620FD" w:rsidRPr="000620FD" w:rsidRDefault="000620FD" w:rsidP="000620FD">
      <w:pPr>
        <w:pStyle w:val="NormalWeb"/>
        <w:jc w:val="both"/>
        <w:rPr>
          <w:b/>
          <w:i/>
          <w:color w:val="2F5496" w:themeColor="accent5" w:themeShade="BF"/>
          <w:lang w:val="en-GB" w:eastAsia="en-US"/>
        </w:rPr>
      </w:pPr>
      <w:r w:rsidRPr="000620FD">
        <w:rPr>
          <w:b/>
          <w:i/>
          <w:color w:val="2F5496" w:themeColor="accent5" w:themeShade="BF"/>
          <w:lang w:val="en-GB" w:eastAsia="en-US"/>
        </w:rPr>
        <w:t>a)</w:t>
      </w:r>
      <w:r w:rsidRPr="000620FD">
        <w:rPr>
          <w:b/>
          <w:i/>
          <w:color w:val="2F5496" w:themeColor="accent5" w:themeShade="BF"/>
          <w:lang w:val="en-GB" w:eastAsia="en-US"/>
        </w:rPr>
        <w:tab/>
        <w:t>does this data collection take an intersectional approach (for example, connecting individual’s multiple social categories to enable more precise analyses (e.g. collecting data about LGBT persons by identities such as race, age, national status and ethnicity)?</w:t>
      </w:r>
    </w:p>
    <w:p w14:paraId="0828CBA7" w14:textId="3B8FA46E" w:rsidR="000620FD" w:rsidRPr="003172D5" w:rsidRDefault="000620FD" w:rsidP="000620FD">
      <w:pPr>
        <w:pStyle w:val="NormalWeb"/>
        <w:jc w:val="both"/>
        <w:rPr>
          <w:b/>
          <w:i/>
          <w:color w:val="2F5496" w:themeColor="accent5" w:themeShade="BF"/>
          <w:lang w:val="en-GB" w:eastAsia="en-US"/>
        </w:rPr>
      </w:pPr>
      <w:r w:rsidRPr="003172D5">
        <w:rPr>
          <w:b/>
          <w:i/>
          <w:color w:val="2F5496" w:themeColor="accent5" w:themeShade="BF"/>
          <w:lang w:val="en-GB" w:eastAsia="en-US"/>
        </w:rPr>
        <w:t>b)</w:t>
      </w:r>
      <w:r w:rsidRPr="003172D5">
        <w:rPr>
          <w:b/>
          <w:i/>
          <w:color w:val="2F5496" w:themeColor="accent5" w:themeShade="BF"/>
          <w:lang w:val="en-GB" w:eastAsia="en-US"/>
        </w:rPr>
        <w:tab/>
      </w:r>
      <w:proofErr w:type="gramStart"/>
      <w:r w:rsidRPr="003172D5">
        <w:rPr>
          <w:b/>
          <w:i/>
          <w:color w:val="2F5496" w:themeColor="accent5" w:themeShade="BF"/>
          <w:lang w:val="en-GB" w:eastAsia="en-US"/>
        </w:rPr>
        <w:t>does</w:t>
      </w:r>
      <w:proofErr w:type="gramEnd"/>
      <w:r w:rsidRPr="003172D5">
        <w:rPr>
          <w:b/>
          <w:i/>
          <w:color w:val="2F5496" w:themeColor="accent5" w:themeShade="BF"/>
          <w:lang w:val="en-GB" w:eastAsia="en-US"/>
        </w:rPr>
        <w:t xml:space="preserve"> the data include information on the relationship between victims and perpetrators.</w:t>
      </w:r>
    </w:p>
    <w:p w14:paraId="2539C743"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The Ministry of Justice and Administration in accordance with the obligations arising from the Anti-Discrimination Act and the Protocol on Proceedings in Hate Crime Cases, collects and consolidates data from competent courts on cases in which they act.</w:t>
      </w:r>
      <w:r w:rsidRPr="003172D5">
        <w:rPr>
          <w:rFonts w:ascii="Times New Roman" w:hAnsi="Times New Roman" w:cs="Times New Roman"/>
          <w:sz w:val="24"/>
          <w:szCs w:val="24"/>
        </w:rPr>
        <w:t xml:space="preserve"> </w:t>
      </w:r>
      <w:r w:rsidRPr="003172D5">
        <w:rPr>
          <w:rFonts w:ascii="Times New Roman" w:hAnsi="Times New Roman" w:cs="Times New Roman"/>
          <w:sz w:val="24"/>
          <w:szCs w:val="24"/>
          <w:lang w:val="en-GB"/>
        </w:rPr>
        <w:t>In both cases (and in terms of discrimination and hate crimes), one of the grounds on which data are segregated is both sexual orientation and gender identity.</w:t>
      </w:r>
    </w:p>
    <w:p w14:paraId="349E1747"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Data collected in relation to discrimination are:</w:t>
      </w:r>
    </w:p>
    <w:p w14:paraId="2FEFD2A4"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In civil cases:</w:t>
      </w:r>
    </w:p>
    <w:p w14:paraId="1E709AD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beginning of the period</w:t>
      </w:r>
    </w:p>
    <w:p w14:paraId="60F226D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cases received</w:t>
      </w:r>
    </w:p>
    <w:p w14:paraId="44C7F68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the lawsuit (segregated by gender)</w:t>
      </w:r>
    </w:p>
    <w:p w14:paraId="464A0B7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Type of lawsuit (determination of discrimination, prohibition or elimination of discrimination, compensation for damages, publication of the judgement in the media, joint lawsuits, etc.) </w:t>
      </w:r>
    </w:p>
    <w:p w14:paraId="21A59278"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Final resolved cases (accepted claims, rejected claims or the case was resolved in another way)</w:t>
      </w:r>
    </w:p>
    <w:p w14:paraId="67F0C3B5"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end of the period</w:t>
      </w:r>
    </w:p>
    <w:p w14:paraId="1A90E6D9"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Form of discrimination determined by a final judgment (in accordance with certain articles of the Anti-Discrimination Act)</w:t>
      </w:r>
    </w:p>
    <w:p w14:paraId="43F4E27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a final judgment (segregated by gender)</w:t>
      </w:r>
    </w:p>
    <w:p w14:paraId="24A165B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Duration of the procedure</w:t>
      </w:r>
    </w:p>
    <w:p w14:paraId="5EC91ACA" w14:textId="77777777" w:rsidR="00E33B81" w:rsidRPr="003172D5" w:rsidRDefault="00E33B81" w:rsidP="00E33B81">
      <w:pPr>
        <w:spacing w:line="276" w:lineRule="auto"/>
        <w:jc w:val="both"/>
        <w:rPr>
          <w:rFonts w:ascii="Times New Roman" w:hAnsi="Times New Roman" w:cs="Times New Roman"/>
          <w:sz w:val="24"/>
          <w:szCs w:val="24"/>
          <w:lang w:val="en-GB"/>
        </w:rPr>
      </w:pPr>
    </w:p>
    <w:p w14:paraId="64159F62"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In criminal cases:</w:t>
      </w:r>
    </w:p>
    <w:p w14:paraId="2C9050F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beginning of the period</w:t>
      </w:r>
    </w:p>
    <w:p w14:paraId="377DD4F7"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cases received</w:t>
      </w:r>
    </w:p>
    <w:p w14:paraId="715FD009"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the indictment (segregated by gender)</w:t>
      </w:r>
    </w:p>
    <w:p w14:paraId="03BCCDFA"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Criminal offense (Torture and Other Cruel, Inhuman or Degrading Treatment or Punishment Art. 104, Violation of Equality Art. 125, Violation of Freedom of Expression Art. 126, Sexual Harassment Art. 156, Public Incitement to Violence and Hate Art. 325.)</w:t>
      </w:r>
    </w:p>
    <w:p w14:paraId="7D36A817"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final resolved cases (conviction, acquittal or resolved in another way)</w:t>
      </w:r>
    </w:p>
    <w:p w14:paraId="34DB6401"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and type of sentences imposed</w:t>
      </w:r>
    </w:p>
    <w:p w14:paraId="5F9858B2"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convicted persons (segregated by gender)</w:t>
      </w:r>
    </w:p>
    <w:p w14:paraId="728F98CD"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a final judgment (segregated by gender)</w:t>
      </w:r>
    </w:p>
    <w:p w14:paraId="09E5DF25"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end of the period</w:t>
      </w:r>
    </w:p>
    <w:p w14:paraId="52AE4CD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Duration of resolved proceedings</w:t>
      </w:r>
    </w:p>
    <w:p w14:paraId="03C7532A" w14:textId="77777777" w:rsidR="00E33B81" w:rsidRPr="003172D5" w:rsidRDefault="00E33B81" w:rsidP="00E33B81">
      <w:pPr>
        <w:spacing w:line="276" w:lineRule="auto"/>
        <w:jc w:val="both"/>
        <w:rPr>
          <w:rFonts w:ascii="Times New Roman" w:hAnsi="Times New Roman" w:cs="Times New Roman"/>
          <w:sz w:val="24"/>
          <w:szCs w:val="24"/>
          <w:lang w:val="en-GB"/>
        </w:rPr>
      </w:pPr>
    </w:p>
    <w:p w14:paraId="10CE316D"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In misdemeanour cases:</w:t>
      </w:r>
    </w:p>
    <w:p w14:paraId="514ADAC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beginning of the period</w:t>
      </w:r>
    </w:p>
    <w:p w14:paraId="3FB8806D"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cases received</w:t>
      </w:r>
    </w:p>
    <w:p w14:paraId="2423B7E8"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the reporting</w:t>
      </w:r>
    </w:p>
    <w:p w14:paraId="0952FEC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Type of violation in accordance with the articles of the Anti-Discrimination Act (harassment, sexual harassment, failure to provide data, victimization, other according to other regulations)</w:t>
      </w:r>
    </w:p>
    <w:p w14:paraId="5003B975"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legally resolved cases (conviction, acquittal or otherwise resolved)</w:t>
      </w:r>
    </w:p>
    <w:p w14:paraId="39EE8FB3"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and type of sentences imposed</w:t>
      </w:r>
    </w:p>
    <w:p w14:paraId="100BA9D6"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convicted persons (segregated by gender)</w:t>
      </w:r>
    </w:p>
    <w:p w14:paraId="2A7F281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persons discriminated against according to a final judgment (segregated by gender)</w:t>
      </w:r>
    </w:p>
    <w:p w14:paraId="6B32FBA2"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Number of unresolved cases at the end of the period</w:t>
      </w:r>
    </w:p>
    <w:p w14:paraId="1DEC75E8"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Duration of resolved proceedings</w:t>
      </w:r>
    </w:p>
    <w:p w14:paraId="13740918" w14:textId="77777777" w:rsidR="00E33B81" w:rsidRPr="003172D5" w:rsidRDefault="00E33B81" w:rsidP="00E33B81">
      <w:pPr>
        <w:spacing w:line="276" w:lineRule="auto"/>
        <w:jc w:val="both"/>
        <w:rPr>
          <w:rFonts w:ascii="Times New Roman" w:hAnsi="Times New Roman" w:cs="Times New Roman"/>
          <w:sz w:val="24"/>
          <w:szCs w:val="24"/>
          <w:lang w:val="en-GB"/>
        </w:rPr>
      </w:pPr>
    </w:p>
    <w:p w14:paraId="658D9FF4"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Data collected in accordance with the Protocol on the Procedure for Hate Crime Cases:</w:t>
      </w:r>
    </w:p>
    <w:p w14:paraId="053E435D"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lastRenderedPageBreak/>
        <w:t>In accordance with the new Draft Protocol on the Procedure for Hate Crime Cases, the so-called "Case tracking" system will be provided, monitoring of all cases related to hate crime from the beginning (from reporting, investigation, etc.) to the final verdict.</w:t>
      </w:r>
    </w:p>
    <w:p w14:paraId="40AAF398"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The competent authorities will collect the following data:</w:t>
      </w:r>
    </w:p>
    <w:p w14:paraId="794FD985" w14:textId="77777777" w:rsidR="00E33B81" w:rsidRPr="003172D5" w:rsidRDefault="00E33B81" w:rsidP="00E33B81">
      <w:pPr>
        <w:spacing w:line="276" w:lineRule="auto"/>
        <w:jc w:val="both"/>
        <w:rPr>
          <w:rFonts w:ascii="Times New Roman" w:hAnsi="Times New Roman" w:cs="Times New Roman"/>
          <w:sz w:val="24"/>
          <w:szCs w:val="24"/>
          <w:lang w:val="en-GB"/>
        </w:rPr>
      </w:pPr>
    </w:p>
    <w:p w14:paraId="0758B237"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The Ministry of Internal Affairs:</w:t>
      </w:r>
    </w:p>
    <w:p w14:paraId="70B994DC"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cases</w:t>
      </w:r>
    </w:p>
    <w:p w14:paraId="1A90B48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perpetrators</w:t>
      </w:r>
    </w:p>
    <w:p w14:paraId="3C6B9682"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victims</w:t>
      </w:r>
    </w:p>
    <w:p w14:paraId="0679DAC9"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place</w:t>
      </w:r>
      <w:proofErr w:type="gramEnd"/>
      <w:r w:rsidRPr="003172D5">
        <w:rPr>
          <w:rFonts w:ascii="Times New Roman" w:hAnsi="Times New Roman" w:cs="Times New Roman"/>
          <w:sz w:val="24"/>
          <w:szCs w:val="24"/>
          <w:lang w:val="en-GB"/>
        </w:rPr>
        <w:t xml:space="preserve"> and time of commission of the offense</w:t>
      </w:r>
    </w:p>
    <w:p w14:paraId="0BCB1788"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indication</w:t>
      </w:r>
      <w:proofErr w:type="gramEnd"/>
      <w:r w:rsidRPr="003172D5">
        <w:rPr>
          <w:rFonts w:ascii="Times New Roman" w:hAnsi="Times New Roman" w:cs="Times New Roman"/>
          <w:sz w:val="24"/>
          <w:szCs w:val="24"/>
          <w:lang w:val="en-GB"/>
        </w:rPr>
        <w:t xml:space="preserve"> of a criminal offense or misdemeanour</w:t>
      </w:r>
    </w:p>
    <w:p w14:paraId="09526CF7"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an indication of the characteristic referred to in Article 87, paragraph 21 of the Criminal Code or Article 325 of the Criminal Code in connection with which the criminal offense was committed</w:t>
      </w:r>
    </w:p>
    <w:p w14:paraId="3A2AE7D1"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an</w:t>
      </w:r>
      <w:proofErr w:type="gramEnd"/>
      <w:r w:rsidRPr="003172D5">
        <w:rPr>
          <w:rFonts w:ascii="Times New Roman" w:hAnsi="Times New Roman" w:cs="Times New Roman"/>
          <w:sz w:val="24"/>
          <w:szCs w:val="24"/>
          <w:lang w:val="en-GB"/>
        </w:rPr>
        <w:t xml:space="preserve"> indication of the characteristics referred to in Article 5 of the Protocol in respect of which the offense was committed</w:t>
      </w:r>
    </w:p>
    <w:p w14:paraId="1B0C1D96" w14:textId="77777777" w:rsidR="00E33B81" w:rsidRPr="003172D5" w:rsidRDefault="00E33B81" w:rsidP="00E33B81">
      <w:pPr>
        <w:spacing w:line="276" w:lineRule="auto"/>
        <w:jc w:val="both"/>
        <w:rPr>
          <w:rFonts w:ascii="Times New Roman" w:hAnsi="Times New Roman" w:cs="Times New Roman"/>
          <w:sz w:val="24"/>
          <w:szCs w:val="24"/>
          <w:lang w:val="en-GB"/>
        </w:rPr>
      </w:pPr>
    </w:p>
    <w:p w14:paraId="3AD7C31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Judicial bodies (state attorney's offices and courts):</w:t>
      </w:r>
    </w:p>
    <w:p w14:paraId="0264C4D2"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State Attorney's Office of the Republic of Croatia for individual state attorney's offices:</w:t>
      </w:r>
    </w:p>
    <w:p w14:paraId="6EDF4FE1"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case</w:t>
      </w:r>
    </w:p>
    <w:p w14:paraId="08084F4C"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suspects</w:t>
      </w:r>
    </w:p>
    <w:p w14:paraId="41D6D806"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victims</w:t>
      </w:r>
    </w:p>
    <w:p w14:paraId="6A2A279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place</w:t>
      </w:r>
      <w:proofErr w:type="gramEnd"/>
      <w:r w:rsidRPr="003172D5">
        <w:rPr>
          <w:rFonts w:ascii="Times New Roman" w:hAnsi="Times New Roman" w:cs="Times New Roman"/>
          <w:sz w:val="24"/>
          <w:szCs w:val="24"/>
          <w:lang w:val="en-GB"/>
        </w:rPr>
        <w:t xml:space="preserve"> and time of commission of the offense</w:t>
      </w:r>
    </w:p>
    <w:p w14:paraId="6E3E65C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indication</w:t>
      </w:r>
      <w:proofErr w:type="gramEnd"/>
      <w:r w:rsidRPr="003172D5">
        <w:rPr>
          <w:rFonts w:ascii="Times New Roman" w:hAnsi="Times New Roman" w:cs="Times New Roman"/>
          <w:sz w:val="24"/>
          <w:szCs w:val="24"/>
          <w:lang w:val="en-GB"/>
        </w:rPr>
        <w:t xml:space="preserve"> of a criminal offense or misdemeanour</w:t>
      </w:r>
    </w:p>
    <w:p w14:paraId="6AD4A3BE"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an indication of the characteristic referred to in Article 87, paragraph 21 of the Criminal Code or Article 325 of the Criminal Code in connection with which the criminal offense was committed</w:t>
      </w:r>
    </w:p>
    <w:p w14:paraId="7A9A9F7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Attorney General's decision</w:t>
      </w:r>
    </w:p>
    <w:p w14:paraId="18E38FCA" w14:textId="77777777" w:rsidR="00E33B81" w:rsidRPr="003172D5" w:rsidRDefault="00E33B81" w:rsidP="00E33B81">
      <w:pPr>
        <w:spacing w:line="276" w:lineRule="auto"/>
        <w:jc w:val="both"/>
        <w:rPr>
          <w:rFonts w:ascii="Times New Roman" w:hAnsi="Times New Roman" w:cs="Times New Roman"/>
          <w:sz w:val="24"/>
          <w:szCs w:val="24"/>
          <w:lang w:val="en-GB"/>
        </w:rPr>
      </w:pPr>
    </w:p>
    <w:p w14:paraId="6D0FF4D9"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The Ministry of Justice and Administration for courts:</w:t>
      </w:r>
    </w:p>
    <w:p w14:paraId="18311914"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cases</w:t>
      </w:r>
    </w:p>
    <w:p w14:paraId="2E9BCBA4"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accused persons</w:t>
      </w:r>
    </w:p>
    <w:p w14:paraId="29E00EF9"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lastRenderedPageBreak/>
        <w:t xml:space="preserve">• </w:t>
      </w:r>
      <w:proofErr w:type="gramStart"/>
      <w:r w:rsidRPr="003172D5">
        <w:rPr>
          <w:rFonts w:ascii="Times New Roman" w:hAnsi="Times New Roman" w:cs="Times New Roman"/>
          <w:sz w:val="24"/>
          <w:szCs w:val="24"/>
          <w:lang w:val="en-GB"/>
        </w:rPr>
        <w:t>number</w:t>
      </w:r>
      <w:proofErr w:type="gramEnd"/>
      <w:r w:rsidRPr="003172D5">
        <w:rPr>
          <w:rFonts w:ascii="Times New Roman" w:hAnsi="Times New Roman" w:cs="Times New Roman"/>
          <w:sz w:val="24"/>
          <w:szCs w:val="24"/>
          <w:lang w:val="en-GB"/>
        </w:rPr>
        <w:t xml:space="preserve"> of victims</w:t>
      </w:r>
    </w:p>
    <w:p w14:paraId="13AB295F"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place</w:t>
      </w:r>
      <w:proofErr w:type="gramEnd"/>
      <w:r w:rsidRPr="003172D5">
        <w:rPr>
          <w:rFonts w:ascii="Times New Roman" w:hAnsi="Times New Roman" w:cs="Times New Roman"/>
          <w:sz w:val="24"/>
          <w:szCs w:val="24"/>
          <w:lang w:val="en-GB"/>
        </w:rPr>
        <w:t xml:space="preserve"> and time of commission of the offense</w:t>
      </w:r>
    </w:p>
    <w:p w14:paraId="285EDCDB"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indication</w:t>
      </w:r>
      <w:proofErr w:type="gramEnd"/>
      <w:r w:rsidRPr="003172D5">
        <w:rPr>
          <w:rFonts w:ascii="Times New Roman" w:hAnsi="Times New Roman" w:cs="Times New Roman"/>
          <w:sz w:val="24"/>
          <w:szCs w:val="24"/>
          <w:lang w:val="en-GB"/>
        </w:rPr>
        <w:t xml:space="preserve"> of a criminal offense or </w:t>
      </w:r>
      <w:proofErr w:type="spellStart"/>
      <w:r w:rsidRPr="003172D5">
        <w:rPr>
          <w:rFonts w:ascii="Times New Roman" w:hAnsi="Times New Roman" w:cs="Times New Roman"/>
          <w:sz w:val="24"/>
          <w:szCs w:val="24"/>
          <w:lang w:val="en-GB"/>
        </w:rPr>
        <w:t>misdemeanor</w:t>
      </w:r>
      <w:proofErr w:type="spellEnd"/>
    </w:p>
    <w:p w14:paraId="5A4B9200"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an indication of the characteristic referred to in Article 87, paragraph 21 of the Criminal Code or Article 325 of the Criminal Code in connection with which the criminal offense was committed</w:t>
      </w:r>
    </w:p>
    <w:p w14:paraId="202CFF0A" w14:textId="77777777"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an</w:t>
      </w:r>
      <w:proofErr w:type="gramEnd"/>
      <w:r w:rsidRPr="003172D5">
        <w:rPr>
          <w:rFonts w:ascii="Times New Roman" w:hAnsi="Times New Roman" w:cs="Times New Roman"/>
          <w:sz w:val="24"/>
          <w:szCs w:val="24"/>
          <w:lang w:val="en-GB"/>
        </w:rPr>
        <w:t xml:space="preserve"> indication of the nature referred to in Article 5 of this Protocol in respect of which the offense has been committed</w:t>
      </w:r>
    </w:p>
    <w:p w14:paraId="7940F1D4" w14:textId="3A5FA616" w:rsidR="00E33B81" w:rsidRPr="003172D5" w:rsidRDefault="00E33B81" w:rsidP="00E33B81">
      <w:pPr>
        <w:spacing w:line="276" w:lineRule="auto"/>
        <w:jc w:val="both"/>
        <w:rPr>
          <w:rFonts w:ascii="Times New Roman" w:hAnsi="Times New Roman" w:cs="Times New Roman"/>
          <w:sz w:val="24"/>
          <w:szCs w:val="24"/>
          <w:lang w:val="en-GB"/>
        </w:rPr>
      </w:pPr>
      <w:r w:rsidRPr="003172D5">
        <w:rPr>
          <w:rFonts w:ascii="Times New Roman" w:hAnsi="Times New Roman" w:cs="Times New Roman"/>
          <w:sz w:val="24"/>
          <w:szCs w:val="24"/>
          <w:lang w:val="en-GB"/>
        </w:rPr>
        <w:t xml:space="preserve">• </w:t>
      </w:r>
      <w:proofErr w:type="gramStart"/>
      <w:r w:rsidRPr="003172D5">
        <w:rPr>
          <w:rFonts w:ascii="Times New Roman" w:hAnsi="Times New Roman" w:cs="Times New Roman"/>
          <w:sz w:val="24"/>
          <w:szCs w:val="24"/>
          <w:lang w:val="en-GB"/>
        </w:rPr>
        <w:t>first</w:t>
      </w:r>
      <w:proofErr w:type="gramEnd"/>
      <w:r w:rsidRPr="003172D5">
        <w:rPr>
          <w:rFonts w:ascii="Times New Roman" w:hAnsi="Times New Roman" w:cs="Times New Roman"/>
          <w:sz w:val="24"/>
          <w:szCs w:val="24"/>
          <w:lang w:val="en-GB"/>
        </w:rPr>
        <w:t xml:space="preserve"> and second instance decision and sanction.</w:t>
      </w:r>
      <w:bookmarkStart w:id="0" w:name="_GoBack"/>
      <w:bookmarkEnd w:id="0"/>
    </w:p>
    <w:p w14:paraId="201967C3" w14:textId="64E144E5" w:rsidR="000620FD" w:rsidRPr="000620FD" w:rsidRDefault="000620FD" w:rsidP="000620FD">
      <w:pPr>
        <w:pStyle w:val="NormalWeb"/>
        <w:jc w:val="both"/>
        <w:rPr>
          <w:lang w:val="en-GB"/>
        </w:rPr>
      </w:pPr>
      <w:r w:rsidRPr="000620FD">
        <w:rPr>
          <w:lang w:val="en-GB"/>
        </w:rPr>
        <w:t>According to Croatian legislation the Ombud</w:t>
      </w:r>
      <w:r w:rsidR="00830F95">
        <w:rPr>
          <w:lang w:val="en-GB"/>
        </w:rPr>
        <w:t>sperson</w:t>
      </w:r>
      <w:r w:rsidRPr="000620FD">
        <w:rPr>
          <w:lang w:val="en-GB"/>
        </w:rPr>
        <w:t xml:space="preserve"> for </w:t>
      </w:r>
      <w:r w:rsidR="00830F95">
        <w:rPr>
          <w:lang w:val="en-GB"/>
        </w:rPr>
        <w:t>gender equality</w:t>
      </w:r>
      <w:r w:rsidRPr="000620FD">
        <w:rPr>
          <w:lang w:val="en-GB"/>
        </w:rPr>
        <w:t xml:space="preserve"> is responsible for handling discrimination complains based on sexual orientation, gender identity and its expression, gathering statistical data and reporting the Parliament on discrimination based on these ground. Therefore, the Annual report of the Ombud</w:t>
      </w:r>
      <w:r w:rsidR="00830F95">
        <w:rPr>
          <w:lang w:val="en-GB"/>
        </w:rPr>
        <w:t>sperson for gender equality</w:t>
      </w:r>
      <w:r w:rsidRPr="000620FD">
        <w:rPr>
          <w:lang w:val="en-GB"/>
        </w:rPr>
        <w:t xml:space="preserve"> gives the statistical overview of discrimination cases handled by this institution including on discrimination based on sexual orientation and gender identity and its expression</w:t>
      </w:r>
      <w:r w:rsidR="00830F95">
        <w:rPr>
          <w:lang w:val="en-GB"/>
        </w:rPr>
        <w:t>. It contains information</w:t>
      </w:r>
      <w:r w:rsidRPr="000620FD">
        <w:rPr>
          <w:lang w:val="en-GB"/>
        </w:rPr>
        <w:t xml:space="preserve"> of concrete discrimination cases or cases of violence</w:t>
      </w:r>
      <w:r w:rsidR="00830F95">
        <w:rPr>
          <w:lang w:val="en-GB"/>
        </w:rPr>
        <w:t xml:space="preserve">, also against LGBTI people. </w:t>
      </w:r>
      <w:r w:rsidRPr="000620FD">
        <w:rPr>
          <w:lang w:val="en-GB"/>
        </w:rPr>
        <w:t>However, the report does not provide any information on discrimination on multiple grounds experienced by LGBTI people.</w:t>
      </w:r>
    </w:p>
    <w:p w14:paraId="09AE701F" w14:textId="25265D93" w:rsidR="000620FD" w:rsidRPr="000620FD" w:rsidRDefault="000620FD" w:rsidP="000620FD">
      <w:pPr>
        <w:pStyle w:val="NormalWeb"/>
        <w:jc w:val="both"/>
        <w:rPr>
          <w:lang w:val="en-GB"/>
        </w:rPr>
      </w:pPr>
      <w:r w:rsidRPr="000620FD">
        <w:rPr>
          <w:lang w:val="en-GB"/>
        </w:rPr>
        <w:t xml:space="preserve">Furthermore, </w:t>
      </w:r>
      <w:r w:rsidR="00B35E13" w:rsidRPr="00830F95">
        <w:rPr>
          <w:lang w:val="en-GB"/>
        </w:rPr>
        <w:t>the Office of the Ombuds</w:t>
      </w:r>
      <w:r w:rsidR="00B35E13">
        <w:rPr>
          <w:lang w:val="en-GB"/>
        </w:rPr>
        <w:t>person,</w:t>
      </w:r>
      <w:r w:rsidR="00B35E13" w:rsidRPr="000620FD">
        <w:rPr>
          <w:lang w:val="en-GB"/>
        </w:rPr>
        <w:t xml:space="preserve"> </w:t>
      </w:r>
      <w:r w:rsidRPr="000620FD">
        <w:rPr>
          <w:lang w:val="en-GB"/>
        </w:rPr>
        <w:t>collects statistical data on discrimination, including on discrimina</w:t>
      </w:r>
      <w:r w:rsidR="00B35E13">
        <w:rPr>
          <w:lang w:val="en-GB"/>
        </w:rPr>
        <w:t xml:space="preserve">tion based on multiple grounds. </w:t>
      </w:r>
      <w:r w:rsidRPr="000620FD">
        <w:rPr>
          <w:lang w:val="en-GB"/>
        </w:rPr>
        <w:t>Additionally, the Ombud</w:t>
      </w:r>
      <w:r w:rsidR="00B35E13">
        <w:rPr>
          <w:lang w:val="en-GB"/>
        </w:rPr>
        <w:t>sperson</w:t>
      </w:r>
      <w:r w:rsidRPr="000620FD">
        <w:rPr>
          <w:lang w:val="en-GB"/>
        </w:rPr>
        <w:t xml:space="preserve"> monitors discrimination court cases and presents the statistics on discrimination grounds pertinent to all discrimination related co</w:t>
      </w:r>
      <w:r w:rsidR="00B35E13">
        <w:rPr>
          <w:lang w:val="en-GB"/>
        </w:rPr>
        <w:t>urt cases in its Annual report.</w:t>
      </w:r>
    </w:p>
    <w:p w14:paraId="0410054B" w14:textId="34EE3E18" w:rsidR="000620FD" w:rsidRPr="000620FD" w:rsidRDefault="000620FD" w:rsidP="000620FD">
      <w:pPr>
        <w:pStyle w:val="NormalWeb"/>
        <w:jc w:val="both"/>
        <w:rPr>
          <w:lang w:val="en-GB"/>
        </w:rPr>
      </w:pPr>
      <w:r w:rsidRPr="000620FD">
        <w:rPr>
          <w:lang w:val="en-GB"/>
        </w:rPr>
        <w:t xml:space="preserve">Finally, the Office for Human Rights and Rights of National Minorities of the Government of the Republic of Croatia (GOHRRNM) has been designated as the central body in the Republic of Croatia for collecting, compiling and publishing data on hate crimes, and cooperating with civil society organizations and international organizations working in this field, such as OSCE and its Office for Democratic Institutions and Human Rights (ODIHR). Hate crime data are collected by the Ministry of Interior, the Prosecutor’s Office, and the Ministry of Justice and Administration and sent to </w:t>
      </w:r>
      <w:r w:rsidR="00B35E13">
        <w:rPr>
          <w:lang w:val="en-GB"/>
        </w:rPr>
        <w:t xml:space="preserve">the </w:t>
      </w:r>
      <w:r w:rsidRPr="000620FD">
        <w:rPr>
          <w:lang w:val="en-GB"/>
        </w:rPr>
        <w:t>Government Office for Human Rights and Rights of National Minorities</w:t>
      </w:r>
      <w:r w:rsidR="00B35E13">
        <w:rPr>
          <w:lang w:val="en-GB"/>
        </w:rPr>
        <w:t>.</w:t>
      </w:r>
    </w:p>
    <w:p w14:paraId="75A7D247" w14:textId="0732F35C" w:rsidR="000620FD" w:rsidRPr="000620FD" w:rsidRDefault="000620FD" w:rsidP="000620FD">
      <w:pPr>
        <w:pStyle w:val="NormalWeb"/>
        <w:jc w:val="both"/>
        <w:rPr>
          <w:lang w:val="en-GB"/>
        </w:rPr>
      </w:pPr>
      <w:r w:rsidRPr="000620FD">
        <w:rPr>
          <w:lang w:val="en-GB"/>
        </w:rPr>
        <w:t xml:space="preserve">The GOHRRNM coordinates the collection of statistical data on hate crime and hate speech cases reported to </w:t>
      </w:r>
      <w:r w:rsidR="00B35E13">
        <w:rPr>
          <w:lang w:val="en-GB"/>
        </w:rPr>
        <w:t xml:space="preserve">the </w:t>
      </w:r>
      <w:r w:rsidRPr="000620FD">
        <w:rPr>
          <w:lang w:val="en-GB"/>
        </w:rPr>
        <w:t xml:space="preserve">authorities, based on all grounds, including also when these criminal acts are motivated by someone’s sexual orientation and gender identity. </w:t>
      </w:r>
    </w:p>
    <w:p w14:paraId="423AEB4C" w14:textId="06DD4518" w:rsidR="000620FD" w:rsidRPr="000620FD" w:rsidRDefault="000620FD" w:rsidP="000620FD">
      <w:pPr>
        <w:pStyle w:val="NormalWeb"/>
        <w:jc w:val="both"/>
        <w:rPr>
          <w:lang w:val="en-GB"/>
        </w:rPr>
      </w:pPr>
      <w:r w:rsidRPr="000620FD">
        <w:rPr>
          <w:lang w:val="en-GB"/>
        </w:rPr>
        <w:t>Since 2011, the recording of hate crimes by police and other authorities is regulated by the Protocol on procedure in cases on hate crime. The Protocol also sets out data gathering templates for each authority handling hate crime. Monitoring system is currently being upgraded by a Revised Protocol (to be adopted by the end of 1st quarter 2021) for data collection on hate crime</w:t>
      </w:r>
      <w:r w:rsidR="00B35E13">
        <w:rPr>
          <w:lang w:val="en-GB"/>
        </w:rPr>
        <w:t>. It</w:t>
      </w:r>
      <w:r w:rsidRPr="000620FD">
        <w:rPr>
          <w:lang w:val="en-GB"/>
        </w:rPr>
        <w:t xml:space="preserve"> will govern procedures for more </w:t>
      </w:r>
      <w:r w:rsidR="00B35E13">
        <w:rPr>
          <w:lang w:val="en-GB"/>
        </w:rPr>
        <w:t>detailed</w:t>
      </w:r>
      <w:r w:rsidRPr="000620FD">
        <w:rPr>
          <w:lang w:val="en-GB"/>
        </w:rPr>
        <w:t xml:space="preserve"> classification of data</w:t>
      </w:r>
      <w:r w:rsidR="00B35E13">
        <w:rPr>
          <w:lang w:val="en-GB"/>
        </w:rPr>
        <w:t>,</w:t>
      </w:r>
      <w:r w:rsidRPr="000620FD">
        <w:rPr>
          <w:lang w:val="en-GB"/>
        </w:rPr>
        <w:t xml:space="preserve"> including separate classification of hate crime and criminal offense of public in</w:t>
      </w:r>
      <w:r w:rsidR="00B35E13">
        <w:rPr>
          <w:lang w:val="en-GB"/>
        </w:rPr>
        <w:t>citement to violence and hatred. It will also</w:t>
      </w:r>
      <w:r w:rsidRPr="000620FD">
        <w:rPr>
          <w:lang w:val="en-GB"/>
        </w:rPr>
        <w:t xml:space="preserve"> disaggregat</w:t>
      </w:r>
      <w:r w:rsidR="00B35E13">
        <w:rPr>
          <w:lang w:val="en-GB"/>
        </w:rPr>
        <w:t>e</w:t>
      </w:r>
      <w:r w:rsidRPr="000620FD">
        <w:rPr>
          <w:lang w:val="en-GB"/>
        </w:rPr>
        <w:t xml:space="preserve"> data based on motiv</w:t>
      </w:r>
      <w:r w:rsidR="00B35E13">
        <w:rPr>
          <w:lang w:val="en-GB"/>
        </w:rPr>
        <w:t>es</w:t>
      </w:r>
      <w:r w:rsidRPr="000620FD">
        <w:rPr>
          <w:lang w:val="en-GB"/>
        </w:rPr>
        <w:t xml:space="preserve"> (including sexual orientation and gender identity). The statistical templates in the Revised Protocol don’t contain information on the </w:t>
      </w:r>
      <w:r w:rsidRPr="000620FD">
        <w:rPr>
          <w:lang w:val="en-GB"/>
        </w:rPr>
        <w:lastRenderedPageBreak/>
        <w:t>relationship between victims and perpetrators. There are some elements of intersectionality, since statistical forms include sex and age of victims, sex and age of perpetrator and crime/offense motivation.</w:t>
      </w:r>
    </w:p>
    <w:p w14:paraId="6961A609"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4.</w:t>
      </w:r>
      <w:r w:rsidRPr="00226F4C">
        <w:rPr>
          <w:b/>
          <w:i/>
          <w:color w:val="2F5496" w:themeColor="accent5" w:themeShade="BF"/>
          <w:lang w:val="en-GB" w:eastAsia="en-US"/>
        </w:rPr>
        <w:tab/>
        <w:t>Is comprehensive sexuality education taught in schools?</w:t>
      </w:r>
    </w:p>
    <w:p w14:paraId="622BA8E5"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a)</w:t>
      </w:r>
      <w:r w:rsidRPr="00226F4C">
        <w:rPr>
          <w:b/>
          <w:i/>
          <w:color w:val="2F5496" w:themeColor="accent5" w:themeShade="BF"/>
          <w:lang w:val="en-GB" w:eastAsia="en-US"/>
        </w:rPr>
        <w:tab/>
        <w:t>If yes, please provide information as to the respective programs. Please provide examples (e.g.) copies of curricula, citation to policies).</w:t>
      </w:r>
    </w:p>
    <w:p w14:paraId="3FFB3C2C"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b)</w:t>
      </w:r>
      <w:r w:rsidRPr="00226F4C">
        <w:rPr>
          <w:b/>
          <w:i/>
          <w:color w:val="2F5496" w:themeColor="accent5" w:themeShade="BF"/>
          <w:lang w:val="en-GB" w:eastAsia="en-US"/>
        </w:rPr>
        <w:tab/>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14:paraId="04CA3E74" w14:textId="36662D7F" w:rsidR="00226F4C" w:rsidRDefault="00226F4C" w:rsidP="000620FD">
      <w:pPr>
        <w:pStyle w:val="NormalWeb"/>
        <w:jc w:val="both"/>
        <w:rPr>
          <w:lang w:val="en-GB"/>
        </w:rPr>
      </w:pPr>
      <w:r>
        <w:rPr>
          <w:lang w:val="en-GB"/>
        </w:rPr>
        <w:t>/</w:t>
      </w:r>
    </w:p>
    <w:p w14:paraId="4F42FCD1" w14:textId="6CE4136D"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5.</w:t>
      </w:r>
      <w:r w:rsidRPr="00226F4C">
        <w:rPr>
          <w:b/>
          <w:i/>
          <w:color w:val="2F5496" w:themeColor="accent5" w:themeShade="BF"/>
          <w:lang w:val="en-GB" w:eastAsia="en-US"/>
        </w:rPr>
        <w:tab/>
        <w:t xml:space="preserve"> 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14:paraId="57E9B37E" w14:textId="3ED29E35" w:rsidR="000620FD" w:rsidRPr="000620FD" w:rsidRDefault="000620FD" w:rsidP="000620FD">
      <w:pPr>
        <w:pStyle w:val="NormalWeb"/>
        <w:jc w:val="both"/>
        <w:rPr>
          <w:lang w:val="en-GB"/>
        </w:rPr>
      </w:pPr>
      <w:r w:rsidRPr="000620FD">
        <w:rPr>
          <w:lang w:val="en-GB"/>
        </w:rPr>
        <w:t>In 2018, during the time when the Law on the adoption of Council of Europe’s Convention on preventing and combating violence against women and domestic violence was in the procedure of public consultations, certain nongovernmental initiatives (e.g. the initiative named “Truth about the Istanbul Convention”), representative</w:t>
      </w:r>
      <w:r w:rsidR="003172D5">
        <w:rPr>
          <w:lang w:val="en-GB"/>
        </w:rPr>
        <w:t>s</w:t>
      </w:r>
      <w:r w:rsidRPr="000620FD">
        <w:rPr>
          <w:lang w:val="en-GB"/>
        </w:rPr>
        <w:t xml:space="preserve"> of the Catholic church in Croatia as well as few members of the Parliament, were publicly claiming that the enactment of this law will bring to eradication of the traditional family and traditional family roles by introducing the so called “gender ideology” and were strongly opposing to the ratification of this document. </w:t>
      </w:r>
    </w:p>
    <w:p w14:paraId="0FDD16E0"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6.</w:t>
      </w:r>
      <w:r w:rsidRPr="00226F4C">
        <w:rPr>
          <w:b/>
          <w:i/>
          <w:color w:val="2F5496" w:themeColor="accent5" w:themeShade="BF"/>
          <w:lang w:val="en-GB" w:eastAsia="en-US"/>
        </w:rPr>
        <w:tab/>
        <w:t xml:space="preserve"> Are there examples where a concept of gender has been used in religious, traditional or indigenous narrative or values in a manner which promotes the acceptance of persons with diverse sexual orientations or gender identity, or protects LGBT individuals from violence and discrimination as well as covering a wider range of persons?</w:t>
      </w:r>
    </w:p>
    <w:p w14:paraId="2FC33DAF" w14:textId="77777777" w:rsidR="000620FD" w:rsidRPr="000620FD" w:rsidRDefault="000620FD" w:rsidP="000620FD">
      <w:pPr>
        <w:pStyle w:val="NormalWeb"/>
        <w:jc w:val="both"/>
        <w:rPr>
          <w:lang w:val="en-GB"/>
        </w:rPr>
      </w:pPr>
      <w:r w:rsidRPr="000620FD">
        <w:rPr>
          <w:lang w:val="en-GB"/>
        </w:rPr>
        <w:t>To our knowledge, there has been no use of the concept of gender in this context.</w:t>
      </w:r>
    </w:p>
    <w:p w14:paraId="70221FCA"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t>7.</w:t>
      </w:r>
      <w:r w:rsidRPr="00226F4C">
        <w:rPr>
          <w:b/>
          <w:i/>
          <w:color w:val="2F5496" w:themeColor="accent5" w:themeShade="BF"/>
          <w:lang w:val="en-GB" w:eastAsia="en-US"/>
        </w:rPr>
        <w:tab/>
        <w:t xml:space="preserve"> Are there examples in which narratives or “gender ideology”, “genderism” or other gender related concepts have been used to introduce regressive measures, in particular but not limited to LGBT persons?</w:t>
      </w:r>
    </w:p>
    <w:p w14:paraId="682A7194" w14:textId="3203EB21" w:rsidR="000620FD" w:rsidRPr="000620FD" w:rsidRDefault="000620FD" w:rsidP="000620FD">
      <w:pPr>
        <w:pStyle w:val="NormalWeb"/>
        <w:jc w:val="both"/>
        <w:rPr>
          <w:lang w:val="en-GB"/>
        </w:rPr>
      </w:pPr>
      <w:r w:rsidRPr="000620FD">
        <w:rPr>
          <w:lang w:val="en-GB"/>
        </w:rPr>
        <w:t xml:space="preserve">In 2013 a nongovernmental group “In the name of the Family”, supported by few other conservative nongovernmental organizations, initiated a state referendum that subsequently led to the change of the Croatian constitution. Based on the referendum question and its results, the following stipulation was introduced in the Constitution text “Marriage is a living union between a woman and a man”. The initiators and promotors of the referendum used the label “gender ideology” to mark the positions that advocated for the equal rights of all persons (also within the family law and in regard to marriage) stating that traditional family is endangered by “gender ideology” and it necessitates this kind of (constitutional) protection. </w:t>
      </w:r>
    </w:p>
    <w:p w14:paraId="1D898C37" w14:textId="77777777" w:rsidR="000620FD" w:rsidRPr="00226F4C" w:rsidRDefault="000620FD" w:rsidP="000620FD">
      <w:pPr>
        <w:pStyle w:val="NormalWeb"/>
        <w:jc w:val="both"/>
        <w:rPr>
          <w:b/>
          <w:i/>
          <w:color w:val="2F5496" w:themeColor="accent5" w:themeShade="BF"/>
          <w:lang w:val="en-GB" w:eastAsia="en-US"/>
        </w:rPr>
      </w:pPr>
      <w:r w:rsidRPr="00226F4C">
        <w:rPr>
          <w:b/>
          <w:i/>
          <w:color w:val="2F5496" w:themeColor="accent5" w:themeShade="BF"/>
          <w:lang w:val="en-GB" w:eastAsia="en-US"/>
        </w:rPr>
        <w:lastRenderedPageBreak/>
        <w:t>8.</w:t>
      </w:r>
      <w:r w:rsidRPr="00226F4C">
        <w:rPr>
          <w:b/>
          <w:i/>
          <w:color w:val="2F5496" w:themeColor="accent5" w:themeShade="BF"/>
          <w:lang w:val="en-GB" w:eastAsia="en-US"/>
        </w:rPr>
        <w:tab/>
        <w:t xml:space="preserve"> 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w:t>
      </w:r>
    </w:p>
    <w:p w14:paraId="40D4E848" w14:textId="77777777" w:rsidR="000620FD" w:rsidRPr="000620FD" w:rsidRDefault="000620FD" w:rsidP="000620FD">
      <w:pPr>
        <w:pStyle w:val="NormalWeb"/>
        <w:jc w:val="both"/>
        <w:rPr>
          <w:lang w:val="en-GB"/>
        </w:rPr>
      </w:pPr>
      <w:r w:rsidRPr="000620FD">
        <w:rPr>
          <w:lang w:val="en-GB"/>
        </w:rPr>
        <w:t xml:space="preserve">No, there haven’t been any initiatives like that. </w:t>
      </w:r>
    </w:p>
    <w:p w14:paraId="42DFE4E1" w14:textId="77777777" w:rsidR="000620FD" w:rsidRPr="00967061" w:rsidRDefault="000620FD" w:rsidP="000620FD">
      <w:pPr>
        <w:pStyle w:val="NormalWeb"/>
        <w:jc w:val="both"/>
        <w:rPr>
          <w:b/>
          <w:i/>
          <w:color w:val="2F5496" w:themeColor="accent5" w:themeShade="BF"/>
          <w:lang w:val="en-GB" w:eastAsia="en-US"/>
        </w:rPr>
      </w:pPr>
      <w:r w:rsidRPr="00967061">
        <w:rPr>
          <w:b/>
          <w:i/>
          <w:color w:val="2F5496" w:themeColor="accent5" w:themeShade="BF"/>
          <w:lang w:val="en-GB" w:eastAsia="en-US"/>
        </w:rPr>
        <w:t>9.</w:t>
      </w:r>
      <w:r w:rsidRPr="00967061">
        <w:rPr>
          <w:b/>
          <w:i/>
          <w:color w:val="2F5496" w:themeColor="accent5" w:themeShade="BF"/>
          <w:lang w:val="en-GB" w:eastAsia="en-US"/>
        </w:rPr>
        <w:tab/>
        <w:t xml:space="preserve"> Have there been public expressions or statements by political and/or religious leaders that have led to indefinite extension, modification or suppression of actions, activities, projects, public policies or application of gender frameworks?</w:t>
      </w:r>
    </w:p>
    <w:p w14:paraId="225C5399" w14:textId="64EDFBC9" w:rsidR="000620FD" w:rsidRPr="000620FD" w:rsidRDefault="000620FD" w:rsidP="000620FD">
      <w:pPr>
        <w:pStyle w:val="NormalWeb"/>
        <w:jc w:val="both"/>
        <w:rPr>
          <w:lang w:val="en-GB"/>
        </w:rPr>
      </w:pPr>
      <w:r w:rsidRPr="000620FD">
        <w:rPr>
          <w:lang w:val="en-GB"/>
        </w:rPr>
        <w:t>There have been no such events.</w:t>
      </w:r>
    </w:p>
    <w:p w14:paraId="52C74C51" w14:textId="77777777" w:rsidR="000620FD" w:rsidRPr="00967061" w:rsidRDefault="000620FD" w:rsidP="000620FD">
      <w:pPr>
        <w:pStyle w:val="NormalWeb"/>
        <w:jc w:val="both"/>
        <w:rPr>
          <w:b/>
          <w:i/>
          <w:color w:val="2F5496" w:themeColor="accent5" w:themeShade="BF"/>
          <w:lang w:val="en-GB" w:eastAsia="en-US"/>
        </w:rPr>
      </w:pPr>
      <w:r w:rsidRPr="00967061">
        <w:rPr>
          <w:b/>
          <w:i/>
          <w:color w:val="2F5496" w:themeColor="accent5" w:themeShade="BF"/>
          <w:lang w:val="en-GB" w:eastAsia="en-US"/>
        </w:rPr>
        <w:t>10.</w:t>
      </w:r>
      <w:r w:rsidRPr="00967061">
        <w:rPr>
          <w:b/>
          <w:i/>
          <w:color w:val="2F5496" w:themeColor="accent5" w:themeShade="BF"/>
          <w:lang w:val="en-GB" w:eastAsia="en-US"/>
        </w:rPr>
        <w:tab/>
        <w:t>Who are main actors who argue that the defenders of human rights of LGBT individuals are furthering a so called “gender ideology”? What are their main arguments? Have they been effective in regressing the human rights of LGBTI individuals? Have their strategies directly or indirectly also impacted on the human rights of women and girls?</w:t>
      </w:r>
    </w:p>
    <w:p w14:paraId="42C7A6D4" w14:textId="77777777" w:rsidR="000620FD" w:rsidRPr="000620FD" w:rsidRDefault="000620FD" w:rsidP="000620FD">
      <w:pPr>
        <w:pStyle w:val="NormalWeb"/>
        <w:jc w:val="both"/>
        <w:rPr>
          <w:lang w:val="en-GB"/>
        </w:rPr>
      </w:pPr>
      <w:r w:rsidRPr="000620FD">
        <w:rPr>
          <w:lang w:val="en-GB"/>
        </w:rPr>
        <w:t>Please refer to the answer to question no. 7.</w:t>
      </w:r>
    </w:p>
    <w:p w14:paraId="4637F579" w14:textId="4CA0FC75" w:rsidR="000620FD" w:rsidRPr="00967061" w:rsidRDefault="000620FD" w:rsidP="000620FD">
      <w:pPr>
        <w:pStyle w:val="NormalWeb"/>
        <w:jc w:val="both"/>
        <w:rPr>
          <w:b/>
          <w:i/>
          <w:color w:val="2F5496" w:themeColor="accent5" w:themeShade="BF"/>
          <w:lang w:val="en-GB" w:eastAsia="en-US"/>
        </w:rPr>
      </w:pPr>
      <w:r w:rsidRPr="00967061">
        <w:rPr>
          <w:b/>
          <w:i/>
          <w:color w:val="2F5496" w:themeColor="accent5" w:themeShade="BF"/>
          <w:lang w:val="en-GB" w:eastAsia="en-US"/>
        </w:rPr>
        <w:t>11.</w:t>
      </w:r>
      <w:r w:rsidRPr="00967061">
        <w:rPr>
          <w:b/>
          <w:i/>
          <w:color w:val="2F5496" w:themeColor="accent5" w:themeShade="BF"/>
          <w:lang w:val="en-GB" w:eastAsia="en-US"/>
        </w:rPr>
        <w:tab/>
        <w:t xml:space="preserve"> Can you provide examples of coalitions working together on resisting attacks on gender ideology? Please share examples of feminist and LGBT and other groups working together and with what kind of frameworks, argument and results?</w:t>
      </w:r>
    </w:p>
    <w:p w14:paraId="71D51112" w14:textId="74257668" w:rsidR="00967061" w:rsidRDefault="00967061" w:rsidP="000620FD">
      <w:pPr>
        <w:pStyle w:val="NormalWeb"/>
        <w:jc w:val="both"/>
        <w:rPr>
          <w:lang w:val="en-GB"/>
        </w:rPr>
      </w:pPr>
      <w:r>
        <w:rPr>
          <w:lang w:val="en-GB"/>
        </w:rPr>
        <w:t>/</w:t>
      </w:r>
    </w:p>
    <w:p w14:paraId="4E2B1F63" w14:textId="62690441" w:rsidR="000620FD" w:rsidRPr="00967061" w:rsidRDefault="000620FD" w:rsidP="000620FD">
      <w:pPr>
        <w:pStyle w:val="NormalWeb"/>
        <w:jc w:val="both"/>
        <w:rPr>
          <w:b/>
          <w:i/>
          <w:color w:val="2F5496" w:themeColor="accent5" w:themeShade="BF"/>
          <w:lang w:val="en-GB" w:eastAsia="en-US"/>
        </w:rPr>
      </w:pPr>
      <w:r w:rsidRPr="00967061">
        <w:rPr>
          <w:b/>
          <w:i/>
          <w:color w:val="2F5496" w:themeColor="accent5" w:themeShade="BF"/>
          <w:lang w:val="en-GB" w:eastAsia="en-US"/>
        </w:rPr>
        <w:t>12.</w:t>
      </w:r>
      <w:r w:rsidRPr="00967061">
        <w:rPr>
          <w:b/>
          <w:i/>
          <w:color w:val="2F5496" w:themeColor="accent5" w:themeShade="BF"/>
          <w:lang w:val="en-GB" w:eastAsia="en-US"/>
        </w:rPr>
        <w:tab/>
        <w:t xml:space="preserve"> What policies, programs and/or practices has the state adopted to meet Sustainable Development Goal 5 (gender equality) and 19 (reduced inequalities)? Do these rely on gender frameworks inclusive to diverse sexual orientations and gender identities and/or aiming to address violence and discrimination based on sexual orientation and gender identity? Please identify relevant examples.</w:t>
      </w:r>
    </w:p>
    <w:p w14:paraId="675FFE31" w14:textId="3BC83D78" w:rsidR="000620FD" w:rsidRPr="000620FD" w:rsidRDefault="000620FD" w:rsidP="000620FD">
      <w:pPr>
        <w:pStyle w:val="NormalWeb"/>
        <w:jc w:val="both"/>
        <w:rPr>
          <w:lang w:val="en-GB"/>
        </w:rPr>
      </w:pPr>
      <w:r w:rsidRPr="000620FD">
        <w:rPr>
          <w:lang w:val="en-GB"/>
        </w:rPr>
        <w:t>The Republic of Croatia has enacted the Anti-discrimination Act in 2009 which provides protection from discrimination in all areas of life, based on 17 discrimination grounds including sexual orientation and gender identity and its expression. With this act the victims of discrimination can initiate court proceedings requesting for protection and compensation. A</w:t>
      </w:r>
      <w:r w:rsidR="008C1EA9">
        <w:rPr>
          <w:lang w:val="en-GB"/>
        </w:rPr>
        <w:t>lso,</w:t>
      </w:r>
      <w:r w:rsidRPr="000620FD">
        <w:rPr>
          <w:lang w:val="en-GB"/>
        </w:rPr>
        <w:t xml:space="preserve"> </w:t>
      </w:r>
      <w:r w:rsidR="008C1EA9">
        <w:rPr>
          <w:lang w:val="en-GB"/>
        </w:rPr>
        <w:t xml:space="preserve">the Office of the </w:t>
      </w:r>
      <w:r w:rsidRPr="000620FD">
        <w:rPr>
          <w:lang w:val="en-GB"/>
        </w:rPr>
        <w:t>Ombud</w:t>
      </w:r>
      <w:r w:rsidR="008C1EA9">
        <w:rPr>
          <w:lang w:val="en-GB"/>
        </w:rPr>
        <w:t>sperson</w:t>
      </w:r>
      <w:r w:rsidRPr="000620FD">
        <w:rPr>
          <w:lang w:val="en-GB"/>
        </w:rPr>
        <w:t xml:space="preserve"> works on cases of discrimination when they are based on sexual orientation and gender identity and its expression.</w:t>
      </w:r>
    </w:p>
    <w:p w14:paraId="482910B9" w14:textId="6F1F61E7" w:rsidR="000620FD" w:rsidRPr="00A83CC5" w:rsidRDefault="008C1EA9" w:rsidP="000620FD">
      <w:pPr>
        <w:pStyle w:val="NormalWeb"/>
        <w:jc w:val="both"/>
        <w:rPr>
          <w:lang w:val="en-GB"/>
        </w:rPr>
      </w:pPr>
      <w:r>
        <w:rPr>
          <w:lang w:val="en-GB"/>
        </w:rPr>
        <w:t>To this day,</w:t>
      </w:r>
      <w:r w:rsidR="000620FD" w:rsidRPr="000620FD">
        <w:rPr>
          <w:lang w:val="en-GB"/>
        </w:rPr>
        <w:t xml:space="preserve"> three strategic documents </w:t>
      </w:r>
      <w:r w:rsidRPr="000620FD">
        <w:rPr>
          <w:lang w:val="en-GB"/>
        </w:rPr>
        <w:t>which defined actions for combating discrimination on the national level</w:t>
      </w:r>
      <w:r>
        <w:rPr>
          <w:lang w:val="en-GB"/>
        </w:rPr>
        <w:t xml:space="preserve">, were </w:t>
      </w:r>
      <w:r w:rsidR="000620FD" w:rsidRPr="000620FD">
        <w:rPr>
          <w:lang w:val="en-GB"/>
        </w:rPr>
        <w:t>in force. Currently the Republic of Croatia is preparing a broad policy framework for protection of human rights and fight against discrimination on all grounds, which will be adopted by the Government in the middle of 2021.</w:t>
      </w:r>
    </w:p>
    <w:sectPr w:rsidR="000620FD" w:rsidRPr="00A83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55BC" w14:textId="77777777" w:rsidR="000E0055" w:rsidRDefault="000E0055" w:rsidP="00124BA0">
      <w:pPr>
        <w:spacing w:after="0" w:line="240" w:lineRule="auto"/>
      </w:pPr>
      <w:r>
        <w:separator/>
      </w:r>
    </w:p>
  </w:endnote>
  <w:endnote w:type="continuationSeparator" w:id="0">
    <w:p w14:paraId="2F6F661F" w14:textId="77777777" w:rsidR="000E0055" w:rsidRDefault="000E0055" w:rsidP="0012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76099"/>
      <w:docPartObj>
        <w:docPartGallery w:val="Page Numbers (Bottom of Page)"/>
        <w:docPartUnique/>
      </w:docPartObj>
    </w:sdtPr>
    <w:sdtEndPr/>
    <w:sdtContent>
      <w:p w14:paraId="51CAEC90" w14:textId="789A6267" w:rsidR="00124BA0" w:rsidRDefault="00124BA0">
        <w:pPr>
          <w:pStyle w:val="Footer"/>
          <w:jc w:val="center"/>
        </w:pPr>
        <w:r>
          <w:fldChar w:fldCharType="begin"/>
        </w:r>
        <w:r>
          <w:instrText>PAGE   \* MERGEFORMAT</w:instrText>
        </w:r>
        <w:r>
          <w:fldChar w:fldCharType="separate"/>
        </w:r>
        <w:r w:rsidR="003172D5">
          <w:rPr>
            <w:noProof/>
          </w:rPr>
          <w:t>11</w:t>
        </w:r>
        <w:r>
          <w:fldChar w:fldCharType="end"/>
        </w:r>
      </w:p>
    </w:sdtContent>
  </w:sdt>
  <w:p w14:paraId="70E22787" w14:textId="77777777" w:rsidR="00124BA0" w:rsidRDefault="0012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36BA" w14:textId="77777777" w:rsidR="000E0055" w:rsidRDefault="000E0055" w:rsidP="00124BA0">
      <w:pPr>
        <w:spacing w:after="0" w:line="240" w:lineRule="auto"/>
      </w:pPr>
      <w:r>
        <w:separator/>
      </w:r>
    </w:p>
  </w:footnote>
  <w:footnote w:type="continuationSeparator" w:id="0">
    <w:p w14:paraId="4D21893D" w14:textId="77777777" w:rsidR="000E0055" w:rsidRDefault="000E0055" w:rsidP="00124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54CC"/>
    <w:multiLevelType w:val="hybridMultilevel"/>
    <w:tmpl w:val="3AAAF64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58F63CB"/>
    <w:multiLevelType w:val="hybridMultilevel"/>
    <w:tmpl w:val="3E0E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E11AC"/>
    <w:multiLevelType w:val="hybridMultilevel"/>
    <w:tmpl w:val="33F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11"/>
    <w:rsid w:val="000620FD"/>
    <w:rsid w:val="00063D5F"/>
    <w:rsid w:val="000C62A3"/>
    <w:rsid w:val="000E0055"/>
    <w:rsid w:val="00124BA0"/>
    <w:rsid w:val="00226F4C"/>
    <w:rsid w:val="002C3260"/>
    <w:rsid w:val="003172D5"/>
    <w:rsid w:val="00324046"/>
    <w:rsid w:val="00334004"/>
    <w:rsid w:val="003C41D0"/>
    <w:rsid w:val="00553410"/>
    <w:rsid w:val="005B35D9"/>
    <w:rsid w:val="005C416E"/>
    <w:rsid w:val="005F34B9"/>
    <w:rsid w:val="006C0366"/>
    <w:rsid w:val="006E0455"/>
    <w:rsid w:val="006F6CB9"/>
    <w:rsid w:val="00723B62"/>
    <w:rsid w:val="00730AF8"/>
    <w:rsid w:val="00797AB2"/>
    <w:rsid w:val="007A7F87"/>
    <w:rsid w:val="007D41AC"/>
    <w:rsid w:val="00804616"/>
    <w:rsid w:val="00830F95"/>
    <w:rsid w:val="00867811"/>
    <w:rsid w:val="008C1EA9"/>
    <w:rsid w:val="009609E3"/>
    <w:rsid w:val="00967061"/>
    <w:rsid w:val="00982C23"/>
    <w:rsid w:val="00A42971"/>
    <w:rsid w:val="00A965BD"/>
    <w:rsid w:val="00B074B6"/>
    <w:rsid w:val="00B35E13"/>
    <w:rsid w:val="00B5351B"/>
    <w:rsid w:val="00B62812"/>
    <w:rsid w:val="00B82086"/>
    <w:rsid w:val="00C4554B"/>
    <w:rsid w:val="00C808F0"/>
    <w:rsid w:val="00CF0EFE"/>
    <w:rsid w:val="00D7365A"/>
    <w:rsid w:val="00D80911"/>
    <w:rsid w:val="00DC11B1"/>
    <w:rsid w:val="00E33B81"/>
    <w:rsid w:val="00EC128F"/>
    <w:rsid w:val="00EF71DB"/>
    <w:rsid w:val="00F734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6183"/>
  <w15:chartTrackingRefBased/>
  <w15:docId w15:val="{691842B7-F868-4078-B8C2-82E2C91E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911"/>
    <w:pPr>
      <w:spacing w:before="100" w:beforeAutospacing="1" w:after="100" w:afterAutospacing="1" w:line="240" w:lineRule="auto"/>
    </w:pPr>
    <w:rPr>
      <w:rFonts w:ascii="Times New Roman" w:hAnsi="Times New Roman" w:cs="Times New Roman"/>
      <w:sz w:val="24"/>
      <w:szCs w:val="24"/>
      <w:lang w:eastAsia="hr-HR"/>
    </w:rPr>
  </w:style>
  <w:style w:type="paragraph" w:styleId="ListParagraph">
    <w:name w:val="List Paragraph"/>
    <w:basedOn w:val="Normal"/>
    <w:uiPriority w:val="34"/>
    <w:qFormat/>
    <w:rsid w:val="00D80911"/>
    <w:pPr>
      <w:spacing w:after="0" w:line="240" w:lineRule="auto"/>
      <w:ind w:left="720"/>
      <w:contextualSpacing/>
    </w:pPr>
    <w:rPr>
      <w:rFonts w:ascii="Calibri" w:hAnsi="Calibri" w:cs="Calibri"/>
    </w:rPr>
  </w:style>
  <w:style w:type="paragraph" w:customStyle="1" w:styleId="t-9-8">
    <w:name w:val="t-9-8"/>
    <w:basedOn w:val="Normal"/>
    <w:uiPriority w:val="99"/>
    <w:semiHidden/>
    <w:rsid w:val="00D8091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24B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4BA0"/>
  </w:style>
  <w:style w:type="paragraph" w:styleId="Footer">
    <w:name w:val="footer"/>
    <w:basedOn w:val="Normal"/>
    <w:link w:val="FooterChar"/>
    <w:uiPriority w:val="99"/>
    <w:unhideWhenUsed/>
    <w:rsid w:val="00124B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4BA0"/>
  </w:style>
  <w:style w:type="paragraph" w:styleId="BalloonText">
    <w:name w:val="Balloon Text"/>
    <w:basedOn w:val="Normal"/>
    <w:link w:val="BalloonTextChar"/>
    <w:uiPriority w:val="99"/>
    <w:semiHidden/>
    <w:unhideWhenUsed/>
    <w:rsid w:val="00E33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3927">
      <w:bodyDiv w:val="1"/>
      <w:marLeft w:val="0"/>
      <w:marRight w:val="0"/>
      <w:marTop w:val="0"/>
      <w:marBottom w:val="0"/>
      <w:divBdr>
        <w:top w:val="none" w:sz="0" w:space="0" w:color="auto"/>
        <w:left w:val="none" w:sz="0" w:space="0" w:color="auto"/>
        <w:bottom w:val="none" w:sz="0" w:space="0" w:color="auto"/>
        <w:right w:val="none" w:sz="0" w:space="0" w:color="auto"/>
      </w:divBdr>
    </w:div>
    <w:div w:id="217473065">
      <w:bodyDiv w:val="1"/>
      <w:marLeft w:val="0"/>
      <w:marRight w:val="0"/>
      <w:marTop w:val="0"/>
      <w:marBottom w:val="0"/>
      <w:divBdr>
        <w:top w:val="none" w:sz="0" w:space="0" w:color="auto"/>
        <w:left w:val="none" w:sz="0" w:space="0" w:color="auto"/>
        <w:bottom w:val="none" w:sz="0" w:space="0" w:color="auto"/>
        <w:right w:val="none" w:sz="0" w:space="0" w:color="auto"/>
      </w:divBdr>
    </w:div>
    <w:div w:id="481625460">
      <w:bodyDiv w:val="1"/>
      <w:marLeft w:val="0"/>
      <w:marRight w:val="0"/>
      <w:marTop w:val="0"/>
      <w:marBottom w:val="0"/>
      <w:divBdr>
        <w:top w:val="none" w:sz="0" w:space="0" w:color="auto"/>
        <w:left w:val="none" w:sz="0" w:space="0" w:color="auto"/>
        <w:bottom w:val="none" w:sz="0" w:space="0" w:color="auto"/>
        <w:right w:val="none" w:sz="0" w:space="0" w:color="auto"/>
      </w:divBdr>
    </w:div>
    <w:div w:id="508107493">
      <w:bodyDiv w:val="1"/>
      <w:marLeft w:val="0"/>
      <w:marRight w:val="0"/>
      <w:marTop w:val="0"/>
      <w:marBottom w:val="0"/>
      <w:divBdr>
        <w:top w:val="none" w:sz="0" w:space="0" w:color="auto"/>
        <w:left w:val="none" w:sz="0" w:space="0" w:color="auto"/>
        <w:bottom w:val="none" w:sz="0" w:space="0" w:color="auto"/>
        <w:right w:val="none" w:sz="0" w:space="0" w:color="auto"/>
      </w:divBdr>
    </w:div>
    <w:div w:id="679427977">
      <w:bodyDiv w:val="1"/>
      <w:marLeft w:val="0"/>
      <w:marRight w:val="0"/>
      <w:marTop w:val="0"/>
      <w:marBottom w:val="0"/>
      <w:divBdr>
        <w:top w:val="none" w:sz="0" w:space="0" w:color="auto"/>
        <w:left w:val="none" w:sz="0" w:space="0" w:color="auto"/>
        <w:bottom w:val="none" w:sz="0" w:space="0" w:color="auto"/>
        <w:right w:val="none" w:sz="0" w:space="0" w:color="auto"/>
      </w:divBdr>
    </w:div>
    <w:div w:id="1120030192">
      <w:bodyDiv w:val="1"/>
      <w:marLeft w:val="0"/>
      <w:marRight w:val="0"/>
      <w:marTop w:val="0"/>
      <w:marBottom w:val="0"/>
      <w:divBdr>
        <w:top w:val="none" w:sz="0" w:space="0" w:color="auto"/>
        <w:left w:val="none" w:sz="0" w:space="0" w:color="auto"/>
        <w:bottom w:val="none" w:sz="0" w:space="0" w:color="auto"/>
        <w:right w:val="none" w:sz="0" w:space="0" w:color="auto"/>
      </w:divBdr>
    </w:div>
    <w:div w:id="14701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Croatia</Contributor>
  </documentManagement>
</p:properties>
</file>

<file path=customXml/itemProps1.xml><?xml version="1.0" encoding="utf-8"?>
<ds:datastoreItem xmlns:ds="http://schemas.openxmlformats.org/officeDocument/2006/customXml" ds:itemID="{21A24917-AC30-4893-A575-787DB469E4E0}"/>
</file>

<file path=customXml/itemProps2.xml><?xml version="1.0" encoding="utf-8"?>
<ds:datastoreItem xmlns:ds="http://schemas.openxmlformats.org/officeDocument/2006/customXml" ds:itemID="{8586F5E8-5A2A-40C9-8739-E74CB01814EF}"/>
</file>

<file path=customXml/itemProps3.xml><?xml version="1.0" encoding="utf-8"?>
<ds:datastoreItem xmlns:ds="http://schemas.openxmlformats.org/officeDocument/2006/customXml" ds:itemID="{AD31F8AC-EC91-49DF-BFBC-F6472E551B8B}"/>
</file>

<file path=docProps/app.xml><?xml version="1.0" encoding="utf-8"?>
<Properties xmlns="http://schemas.openxmlformats.org/officeDocument/2006/extended-properties" xmlns:vt="http://schemas.openxmlformats.org/officeDocument/2006/docPropsVTypes">
  <Template>Normal</Template>
  <TotalTime>8</TotalTime>
  <Pages>11</Pages>
  <Words>4651</Words>
  <Characters>26515</Characters>
  <Application>Microsoft Office Word</Application>
  <DocSecurity>0</DocSecurity>
  <Lines>220</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Sarta</dc:creator>
  <cp:keywords/>
  <dc:description/>
  <cp:lastModifiedBy>Nina Borovac Bego</cp:lastModifiedBy>
  <cp:revision>3</cp:revision>
  <dcterms:created xsi:type="dcterms:W3CDTF">2021-03-08T13:46:00Z</dcterms:created>
  <dcterms:modified xsi:type="dcterms:W3CDTF">2021-03-08T14:16:00Z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