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02BBB" w14:textId="6634F58C" w:rsidR="00946283" w:rsidRPr="00946283" w:rsidRDefault="00946283" w:rsidP="00946283">
      <w:pPr>
        <w:rPr>
          <w:rFonts w:asciiTheme="minorHAnsi" w:hAnsiTheme="minorHAnsi" w:cstheme="minorHAnsi"/>
          <w:b/>
          <w:bCs/>
          <w:sz w:val="26"/>
          <w:szCs w:val="26"/>
        </w:rPr>
      </w:pPr>
      <w:r>
        <w:rPr>
          <w:rFonts w:asciiTheme="minorHAnsi" w:hAnsiTheme="minorHAnsi" w:cstheme="minorHAnsi"/>
          <w:b/>
          <w:bCs/>
          <w:sz w:val="26"/>
          <w:szCs w:val="26"/>
        </w:rPr>
        <w:t>Some important comments to</w:t>
      </w:r>
      <w:r>
        <w:rPr>
          <w:rFonts w:asciiTheme="minorHAnsi" w:hAnsiTheme="minorHAnsi" w:cstheme="minorHAnsi"/>
          <w:b/>
          <w:bCs/>
          <w:sz w:val="26"/>
          <w:szCs w:val="26"/>
        </w:rPr>
        <w:br/>
      </w:r>
      <w:r w:rsidRPr="00946283">
        <w:rPr>
          <w:rFonts w:asciiTheme="minorHAnsi" w:hAnsiTheme="minorHAnsi" w:cstheme="minorHAnsi"/>
          <w:b/>
          <w:bCs/>
          <w:sz w:val="26"/>
          <w:szCs w:val="26"/>
        </w:rPr>
        <w:t xml:space="preserve">Report of the Independent Expert on protection against violence and </w:t>
      </w:r>
      <w:proofErr w:type="gramStart"/>
      <w:r w:rsidRPr="00946283">
        <w:rPr>
          <w:rFonts w:asciiTheme="minorHAnsi" w:hAnsiTheme="minorHAnsi" w:cstheme="minorHAnsi"/>
          <w:b/>
          <w:bCs/>
          <w:sz w:val="26"/>
          <w:szCs w:val="26"/>
        </w:rPr>
        <w:t>discrimination</w:t>
      </w:r>
      <w:proofErr w:type="gramEnd"/>
      <w:r w:rsidRPr="00946283">
        <w:rPr>
          <w:rFonts w:asciiTheme="minorHAnsi" w:hAnsiTheme="minorHAnsi" w:cstheme="minorHAnsi"/>
          <w:b/>
          <w:bCs/>
          <w:sz w:val="26"/>
          <w:szCs w:val="26"/>
        </w:rPr>
        <w:t xml:space="preserve"> </w:t>
      </w:r>
    </w:p>
    <w:p w14:paraId="743A7122" w14:textId="77777777" w:rsidR="00946283" w:rsidRPr="00946283" w:rsidRDefault="00946283" w:rsidP="00946283">
      <w:pPr>
        <w:rPr>
          <w:rFonts w:asciiTheme="minorHAnsi" w:hAnsiTheme="minorHAnsi" w:cstheme="minorHAnsi"/>
          <w:b/>
          <w:bCs/>
          <w:sz w:val="26"/>
          <w:szCs w:val="26"/>
        </w:rPr>
      </w:pPr>
      <w:r w:rsidRPr="00946283">
        <w:rPr>
          <w:rFonts w:asciiTheme="minorHAnsi" w:hAnsiTheme="minorHAnsi" w:cstheme="minorHAnsi"/>
          <w:b/>
          <w:bCs/>
          <w:sz w:val="26"/>
          <w:szCs w:val="26"/>
        </w:rPr>
        <w:t>based on sexual orientation and gender identity</w:t>
      </w:r>
    </w:p>
    <w:p w14:paraId="01131B25" w14:textId="77777777" w:rsidR="00946283" w:rsidRPr="00946283" w:rsidRDefault="00946283" w:rsidP="00946283">
      <w:pPr>
        <w:rPr>
          <w:rFonts w:asciiTheme="minorHAnsi" w:hAnsiTheme="minorHAnsi" w:cstheme="minorHAnsi"/>
          <w:b/>
          <w:bCs/>
          <w:sz w:val="26"/>
          <w:szCs w:val="26"/>
        </w:rPr>
      </w:pPr>
    </w:p>
    <w:p w14:paraId="7590C3A3" w14:textId="5504FC3C" w:rsidR="00946283" w:rsidRDefault="00946283" w:rsidP="00946283">
      <w:pPr>
        <w:rPr>
          <w:rFonts w:asciiTheme="minorHAnsi" w:hAnsiTheme="minorHAnsi" w:cstheme="minorHAnsi"/>
          <w:b/>
          <w:bCs/>
          <w:sz w:val="26"/>
          <w:szCs w:val="26"/>
        </w:rPr>
      </w:pPr>
      <w:r w:rsidRPr="00946283">
        <w:rPr>
          <w:rFonts w:asciiTheme="minorHAnsi" w:hAnsiTheme="minorHAnsi" w:cstheme="minorHAnsi"/>
          <w:b/>
          <w:bCs/>
          <w:sz w:val="26"/>
          <w:szCs w:val="26"/>
        </w:rPr>
        <w:t xml:space="preserve">Gender, sexual </w:t>
      </w:r>
      <w:proofErr w:type="gramStart"/>
      <w:r w:rsidRPr="00946283">
        <w:rPr>
          <w:rFonts w:asciiTheme="minorHAnsi" w:hAnsiTheme="minorHAnsi" w:cstheme="minorHAnsi"/>
          <w:b/>
          <w:bCs/>
          <w:sz w:val="26"/>
          <w:szCs w:val="26"/>
        </w:rPr>
        <w:t>orientation</w:t>
      </w:r>
      <w:proofErr w:type="gramEnd"/>
      <w:r w:rsidRPr="00946283">
        <w:rPr>
          <w:rFonts w:asciiTheme="minorHAnsi" w:hAnsiTheme="minorHAnsi" w:cstheme="minorHAnsi"/>
          <w:b/>
          <w:bCs/>
          <w:sz w:val="26"/>
          <w:szCs w:val="26"/>
        </w:rPr>
        <w:t xml:space="preserve"> and gender identity</w:t>
      </w:r>
    </w:p>
    <w:p w14:paraId="2E22559F" w14:textId="763B8289" w:rsidR="00946283" w:rsidRDefault="00946283" w:rsidP="00946283">
      <w:pPr>
        <w:rPr>
          <w:rFonts w:asciiTheme="minorHAnsi" w:hAnsiTheme="minorHAnsi" w:cstheme="minorHAnsi"/>
          <w:b/>
          <w:bCs/>
          <w:sz w:val="26"/>
          <w:szCs w:val="26"/>
        </w:rPr>
      </w:pPr>
    </w:p>
    <w:p w14:paraId="640BB070" w14:textId="77777777" w:rsidR="00946283" w:rsidRPr="00946283" w:rsidRDefault="00946283" w:rsidP="00946283">
      <w:pPr>
        <w:rPr>
          <w:rFonts w:asciiTheme="minorHAnsi" w:hAnsiTheme="minorHAnsi" w:cstheme="minorHAnsi"/>
          <w:b/>
          <w:bCs/>
          <w:sz w:val="26"/>
          <w:szCs w:val="26"/>
        </w:rPr>
      </w:pPr>
    </w:p>
    <w:p w14:paraId="5F457E37" w14:textId="0DD06985" w:rsidR="00946283" w:rsidRPr="00946283" w:rsidRDefault="00946283" w:rsidP="00946283">
      <w:pPr>
        <w:pStyle w:val="Luettelokappale"/>
        <w:numPr>
          <w:ilvl w:val="0"/>
          <w:numId w:val="15"/>
        </w:numPr>
        <w:rPr>
          <w:rFonts w:asciiTheme="minorHAnsi" w:hAnsiTheme="minorHAnsi" w:cstheme="minorHAnsi"/>
          <w:color w:val="000000"/>
          <w:sz w:val="26"/>
          <w:szCs w:val="26"/>
          <w:shd w:val="clear" w:color="auto" w:fill="FFFFFF"/>
        </w:rPr>
      </w:pPr>
      <w:r>
        <w:rPr>
          <w:rFonts w:asciiTheme="minorHAnsi" w:hAnsiTheme="minorHAnsi" w:cstheme="minorHAnsi"/>
          <w:color w:val="000000"/>
          <w:sz w:val="26"/>
          <w:szCs w:val="26"/>
          <w:shd w:val="clear" w:color="auto" w:fill="FFFFFF"/>
        </w:rPr>
        <w:t>I</w:t>
      </w:r>
      <w:r w:rsidRPr="00946283">
        <w:rPr>
          <w:rFonts w:asciiTheme="minorHAnsi" w:hAnsiTheme="minorHAnsi" w:cstheme="minorHAnsi"/>
          <w:color w:val="000000"/>
          <w:sz w:val="26"/>
          <w:szCs w:val="26"/>
          <w:shd w:val="clear" w:color="auto" w:fill="FFFFFF"/>
        </w:rPr>
        <w:t xml:space="preserve"> fundamentally disagree with the radical and </w:t>
      </w:r>
      <w:r w:rsidRPr="00946283">
        <w:rPr>
          <w:rFonts w:asciiTheme="minorHAnsi" w:hAnsiTheme="minorHAnsi" w:cstheme="minorHAnsi"/>
          <w:b/>
          <w:bCs/>
          <w:color w:val="000000"/>
          <w:sz w:val="26"/>
          <w:szCs w:val="26"/>
          <w:shd w:val="clear" w:color="auto" w:fill="FFFFFF"/>
        </w:rPr>
        <w:t>unscientific</w:t>
      </w:r>
      <w:r w:rsidRPr="00946283">
        <w:rPr>
          <w:rFonts w:asciiTheme="minorHAnsi" w:hAnsiTheme="minorHAnsi" w:cstheme="minorHAnsi"/>
          <w:color w:val="000000"/>
          <w:sz w:val="26"/>
          <w:szCs w:val="26"/>
          <w:shd w:val="clear" w:color="auto" w:fill="FFFFFF"/>
        </w:rPr>
        <w:t xml:space="preserve"> transgender </w:t>
      </w:r>
      <w:r w:rsidRPr="00946283">
        <w:rPr>
          <w:rFonts w:asciiTheme="minorHAnsi" w:hAnsiTheme="minorHAnsi" w:cstheme="minorHAnsi"/>
          <w:b/>
          <w:bCs/>
          <w:color w:val="000000"/>
          <w:sz w:val="26"/>
          <w:szCs w:val="26"/>
          <w:shd w:val="clear" w:color="auto" w:fill="FFFFFF"/>
        </w:rPr>
        <w:t>ideologies</w:t>
      </w:r>
      <w:r w:rsidRPr="00946283">
        <w:rPr>
          <w:rFonts w:asciiTheme="minorHAnsi" w:hAnsiTheme="minorHAnsi" w:cstheme="minorHAnsi"/>
          <w:color w:val="000000"/>
          <w:sz w:val="26"/>
          <w:szCs w:val="26"/>
          <w:shd w:val="clear" w:color="auto" w:fill="FFFFFF"/>
        </w:rPr>
        <w:t xml:space="preserve"> that underpin your request for submissions for your thematic report on Gender, Sexual Orientation and Gender Identity. </w:t>
      </w:r>
      <w:r>
        <w:rPr>
          <w:rFonts w:asciiTheme="minorHAnsi" w:hAnsiTheme="minorHAnsi" w:cstheme="minorHAnsi"/>
          <w:color w:val="000000"/>
          <w:sz w:val="26"/>
          <w:szCs w:val="26"/>
          <w:shd w:val="clear" w:color="auto" w:fill="FFFFFF"/>
        </w:rPr>
        <w:t>I</w:t>
      </w:r>
      <w:r w:rsidRPr="00946283">
        <w:rPr>
          <w:rFonts w:asciiTheme="minorHAnsi" w:hAnsiTheme="minorHAnsi" w:cstheme="minorHAnsi"/>
          <w:color w:val="000000"/>
          <w:sz w:val="26"/>
          <w:szCs w:val="26"/>
          <w:shd w:val="clear" w:color="auto" w:fill="FFFFFF"/>
        </w:rPr>
        <w:t xml:space="preserve"> believe that the very questions and definitions you use illustrate a gross overstepping of your mandate.</w:t>
      </w:r>
    </w:p>
    <w:p w14:paraId="6FD17B68" w14:textId="77777777" w:rsidR="00946283" w:rsidRPr="00946283" w:rsidRDefault="00946283" w:rsidP="00946283">
      <w:pPr>
        <w:rPr>
          <w:rFonts w:asciiTheme="minorHAnsi" w:hAnsiTheme="minorHAnsi" w:cstheme="minorHAnsi"/>
          <w:color w:val="000000"/>
          <w:sz w:val="26"/>
          <w:szCs w:val="26"/>
          <w:shd w:val="clear" w:color="auto" w:fill="FFFFFF"/>
        </w:rPr>
      </w:pPr>
    </w:p>
    <w:p w14:paraId="5278322D" w14:textId="76C932BB" w:rsidR="00946283" w:rsidRPr="00946283" w:rsidRDefault="00946283" w:rsidP="00946283">
      <w:pPr>
        <w:pStyle w:val="Luettelokappale"/>
        <w:numPr>
          <w:ilvl w:val="0"/>
          <w:numId w:val="15"/>
        </w:numPr>
        <w:rPr>
          <w:rFonts w:asciiTheme="minorHAnsi" w:hAnsiTheme="minorHAnsi" w:cstheme="minorHAnsi"/>
          <w:color w:val="000000"/>
          <w:sz w:val="26"/>
          <w:szCs w:val="26"/>
          <w:shd w:val="clear" w:color="auto" w:fill="FFFFFF"/>
        </w:rPr>
      </w:pPr>
      <w:r>
        <w:rPr>
          <w:rFonts w:asciiTheme="minorHAnsi" w:hAnsiTheme="minorHAnsi" w:cstheme="minorHAnsi"/>
          <w:color w:val="000000"/>
          <w:sz w:val="26"/>
          <w:szCs w:val="26"/>
          <w:shd w:val="clear" w:color="auto" w:fill="FFFFFF"/>
        </w:rPr>
        <w:t>T</w:t>
      </w:r>
      <w:r w:rsidRPr="00946283">
        <w:rPr>
          <w:rFonts w:asciiTheme="minorHAnsi" w:hAnsiTheme="minorHAnsi" w:cstheme="minorHAnsi"/>
          <w:color w:val="000000"/>
          <w:sz w:val="26"/>
          <w:szCs w:val="26"/>
          <w:shd w:val="clear" w:color="auto" w:fill="FFFFFF"/>
        </w:rPr>
        <w:t xml:space="preserve">he leading questions and rhetoric used in your call for submissions demonstrate a clear bias in favor of radical sexual and gender theories and policies, which have been rejected by a large grouping of UN Member States on multiple occasions. </w:t>
      </w:r>
    </w:p>
    <w:p w14:paraId="6829C9AD" w14:textId="77777777" w:rsidR="00946283" w:rsidRPr="00946283" w:rsidRDefault="00946283" w:rsidP="00946283">
      <w:pPr>
        <w:rPr>
          <w:rFonts w:asciiTheme="minorHAnsi" w:hAnsiTheme="minorHAnsi" w:cstheme="minorHAnsi"/>
          <w:color w:val="000000"/>
          <w:sz w:val="26"/>
          <w:szCs w:val="26"/>
          <w:shd w:val="clear" w:color="auto" w:fill="FFFFFF"/>
        </w:rPr>
      </w:pPr>
    </w:p>
    <w:p w14:paraId="262AF02E" w14:textId="77777777" w:rsidR="00946283" w:rsidRPr="00946283" w:rsidRDefault="00946283" w:rsidP="00946283">
      <w:pPr>
        <w:pStyle w:val="Luettelokappale"/>
        <w:numPr>
          <w:ilvl w:val="0"/>
          <w:numId w:val="15"/>
        </w:numPr>
        <w:rPr>
          <w:rFonts w:asciiTheme="minorHAnsi" w:hAnsiTheme="minorHAnsi" w:cstheme="minorHAnsi"/>
          <w:color w:val="000000"/>
          <w:sz w:val="26"/>
          <w:szCs w:val="26"/>
          <w:shd w:val="clear" w:color="auto" w:fill="FFFFFF"/>
        </w:rPr>
      </w:pPr>
      <w:r w:rsidRPr="00946283">
        <w:rPr>
          <w:rFonts w:asciiTheme="minorHAnsi" w:hAnsiTheme="minorHAnsi" w:cstheme="minorHAnsi"/>
          <w:color w:val="000000"/>
          <w:sz w:val="26"/>
          <w:szCs w:val="26"/>
          <w:shd w:val="clear" w:color="auto" w:fill="FFFFFF"/>
        </w:rPr>
        <w:t>The SOGI Independent Expert’s mandate is to advance the rights of persons to be free from violence or unjust discrimination based on “sexual orientation” or “gender identity,” however, your report undermines the very foundation upon which sex-based rights and protections are established.</w:t>
      </w:r>
    </w:p>
    <w:p w14:paraId="584CD1A0" w14:textId="77777777" w:rsidR="00946283" w:rsidRPr="00946283" w:rsidRDefault="00946283" w:rsidP="00946283">
      <w:pPr>
        <w:rPr>
          <w:rFonts w:asciiTheme="minorHAnsi" w:hAnsiTheme="minorHAnsi" w:cstheme="minorHAnsi"/>
          <w:color w:val="000000"/>
          <w:sz w:val="26"/>
          <w:szCs w:val="26"/>
          <w:shd w:val="clear" w:color="auto" w:fill="FFFFFF"/>
        </w:rPr>
      </w:pPr>
    </w:p>
    <w:p w14:paraId="1612DAD1" w14:textId="47E6422F" w:rsidR="00946283" w:rsidRPr="00946283" w:rsidRDefault="00946283" w:rsidP="00946283">
      <w:pPr>
        <w:pStyle w:val="Luettelokappale"/>
        <w:numPr>
          <w:ilvl w:val="0"/>
          <w:numId w:val="15"/>
        </w:numPr>
        <w:rPr>
          <w:rFonts w:asciiTheme="minorHAnsi" w:hAnsiTheme="minorHAnsi" w:cstheme="minorHAnsi"/>
          <w:sz w:val="26"/>
          <w:szCs w:val="26"/>
          <w:shd w:val="clear" w:color="auto" w:fill="FFFFFF"/>
        </w:rPr>
      </w:pPr>
      <w:r>
        <w:rPr>
          <w:rFonts w:asciiTheme="minorHAnsi" w:hAnsiTheme="minorHAnsi" w:cstheme="minorHAnsi"/>
          <w:sz w:val="26"/>
          <w:szCs w:val="26"/>
          <w:shd w:val="clear" w:color="auto" w:fill="FFFFFF"/>
        </w:rPr>
        <w:t>I</w:t>
      </w:r>
      <w:r w:rsidRPr="00946283">
        <w:rPr>
          <w:rFonts w:asciiTheme="minorHAnsi" w:hAnsiTheme="minorHAnsi" w:cstheme="minorHAnsi"/>
          <w:sz w:val="26"/>
          <w:szCs w:val="26"/>
          <w:shd w:val="clear" w:color="auto" w:fill="FFFFFF"/>
        </w:rPr>
        <w:t xml:space="preserve"> support the protection of all fundamental human rights of all persons regardless of sexual orientation and gender identity. Your report, however, is clearly aimed at, among other things, advancing radical gender theories and ideologies that seek to erase all differences between men and women and undermine the hard-earned gains for women </w:t>
      </w:r>
      <w:proofErr w:type="gramStart"/>
      <w:r w:rsidRPr="00946283">
        <w:rPr>
          <w:rFonts w:asciiTheme="minorHAnsi" w:hAnsiTheme="minorHAnsi" w:cstheme="minorHAnsi"/>
          <w:sz w:val="26"/>
          <w:szCs w:val="26"/>
          <w:shd w:val="clear" w:color="auto" w:fill="FFFFFF"/>
        </w:rPr>
        <w:t>in the area of</w:t>
      </w:r>
      <w:proofErr w:type="gramEnd"/>
      <w:r w:rsidRPr="00946283">
        <w:rPr>
          <w:rFonts w:asciiTheme="minorHAnsi" w:hAnsiTheme="minorHAnsi" w:cstheme="minorHAnsi"/>
          <w:sz w:val="26"/>
          <w:szCs w:val="26"/>
          <w:shd w:val="clear" w:color="auto" w:fill="FFFFFF"/>
        </w:rPr>
        <w:t xml:space="preserve"> human rights.</w:t>
      </w:r>
    </w:p>
    <w:p w14:paraId="6C6148C8" w14:textId="77777777" w:rsidR="00946283" w:rsidRPr="00946283" w:rsidRDefault="00946283" w:rsidP="00946283">
      <w:pPr>
        <w:pStyle w:val="Luettelokappale"/>
        <w:rPr>
          <w:rFonts w:asciiTheme="minorHAnsi" w:hAnsiTheme="minorHAnsi" w:cstheme="minorHAnsi"/>
          <w:sz w:val="26"/>
          <w:szCs w:val="26"/>
          <w:shd w:val="clear" w:color="auto" w:fill="FFFFFF"/>
        </w:rPr>
      </w:pPr>
    </w:p>
    <w:p w14:paraId="6B321E15" w14:textId="2B6C244A" w:rsidR="00946283" w:rsidRPr="00946283" w:rsidRDefault="00946283" w:rsidP="00946283">
      <w:pPr>
        <w:pStyle w:val="Luettelokappale"/>
        <w:numPr>
          <w:ilvl w:val="0"/>
          <w:numId w:val="15"/>
        </w:numPr>
        <w:shd w:val="clear" w:color="auto" w:fill="FFFFFF"/>
        <w:rPr>
          <w:rFonts w:asciiTheme="minorHAnsi" w:hAnsiTheme="minorHAnsi" w:cstheme="minorHAnsi"/>
          <w:sz w:val="26"/>
          <w:szCs w:val="26"/>
        </w:rPr>
      </w:pPr>
      <w:r>
        <w:rPr>
          <w:rFonts w:asciiTheme="minorHAnsi" w:hAnsiTheme="minorHAnsi" w:cstheme="minorHAnsi"/>
          <w:sz w:val="26"/>
          <w:szCs w:val="26"/>
        </w:rPr>
        <w:t>I</w:t>
      </w:r>
      <w:r w:rsidRPr="00946283">
        <w:rPr>
          <w:rFonts w:asciiTheme="minorHAnsi" w:hAnsiTheme="minorHAnsi" w:cstheme="minorHAnsi"/>
          <w:sz w:val="26"/>
          <w:szCs w:val="26"/>
        </w:rPr>
        <w:t xml:space="preserve"> denounce all “violence” and unjust “discrimination” regardless but would challenge your definitions for these two terms which go far beyond UN consensus agreements in harmful ways.</w:t>
      </w:r>
    </w:p>
    <w:p w14:paraId="773A9F0F" w14:textId="77777777" w:rsidR="00946283" w:rsidRPr="00946283" w:rsidRDefault="00946283" w:rsidP="00946283">
      <w:pPr>
        <w:rPr>
          <w:rFonts w:asciiTheme="minorHAnsi" w:hAnsiTheme="minorHAnsi" w:cstheme="minorHAnsi"/>
          <w:bCs/>
          <w:color w:val="222222"/>
          <w:sz w:val="26"/>
          <w:szCs w:val="26"/>
        </w:rPr>
      </w:pPr>
    </w:p>
    <w:p w14:paraId="1EF4FB63" w14:textId="53F822BB" w:rsidR="00946283" w:rsidRPr="00946283" w:rsidRDefault="00946283" w:rsidP="00946283">
      <w:pPr>
        <w:pStyle w:val="Luettelokappale"/>
        <w:numPr>
          <w:ilvl w:val="0"/>
          <w:numId w:val="7"/>
        </w:numPr>
        <w:rPr>
          <w:rFonts w:asciiTheme="minorHAnsi" w:hAnsiTheme="minorHAnsi" w:cstheme="minorHAnsi"/>
          <w:bCs/>
          <w:color w:val="222222"/>
          <w:sz w:val="26"/>
          <w:szCs w:val="26"/>
        </w:rPr>
      </w:pPr>
      <w:r>
        <w:rPr>
          <w:rFonts w:asciiTheme="minorHAnsi" w:hAnsiTheme="minorHAnsi" w:cstheme="minorHAnsi"/>
          <w:bCs/>
          <w:color w:val="222222"/>
          <w:sz w:val="26"/>
          <w:szCs w:val="26"/>
        </w:rPr>
        <w:t xml:space="preserve">I believe you </w:t>
      </w:r>
      <w:proofErr w:type="gramStart"/>
      <w:r>
        <w:rPr>
          <w:rFonts w:asciiTheme="minorHAnsi" w:hAnsiTheme="minorHAnsi" w:cstheme="minorHAnsi"/>
          <w:bCs/>
          <w:color w:val="222222"/>
          <w:sz w:val="26"/>
          <w:szCs w:val="26"/>
        </w:rPr>
        <w:t>know,</w:t>
      </w:r>
      <w:proofErr w:type="gramEnd"/>
      <w:r>
        <w:rPr>
          <w:rFonts w:asciiTheme="minorHAnsi" w:hAnsiTheme="minorHAnsi" w:cstheme="minorHAnsi"/>
          <w:bCs/>
          <w:color w:val="222222"/>
          <w:sz w:val="26"/>
          <w:szCs w:val="26"/>
        </w:rPr>
        <w:t xml:space="preserve"> that t</w:t>
      </w:r>
      <w:r w:rsidRPr="00946283">
        <w:rPr>
          <w:rFonts w:asciiTheme="minorHAnsi" w:hAnsiTheme="minorHAnsi" w:cstheme="minorHAnsi"/>
          <w:bCs/>
          <w:color w:val="222222"/>
          <w:sz w:val="26"/>
          <w:szCs w:val="26"/>
        </w:rPr>
        <w:t xml:space="preserve">he term “gender identity” does not appear in any binding international agreements negotiated by the full body of UN Member States. Every time it has been proposed, it has been rejected by UN Member States because it is </w:t>
      </w:r>
      <w:r w:rsidRPr="00946283">
        <w:rPr>
          <w:rFonts w:asciiTheme="minorHAnsi" w:hAnsiTheme="minorHAnsi" w:cstheme="minorHAnsi"/>
          <w:b/>
          <w:color w:val="222222"/>
          <w:sz w:val="26"/>
          <w:szCs w:val="26"/>
        </w:rPr>
        <w:t>too controversial</w:t>
      </w:r>
      <w:r w:rsidRPr="00946283">
        <w:rPr>
          <w:rFonts w:asciiTheme="minorHAnsi" w:hAnsiTheme="minorHAnsi" w:cstheme="minorHAnsi"/>
          <w:bCs/>
          <w:color w:val="222222"/>
          <w:sz w:val="26"/>
          <w:szCs w:val="26"/>
        </w:rPr>
        <w:t>.</w:t>
      </w:r>
    </w:p>
    <w:p w14:paraId="375CBF09" w14:textId="77777777" w:rsidR="00946283" w:rsidRPr="00946283" w:rsidRDefault="00946283" w:rsidP="00946283">
      <w:pPr>
        <w:ind w:left="360"/>
        <w:rPr>
          <w:rFonts w:asciiTheme="minorHAnsi" w:hAnsiTheme="minorHAnsi" w:cstheme="minorHAnsi"/>
          <w:bCs/>
          <w:color w:val="222222"/>
          <w:sz w:val="26"/>
          <w:szCs w:val="26"/>
        </w:rPr>
      </w:pPr>
    </w:p>
    <w:p w14:paraId="7C198D57" w14:textId="7E4F2E07" w:rsidR="00946283" w:rsidRPr="00946283" w:rsidRDefault="00804ED4" w:rsidP="00946283">
      <w:pPr>
        <w:pStyle w:val="Luettelokappale"/>
        <w:numPr>
          <w:ilvl w:val="0"/>
          <w:numId w:val="7"/>
        </w:numPr>
        <w:rPr>
          <w:rFonts w:asciiTheme="minorHAnsi" w:hAnsiTheme="minorHAnsi" w:cstheme="minorHAnsi"/>
          <w:sz w:val="26"/>
          <w:szCs w:val="26"/>
        </w:rPr>
      </w:pPr>
      <w:r>
        <w:rPr>
          <w:rFonts w:asciiTheme="minorHAnsi" w:hAnsiTheme="minorHAnsi" w:cstheme="minorHAnsi"/>
          <w:sz w:val="26"/>
          <w:szCs w:val="26"/>
        </w:rPr>
        <w:t>C</w:t>
      </w:r>
      <w:r w:rsidRPr="00946283">
        <w:rPr>
          <w:rFonts w:asciiTheme="minorHAnsi" w:hAnsiTheme="minorHAnsi" w:cstheme="minorHAnsi"/>
          <w:sz w:val="26"/>
          <w:szCs w:val="26"/>
        </w:rPr>
        <w:t>riticism</w:t>
      </w:r>
      <w:r w:rsidR="00946283" w:rsidRPr="00946283">
        <w:rPr>
          <w:rFonts w:asciiTheme="minorHAnsi" w:hAnsiTheme="minorHAnsi" w:cstheme="minorHAnsi"/>
          <w:sz w:val="26"/>
          <w:szCs w:val="26"/>
        </w:rPr>
        <w:t xml:space="preserve"> of radical gender theory or policies that protect women’s private spaces</w:t>
      </w:r>
      <w:r>
        <w:rPr>
          <w:rFonts w:asciiTheme="minorHAnsi" w:hAnsiTheme="minorHAnsi" w:cstheme="minorHAnsi"/>
          <w:sz w:val="26"/>
          <w:szCs w:val="26"/>
        </w:rPr>
        <w:t xml:space="preserve"> are not </w:t>
      </w:r>
      <w:r w:rsidRPr="00946283">
        <w:rPr>
          <w:rFonts w:asciiTheme="minorHAnsi" w:hAnsiTheme="minorHAnsi" w:cstheme="minorHAnsi"/>
          <w:sz w:val="26"/>
          <w:szCs w:val="26"/>
        </w:rPr>
        <w:t xml:space="preserve">“violence” </w:t>
      </w:r>
      <w:r>
        <w:rPr>
          <w:rFonts w:asciiTheme="minorHAnsi" w:hAnsiTheme="minorHAnsi" w:cstheme="minorHAnsi"/>
          <w:sz w:val="26"/>
          <w:szCs w:val="26"/>
        </w:rPr>
        <w:t>or</w:t>
      </w:r>
      <w:r w:rsidRPr="00946283">
        <w:rPr>
          <w:rFonts w:asciiTheme="minorHAnsi" w:hAnsiTheme="minorHAnsi" w:cstheme="minorHAnsi"/>
          <w:sz w:val="26"/>
          <w:szCs w:val="26"/>
        </w:rPr>
        <w:t xml:space="preserve"> “discrimination”</w:t>
      </w:r>
      <w:r>
        <w:rPr>
          <w:rFonts w:asciiTheme="minorHAnsi" w:hAnsiTheme="minorHAnsi" w:cstheme="minorHAnsi"/>
          <w:sz w:val="26"/>
          <w:szCs w:val="26"/>
        </w:rPr>
        <w:t>.</w:t>
      </w:r>
      <w:r w:rsidRPr="00946283">
        <w:rPr>
          <w:rFonts w:asciiTheme="minorHAnsi" w:hAnsiTheme="minorHAnsi" w:cstheme="minorHAnsi"/>
          <w:sz w:val="26"/>
          <w:szCs w:val="26"/>
        </w:rPr>
        <w:t xml:space="preserve"> </w:t>
      </w:r>
    </w:p>
    <w:p w14:paraId="7B5030F9" w14:textId="77777777" w:rsidR="00946283" w:rsidRPr="00946283" w:rsidRDefault="00946283" w:rsidP="00946283">
      <w:pPr>
        <w:rPr>
          <w:rFonts w:asciiTheme="minorHAnsi" w:hAnsiTheme="minorHAnsi" w:cstheme="minorHAnsi"/>
          <w:sz w:val="26"/>
          <w:szCs w:val="26"/>
        </w:rPr>
      </w:pPr>
    </w:p>
    <w:p w14:paraId="4E73AFBA" w14:textId="77777777" w:rsidR="00946283" w:rsidRPr="00804ED4" w:rsidRDefault="00946283" w:rsidP="00946283">
      <w:pPr>
        <w:pStyle w:val="Luettelokappale"/>
        <w:numPr>
          <w:ilvl w:val="0"/>
          <w:numId w:val="7"/>
        </w:numPr>
        <w:rPr>
          <w:rFonts w:asciiTheme="minorHAnsi" w:hAnsiTheme="minorHAnsi" w:cstheme="minorHAnsi"/>
          <w:b/>
          <w:bCs/>
          <w:sz w:val="26"/>
          <w:szCs w:val="26"/>
        </w:rPr>
      </w:pPr>
      <w:r w:rsidRPr="00804ED4">
        <w:rPr>
          <w:rFonts w:asciiTheme="minorHAnsi" w:hAnsiTheme="minorHAnsi" w:cstheme="minorHAnsi"/>
          <w:b/>
          <w:bCs/>
          <w:sz w:val="26"/>
          <w:szCs w:val="26"/>
        </w:rPr>
        <w:lastRenderedPageBreak/>
        <w:t xml:space="preserve">The UN social policies </w:t>
      </w:r>
      <w:proofErr w:type="gramStart"/>
      <w:r w:rsidRPr="00804ED4">
        <w:rPr>
          <w:rFonts w:asciiTheme="minorHAnsi" w:hAnsiTheme="minorHAnsi" w:cstheme="minorHAnsi"/>
          <w:b/>
          <w:bCs/>
          <w:sz w:val="26"/>
          <w:szCs w:val="26"/>
        </w:rPr>
        <w:t>with regard to</w:t>
      </w:r>
      <w:proofErr w:type="gramEnd"/>
      <w:r w:rsidRPr="00804ED4">
        <w:rPr>
          <w:rFonts w:asciiTheme="minorHAnsi" w:hAnsiTheme="minorHAnsi" w:cstheme="minorHAnsi"/>
          <w:b/>
          <w:bCs/>
          <w:sz w:val="26"/>
          <w:szCs w:val="26"/>
        </w:rPr>
        <w:t xml:space="preserve"> gender equality were specifically designed to protect sex-based rights, not controversial transgender ideology.</w:t>
      </w:r>
    </w:p>
    <w:p w14:paraId="4729425E" w14:textId="77777777" w:rsidR="00946283" w:rsidRPr="00946283" w:rsidRDefault="00946283" w:rsidP="00946283">
      <w:pPr>
        <w:pStyle w:val="Luettelokappale"/>
        <w:rPr>
          <w:rFonts w:asciiTheme="minorHAnsi" w:hAnsiTheme="minorHAnsi" w:cstheme="minorHAnsi"/>
          <w:sz w:val="26"/>
          <w:szCs w:val="26"/>
        </w:rPr>
      </w:pPr>
    </w:p>
    <w:p w14:paraId="14E3FB26" w14:textId="157F179C" w:rsidR="00946283" w:rsidRPr="00946283" w:rsidRDefault="00804ED4" w:rsidP="00946283">
      <w:pPr>
        <w:pStyle w:val="Luettelokappale"/>
        <w:numPr>
          <w:ilvl w:val="0"/>
          <w:numId w:val="7"/>
        </w:numPr>
        <w:rPr>
          <w:rFonts w:asciiTheme="minorHAnsi" w:hAnsiTheme="minorHAnsi" w:cstheme="minorHAnsi"/>
          <w:sz w:val="26"/>
          <w:szCs w:val="26"/>
        </w:rPr>
      </w:pPr>
      <w:r>
        <w:rPr>
          <w:rFonts w:asciiTheme="minorHAnsi" w:hAnsiTheme="minorHAnsi" w:cstheme="minorHAnsi"/>
          <w:sz w:val="26"/>
          <w:szCs w:val="26"/>
        </w:rPr>
        <w:t>G</w:t>
      </w:r>
      <w:r w:rsidR="00946283" w:rsidRPr="00946283">
        <w:rPr>
          <w:rFonts w:asciiTheme="minorHAnsi" w:hAnsiTheme="minorHAnsi" w:cstheme="minorHAnsi"/>
          <w:sz w:val="26"/>
          <w:szCs w:val="26"/>
        </w:rPr>
        <w:t>ender theory and queer theory are akin to religious beliefs and should not be the underpinnings for UN policies nor international law.</w:t>
      </w:r>
    </w:p>
    <w:p w14:paraId="2892B615" w14:textId="0F8E01E9" w:rsidR="00946283" w:rsidRPr="00804ED4" w:rsidRDefault="00946283" w:rsidP="00804ED4">
      <w:pPr>
        <w:rPr>
          <w:rFonts w:asciiTheme="minorHAnsi" w:hAnsiTheme="minorHAnsi" w:cstheme="minorHAnsi"/>
          <w:b/>
          <w:color w:val="222222"/>
          <w:sz w:val="26"/>
          <w:szCs w:val="26"/>
        </w:rPr>
      </w:pPr>
    </w:p>
    <w:p w14:paraId="1F600904" w14:textId="060B3255" w:rsidR="00946283" w:rsidRPr="00946283" w:rsidRDefault="00804ED4" w:rsidP="00946283">
      <w:pPr>
        <w:pStyle w:val="Luettelokappale"/>
        <w:numPr>
          <w:ilvl w:val="0"/>
          <w:numId w:val="21"/>
        </w:numPr>
        <w:rPr>
          <w:rFonts w:asciiTheme="minorHAnsi" w:hAnsiTheme="minorHAnsi" w:cstheme="minorHAnsi"/>
          <w:sz w:val="26"/>
          <w:szCs w:val="26"/>
        </w:rPr>
      </w:pPr>
      <w:r>
        <w:rPr>
          <w:rFonts w:asciiTheme="minorHAnsi" w:hAnsiTheme="minorHAnsi" w:cstheme="minorHAnsi"/>
          <w:sz w:val="26"/>
          <w:szCs w:val="26"/>
        </w:rPr>
        <w:t>I am</w:t>
      </w:r>
      <w:r w:rsidR="00946283" w:rsidRPr="00946283">
        <w:rPr>
          <w:rFonts w:asciiTheme="minorHAnsi" w:hAnsiTheme="minorHAnsi" w:cstheme="minorHAnsi"/>
          <w:sz w:val="26"/>
          <w:szCs w:val="26"/>
        </w:rPr>
        <w:t xml:space="preserve"> greatly concerned that the UN-appointed Independent Expert on protection against violence and discrimination based on sexual orientation and gender identity (SOGI) is now at the forefront of UN efforts to reinterpret the concepts of “gender” and “gender equality” beyond the longstanding understanding of male and female and equality between the sexes which would erase all sex-based rights and protections for women and girls.</w:t>
      </w:r>
    </w:p>
    <w:p w14:paraId="42469992" w14:textId="77777777" w:rsidR="00946283" w:rsidRPr="00946283" w:rsidRDefault="00946283" w:rsidP="00946283">
      <w:pPr>
        <w:rPr>
          <w:rFonts w:asciiTheme="minorHAnsi" w:hAnsiTheme="minorHAnsi" w:cstheme="minorHAnsi"/>
          <w:sz w:val="26"/>
          <w:szCs w:val="26"/>
        </w:rPr>
      </w:pPr>
    </w:p>
    <w:p w14:paraId="297E5BF1" w14:textId="77777777" w:rsidR="00946283" w:rsidRPr="00946283" w:rsidRDefault="00946283" w:rsidP="00946283">
      <w:pPr>
        <w:pStyle w:val="Luettelokappale"/>
        <w:numPr>
          <w:ilvl w:val="0"/>
          <w:numId w:val="21"/>
        </w:numPr>
        <w:rPr>
          <w:rFonts w:asciiTheme="minorHAnsi" w:hAnsiTheme="minorHAnsi" w:cstheme="minorHAnsi"/>
          <w:sz w:val="26"/>
          <w:szCs w:val="26"/>
        </w:rPr>
      </w:pPr>
      <w:r w:rsidRPr="00946283">
        <w:rPr>
          <w:rFonts w:asciiTheme="minorHAnsi" w:hAnsiTheme="minorHAnsi" w:cstheme="minorHAnsi"/>
          <w:sz w:val="26"/>
          <w:szCs w:val="26"/>
        </w:rPr>
        <w:t>The terms “gender” and “gender equality” are common terms used throughout the UN system and in multiple UN documents and resolutions adopted by consensus by UN Member States to advance the equality of women and girls and were never intended to advance highly controversial transgender polies.</w:t>
      </w:r>
    </w:p>
    <w:p w14:paraId="497E03CA" w14:textId="77777777" w:rsidR="00946283" w:rsidRPr="00946283" w:rsidRDefault="00946283" w:rsidP="00946283">
      <w:pPr>
        <w:rPr>
          <w:rFonts w:asciiTheme="minorHAnsi" w:hAnsiTheme="minorHAnsi" w:cstheme="minorHAnsi"/>
          <w:sz w:val="26"/>
          <w:szCs w:val="26"/>
        </w:rPr>
      </w:pPr>
    </w:p>
    <w:p w14:paraId="02643E8C" w14:textId="77777777" w:rsidR="00946283" w:rsidRPr="00946283" w:rsidRDefault="00946283" w:rsidP="00946283">
      <w:pPr>
        <w:pStyle w:val="Luettelokappale"/>
        <w:numPr>
          <w:ilvl w:val="0"/>
          <w:numId w:val="21"/>
        </w:numPr>
        <w:rPr>
          <w:rFonts w:asciiTheme="minorHAnsi" w:hAnsiTheme="minorHAnsi" w:cstheme="minorHAnsi"/>
          <w:sz w:val="26"/>
          <w:szCs w:val="26"/>
        </w:rPr>
      </w:pPr>
      <w:r w:rsidRPr="00946283">
        <w:rPr>
          <w:rFonts w:asciiTheme="minorHAnsi" w:hAnsiTheme="minorHAnsi" w:cstheme="minorHAnsi"/>
          <w:sz w:val="26"/>
          <w:szCs w:val="26"/>
        </w:rPr>
        <w:t>The Independent Expert on SOGI is redefining retroactively the term “gender” and gender-based terms in UN documents (i.e., resolutions, treaties, UN 2030 Agenda, etc.) to go beyond the longstanding concept of male and female based on biological sex, and instead is incorporating the concept of “gender identity” based on unscientific gender ideology.</w:t>
      </w:r>
    </w:p>
    <w:p w14:paraId="5AC02306" w14:textId="77777777" w:rsidR="00946283" w:rsidRPr="00946283" w:rsidRDefault="00946283" w:rsidP="00946283">
      <w:pPr>
        <w:rPr>
          <w:rFonts w:asciiTheme="minorHAnsi" w:hAnsiTheme="minorHAnsi" w:cstheme="minorHAnsi"/>
          <w:b/>
          <w:color w:val="222222"/>
          <w:sz w:val="26"/>
          <w:szCs w:val="26"/>
        </w:rPr>
      </w:pPr>
    </w:p>
    <w:p w14:paraId="180C96CB" w14:textId="77777777" w:rsidR="00946283" w:rsidRPr="00946283" w:rsidRDefault="00946283" w:rsidP="00946283">
      <w:pPr>
        <w:numPr>
          <w:ilvl w:val="0"/>
          <w:numId w:val="17"/>
        </w:numPr>
        <w:textAlignment w:val="baseline"/>
        <w:rPr>
          <w:rFonts w:asciiTheme="minorHAnsi" w:hAnsiTheme="minorHAnsi" w:cstheme="minorHAnsi"/>
          <w:color w:val="000000"/>
          <w:sz w:val="26"/>
          <w:szCs w:val="26"/>
        </w:rPr>
      </w:pPr>
      <w:r w:rsidRPr="00946283">
        <w:rPr>
          <w:rFonts w:asciiTheme="minorHAnsi" w:hAnsiTheme="minorHAnsi" w:cstheme="minorHAnsi"/>
          <w:color w:val="000000"/>
          <w:sz w:val="26"/>
          <w:szCs w:val="26"/>
        </w:rPr>
        <w:t xml:space="preserve">The </w:t>
      </w:r>
      <w:r w:rsidRPr="00946283">
        <w:rPr>
          <w:rFonts w:asciiTheme="minorHAnsi" w:hAnsiTheme="minorHAnsi" w:cstheme="minorHAnsi"/>
          <w:sz w:val="26"/>
          <w:szCs w:val="26"/>
        </w:rPr>
        <w:t xml:space="preserve">Independent Expert on SOGI is attempting to </w:t>
      </w:r>
      <w:r w:rsidRPr="00946283">
        <w:rPr>
          <w:rFonts w:asciiTheme="minorHAnsi" w:hAnsiTheme="minorHAnsi" w:cstheme="minorHAnsi"/>
          <w:color w:val="000000"/>
          <w:sz w:val="26"/>
          <w:szCs w:val="26"/>
        </w:rPr>
        <w:t>mainstream queer theory throughout the UN system and to pressure UN Member States to do the same. His intent is to make all States accountable to his radical concept of a “gender framework” that would mainstream SOGI ideology in all laws and policies.</w:t>
      </w:r>
    </w:p>
    <w:p w14:paraId="3601ACA8" w14:textId="77777777" w:rsidR="00946283" w:rsidRPr="00946283" w:rsidRDefault="00946283" w:rsidP="00946283">
      <w:pPr>
        <w:rPr>
          <w:rFonts w:asciiTheme="minorHAnsi" w:hAnsiTheme="minorHAnsi" w:cstheme="minorHAnsi"/>
          <w:b/>
          <w:color w:val="222222"/>
          <w:sz w:val="26"/>
          <w:szCs w:val="26"/>
        </w:rPr>
      </w:pPr>
    </w:p>
    <w:p w14:paraId="79498ABC" w14:textId="77777777" w:rsidR="00946283" w:rsidRPr="00804ED4" w:rsidRDefault="00946283" w:rsidP="00946283">
      <w:pPr>
        <w:pStyle w:val="Luettelokappale"/>
        <w:numPr>
          <w:ilvl w:val="0"/>
          <w:numId w:val="13"/>
        </w:numPr>
        <w:rPr>
          <w:rFonts w:asciiTheme="minorHAnsi" w:hAnsiTheme="minorHAnsi" w:cstheme="minorHAnsi"/>
          <w:b/>
          <w:bCs/>
          <w:sz w:val="26"/>
          <w:szCs w:val="26"/>
        </w:rPr>
      </w:pPr>
      <w:r w:rsidRPr="00804ED4">
        <w:rPr>
          <w:rFonts w:asciiTheme="minorHAnsi" w:hAnsiTheme="minorHAnsi" w:cstheme="minorHAnsi"/>
          <w:b/>
          <w:bCs/>
          <w:sz w:val="26"/>
          <w:szCs w:val="26"/>
        </w:rPr>
        <w:t>The idea that a biological male becomes a girl or woman simply by adopting stereotypical female behavior and dress is regressive and harms girls and women by reinforcing the very stereotypes that have resulted in the harassment, discrimination, and violence against girls and women.</w:t>
      </w:r>
    </w:p>
    <w:p w14:paraId="155C491B" w14:textId="77777777" w:rsidR="00946283" w:rsidRPr="00946283" w:rsidRDefault="00946283" w:rsidP="00946283">
      <w:pPr>
        <w:rPr>
          <w:rFonts w:asciiTheme="minorHAnsi" w:hAnsiTheme="minorHAnsi" w:cstheme="minorHAnsi"/>
          <w:sz w:val="26"/>
          <w:szCs w:val="26"/>
        </w:rPr>
      </w:pPr>
    </w:p>
    <w:p w14:paraId="106D5F90" w14:textId="77777777" w:rsidR="00946283" w:rsidRPr="00804ED4" w:rsidRDefault="00946283" w:rsidP="00946283">
      <w:pPr>
        <w:pStyle w:val="Luettelokappale"/>
        <w:numPr>
          <w:ilvl w:val="0"/>
          <w:numId w:val="13"/>
        </w:numPr>
        <w:rPr>
          <w:rFonts w:asciiTheme="minorHAnsi" w:hAnsiTheme="minorHAnsi" w:cstheme="minorHAnsi"/>
          <w:b/>
          <w:bCs/>
          <w:sz w:val="26"/>
          <w:szCs w:val="26"/>
        </w:rPr>
      </w:pPr>
      <w:r w:rsidRPr="00804ED4">
        <w:rPr>
          <w:rFonts w:asciiTheme="minorHAnsi" w:hAnsiTheme="minorHAnsi" w:cstheme="minorHAnsi"/>
          <w:b/>
          <w:bCs/>
          <w:sz w:val="26"/>
          <w:szCs w:val="26"/>
        </w:rPr>
        <w:t>The idea that a biological male can or should try to become or impersonate a girl or woman if they reject stereotypically male behavior or that a female can or should try to become or impersonate a boy or a man is regressive and can damage those who are gender non-conforming or those who reject male or female stereotyped roles.</w:t>
      </w:r>
    </w:p>
    <w:p w14:paraId="35683BBF" w14:textId="77777777" w:rsidR="00946283" w:rsidRPr="00804ED4" w:rsidRDefault="00946283" w:rsidP="00804ED4">
      <w:pPr>
        <w:rPr>
          <w:rFonts w:asciiTheme="minorHAnsi" w:hAnsiTheme="minorHAnsi" w:cstheme="minorHAnsi"/>
          <w:bCs/>
          <w:color w:val="222222"/>
          <w:sz w:val="26"/>
          <w:szCs w:val="26"/>
        </w:rPr>
      </w:pPr>
    </w:p>
    <w:p w14:paraId="0964E087" w14:textId="77777777" w:rsidR="00946283" w:rsidRPr="00804ED4" w:rsidRDefault="00946283" w:rsidP="00946283">
      <w:pPr>
        <w:pStyle w:val="Luettelokappale"/>
        <w:numPr>
          <w:ilvl w:val="0"/>
          <w:numId w:val="1"/>
        </w:numPr>
        <w:rPr>
          <w:rFonts w:asciiTheme="minorHAnsi" w:hAnsiTheme="minorHAnsi" w:cstheme="minorHAnsi"/>
          <w:b/>
          <w:color w:val="222222"/>
          <w:sz w:val="26"/>
          <w:szCs w:val="26"/>
        </w:rPr>
      </w:pPr>
      <w:r w:rsidRPr="00804ED4">
        <w:rPr>
          <w:rFonts w:asciiTheme="minorHAnsi" w:hAnsiTheme="minorHAnsi" w:cstheme="minorHAnsi"/>
          <w:b/>
          <w:color w:val="222222"/>
          <w:sz w:val="26"/>
          <w:szCs w:val="26"/>
        </w:rPr>
        <w:lastRenderedPageBreak/>
        <w:t>How can we create policies based on characteristics that are subjective, changeable, self-defined and that cannot be measured or quantified? For example, “</w:t>
      </w:r>
      <w:proofErr w:type="spellStart"/>
      <w:r w:rsidRPr="00804ED4">
        <w:rPr>
          <w:rFonts w:asciiTheme="minorHAnsi" w:hAnsiTheme="minorHAnsi" w:cstheme="minorHAnsi"/>
          <w:b/>
          <w:color w:val="222222"/>
          <w:sz w:val="26"/>
          <w:szCs w:val="26"/>
        </w:rPr>
        <w:t>Adamasgender</w:t>
      </w:r>
      <w:proofErr w:type="spellEnd"/>
      <w:r w:rsidRPr="00804ED4">
        <w:rPr>
          <w:rFonts w:asciiTheme="minorHAnsi" w:hAnsiTheme="minorHAnsi" w:cstheme="minorHAnsi"/>
          <w:b/>
          <w:color w:val="222222"/>
          <w:sz w:val="26"/>
          <w:szCs w:val="26"/>
        </w:rPr>
        <w:t>” is defined as “a gender which refuses to be categorized,” and “</w:t>
      </w:r>
      <w:proofErr w:type="spellStart"/>
      <w:r w:rsidRPr="00804ED4">
        <w:rPr>
          <w:rFonts w:asciiTheme="minorHAnsi" w:hAnsiTheme="minorHAnsi" w:cstheme="minorHAnsi"/>
          <w:b/>
          <w:color w:val="222222"/>
          <w:sz w:val="26"/>
          <w:szCs w:val="26"/>
        </w:rPr>
        <w:t>Affectugender</w:t>
      </w:r>
      <w:proofErr w:type="spellEnd"/>
      <w:r w:rsidRPr="00804ED4">
        <w:rPr>
          <w:rFonts w:asciiTheme="minorHAnsi" w:hAnsiTheme="minorHAnsi" w:cstheme="minorHAnsi"/>
          <w:b/>
          <w:color w:val="222222"/>
          <w:sz w:val="26"/>
          <w:szCs w:val="26"/>
        </w:rPr>
        <w:t xml:space="preserve">” is defined as “a gender that is affected by mood swings?” How can governments be expected to regulate policies based on an individual’s internal or individual experience of gender? </w:t>
      </w:r>
    </w:p>
    <w:p w14:paraId="7E0661D9" w14:textId="77777777" w:rsidR="00946283" w:rsidRPr="00946283" w:rsidRDefault="00946283" w:rsidP="00946283">
      <w:pPr>
        <w:rPr>
          <w:rFonts w:asciiTheme="minorHAnsi" w:hAnsiTheme="minorHAnsi" w:cstheme="minorHAnsi"/>
          <w:bCs/>
          <w:color w:val="222222"/>
          <w:sz w:val="26"/>
          <w:szCs w:val="26"/>
        </w:rPr>
      </w:pPr>
    </w:p>
    <w:p w14:paraId="0D48F47E" w14:textId="7C968651" w:rsidR="00946283" w:rsidRPr="00804ED4" w:rsidRDefault="00946283" w:rsidP="00804ED4">
      <w:pPr>
        <w:pStyle w:val="Luettelokappale"/>
        <w:numPr>
          <w:ilvl w:val="0"/>
          <w:numId w:val="1"/>
        </w:numPr>
        <w:rPr>
          <w:rFonts w:asciiTheme="minorHAnsi" w:hAnsiTheme="minorHAnsi" w:cstheme="minorHAnsi"/>
          <w:b/>
          <w:color w:val="222222"/>
          <w:sz w:val="26"/>
          <w:szCs w:val="26"/>
        </w:rPr>
      </w:pPr>
      <w:r w:rsidRPr="00804ED4">
        <w:rPr>
          <w:rFonts w:asciiTheme="minorHAnsi" w:hAnsiTheme="minorHAnsi" w:cstheme="minorHAnsi"/>
          <w:b/>
          <w:color w:val="222222"/>
          <w:sz w:val="26"/>
          <w:szCs w:val="26"/>
        </w:rPr>
        <w:t xml:space="preserve">Since both “gender identity” and “gender expression” are based on internal feelings unique to that individual rather than biological realities that can be independently verified, if we adopt a “gender identity” policy, only gender-confused individuals can determine if some policy or action violates the law. There is no other law in the world that functions this way. </w:t>
      </w:r>
      <w:r w:rsidRPr="00804ED4">
        <w:rPr>
          <w:rFonts w:asciiTheme="minorHAnsi" w:hAnsiTheme="minorHAnsi" w:cstheme="minorHAnsi"/>
          <w:color w:val="000000"/>
          <w:sz w:val="26"/>
          <w:szCs w:val="26"/>
          <w:shd w:val="clear" w:color="auto" w:fill="FFFFFF"/>
        </w:rPr>
        <w:br/>
      </w:r>
    </w:p>
    <w:p w14:paraId="42D83E7F" w14:textId="77777777" w:rsidR="00946283" w:rsidRPr="00946283" w:rsidRDefault="00946283" w:rsidP="00946283">
      <w:pPr>
        <w:pStyle w:val="Luettelokappale"/>
        <w:numPr>
          <w:ilvl w:val="0"/>
          <w:numId w:val="9"/>
        </w:numPr>
        <w:rPr>
          <w:rFonts w:asciiTheme="minorHAnsi" w:hAnsiTheme="minorHAnsi" w:cstheme="minorHAnsi"/>
          <w:color w:val="000000"/>
          <w:sz w:val="26"/>
          <w:szCs w:val="26"/>
          <w:shd w:val="clear" w:color="auto" w:fill="FFFFFF"/>
        </w:rPr>
      </w:pPr>
      <w:r w:rsidRPr="00946283">
        <w:rPr>
          <w:rFonts w:asciiTheme="minorHAnsi" w:hAnsiTheme="minorHAnsi" w:cstheme="minorHAnsi"/>
          <w:color w:val="000000"/>
          <w:sz w:val="26"/>
          <w:szCs w:val="26"/>
          <w:shd w:val="clear" w:color="auto" w:fill="FFFFFF"/>
        </w:rPr>
        <w:t>Where “gender identity” non-discrimination policies are in place, women and girls are being denied their right to privacy in public female spaces, such as bathrooms and showers. Some women and girls have even been sexually assaulted.</w:t>
      </w:r>
    </w:p>
    <w:p w14:paraId="7CE254DE" w14:textId="77777777" w:rsidR="00946283" w:rsidRPr="00946283" w:rsidRDefault="00946283" w:rsidP="00946283">
      <w:pPr>
        <w:pStyle w:val="Luettelokappale"/>
        <w:rPr>
          <w:rFonts w:asciiTheme="minorHAnsi" w:hAnsiTheme="minorHAnsi" w:cstheme="minorHAnsi"/>
          <w:color w:val="000000"/>
          <w:sz w:val="26"/>
          <w:szCs w:val="26"/>
          <w:shd w:val="clear" w:color="auto" w:fill="FFFFFF"/>
        </w:rPr>
      </w:pPr>
    </w:p>
    <w:p w14:paraId="11DEB479" w14:textId="77777777" w:rsidR="00946283" w:rsidRPr="00946283" w:rsidRDefault="00946283" w:rsidP="00946283">
      <w:pPr>
        <w:pStyle w:val="Luettelokappale"/>
        <w:numPr>
          <w:ilvl w:val="0"/>
          <w:numId w:val="9"/>
        </w:numPr>
        <w:rPr>
          <w:rFonts w:asciiTheme="minorHAnsi" w:hAnsiTheme="minorHAnsi" w:cstheme="minorHAnsi"/>
          <w:sz w:val="26"/>
          <w:szCs w:val="26"/>
        </w:rPr>
      </w:pPr>
      <w:r w:rsidRPr="00946283">
        <w:rPr>
          <w:rFonts w:asciiTheme="minorHAnsi" w:hAnsiTheme="minorHAnsi" w:cstheme="minorHAnsi"/>
          <w:sz w:val="26"/>
          <w:szCs w:val="26"/>
        </w:rPr>
        <w:t>Women cannot opt out of the biological realities that put them at higher risk than men for oppression, sexual harassment, and rape. These differences must be acknowledged and protected.</w:t>
      </w:r>
    </w:p>
    <w:p w14:paraId="27BE481F" w14:textId="77777777" w:rsidR="00946283" w:rsidRPr="00946283" w:rsidRDefault="00946283" w:rsidP="00946283">
      <w:pPr>
        <w:pStyle w:val="Luettelokappale"/>
        <w:rPr>
          <w:rFonts w:asciiTheme="minorHAnsi" w:hAnsiTheme="minorHAnsi" w:cstheme="minorHAnsi"/>
          <w:sz w:val="26"/>
          <w:szCs w:val="26"/>
        </w:rPr>
      </w:pPr>
    </w:p>
    <w:p w14:paraId="49E18FA6" w14:textId="77777777" w:rsidR="00946283" w:rsidRPr="00946283" w:rsidRDefault="00946283" w:rsidP="00946283">
      <w:pPr>
        <w:pStyle w:val="Luettelokappale"/>
        <w:numPr>
          <w:ilvl w:val="0"/>
          <w:numId w:val="9"/>
        </w:numPr>
        <w:rPr>
          <w:rFonts w:asciiTheme="minorHAnsi" w:hAnsiTheme="minorHAnsi" w:cstheme="minorHAnsi"/>
          <w:sz w:val="26"/>
          <w:szCs w:val="26"/>
        </w:rPr>
      </w:pPr>
      <w:r w:rsidRPr="00946283">
        <w:rPr>
          <w:rFonts w:asciiTheme="minorHAnsi" w:hAnsiTheme="minorHAnsi" w:cstheme="minorHAnsi"/>
          <w:sz w:val="26"/>
          <w:szCs w:val="26"/>
        </w:rPr>
        <w:t>Your conception of a “gender framework” which incorporates radical transgender ideology will lead to discrimination, harassment and violence against women and girls as your proposed framework will erase the very rights and protections designed for them.</w:t>
      </w:r>
    </w:p>
    <w:p w14:paraId="6D50AA98" w14:textId="77777777" w:rsidR="00946283" w:rsidRPr="00946283" w:rsidRDefault="00946283" w:rsidP="00946283">
      <w:pPr>
        <w:pStyle w:val="Luettelokappale"/>
        <w:rPr>
          <w:rFonts w:asciiTheme="minorHAnsi" w:hAnsiTheme="minorHAnsi" w:cstheme="minorHAnsi"/>
          <w:sz w:val="26"/>
          <w:szCs w:val="26"/>
        </w:rPr>
      </w:pPr>
    </w:p>
    <w:p w14:paraId="4AAD7A83" w14:textId="77777777" w:rsidR="00946283" w:rsidRPr="00946283" w:rsidRDefault="00946283" w:rsidP="00946283">
      <w:pPr>
        <w:pStyle w:val="Luettelokappale"/>
        <w:numPr>
          <w:ilvl w:val="0"/>
          <w:numId w:val="9"/>
        </w:numPr>
        <w:rPr>
          <w:rFonts w:asciiTheme="minorHAnsi" w:hAnsiTheme="minorHAnsi" w:cstheme="minorHAnsi"/>
          <w:sz w:val="26"/>
          <w:szCs w:val="26"/>
        </w:rPr>
      </w:pPr>
      <w:r w:rsidRPr="00946283">
        <w:rPr>
          <w:rFonts w:asciiTheme="minorHAnsi" w:hAnsiTheme="minorHAnsi" w:cstheme="minorHAnsi"/>
          <w:sz w:val="26"/>
          <w:szCs w:val="26"/>
        </w:rPr>
        <w:t>In private spaces and sports, bodies matter. For the privacy, safety, and fairness to girls, male and female biological embodiment and realities must be respected.</w:t>
      </w:r>
    </w:p>
    <w:p w14:paraId="7C41BFA4" w14:textId="77777777" w:rsidR="00946283" w:rsidRPr="00946283" w:rsidRDefault="00946283" w:rsidP="00946283">
      <w:pPr>
        <w:ind w:left="360"/>
        <w:rPr>
          <w:rFonts w:asciiTheme="minorHAnsi" w:hAnsiTheme="minorHAnsi" w:cstheme="minorHAnsi"/>
          <w:sz w:val="26"/>
          <w:szCs w:val="26"/>
        </w:rPr>
      </w:pPr>
    </w:p>
    <w:p w14:paraId="229EF283" w14:textId="77777777" w:rsidR="00946283" w:rsidRPr="00946283" w:rsidRDefault="00946283" w:rsidP="00946283">
      <w:pPr>
        <w:pStyle w:val="Luettelokappale"/>
        <w:numPr>
          <w:ilvl w:val="0"/>
          <w:numId w:val="3"/>
        </w:numPr>
        <w:rPr>
          <w:rFonts w:asciiTheme="minorHAnsi" w:hAnsiTheme="minorHAnsi" w:cstheme="minorHAnsi"/>
          <w:sz w:val="26"/>
          <w:szCs w:val="26"/>
        </w:rPr>
      </w:pPr>
      <w:r w:rsidRPr="00946283">
        <w:rPr>
          <w:rFonts w:asciiTheme="minorHAnsi" w:hAnsiTheme="minorHAnsi" w:cstheme="minorHAnsi"/>
          <w:sz w:val="26"/>
          <w:szCs w:val="26"/>
        </w:rPr>
        <w:t>The questions listed in the</w:t>
      </w:r>
      <w:r w:rsidRPr="00946283">
        <w:rPr>
          <w:rFonts w:asciiTheme="minorHAnsi" w:hAnsiTheme="minorHAnsi" w:cstheme="minorHAnsi"/>
          <w:b/>
          <w:bCs/>
          <w:sz w:val="26"/>
          <w:szCs w:val="26"/>
        </w:rPr>
        <w:t xml:space="preserve"> </w:t>
      </w:r>
      <w:r w:rsidRPr="00946283">
        <w:rPr>
          <w:rFonts w:asciiTheme="minorHAnsi" w:hAnsiTheme="minorHAnsi" w:cstheme="minorHAnsi"/>
          <w:sz w:val="26"/>
          <w:szCs w:val="26"/>
        </w:rPr>
        <w:t xml:space="preserve">submission guidance by the Independent Expert on SOGI reveal that the main goal of his upcoming report is to change the </w:t>
      </w:r>
      <w:proofErr w:type="gramStart"/>
      <w:r w:rsidRPr="00946283">
        <w:rPr>
          <w:rFonts w:asciiTheme="minorHAnsi" w:hAnsiTheme="minorHAnsi" w:cstheme="minorHAnsi"/>
          <w:sz w:val="26"/>
          <w:szCs w:val="26"/>
        </w:rPr>
        <w:t>world’s</w:t>
      </w:r>
      <w:proofErr w:type="gramEnd"/>
      <w:r w:rsidRPr="00946283">
        <w:rPr>
          <w:rFonts w:asciiTheme="minorHAnsi" w:hAnsiTheme="minorHAnsi" w:cstheme="minorHAnsi"/>
          <w:sz w:val="26"/>
          <w:szCs w:val="26"/>
        </w:rPr>
        <w:t xml:space="preserve"> commonly held biological understanding of male and female and replace it with the radical concept of “gender identity.” This is the antithesis of the UN’s mandate to provide rights and protections to women and girls.</w:t>
      </w:r>
    </w:p>
    <w:p w14:paraId="46CA492F" w14:textId="77777777" w:rsidR="00946283" w:rsidRPr="00946283" w:rsidRDefault="00946283" w:rsidP="00946283">
      <w:pPr>
        <w:pStyle w:val="Luettelokappale"/>
        <w:rPr>
          <w:rFonts w:asciiTheme="minorHAnsi" w:hAnsiTheme="minorHAnsi" w:cstheme="minorHAnsi"/>
          <w:sz w:val="26"/>
          <w:szCs w:val="26"/>
        </w:rPr>
      </w:pPr>
    </w:p>
    <w:p w14:paraId="59665AE4" w14:textId="77777777" w:rsidR="00946283" w:rsidRPr="00946283" w:rsidRDefault="00946283" w:rsidP="00946283">
      <w:pPr>
        <w:pStyle w:val="Luettelokappale"/>
        <w:numPr>
          <w:ilvl w:val="0"/>
          <w:numId w:val="3"/>
        </w:numPr>
        <w:rPr>
          <w:rFonts w:asciiTheme="minorHAnsi" w:hAnsiTheme="minorHAnsi" w:cstheme="minorHAnsi"/>
          <w:sz w:val="26"/>
          <w:szCs w:val="26"/>
        </w:rPr>
      </w:pPr>
      <w:r w:rsidRPr="00946283">
        <w:rPr>
          <w:rFonts w:asciiTheme="minorHAnsi" w:hAnsiTheme="minorHAnsi" w:cstheme="minorHAnsi"/>
          <w:sz w:val="26"/>
          <w:szCs w:val="26"/>
        </w:rPr>
        <w:t xml:space="preserve">Allowing biological males to opt </w:t>
      </w:r>
      <w:proofErr w:type="gramStart"/>
      <w:r w:rsidRPr="00946283">
        <w:rPr>
          <w:rFonts w:asciiTheme="minorHAnsi" w:hAnsiTheme="minorHAnsi" w:cstheme="minorHAnsi"/>
          <w:sz w:val="26"/>
          <w:szCs w:val="26"/>
        </w:rPr>
        <w:t>in to</w:t>
      </w:r>
      <w:proofErr w:type="gramEnd"/>
      <w:r w:rsidRPr="00946283">
        <w:rPr>
          <w:rFonts w:asciiTheme="minorHAnsi" w:hAnsiTheme="minorHAnsi" w:cstheme="minorHAnsi"/>
          <w:sz w:val="26"/>
          <w:szCs w:val="26"/>
        </w:rPr>
        <w:t xml:space="preserve"> the category of “girl” and “woman” by claiming a female identity will erode the many rights and protections currently extended to girls and women by governments worldwide as the categories of </w:t>
      </w:r>
      <w:r w:rsidRPr="00946283">
        <w:rPr>
          <w:rFonts w:asciiTheme="minorHAnsi" w:hAnsiTheme="minorHAnsi" w:cstheme="minorHAnsi"/>
          <w:sz w:val="26"/>
          <w:szCs w:val="26"/>
        </w:rPr>
        <w:lastRenderedPageBreak/>
        <w:t>women and girls will become utterly meaningless if a man can be considered to be a woman too.</w:t>
      </w:r>
    </w:p>
    <w:p w14:paraId="03B245D2" w14:textId="77777777" w:rsidR="00946283" w:rsidRPr="00946283" w:rsidRDefault="00946283" w:rsidP="00946283">
      <w:pPr>
        <w:shd w:val="clear" w:color="auto" w:fill="FFFFFF"/>
        <w:rPr>
          <w:rFonts w:asciiTheme="minorHAnsi" w:hAnsiTheme="minorHAnsi" w:cstheme="minorHAnsi"/>
          <w:color w:val="222222"/>
          <w:sz w:val="26"/>
          <w:szCs w:val="26"/>
        </w:rPr>
      </w:pPr>
    </w:p>
    <w:p w14:paraId="692D3D5D" w14:textId="77777777" w:rsidR="00946283" w:rsidRPr="00946283" w:rsidRDefault="00946283" w:rsidP="00946283">
      <w:pPr>
        <w:pStyle w:val="Luettelokappale"/>
        <w:numPr>
          <w:ilvl w:val="0"/>
          <w:numId w:val="4"/>
        </w:numPr>
        <w:shd w:val="clear" w:color="auto" w:fill="FFFFFF"/>
        <w:rPr>
          <w:rFonts w:asciiTheme="minorHAnsi" w:hAnsiTheme="minorHAnsi" w:cstheme="minorHAnsi"/>
          <w:color w:val="222222"/>
          <w:sz w:val="26"/>
          <w:szCs w:val="26"/>
        </w:rPr>
      </w:pPr>
      <w:r w:rsidRPr="00946283">
        <w:rPr>
          <w:rFonts w:asciiTheme="minorHAnsi" w:hAnsiTheme="minorHAnsi" w:cstheme="minorHAnsi"/>
          <w:color w:val="222222"/>
          <w:sz w:val="26"/>
          <w:szCs w:val="26"/>
        </w:rPr>
        <w:t>Most children lose their feelings of gender confusion as they grow older. According to Dr. Paul McHugh, “</w:t>
      </w:r>
      <w:r w:rsidRPr="00946283">
        <w:rPr>
          <w:rFonts w:asciiTheme="minorHAnsi" w:hAnsiTheme="minorHAnsi" w:cstheme="minorHAnsi"/>
          <w:i/>
          <w:iCs/>
          <w:color w:val="222222"/>
          <w:sz w:val="26"/>
          <w:szCs w:val="26"/>
        </w:rPr>
        <w:t>When children who reported transgender feelings were tracked without medical or surgical treatment at both Vanderbilt University and London's Portman Clinic, 70%-80% of them spontaneously lost those feelings</w:t>
      </w:r>
      <w:r w:rsidRPr="00946283">
        <w:rPr>
          <w:rFonts w:asciiTheme="minorHAnsi" w:hAnsiTheme="minorHAnsi" w:cstheme="minorHAnsi"/>
          <w:color w:val="222222"/>
          <w:sz w:val="26"/>
          <w:szCs w:val="26"/>
        </w:rPr>
        <w:t>.”</w:t>
      </w:r>
      <w:r w:rsidRPr="00946283">
        <w:rPr>
          <w:rStyle w:val="Alaviitteenviite"/>
          <w:rFonts w:asciiTheme="minorHAnsi" w:hAnsiTheme="minorHAnsi" w:cstheme="minorHAnsi"/>
          <w:color w:val="222222"/>
          <w:sz w:val="26"/>
          <w:szCs w:val="26"/>
        </w:rPr>
        <w:footnoteReference w:id="1"/>
      </w:r>
      <w:r w:rsidRPr="00946283">
        <w:rPr>
          <w:rFonts w:asciiTheme="minorHAnsi" w:hAnsiTheme="minorHAnsi" w:cstheme="minorHAnsi"/>
          <w:color w:val="222222"/>
          <w:sz w:val="26"/>
          <w:szCs w:val="26"/>
          <w:vertAlign w:val="superscript"/>
        </w:rPr>
        <w:t xml:space="preserve"> </w:t>
      </w:r>
      <w:r w:rsidRPr="00946283">
        <w:rPr>
          <w:rFonts w:asciiTheme="minorHAnsi" w:hAnsiTheme="minorHAnsi" w:cstheme="minorHAnsi"/>
          <w:color w:val="222222"/>
          <w:sz w:val="26"/>
          <w:szCs w:val="26"/>
        </w:rPr>
        <w:t>However, when children are affirmed in their gender confusion by parents, schools, the community and others, the chance that they will normally outgrow this gender confusion is greatly diminished. Our position is that “gender identity” affirming policies, while well-intentioned, are misguided, because they harm the very children that need our help.</w:t>
      </w:r>
      <w:r w:rsidRPr="00946283">
        <w:rPr>
          <w:rFonts w:asciiTheme="minorHAnsi" w:hAnsiTheme="minorHAnsi" w:cstheme="minorHAnsi"/>
          <w:color w:val="222222"/>
          <w:sz w:val="26"/>
          <w:szCs w:val="26"/>
        </w:rPr>
        <w:br/>
      </w:r>
    </w:p>
    <w:p w14:paraId="0EE40CDF" w14:textId="78B9A298" w:rsidR="00946283" w:rsidRPr="000F56A7" w:rsidRDefault="00946283" w:rsidP="000F56A7">
      <w:pPr>
        <w:pStyle w:val="Luettelokappale"/>
        <w:numPr>
          <w:ilvl w:val="0"/>
          <w:numId w:val="4"/>
        </w:numPr>
        <w:shd w:val="clear" w:color="auto" w:fill="FFFFFF"/>
        <w:rPr>
          <w:rFonts w:asciiTheme="minorHAnsi" w:hAnsiTheme="minorHAnsi" w:cstheme="minorHAnsi"/>
          <w:sz w:val="26"/>
          <w:szCs w:val="26"/>
        </w:rPr>
      </w:pPr>
      <w:r w:rsidRPr="00946283">
        <w:rPr>
          <w:rFonts w:asciiTheme="minorHAnsi" w:hAnsiTheme="minorHAnsi" w:cstheme="minorHAnsi"/>
          <w:color w:val="222222"/>
          <w:sz w:val="26"/>
          <w:szCs w:val="26"/>
        </w:rPr>
        <w:t xml:space="preserve">The head of the Child and Adolescent Gender Identity Clinic in Toronto, Canada, Dr. Kenneth Zucker, one of the leading authorities in the world on gender disorders, has treated over 500 children with gender confusion. Dr. Zucker found that in </w:t>
      </w:r>
      <w:proofErr w:type="gramStart"/>
      <w:r w:rsidRPr="00946283">
        <w:rPr>
          <w:rFonts w:asciiTheme="minorHAnsi" w:hAnsiTheme="minorHAnsi" w:cstheme="minorHAnsi"/>
          <w:color w:val="222222"/>
          <w:sz w:val="26"/>
          <w:szCs w:val="26"/>
        </w:rPr>
        <w:t>the vast majority of</w:t>
      </w:r>
      <w:proofErr w:type="gramEnd"/>
      <w:r w:rsidRPr="00946283">
        <w:rPr>
          <w:rFonts w:asciiTheme="minorHAnsi" w:hAnsiTheme="minorHAnsi" w:cstheme="minorHAnsi"/>
          <w:color w:val="222222"/>
          <w:sz w:val="26"/>
          <w:szCs w:val="26"/>
        </w:rPr>
        <w:t xml:space="preserve"> cases, therapy focused on reducing the psychopathology within the family has resulted in the child’s acceptance of their birth sex.</w:t>
      </w:r>
      <w:r w:rsidRPr="00946283">
        <w:rPr>
          <w:rStyle w:val="Alaviitteenviite"/>
          <w:rFonts w:asciiTheme="minorHAnsi" w:hAnsiTheme="minorHAnsi" w:cstheme="minorHAnsi"/>
          <w:color w:val="222222"/>
          <w:sz w:val="26"/>
          <w:szCs w:val="26"/>
        </w:rPr>
        <w:footnoteReference w:id="2"/>
      </w:r>
      <w:r w:rsidRPr="00946283">
        <w:rPr>
          <w:rFonts w:asciiTheme="minorHAnsi" w:hAnsiTheme="minorHAnsi" w:cstheme="minorHAnsi"/>
          <w:color w:val="222222"/>
          <w:sz w:val="26"/>
          <w:szCs w:val="26"/>
        </w:rPr>
        <w:t xml:space="preserve"> </w:t>
      </w:r>
      <w:r w:rsidRPr="00946283">
        <w:rPr>
          <w:rFonts w:asciiTheme="minorHAnsi" w:hAnsiTheme="minorHAnsi" w:cstheme="minorHAnsi"/>
          <w:color w:val="222222"/>
          <w:sz w:val="26"/>
          <w:szCs w:val="26"/>
        </w:rPr>
        <w:br/>
      </w:r>
    </w:p>
    <w:p w14:paraId="5DCE8A12" w14:textId="77777777" w:rsidR="00946283" w:rsidRPr="00946283" w:rsidRDefault="00946283" w:rsidP="00946283">
      <w:pPr>
        <w:pStyle w:val="Luettelokappale"/>
        <w:numPr>
          <w:ilvl w:val="0"/>
          <w:numId w:val="4"/>
        </w:numPr>
        <w:shd w:val="clear" w:color="auto" w:fill="FFFFFF"/>
        <w:rPr>
          <w:rFonts w:asciiTheme="minorHAnsi" w:hAnsiTheme="minorHAnsi" w:cstheme="minorHAnsi"/>
          <w:sz w:val="26"/>
          <w:szCs w:val="26"/>
        </w:rPr>
      </w:pPr>
      <w:r w:rsidRPr="00946283">
        <w:rPr>
          <w:rFonts w:asciiTheme="minorHAnsi" w:hAnsiTheme="minorHAnsi" w:cstheme="minorHAnsi"/>
          <w:sz w:val="26"/>
          <w:szCs w:val="26"/>
        </w:rPr>
        <w:t>“Sex-change” surgery increases health risks, including suicide rates. A long-term Swedish study following more than 300 sex-change surgery patients for up to 30 years was published in 2011. The study concluded: “</w:t>
      </w:r>
      <w:r w:rsidRPr="00946283">
        <w:rPr>
          <w:rFonts w:asciiTheme="minorHAnsi" w:hAnsiTheme="minorHAnsi" w:cstheme="minorHAnsi"/>
          <w:i/>
          <w:iCs/>
          <w:sz w:val="26"/>
          <w:szCs w:val="26"/>
        </w:rPr>
        <w:t>Persons with transsexualism, after sex reassignment, have considerably higher risks for mortality, suicidal behavior, and psychiatric morbidity than the general population</w:t>
      </w:r>
      <w:r w:rsidRPr="00946283">
        <w:rPr>
          <w:rFonts w:asciiTheme="minorHAnsi" w:hAnsiTheme="minorHAnsi" w:cstheme="minorHAnsi"/>
          <w:sz w:val="26"/>
          <w:szCs w:val="26"/>
        </w:rPr>
        <w:t>.” The study found suicide rates 10 years after surgery were nearly 20 times that of the general population.</w:t>
      </w:r>
      <w:r w:rsidRPr="00946283">
        <w:rPr>
          <w:rStyle w:val="Alaviitteenviite"/>
          <w:rFonts w:asciiTheme="minorHAnsi" w:hAnsiTheme="minorHAnsi" w:cstheme="minorHAnsi"/>
          <w:sz w:val="26"/>
          <w:szCs w:val="26"/>
        </w:rPr>
        <w:footnoteReference w:id="3"/>
      </w:r>
      <w:r w:rsidRPr="00946283">
        <w:rPr>
          <w:rFonts w:asciiTheme="minorHAnsi" w:hAnsiTheme="minorHAnsi" w:cstheme="minorHAnsi"/>
          <w:sz w:val="26"/>
          <w:szCs w:val="26"/>
        </w:rPr>
        <w:t xml:space="preserve"> </w:t>
      </w:r>
      <w:r w:rsidRPr="00946283">
        <w:rPr>
          <w:rFonts w:asciiTheme="minorHAnsi" w:hAnsiTheme="minorHAnsi" w:cstheme="minorHAnsi"/>
          <w:sz w:val="26"/>
          <w:szCs w:val="26"/>
        </w:rPr>
        <w:br/>
      </w:r>
    </w:p>
    <w:p w14:paraId="5793C42E" w14:textId="77777777" w:rsidR="00946283" w:rsidRPr="00946283" w:rsidRDefault="00946283" w:rsidP="00946283">
      <w:pPr>
        <w:pStyle w:val="Luettelokappale"/>
        <w:numPr>
          <w:ilvl w:val="0"/>
          <w:numId w:val="5"/>
        </w:numPr>
        <w:ind w:left="720"/>
        <w:rPr>
          <w:rFonts w:asciiTheme="minorHAnsi" w:hAnsiTheme="minorHAnsi" w:cstheme="minorHAnsi"/>
          <w:sz w:val="26"/>
          <w:szCs w:val="26"/>
        </w:rPr>
      </w:pPr>
      <w:r w:rsidRPr="00946283">
        <w:rPr>
          <w:rFonts w:asciiTheme="minorHAnsi" w:hAnsiTheme="minorHAnsi" w:cstheme="minorHAnsi"/>
          <w:sz w:val="26"/>
          <w:szCs w:val="26"/>
        </w:rPr>
        <w:t>After a review in the UK of more than 100 international medical studies of post-operative transgender persons, Christopher Hyde, director of the University of Birmingham's Aggressive Research Intelligence Facility, who conducted the review, warned, “</w:t>
      </w:r>
      <w:r w:rsidRPr="00946283">
        <w:rPr>
          <w:rFonts w:asciiTheme="minorHAnsi" w:hAnsiTheme="minorHAnsi" w:cstheme="minorHAnsi"/>
          <w:i/>
          <w:iCs/>
          <w:sz w:val="26"/>
          <w:szCs w:val="26"/>
        </w:rPr>
        <w:t>There’s still a large number of people who have the surgery but remain traumatized—often to the point of committing suicide</w:t>
      </w:r>
      <w:r w:rsidRPr="00946283">
        <w:rPr>
          <w:rFonts w:asciiTheme="minorHAnsi" w:hAnsiTheme="minorHAnsi" w:cstheme="minorHAnsi"/>
          <w:sz w:val="26"/>
          <w:szCs w:val="26"/>
        </w:rPr>
        <w:t>.”</w:t>
      </w:r>
      <w:r w:rsidRPr="00946283">
        <w:rPr>
          <w:rStyle w:val="Alaviitteenviite"/>
          <w:rFonts w:asciiTheme="minorHAnsi" w:hAnsiTheme="minorHAnsi" w:cstheme="minorHAnsi"/>
          <w:sz w:val="26"/>
          <w:szCs w:val="26"/>
        </w:rPr>
        <w:footnoteReference w:id="4"/>
      </w:r>
      <w:r w:rsidRPr="00946283">
        <w:rPr>
          <w:rFonts w:asciiTheme="minorHAnsi" w:hAnsiTheme="minorHAnsi" w:cstheme="minorHAnsi"/>
          <w:sz w:val="26"/>
          <w:szCs w:val="26"/>
        </w:rPr>
        <w:br/>
        <w:t xml:space="preserve"> </w:t>
      </w:r>
    </w:p>
    <w:p w14:paraId="28838358" w14:textId="77777777" w:rsidR="00946283" w:rsidRPr="00946283" w:rsidRDefault="00946283" w:rsidP="00946283">
      <w:pPr>
        <w:pStyle w:val="Luettelokappale"/>
        <w:numPr>
          <w:ilvl w:val="0"/>
          <w:numId w:val="5"/>
        </w:numPr>
        <w:ind w:left="720"/>
        <w:rPr>
          <w:rFonts w:asciiTheme="minorHAnsi" w:hAnsiTheme="minorHAnsi" w:cstheme="minorHAnsi"/>
          <w:sz w:val="26"/>
          <w:szCs w:val="26"/>
        </w:rPr>
      </w:pPr>
      <w:r w:rsidRPr="00946283">
        <w:rPr>
          <w:rFonts w:asciiTheme="minorHAnsi" w:hAnsiTheme="minorHAnsi" w:cstheme="minorHAnsi"/>
          <w:sz w:val="26"/>
          <w:szCs w:val="26"/>
        </w:rPr>
        <w:lastRenderedPageBreak/>
        <w:t xml:space="preserve">Walt </w:t>
      </w:r>
      <w:proofErr w:type="spellStart"/>
      <w:r w:rsidRPr="00946283">
        <w:rPr>
          <w:rFonts w:asciiTheme="minorHAnsi" w:hAnsiTheme="minorHAnsi" w:cstheme="minorHAnsi"/>
          <w:sz w:val="26"/>
          <w:szCs w:val="26"/>
        </w:rPr>
        <w:t>Heyer</w:t>
      </w:r>
      <w:proofErr w:type="spellEnd"/>
      <w:r w:rsidRPr="00946283">
        <w:rPr>
          <w:rFonts w:asciiTheme="minorHAnsi" w:hAnsiTheme="minorHAnsi" w:cstheme="minorHAnsi"/>
          <w:sz w:val="26"/>
          <w:szCs w:val="26"/>
        </w:rPr>
        <w:t xml:space="preserve">, a male who underwent gender reassignment surgery lived for eight years as Laura Jensen, a female. (See SexChangeRegret.com.) He then regretted his surgery and now has transitioned back to Walt. Mr. </w:t>
      </w:r>
      <w:proofErr w:type="spellStart"/>
      <w:r w:rsidRPr="00946283">
        <w:rPr>
          <w:rFonts w:asciiTheme="minorHAnsi" w:hAnsiTheme="minorHAnsi" w:cstheme="minorHAnsi"/>
          <w:sz w:val="26"/>
          <w:szCs w:val="26"/>
        </w:rPr>
        <w:t>Heyer</w:t>
      </w:r>
      <w:proofErr w:type="spellEnd"/>
      <w:r w:rsidRPr="00946283">
        <w:rPr>
          <w:rFonts w:asciiTheme="minorHAnsi" w:hAnsiTheme="minorHAnsi" w:cstheme="minorHAnsi"/>
          <w:sz w:val="26"/>
          <w:szCs w:val="26"/>
        </w:rPr>
        <w:t xml:space="preserve"> warns that transgenders’ bodies may be permanently disfigured, making it very difficult to live normally. Mr. </w:t>
      </w:r>
      <w:proofErr w:type="spellStart"/>
      <w:r w:rsidRPr="00946283">
        <w:rPr>
          <w:rFonts w:asciiTheme="minorHAnsi" w:hAnsiTheme="minorHAnsi" w:cstheme="minorHAnsi"/>
          <w:sz w:val="26"/>
          <w:szCs w:val="26"/>
        </w:rPr>
        <w:t>Heyer</w:t>
      </w:r>
      <w:proofErr w:type="spellEnd"/>
      <w:r w:rsidRPr="00946283">
        <w:rPr>
          <w:rFonts w:asciiTheme="minorHAnsi" w:hAnsiTheme="minorHAnsi" w:cstheme="minorHAnsi"/>
          <w:sz w:val="26"/>
          <w:szCs w:val="26"/>
        </w:rPr>
        <w:t xml:space="preserve"> says he wishes the surgeons had told him that the severe psychological problems of their other patients were not solved after surgery and that a high number of such patients commit suicide. </w:t>
      </w:r>
    </w:p>
    <w:p w14:paraId="58528E86" w14:textId="77777777" w:rsidR="00946283" w:rsidRPr="00946283" w:rsidRDefault="00946283" w:rsidP="00946283">
      <w:pPr>
        <w:ind w:left="720"/>
        <w:rPr>
          <w:rFonts w:asciiTheme="minorHAnsi" w:hAnsiTheme="minorHAnsi" w:cstheme="minorHAnsi"/>
          <w:sz w:val="26"/>
          <w:szCs w:val="26"/>
        </w:rPr>
      </w:pPr>
    </w:p>
    <w:p w14:paraId="7232966D" w14:textId="77777777" w:rsidR="00946283" w:rsidRPr="00946283" w:rsidRDefault="00946283" w:rsidP="00946283">
      <w:pPr>
        <w:pStyle w:val="Luettelokappale"/>
        <w:numPr>
          <w:ilvl w:val="0"/>
          <w:numId w:val="5"/>
        </w:numPr>
        <w:shd w:val="clear" w:color="auto" w:fill="FFFFFF"/>
        <w:autoSpaceDE w:val="0"/>
        <w:autoSpaceDN w:val="0"/>
        <w:adjustRightInd w:val="0"/>
        <w:ind w:left="720"/>
        <w:rPr>
          <w:rFonts w:asciiTheme="minorHAnsi" w:hAnsiTheme="minorHAnsi" w:cstheme="minorHAnsi"/>
          <w:sz w:val="26"/>
          <w:szCs w:val="26"/>
        </w:rPr>
      </w:pPr>
      <w:r w:rsidRPr="00946283">
        <w:rPr>
          <w:rFonts w:asciiTheme="minorHAnsi" w:hAnsiTheme="minorHAnsi" w:cstheme="minorHAnsi"/>
          <w:sz w:val="26"/>
          <w:szCs w:val="26"/>
        </w:rPr>
        <w:t>Surgically removing or altering children’s genitals could be considered child abuse. Dr. McHugh warned: “</w:t>
      </w:r>
      <w:r w:rsidRPr="00946283">
        <w:rPr>
          <w:rFonts w:asciiTheme="minorHAnsi" w:hAnsiTheme="minorHAnsi" w:cstheme="minorHAnsi"/>
          <w:i/>
          <w:iCs/>
          <w:sz w:val="26"/>
          <w:szCs w:val="26"/>
        </w:rPr>
        <w:t>Given that close to 80 percent of such children would abandon their confusion and grow naturally into adult life if untreated, these medical interventions come close to child abuse</w:t>
      </w:r>
      <w:r w:rsidRPr="00946283">
        <w:rPr>
          <w:rFonts w:asciiTheme="minorHAnsi" w:hAnsiTheme="minorHAnsi" w:cstheme="minorHAnsi"/>
          <w:sz w:val="26"/>
          <w:szCs w:val="26"/>
        </w:rPr>
        <w:t>.”</w:t>
      </w:r>
    </w:p>
    <w:p w14:paraId="6C84C604" w14:textId="716A90B9" w:rsidR="00946283" w:rsidRPr="000F56A7" w:rsidRDefault="00946283" w:rsidP="000F56A7">
      <w:pPr>
        <w:shd w:val="clear" w:color="auto" w:fill="FFFFFF"/>
        <w:textAlignment w:val="baseline"/>
        <w:rPr>
          <w:rFonts w:asciiTheme="minorHAnsi" w:hAnsiTheme="minorHAnsi" w:cstheme="minorHAnsi"/>
          <w:color w:val="222222"/>
          <w:sz w:val="26"/>
          <w:szCs w:val="26"/>
        </w:rPr>
      </w:pPr>
      <w:r w:rsidRPr="00946283">
        <w:rPr>
          <w:rFonts w:asciiTheme="minorHAnsi" w:hAnsiTheme="minorHAnsi" w:cstheme="minorHAnsi"/>
          <w:color w:val="000000"/>
          <w:sz w:val="26"/>
          <w:szCs w:val="26"/>
        </w:rPr>
        <w:t> </w:t>
      </w:r>
    </w:p>
    <w:p w14:paraId="51D709B4" w14:textId="77777777" w:rsidR="00946283" w:rsidRPr="00946283" w:rsidRDefault="00946283" w:rsidP="00946283">
      <w:pPr>
        <w:pStyle w:val="Luettelokappale"/>
        <w:numPr>
          <w:ilvl w:val="0"/>
          <w:numId w:val="20"/>
        </w:numPr>
        <w:shd w:val="clear" w:color="auto" w:fill="FFFFFF"/>
        <w:spacing w:after="200"/>
        <w:rPr>
          <w:rFonts w:asciiTheme="minorHAnsi" w:hAnsiTheme="minorHAnsi" w:cstheme="minorHAnsi"/>
          <w:sz w:val="26"/>
          <w:szCs w:val="26"/>
        </w:rPr>
      </w:pPr>
      <w:r w:rsidRPr="00946283">
        <w:rPr>
          <w:rFonts w:asciiTheme="minorHAnsi" w:hAnsiTheme="minorHAnsi" w:cstheme="minorHAnsi"/>
          <w:color w:val="222222"/>
          <w:sz w:val="26"/>
          <w:szCs w:val="26"/>
        </w:rPr>
        <w:t>Children who become sexualized through CSE, among other harms, are less likely to be able to form and maintain stable families as adults. (See WarOnChildren.org.)</w:t>
      </w:r>
    </w:p>
    <w:p w14:paraId="419C1B74" w14:textId="77777777" w:rsidR="00946283" w:rsidRPr="00946283" w:rsidRDefault="00946283" w:rsidP="00946283">
      <w:pPr>
        <w:pStyle w:val="Luettelokappale"/>
        <w:shd w:val="clear" w:color="auto" w:fill="FFFFFF"/>
        <w:spacing w:before="120" w:after="120"/>
        <w:rPr>
          <w:rFonts w:asciiTheme="minorHAnsi" w:hAnsiTheme="minorHAnsi" w:cstheme="minorHAnsi"/>
          <w:b/>
          <w:bCs/>
          <w:color w:val="000000" w:themeColor="text1"/>
          <w:sz w:val="26"/>
          <w:szCs w:val="26"/>
        </w:rPr>
      </w:pPr>
    </w:p>
    <w:p w14:paraId="3153A8E2" w14:textId="77777777" w:rsidR="00946283" w:rsidRPr="00946283" w:rsidRDefault="00946283" w:rsidP="00946283">
      <w:pPr>
        <w:rPr>
          <w:rFonts w:asciiTheme="minorHAnsi" w:hAnsiTheme="minorHAnsi" w:cstheme="minorHAnsi"/>
          <w:color w:val="000000"/>
          <w:sz w:val="26"/>
          <w:szCs w:val="26"/>
          <w:shd w:val="clear" w:color="auto" w:fill="FFFFFF"/>
        </w:rPr>
      </w:pPr>
    </w:p>
    <w:p w14:paraId="7182B838" w14:textId="6F555400" w:rsidR="00946283" w:rsidRDefault="00946283" w:rsidP="0012502B">
      <w:pPr>
        <w:shd w:val="clear" w:color="auto" w:fill="FFFFFF"/>
        <w:spacing w:before="120" w:after="120"/>
        <w:ind w:left="720"/>
        <w:rPr>
          <w:rFonts w:asciiTheme="minorHAnsi" w:hAnsiTheme="minorHAnsi" w:cstheme="minorHAnsi"/>
          <w:b/>
          <w:bCs/>
          <w:color w:val="000000" w:themeColor="text1"/>
          <w:sz w:val="26"/>
          <w:szCs w:val="26"/>
        </w:rPr>
      </w:pPr>
      <w:r>
        <w:rPr>
          <w:rFonts w:asciiTheme="minorHAnsi" w:hAnsiTheme="minorHAnsi" w:cstheme="minorHAnsi"/>
          <w:b/>
          <w:bCs/>
          <w:color w:val="000000" w:themeColor="text1"/>
          <w:sz w:val="26"/>
          <w:szCs w:val="26"/>
        </w:rPr>
        <w:t>Kind regards</w:t>
      </w:r>
    </w:p>
    <w:p w14:paraId="378484C4" w14:textId="3225AE6D" w:rsidR="00946283" w:rsidRDefault="00946283" w:rsidP="0012502B">
      <w:pPr>
        <w:shd w:val="clear" w:color="auto" w:fill="FFFFFF"/>
        <w:spacing w:before="120" w:after="120"/>
        <w:ind w:left="720"/>
        <w:rPr>
          <w:rFonts w:asciiTheme="minorHAnsi" w:hAnsiTheme="minorHAnsi" w:cstheme="minorHAnsi"/>
          <w:b/>
          <w:bCs/>
          <w:color w:val="000000" w:themeColor="text1"/>
          <w:sz w:val="26"/>
          <w:szCs w:val="26"/>
        </w:rPr>
      </w:pPr>
      <w:r>
        <w:rPr>
          <w:rFonts w:asciiTheme="minorHAnsi" w:hAnsiTheme="minorHAnsi" w:cstheme="minorHAnsi"/>
          <w:b/>
          <w:bCs/>
          <w:color w:val="000000" w:themeColor="text1"/>
          <w:sz w:val="26"/>
          <w:szCs w:val="26"/>
        </w:rPr>
        <w:t>Outi Mäki</w:t>
      </w:r>
    </w:p>
    <w:p w14:paraId="6AA15241" w14:textId="222C439F" w:rsidR="00946283" w:rsidRDefault="00946283" w:rsidP="0012502B">
      <w:pPr>
        <w:shd w:val="clear" w:color="auto" w:fill="FFFFFF"/>
        <w:spacing w:before="120" w:after="120"/>
        <w:ind w:left="720"/>
        <w:rPr>
          <w:rFonts w:asciiTheme="minorHAnsi" w:hAnsiTheme="minorHAnsi" w:cstheme="minorHAnsi"/>
          <w:b/>
          <w:bCs/>
          <w:color w:val="000000" w:themeColor="text1"/>
          <w:sz w:val="26"/>
          <w:szCs w:val="26"/>
        </w:rPr>
      </w:pPr>
      <w:r>
        <w:rPr>
          <w:rFonts w:asciiTheme="minorHAnsi" w:hAnsiTheme="minorHAnsi" w:cstheme="minorHAnsi"/>
          <w:b/>
          <w:bCs/>
          <w:color w:val="000000" w:themeColor="text1"/>
          <w:sz w:val="26"/>
          <w:szCs w:val="26"/>
        </w:rPr>
        <w:t>Finland</w:t>
      </w:r>
    </w:p>
    <w:p w14:paraId="172AE2BC" w14:textId="63491412" w:rsidR="00946283" w:rsidRDefault="00946283" w:rsidP="00946283">
      <w:pPr>
        <w:shd w:val="clear" w:color="auto" w:fill="FFFFFF"/>
        <w:spacing w:before="120" w:after="120"/>
        <w:rPr>
          <w:rFonts w:asciiTheme="minorHAnsi" w:hAnsiTheme="minorHAnsi" w:cstheme="minorHAnsi"/>
          <w:b/>
          <w:bCs/>
          <w:color w:val="000000" w:themeColor="text1"/>
          <w:sz w:val="26"/>
          <w:szCs w:val="26"/>
        </w:rPr>
      </w:pPr>
    </w:p>
    <w:p w14:paraId="0593E536" w14:textId="77777777" w:rsidR="00946283" w:rsidRPr="00946283" w:rsidRDefault="00946283" w:rsidP="00946283">
      <w:pPr>
        <w:shd w:val="clear" w:color="auto" w:fill="FFFFFF"/>
        <w:spacing w:before="120" w:after="120"/>
        <w:rPr>
          <w:rFonts w:asciiTheme="minorHAnsi" w:hAnsiTheme="minorHAnsi" w:cstheme="minorHAnsi"/>
          <w:b/>
          <w:bCs/>
          <w:color w:val="000000" w:themeColor="text1"/>
          <w:sz w:val="26"/>
          <w:szCs w:val="26"/>
        </w:rPr>
      </w:pPr>
    </w:p>
    <w:p w14:paraId="08AC9370" w14:textId="77777777" w:rsidR="00946283" w:rsidRPr="00946283" w:rsidRDefault="00946283" w:rsidP="00946283">
      <w:pPr>
        <w:rPr>
          <w:rFonts w:asciiTheme="minorHAnsi" w:hAnsiTheme="minorHAnsi" w:cstheme="minorHAnsi"/>
          <w:sz w:val="26"/>
          <w:szCs w:val="26"/>
        </w:rPr>
      </w:pPr>
    </w:p>
    <w:p w14:paraId="5FA0DE4B" w14:textId="77777777" w:rsidR="00946283" w:rsidRPr="00946283" w:rsidRDefault="00946283" w:rsidP="00946283">
      <w:pPr>
        <w:rPr>
          <w:rFonts w:asciiTheme="minorHAnsi" w:hAnsiTheme="minorHAnsi" w:cstheme="minorHAnsi"/>
          <w:b/>
          <w:bCs/>
          <w:sz w:val="26"/>
          <w:szCs w:val="26"/>
        </w:rPr>
      </w:pPr>
      <w:r w:rsidRPr="00946283">
        <w:rPr>
          <w:rFonts w:asciiTheme="minorHAnsi" w:hAnsiTheme="minorHAnsi" w:cstheme="minorHAnsi"/>
          <w:b/>
          <w:bCs/>
          <w:sz w:val="26"/>
          <w:szCs w:val="26"/>
        </w:rPr>
        <w:t>Evidence that transitioning is harmful and is not an effective treatment for gender identity issues:</w:t>
      </w:r>
    </w:p>
    <w:p w14:paraId="397CBC56" w14:textId="77777777" w:rsidR="00946283" w:rsidRPr="00946283" w:rsidRDefault="00946283" w:rsidP="00946283">
      <w:pPr>
        <w:rPr>
          <w:rFonts w:asciiTheme="minorHAnsi" w:hAnsiTheme="minorHAnsi" w:cstheme="minorHAnsi"/>
          <w:sz w:val="26"/>
          <w:szCs w:val="26"/>
        </w:rPr>
      </w:pPr>
    </w:p>
    <w:p w14:paraId="015207F6" w14:textId="77777777" w:rsidR="00946283" w:rsidRPr="00946283" w:rsidRDefault="00946283" w:rsidP="00946283">
      <w:pPr>
        <w:rPr>
          <w:rFonts w:asciiTheme="minorHAnsi" w:hAnsiTheme="minorHAnsi" w:cstheme="minorHAnsi"/>
          <w:sz w:val="26"/>
          <w:szCs w:val="26"/>
        </w:rPr>
      </w:pPr>
      <w:r w:rsidRPr="00946283">
        <w:rPr>
          <w:rFonts w:asciiTheme="minorHAnsi" w:hAnsiTheme="minorHAnsi" w:cstheme="minorHAnsi"/>
          <w:sz w:val="26"/>
          <w:szCs w:val="26"/>
        </w:rPr>
        <w:t xml:space="preserve">Cecilia </w:t>
      </w:r>
      <w:proofErr w:type="spellStart"/>
      <w:r w:rsidRPr="00946283">
        <w:rPr>
          <w:rFonts w:asciiTheme="minorHAnsi" w:hAnsiTheme="minorHAnsi" w:cstheme="minorHAnsi"/>
          <w:sz w:val="26"/>
          <w:szCs w:val="26"/>
        </w:rPr>
        <w:t>Dhejne</w:t>
      </w:r>
      <w:proofErr w:type="spellEnd"/>
      <w:r w:rsidRPr="00946283">
        <w:rPr>
          <w:rFonts w:asciiTheme="minorHAnsi" w:hAnsiTheme="minorHAnsi" w:cstheme="minorHAnsi"/>
          <w:sz w:val="26"/>
          <w:szCs w:val="26"/>
        </w:rPr>
        <w:t xml:space="preserve">, et al., “Long-Term Follow-Up of Transsexual Persons” </w:t>
      </w:r>
    </w:p>
    <w:p w14:paraId="43081E3E" w14:textId="77777777" w:rsidR="00946283" w:rsidRPr="00946283" w:rsidRDefault="00946283" w:rsidP="00946283">
      <w:pPr>
        <w:rPr>
          <w:rFonts w:asciiTheme="minorHAnsi" w:hAnsiTheme="minorHAnsi" w:cstheme="minorHAnsi"/>
          <w:sz w:val="26"/>
          <w:szCs w:val="26"/>
        </w:rPr>
      </w:pPr>
    </w:p>
    <w:p w14:paraId="297CFB01" w14:textId="77777777" w:rsidR="00946283" w:rsidRPr="00946283" w:rsidRDefault="00946283" w:rsidP="00946283">
      <w:pPr>
        <w:rPr>
          <w:rFonts w:asciiTheme="minorHAnsi" w:hAnsiTheme="minorHAnsi" w:cstheme="minorHAnsi"/>
          <w:sz w:val="26"/>
          <w:szCs w:val="26"/>
        </w:rPr>
      </w:pPr>
      <w:r w:rsidRPr="00946283">
        <w:rPr>
          <w:rFonts w:asciiTheme="minorHAnsi" w:hAnsiTheme="minorHAnsi" w:cstheme="minorHAnsi"/>
          <w:sz w:val="26"/>
          <w:szCs w:val="26"/>
        </w:rPr>
        <w:t>Mark Regnerus, “New Data Show “Gender-Affirming” Surgery Doesn’t Really Improve Mental Health. So Why Are the Study’s Authors Saying It Does?” Public Discourse (November 13, 2019) https://www.thepublicdiscourse.com/2019/11/58371/</w:t>
      </w:r>
    </w:p>
    <w:p w14:paraId="3AB6296F" w14:textId="77777777" w:rsidR="00946283" w:rsidRPr="00946283" w:rsidRDefault="00946283" w:rsidP="00946283">
      <w:pPr>
        <w:rPr>
          <w:rFonts w:asciiTheme="minorHAnsi" w:hAnsiTheme="minorHAnsi" w:cstheme="minorHAnsi"/>
          <w:sz w:val="26"/>
          <w:szCs w:val="26"/>
        </w:rPr>
      </w:pPr>
    </w:p>
    <w:p w14:paraId="79605984" w14:textId="77777777" w:rsidR="00946283" w:rsidRPr="00946283" w:rsidRDefault="00946283" w:rsidP="00946283">
      <w:pPr>
        <w:rPr>
          <w:rFonts w:asciiTheme="minorHAnsi" w:hAnsiTheme="minorHAnsi" w:cstheme="minorHAnsi"/>
          <w:sz w:val="26"/>
          <w:szCs w:val="26"/>
        </w:rPr>
      </w:pPr>
      <w:proofErr w:type="spellStart"/>
      <w:r w:rsidRPr="00946283">
        <w:rPr>
          <w:rFonts w:asciiTheme="minorHAnsi" w:hAnsiTheme="minorHAnsi" w:cstheme="minorHAnsi"/>
          <w:sz w:val="26"/>
          <w:szCs w:val="26"/>
        </w:rPr>
        <w:t>Rikke</w:t>
      </w:r>
      <w:proofErr w:type="spellEnd"/>
      <w:r w:rsidRPr="00946283">
        <w:rPr>
          <w:rFonts w:asciiTheme="minorHAnsi" w:hAnsiTheme="minorHAnsi" w:cstheme="minorHAnsi"/>
          <w:sz w:val="26"/>
          <w:szCs w:val="26"/>
        </w:rPr>
        <w:t xml:space="preserve"> K. Simonsen, et al., “Long-Term Follow-Up of Individuals Undergoing Sex-Reassignment Surgery: Somatic Morbidity and Cause of Death” Sexual Medicine 4(1) (</w:t>
      </w:r>
      <w:proofErr w:type="gramStart"/>
      <w:r w:rsidRPr="00946283">
        <w:rPr>
          <w:rFonts w:asciiTheme="minorHAnsi" w:hAnsiTheme="minorHAnsi" w:cstheme="minorHAnsi"/>
          <w:sz w:val="26"/>
          <w:szCs w:val="26"/>
        </w:rPr>
        <w:t>March,</w:t>
      </w:r>
      <w:proofErr w:type="gramEnd"/>
      <w:r w:rsidRPr="00946283">
        <w:rPr>
          <w:rFonts w:asciiTheme="minorHAnsi" w:hAnsiTheme="minorHAnsi" w:cstheme="minorHAnsi"/>
          <w:sz w:val="26"/>
          <w:szCs w:val="26"/>
        </w:rPr>
        <w:t xml:space="preserve"> 2016), https://www. ncbi.nlm.nih.gov/</w:t>
      </w:r>
      <w:proofErr w:type="spellStart"/>
      <w:r w:rsidRPr="00946283">
        <w:rPr>
          <w:rFonts w:asciiTheme="minorHAnsi" w:hAnsiTheme="minorHAnsi" w:cstheme="minorHAnsi"/>
          <w:sz w:val="26"/>
          <w:szCs w:val="26"/>
        </w:rPr>
        <w:t>pmc</w:t>
      </w:r>
      <w:proofErr w:type="spellEnd"/>
      <w:r w:rsidRPr="00946283">
        <w:rPr>
          <w:rFonts w:asciiTheme="minorHAnsi" w:hAnsiTheme="minorHAnsi" w:cstheme="minorHAnsi"/>
          <w:sz w:val="26"/>
          <w:szCs w:val="26"/>
        </w:rPr>
        <w:t>/articles/PMC4822482/,</w:t>
      </w:r>
    </w:p>
    <w:p w14:paraId="00572720" w14:textId="77777777" w:rsidR="00946283" w:rsidRPr="00946283" w:rsidRDefault="00946283" w:rsidP="00946283">
      <w:pPr>
        <w:rPr>
          <w:rFonts w:asciiTheme="minorHAnsi" w:hAnsiTheme="minorHAnsi" w:cstheme="minorHAnsi"/>
          <w:sz w:val="26"/>
          <w:szCs w:val="26"/>
        </w:rPr>
      </w:pPr>
    </w:p>
    <w:p w14:paraId="2A84A801" w14:textId="77777777" w:rsidR="00946283" w:rsidRPr="00946283" w:rsidRDefault="00946283" w:rsidP="00946283">
      <w:pPr>
        <w:rPr>
          <w:rFonts w:asciiTheme="minorHAnsi" w:hAnsiTheme="minorHAnsi" w:cstheme="minorHAnsi"/>
          <w:sz w:val="26"/>
          <w:szCs w:val="26"/>
        </w:rPr>
      </w:pPr>
      <w:r w:rsidRPr="00946283">
        <w:rPr>
          <w:rFonts w:asciiTheme="minorHAnsi" w:hAnsiTheme="minorHAnsi" w:cstheme="minorHAnsi"/>
          <w:sz w:val="26"/>
          <w:szCs w:val="26"/>
        </w:rPr>
        <w:lastRenderedPageBreak/>
        <w:t xml:space="preserve">Richard </w:t>
      </w:r>
      <w:proofErr w:type="spellStart"/>
      <w:r w:rsidRPr="00946283">
        <w:rPr>
          <w:rFonts w:asciiTheme="minorHAnsi" w:hAnsiTheme="minorHAnsi" w:cstheme="minorHAnsi"/>
          <w:sz w:val="26"/>
          <w:szCs w:val="26"/>
        </w:rPr>
        <w:t>Bränströmand</w:t>
      </w:r>
      <w:proofErr w:type="spellEnd"/>
      <w:r w:rsidRPr="00946283">
        <w:rPr>
          <w:rFonts w:asciiTheme="minorHAnsi" w:hAnsiTheme="minorHAnsi" w:cstheme="minorHAnsi"/>
          <w:sz w:val="26"/>
          <w:szCs w:val="26"/>
        </w:rPr>
        <w:t xml:space="preserve"> John </w:t>
      </w:r>
      <w:proofErr w:type="spellStart"/>
      <w:r w:rsidRPr="00946283">
        <w:rPr>
          <w:rFonts w:asciiTheme="minorHAnsi" w:hAnsiTheme="minorHAnsi" w:cstheme="minorHAnsi"/>
          <w:sz w:val="26"/>
          <w:szCs w:val="26"/>
        </w:rPr>
        <w:t>E.Pachankis</w:t>
      </w:r>
      <w:proofErr w:type="spellEnd"/>
      <w:r w:rsidRPr="00946283">
        <w:rPr>
          <w:rFonts w:asciiTheme="minorHAnsi" w:hAnsiTheme="minorHAnsi" w:cstheme="minorHAnsi"/>
          <w:sz w:val="26"/>
          <w:szCs w:val="26"/>
        </w:rPr>
        <w:t xml:space="preserve">, “Reduction in mental health treatment utilization among trans- gender individuals after gender-affirming surgeries, a total population study,” American Journal of Psychiatry (Oct. 4, 2019), </w:t>
      </w:r>
      <w:hyperlink r:id="rId7" w:history="1">
        <w:r w:rsidRPr="00946283">
          <w:rPr>
            <w:rStyle w:val="Hyperlinkki"/>
            <w:rFonts w:asciiTheme="minorHAnsi" w:hAnsiTheme="minorHAnsi" w:cstheme="minorHAnsi"/>
            <w:sz w:val="26"/>
            <w:szCs w:val="26"/>
          </w:rPr>
          <w:t>https://ajp.psychiatryonline.org/doi/10.1176/appi.ajp.2019.19010080</w:t>
        </w:r>
      </w:hyperlink>
    </w:p>
    <w:p w14:paraId="3E2DFCBD" w14:textId="77777777" w:rsidR="00946283" w:rsidRPr="00946283" w:rsidRDefault="00946283" w:rsidP="00946283">
      <w:pPr>
        <w:rPr>
          <w:rFonts w:asciiTheme="minorHAnsi" w:hAnsiTheme="minorHAnsi" w:cstheme="minorHAnsi"/>
          <w:sz w:val="26"/>
          <w:szCs w:val="26"/>
        </w:rPr>
      </w:pPr>
    </w:p>
    <w:p w14:paraId="0545C6BD" w14:textId="77777777" w:rsidR="00946283" w:rsidRPr="00946283" w:rsidRDefault="00946283" w:rsidP="00946283">
      <w:pPr>
        <w:rPr>
          <w:rFonts w:asciiTheme="minorHAnsi" w:hAnsiTheme="minorHAnsi" w:cstheme="minorHAnsi"/>
          <w:sz w:val="26"/>
          <w:szCs w:val="26"/>
        </w:rPr>
      </w:pPr>
      <w:r w:rsidRPr="00946283">
        <w:rPr>
          <w:rFonts w:asciiTheme="minorHAnsi" w:hAnsiTheme="minorHAnsi" w:cstheme="minorHAnsi"/>
          <w:sz w:val="26"/>
          <w:szCs w:val="26"/>
        </w:rPr>
        <w:t xml:space="preserve">Ryan T. Anderson, “Transitioning procedures don’t help mental health, largest dataset shows”, The Daily Signal (August 3, 2020) </w:t>
      </w:r>
      <w:hyperlink r:id="rId8" w:history="1">
        <w:r w:rsidRPr="00946283">
          <w:rPr>
            <w:rStyle w:val="Hyperlinkki"/>
            <w:rFonts w:asciiTheme="minorHAnsi" w:hAnsiTheme="minorHAnsi" w:cstheme="minorHAnsi"/>
            <w:sz w:val="26"/>
            <w:szCs w:val="26"/>
          </w:rPr>
          <w:t>https://www.dailysignal.com/2020/08/03/transitioning-procedures-dont-help-mental-health-largest-data- set-shows/</w:t>
        </w:r>
      </w:hyperlink>
    </w:p>
    <w:p w14:paraId="60E5FF99" w14:textId="77777777" w:rsidR="00946283" w:rsidRPr="00946283" w:rsidRDefault="00946283" w:rsidP="00946283">
      <w:pPr>
        <w:rPr>
          <w:rFonts w:asciiTheme="minorHAnsi" w:hAnsiTheme="minorHAnsi" w:cstheme="minorHAnsi"/>
          <w:sz w:val="26"/>
          <w:szCs w:val="26"/>
        </w:rPr>
      </w:pPr>
    </w:p>
    <w:p w14:paraId="728B8099" w14:textId="77777777" w:rsidR="00946283" w:rsidRPr="00946283" w:rsidRDefault="00946283" w:rsidP="00946283">
      <w:pPr>
        <w:rPr>
          <w:rFonts w:asciiTheme="minorHAnsi" w:hAnsiTheme="minorHAnsi" w:cstheme="minorHAnsi"/>
          <w:sz w:val="26"/>
          <w:szCs w:val="26"/>
        </w:rPr>
      </w:pPr>
      <w:r w:rsidRPr="00946283">
        <w:rPr>
          <w:rFonts w:asciiTheme="minorHAnsi" w:hAnsiTheme="minorHAnsi" w:cstheme="minorHAnsi"/>
          <w:sz w:val="26"/>
          <w:szCs w:val="26"/>
        </w:rPr>
        <w:t xml:space="preserve">R. </w:t>
      </w:r>
      <w:proofErr w:type="spellStart"/>
      <w:r w:rsidRPr="00946283">
        <w:rPr>
          <w:rFonts w:asciiTheme="minorHAnsi" w:hAnsiTheme="minorHAnsi" w:cstheme="minorHAnsi"/>
          <w:sz w:val="26"/>
          <w:szCs w:val="26"/>
        </w:rPr>
        <w:t>Bränström</w:t>
      </w:r>
      <w:proofErr w:type="spellEnd"/>
      <w:r w:rsidRPr="00946283">
        <w:rPr>
          <w:rFonts w:asciiTheme="minorHAnsi" w:hAnsiTheme="minorHAnsi" w:cstheme="minorHAnsi"/>
          <w:sz w:val="26"/>
          <w:szCs w:val="26"/>
        </w:rPr>
        <w:t xml:space="preserve">, J.E. </w:t>
      </w:r>
      <w:proofErr w:type="spellStart"/>
      <w:r w:rsidRPr="00946283">
        <w:rPr>
          <w:rFonts w:asciiTheme="minorHAnsi" w:hAnsiTheme="minorHAnsi" w:cstheme="minorHAnsi"/>
          <w:sz w:val="26"/>
          <w:szCs w:val="26"/>
        </w:rPr>
        <w:t>Pachankis</w:t>
      </w:r>
      <w:proofErr w:type="spellEnd"/>
      <w:r w:rsidRPr="00946283">
        <w:rPr>
          <w:rFonts w:asciiTheme="minorHAnsi" w:hAnsiTheme="minorHAnsi" w:cstheme="minorHAnsi"/>
          <w:sz w:val="26"/>
          <w:szCs w:val="26"/>
        </w:rPr>
        <w:t xml:space="preserve"> “Correction to </w:t>
      </w:r>
      <w:proofErr w:type="spellStart"/>
      <w:r w:rsidRPr="00946283">
        <w:rPr>
          <w:rFonts w:asciiTheme="minorHAnsi" w:hAnsiTheme="minorHAnsi" w:cstheme="minorHAnsi"/>
          <w:sz w:val="26"/>
          <w:szCs w:val="26"/>
        </w:rPr>
        <w:t>Bränström</w:t>
      </w:r>
      <w:proofErr w:type="spellEnd"/>
      <w:r w:rsidRPr="00946283">
        <w:rPr>
          <w:rFonts w:asciiTheme="minorHAnsi" w:hAnsiTheme="minorHAnsi" w:cstheme="minorHAnsi"/>
          <w:sz w:val="26"/>
          <w:szCs w:val="26"/>
        </w:rPr>
        <w:t xml:space="preserve"> and </w:t>
      </w:r>
      <w:proofErr w:type="spellStart"/>
      <w:r w:rsidRPr="00946283">
        <w:rPr>
          <w:rFonts w:asciiTheme="minorHAnsi" w:hAnsiTheme="minorHAnsi" w:cstheme="minorHAnsi"/>
          <w:sz w:val="26"/>
          <w:szCs w:val="26"/>
        </w:rPr>
        <w:t>Pachankis</w:t>
      </w:r>
      <w:proofErr w:type="spellEnd"/>
      <w:r w:rsidRPr="00946283">
        <w:rPr>
          <w:rFonts w:asciiTheme="minorHAnsi" w:hAnsiTheme="minorHAnsi" w:cstheme="minorHAnsi"/>
          <w:sz w:val="26"/>
          <w:szCs w:val="26"/>
        </w:rPr>
        <w:t xml:space="preserve">, Reduction in Mental Health Treatment Utilization After Gender-Affirming </w:t>
      </w:r>
      <w:proofErr w:type="gramStart"/>
      <w:r w:rsidRPr="00946283">
        <w:rPr>
          <w:rFonts w:asciiTheme="minorHAnsi" w:hAnsiTheme="minorHAnsi" w:cstheme="minorHAnsi"/>
          <w:sz w:val="26"/>
          <w:szCs w:val="26"/>
        </w:rPr>
        <w:t>Surgeries ”</w:t>
      </w:r>
      <w:proofErr w:type="gramEnd"/>
      <w:r w:rsidRPr="00946283">
        <w:rPr>
          <w:rFonts w:asciiTheme="minorHAnsi" w:hAnsiTheme="minorHAnsi" w:cstheme="minorHAnsi"/>
          <w:sz w:val="26"/>
          <w:szCs w:val="26"/>
        </w:rPr>
        <w:t xml:space="preserve"> Journal of American Psychiatry (August 1, 2020) https://ajp.psychiatryonline.org/doi/10.1176/appi.ajp.2020.1778 correction</w:t>
      </w:r>
    </w:p>
    <w:p w14:paraId="6CD15CA0" w14:textId="77777777" w:rsidR="00946283" w:rsidRPr="00946283" w:rsidRDefault="00946283" w:rsidP="00946283">
      <w:pPr>
        <w:rPr>
          <w:rFonts w:asciiTheme="minorHAnsi" w:hAnsiTheme="minorHAnsi" w:cstheme="minorHAnsi"/>
          <w:sz w:val="26"/>
          <w:szCs w:val="26"/>
        </w:rPr>
      </w:pPr>
    </w:p>
    <w:p w14:paraId="36DB4775" w14:textId="77777777" w:rsidR="00946283" w:rsidRPr="00946283" w:rsidRDefault="00946283" w:rsidP="00946283">
      <w:pPr>
        <w:rPr>
          <w:rFonts w:asciiTheme="minorHAnsi" w:hAnsiTheme="minorHAnsi" w:cstheme="minorHAnsi"/>
          <w:sz w:val="26"/>
          <w:szCs w:val="26"/>
        </w:rPr>
      </w:pPr>
      <w:r w:rsidRPr="00946283">
        <w:rPr>
          <w:rFonts w:asciiTheme="minorHAnsi" w:hAnsiTheme="minorHAnsi" w:cstheme="minorHAnsi"/>
          <w:sz w:val="26"/>
          <w:szCs w:val="26"/>
        </w:rPr>
        <w:t>Sven Roman, “</w:t>
      </w:r>
      <w:proofErr w:type="spellStart"/>
      <w:r w:rsidRPr="00946283">
        <w:rPr>
          <w:rFonts w:asciiTheme="minorHAnsi" w:hAnsiTheme="minorHAnsi" w:cstheme="minorHAnsi"/>
          <w:sz w:val="26"/>
          <w:szCs w:val="26"/>
        </w:rPr>
        <w:t>Utredare</w:t>
      </w:r>
      <w:proofErr w:type="spellEnd"/>
      <w:r w:rsidRPr="00946283">
        <w:rPr>
          <w:rFonts w:asciiTheme="minorHAnsi" w:hAnsiTheme="minorHAnsi" w:cstheme="minorHAnsi"/>
          <w:sz w:val="26"/>
          <w:szCs w:val="26"/>
        </w:rPr>
        <w:t xml:space="preserve"> </w:t>
      </w:r>
      <w:proofErr w:type="spellStart"/>
      <w:r w:rsidRPr="00946283">
        <w:rPr>
          <w:rFonts w:asciiTheme="minorHAnsi" w:hAnsiTheme="minorHAnsi" w:cstheme="minorHAnsi"/>
          <w:sz w:val="26"/>
          <w:szCs w:val="26"/>
        </w:rPr>
        <w:t>forvanskar</w:t>
      </w:r>
      <w:proofErr w:type="spellEnd"/>
      <w:r w:rsidRPr="00946283">
        <w:rPr>
          <w:rFonts w:asciiTheme="minorHAnsi" w:hAnsiTheme="minorHAnsi" w:cstheme="minorHAnsi"/>
          <w:sz w:val="26"/>
          <w:szCs w:val="26"/>
        </w:rPr>
        <w:t xml:space="preserve"> om </w:t>
      </w:r>
      <w:proofErr w:type="spellStart"/>
      <w:r w:rsidRPr="00946283">
        <w:rPr>
          <w:rFonts w:asciiTheme="minorHAnsi" w:hAnsiTheme="minorHAnsi" w:cstheme="minorHAnsi"/>
          <w:sz w:val="26"/>
          <w:szCs w:val="26"/>
        </w:rPr>
        <w:t>konsdysfori</w:t>
      </w:r>
      <w:proofErr w:type="spellEnd"/>
      <w:r w:rsidRPr="00946283">
        <w:rPr>
          <w:rFonts w:asciiTheme="minorHAnsi" w:hAnsiTheme="minorHAnsi" w:cstheme="minorHAnsi"/>
          <w:sz w:val="26"/>
          <w:szCs w:val="26"/>
        </w:rPr>
        <w:t>” Svenska Dagbladet (Oct. 22, 2019), https://www.svd.se/utredare-forvanskar-om-konsdysfori</w:t>
      </w:r>
    </w:p>
    <w:p w14:paraId="15512B8C" w14:textId="77777777" w:rsidR="00946283" w:rsidRPr="00946283" w:rsidRDefault="00946283" w:rsidP="00946283">
      <w:pPr>
        <w:rPr>
          <w:rFonts w:asciiTheme="minorHAnsi" w:hAnsiTheme="minorHAnsi" w:cstheme="minorHAnsi"/>
          <w:sz w:val="26"/>
          <w:szCs w:val="26"/>
        </w:rPr>
      </w:pPr>
    </w:p>
    <w:p w14:paraId="66005DBE" w14:textId="77777777" w:rsidR="00946283" w:rsidRPr="00946283" w:rsidRDefault="00946283" w:rsidP="00946283">
      <w:pPr>
        <w:rPr>
          <w:rFonts w:asciiTheme="minorHAnsi" w:hAnsiTheme="minorHAnsi" w:cstheme="minorHAnsi"/>
          <w:sz w:val="26"/>
          <w:szCs w:val="26"/>
        </w:rPr>
      </w:pPr>
      <w:r w:rsidRPr="00946283">
        <w:rPr>
          <w:rFonts w:asciiTheme="minorHAnsi" w:hAnsiTheme="minorHAnsi" w:cstheme="minorHAnsi"/>
          <w:sz w:val="26"/>
          <w:szCs w:val="26"/>
        </w:rPr>
        <w:t xml:space="preserve">J. Michael Bailey &amp; Ray Blanchard, “Suicide or Transition: The Only Options for Gender Dysphoric Kids?” 4th Wave Now (September 8, 2017), https://4thwavenow.com/2017/09/08/suicide-or-transi- </w:t>
      </w:r>
      <w:proofErr w:type="spellStart"/>
      <w:r w:rsidRPr="00946283">
        <w:rPr>
          <w:rFonts w:asciiTheme="minorHAnsi" w:hAnsiTheme="minorHAnsi" w:cstheme="minorHAnsi"/>
          <w:sz w:val="26"/>
          <w:szCs w:val="26"/>
        </w:rPr>
        <w:t>tion</w:t>
      </w:r>
      <w:proofErr w:type="spellEnd"/>
      <w:r w:rsidRPr="00946283">
        <w:rPr>
          <w:rFonts w:asciiTheme="minorHAnsi" w:hAnsiTheme="minorHAnsi" w:cstheme="minorHAnsi"/>
          <w:sz w:val="26"/>
          <w:szCs w:val="26"/>
        </w:rPr>
        <w:t>-the-only-options-for-gender-dysphoric-kids/.</w:t>
      </w:r>
    </w:p>
    <w:p w14:paraId="37193198" w14:textId="77777777" w:rsidR="00946283" w:rsidRPr="00946283" w:rsidRDefault="00946283" w:rsidP="00946283">
      <w:pPr>
        <w:rPr>
          <w:rFonts w:asciiTheme="minorHAnsi" w:hAnsiTheme="minorHAnsi" w:cstheme="minorHAnsi"/>
          <w:sz w:val="26"/>
          <w:szCs w:val="26"/>
        </w:rPr>
      </w:pPr>
    </w:p>
    <w:p w14:paraId="1A09C95C" w14:textId="77777777" w:rsidR="00A67D46" w:rsidRPr="00946283" w:rsidRDefault="00A67D46">
      <w:pPr>
        <w:rPr>
          <w:rFonts w:asciiTheme="minorHAnsi" w:hAnsiTheme="minorHAnsi" w:cstheme="minorHAnsi"/>
          <w:sz w:val="26"/>
          <w:szCs w:val="26"/>
        </w:rPr>
      </w:pPr>
    </w:p>
    <w:sectPr w:rsidR="00A67D46" w:rsidRPr="00946283" w:rsidSect="00835AA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CB2127" w14:textId="77777777" w:rsidR="001055BB" w:rsidRDefault="001055BB" w:rsidP="00946283">
      <w:r>
        <w:separator/>
      </w:r>
    </w:p>
  </w:endnote>
  <w:endnote w:type="continuationSeparator" w:id="0">
    <w:p w14:paraId="7A213F4E" w14:textId="77777777" w:rsidR="001055BB" w:rsidRDefault="001055BB" w:rsidP="00946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AE23F" w14:textId="77777777" w:rsidR="001055BB" w:rsidRDefault="001055BB" w:rsidP="00946283">
      <w:r>
        <w:separator/>
      </w:r>
    </w:p>
  </w:footnote>
  <w:footnote w:type="continuationSeparator" w:id="0">
    <w:p w14:paraId="12AD0530" w14:textId="77777777" w:rsidR="001055BB" w:rsidRDefault="001055BB" w:rsidP="00946283">
      <w:r>
        <w:continuationSeparator/>
      </w:r>
    </w:p>
  </w:footnote>
  <w:footnote w:id="1">
    <w:p w14:paraId="79DA8D3B" w14:textId="77777777" w:rsidR="00946283" w:rsidRPr="00D361FB" w:rsidRDefault="00946283" w:rsidP="00946283">
      <w:pPr>
        <w:pStyle w:val="Alaviitteenteksti"/>
        <w:rPr>
          <w:rFonts w:asciiTheme="minorHAnsi" w:hAnsiTheme="minorHAnsi" w:cstheme="minorHAnsi"/>
          <w:sz w:val="18"/>
          <w:szCs w:val="18"/>
        </w:rPr>
      </w:pPr>
      <w:r w:rsidRPr="00D361FB">
        <w:rPr>
          <w:rStyle w:val="Alaviitteenviite"/>
          <w:rFonts w:asciiTheme="minorHAnsi" w:hAnsiTheme="minorHAnsi" w:cstheme="minorHAnsi"/>
          <w:sz w:val="18"/>
          <w:szCs w:val="18"/>
        </w:rPr>
        <w:footnoteRef/>
      </w:r>
      <w:r w:rsidRPr="00D361FB">
        <w:rPr>
          <w:rFonts w:asciiTheme="minorHAnsi" w:hAnsiTheme="minorHAnsi" w:cstheme="minorHAnsi"/>
          <w:sz w:val="18"/>
          <w:szCs w:val="18"/>
        </w:rPr>
        <w:t xml:space="preserve"> McHugh, P. (2014, June 12). Transgender Surgery </w:t>
      </w:r>
      <w:proofErr w:type="gramStart"/>
      <w:r w:rsidRPr="00D361FB">
        <w:rPr>
          <w:rFonts w:asciiTheme="minorHAnsi" w:hAnsiTheme="minorHAnsi" w:cstheme="minorHAnsi"/>
          <w:sz w:val="18"/>
          <w:szCs w:val="18"/>
        </w:rPr>
        <w:t>Isn’t</w:t>
      </w:r>
      <w:proofErr w:type="gramEnd"/>
      <w:r w:rsidRPr="00D361FB">
        <w:rPr>
          <w:rFonts w:asciiTheme="minorHAnsi" w:hAnsiTheme="minorHAnsi" w:cstheme="minorHAnsi"/>
          <w:sz w:val="18"/>
          <w:szCs w:val="18"/>
        </w:rPr>
        <w:t xml:space="preserve"> the Solution. </w:t>
      </w:r>
      <w:r w:rsidRPr="00D361FB">
        <w:rPr>
          <w:rFonts w:asciiTheme="minorHAnsi" w:hAnsiTheme="minorHAnsi" w:cstheme="minorHAnsi"/>
          <w:i/>
          <w:sz w:val="18"/>
          <w:szCs w:val="18"/>
        </w:rPr>
        <w:t>Wall Street Journal</w:t>
      </w:r>
      <w:r w:rsidRPr="00D361FB">
        <w:rPr>
          <w:rFonts w:asciiTheme="minorHAnsi" w:hAnsiTheme="minorHAnsi" w:cstheme="minorHAnsi"/>
          <w:sz w:val="18"/>
          <w:szCs w:val="18"/>
        </w:rPr>
        <w:t xml:space="preserve">. Retrieved from </w:t>
      </w:r>
      <w:hyperlink r:id="rId1" w:history="1">
        <w:r w:rsidRPr="00D361FB">
          <w:rPr>
            <w:rStyle w:val="Hyperlinkki"/>
            <w:rFonts w:asciiTheme="minorHAnsi" w:hAnsiTheme="minorHAnsi" w:cstheme="minorHAnsi"/>
            <w:sz w:val="18"/>
            <w:szCs w:val="18"/>
          </w:rPr>
          <w:t>https://genderidentitywatch.files.wordpress.com/2014/06/paul-mchugh_-transgender-surgery-isnt-the-solution-wsj.pdf</w:t>
        </w:r>
      </w:hyperlink>
    </w:p>
  </w:footnote>
  <w:footnote w:id="2">
    <w:p w14:paraId="6A2E8945" w14:textId="049F90DE" w:rsidR="00946283" w:rsidRPr="000F56A7" w:rsidRDefault="00946283" w:rsidP="000F56A7">
      <w:pPr>
        <w:shd w:val="clear" w:color="auto" w:fill="FFFFFF"/>
        <w:rPr>
          <w:rFonts w:asciiTheme="minorHAnsi" w:hAnsiTheme="minorHAnsi" w:cstheme="minorHAnsi"/>
          <w:color w:val="000000"/>
          <w:sz w:val="18"/>
          <w:szCs w:val="18"/>
          <w:shd w:val="clear" w:color="auto" w:fill="FFFFFF"/>
        </w:rPr>
      </w:pPr>
      <w:r w:rsidRPr="00D361FB">
        <w:rPr>
          <w:rStyle w:val="Alaviitteenviite"/>
          <w:rFonts w:asciiTheme="minorHAnsi" w:hAnsiTheme="minorHAnsi" w:cstheme="minorHAnsi"/>
          <w:sz w:val="18"/>
          <w:szCs w:val="18"/>
        </w:rPr>
        <w:footnoteRef/>
      </w:r>
      <w:r w:rsidRPr="00D361FB">
        <w:rPr>
          <w:rFonts w:asciiTheme="minorHAnsi" w:hAnsiTheme="minorHAnsi" w:cstheme="minorHAnsi"/>
          <w:sz w:val="18"/>
          <w:szCs w:val="18"/>
        </w:rPr>
        <w:t xml:space="preserve"> Zucker, K. &amp; Bradley, S. (1995). </w:t>
      </w:r>
      <w:r w:rsidRPr="00D361FB">
        <w:rPr>
          <w:rFonts w:asciiTheme="minorHAnsi" w:hAnsiTheme="minorHAnsi" w:cstheme="minorHAnsi"/>
          <w:i/>
          <w:sz w:val="18"/>
          <w:szCs w:val="18"/>
        </w:rPr>
        <w:t xml:space="preserve">Gender Identity Disorder and Psychosexual Problems in Children and Adolescents. </w:t>
      </w:r>
      <w:r w:rsidRPr="00D361FB">
        <w:rPr>
          <w:rFonts w:asciiTheme="minorHAnsi" w:hAnsiTheme="minorHAnsi" w:cstheme="minorHAnsi"/>
          <w:sz w:val="18"/>
          <w:szCs w:val="18"/>
        </w:rPr>
        <w:t>New York, NY:</w:t>
      </w:r>
      <w:r w:rsidRPr="00D361FB">
        <w:rPr>
          <w:rFonts w:asciiTheme="minorHAnsi" w:hAnsiTheme="minorHAnsi" w:cstheme="minorHAnsi"/>
          <w:i/>
          <w:sz w:val="18"/>
          <w:szCs w:val="18"/>
        </w:rPr>
        <w:t xml:space="preserve"> </w:t>
      </w:r>
      <w:r w:rsidRPr="00D361FB">
        <w:rPr>
          <w:rFonts w:asciiTheme="minorHAnsi" w:hAnsiTheme="minorHAnsi" w:cstheme="minorHAnsi"/>
          <w:sz w:val="18"/>
          <w:szCs w:val="18"/>
        </w:rPr>
        <w:t>The Guilford Press.</w:t>
      </w:r>
    </w:p>
  </w:footnote>
  <w:footnote w:id="3">
    <w:p w14:paraId="56F71998" w14:textId="77777777" w:rsidR="00946283" w:rsidRPr="009359B2" w:rsidRDefault="00946283" w:rsidP="00946283">
      <w:pPr>
        <w:shd w:val="clear" w:color="auto" w:fill="FFFFFF"/>
        <w:rPr>
          <w:rFonts w:asciiTheme="minorHAnsi" w:hAnsiTheme="minorHAnsi" w:cstheme="minorHAnsi"/>
          <w:sz w:val="18"/>
          <w:szCs w:val="18"/>
        </w:rPr>
      </w:pPr>
      <w:r w:rsidRPr="009359B2">
        <w:rPr>
          <w:rStyle w:val="Alaviitteenviite"/>
          <w:rFonts w:asciiTheme="minorHAnsi" w:eastAsia="Calibri" w:hAnsiTheme="minorHAnsi" w:cstheme="minorHAnsi"/>
          <w:sz w:val="18"/>
          <w:szCs w:val="18"/>
        </w:rPr>
        <w:footnoteRef/>
      </w:r>
      <w:r w:rsidRPr="009359B2">
        <w:rPr>
          <w:rFonts w:asciiTheme="minorHAnsi" w:hAnsiTheme="minorHAnsi" w:cstheme="minorHAnsi"/>
          <w:sz w:val="18"/>
          <w:szCs w:val="18"/>
        </w:rPr>
        <w:t xml:space="preserve"> </w:t>
      </w:r>
      <w:proofErr w:type="spellStart"/>
      <w:r w:rsidRPr="009359B2">
        <w:rPr>
          <w:rFonts w:asciiTheme="minorHAnsi" w:hAnsiTheme="minorHAnsi" w:cstheme="minorHAnsi"/>
          <w:sz w:val="18"/>
          <w:szCs w:val="18"/>
        </w:rPr>
        <w:t>Dhejne</w:t>
      </w:r>
      <w:proofErr w:type="spellEnd"/>
      <w:r w:rsidRPr="009359B2">
        <w:rPr>
          <w:rFonts w:asciiTheme="minorHAnsi" w:hAnsiTheme="minorHAnsi" w:cstheme="minorHAnsi"/>
          <w:sz w:val="18"/>
          <w:szCs w:val="18"/>
        </w:rPr>
        <w:t xml:space="preserve">, C., et al. (2011). </w:t>
      </w:r>
      <w:r w:rsidRPr="009359B2">
        <w:rPr>
          <w:rFonts w:asciiTheme="minorHAnsi" w:hAnsiTheme="minorHAnsi" w:cstheme="minorHAnsi"/>
          <w:bCs/>
          <w:sz w:val="18"/>
          <w:szCs w:val="18"/>
        </w:rPr>
        <w:t xml:space="preserve">Long-Term Follow-Up of Transsexual Persons Undergoing Sex Reassignment Surgery: Cohort Study in Sweden. </w:t>
      </w:r>
      <w:r w:rsidRPr="009359B2">
        <w:rPr>
          <w:rFonts w:asciiTheme="minorHAnsi" w:hAnsiTheme="minorHAnsi" w:cstheme="minorHAnsi"/>
          <w:bCs/>
          <w:i/>
          <w:sz w:val="18"/>
          <w:szCs w:val="18"/>
        </w:rPr>
        <w:t>PLOS One, 6.</w:t>
      </w:r>
      <w:r w:rsidRPr="009359B2">
        <w:rPr>
          <w:rFonts w:asciiTheme="minorHAnsi" w:hAnsiTheme="minorHAnsi" w:cstheme="minorHAnsi"/>
          <w:bCs/>
          <w:sz w:val="18"/>
          <w:szCs w:val="18"/>
        </w:rPr>
        <w:t xml:space="preserve"> Retrieved from </w:t>
      </w:r>
      <w:proofErr w:type="gramStart"/>
      <w:r w:rsidRPr="009359B2">
        <w:rPr>
          <w:rFonts w:asciiTheme="minorHAnsi" w:hAnsiTheme="minorHAnsi" w:cstheme="minorHAnsi"/>
          <w:sz w:val="18"/>
          <w:szCs w:val="18"/>
        </w:rPr>
        <w:t>http://dx.doi.org/10.1371/journal.pone.0016885</w:t>
      </w:r>
      <w:proofErr w:type="gramEnd"/>
    </w:p>
  </w:footnote>
  <w:footnote w:id="4">
    <w:p w14:paraId="609DCD35" w14:textId="77777777" w:rsidR="00946283" w:rsidRDefault="00946283" w:rsidP="00946283">
      <w:r w:rsidRPr="009359B2">
        <w:rPr>
          <w:rStyle w:val="Alaviitteenviite"/>
          <w:rFonts w:asciiTheme="minorHAnsi" w:hAnsiTheme="minorHAnsi" w:cstheme="minorHAnsi"/>
          <w:sz w:val="18"/>
          <w:szCs w:val="18"/>
        </w:rPr>
        <w:footnoteRef/>
      </w:r>
      <w:r w:rsidRPr="009359B2">
        <w:rPr>
          <w:rFonts w:asciiTheme="minorHAnsi" w:hAnsiTheme="minorHAnsi" w:cstheme="minorHAnsi"/>
          <w:sz w:val="18"/>
          <w:szCs w:val="18"/>
        </w:rPr>
        <w:t xml:space="preserve"> Batty, D. (2004, July 30). Sex changes are not effective, say researchers. </w:t>
      </w:r>
      <w:r w:rsidRPr="009359B2">
        <w:rPr>
          <w:rFonts w:asciiTheme="minorHAnsi" w:hAnsiTheme="minorHAnsi" w:cstheme="minorHAnsi"/>
          <w:i/>
          <w:sz w:val="18"/>
          <w:szCs w:val="18"/>
        </w:rPr>
        <w:t>The Guardian</w:t>
      </w:r>
      <w:r w:rsidRPr="009359B2">
        <w:rPr>
          <w:rFonts w:asciiTheme="minorHAnsi" w:hAnsiTheme="minorHAnsi" w:cstheme="minorHAnsi"/>
          <w:sz w:val="18"/>
          <w:szCs w:val="18"/>
        </w:rPr>
        <w:t xml:space="preserve">. Retrieved from </w:t>
      </w:r>
      <w:proofErr w:type="gramStart"/>
      <w:r w:rsidRPr="009359B2">
        <w:rPr>
          <w:rFonts w:asciiTheme="minorHAnsi" w:hAnsiTheme="minorHAnsi" w:cstheme="minorHAnsi"/>
          <w:sz w:val="18"/>
          <w:szCs w:val="18"/>
        </w:rPr>
        <w:t>http://www.theguardian.com/society/2004/jul/30/‌health.mentalhealth</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7583448"/>
      <w:docPartObj>
        <w:docPartGallery w:val="Page Numbers (Top of Page)"/>
        <w:docPartUnique/>
      </w:docPartObj>
    </w:sdtPr>
    <w:sdtContent>
      <w:p w14:paraId="054D7F0C" w14:textId="3676CDF8" w:rsidR="000F56A7" w:rsidRDefault="000F56A7">
        <w:pPr>
          <w:pStyle w:val="Yltunniste"/>
          <w:jc w:val="right"/>
        </w:pPr>
        <w:r>
          <w:fldChar w:fldCharType="begin"/>
        </w:r>
        <w:r>
          <w:instrText>PAGE   \* MERGEFORMAT</w:instrText>
        </w:r>
        <w:r>
          <w:fldChar w:fldCharType="separate"/>
        </w:r>
        <w:r>
          <w:rPr>
            <w:lang w:val="fi-FI"/>
          </w:rPr>
          <w:t>2</w:t>
        </w:r>
        <w:r>
          <w:fldChar w:fldCharType="end"/>
        </w:r>
      </w:p>
    </w:sdtContent>
  </w:sdt>
  <w:p w14:paraId="3B3670DF" w14:textId="77777777" w:rsidR="000F56A7" w:rsidRDefault="000F56A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B79D5"/>
    <w:multiLevelType w:val="hybridMultilevel"/>
    <w:tmpl w:val="3AE6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777E1"/>
    <w:multiLevelType w:val="hybridMultilevel"/>
    <w:tmpl w:val="9BDCD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A5399"/>
    <w:multiLevelType w:val="hybridMultilevel"/>
    <w:tmpl w:val="9E7EC8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F175F"/>
    <w:multiLevelType w:val="hybridMultilevel"/>
    <w:tmpl w:val="750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E6751"/>
    <w:multiLevelType w:val="hybridMultilevel"/>
    <w:tmpl w:val="B7CA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15925"/>
    <w:multiLevelType w:val="hybridMultilevel"/>
    <w:tmpl w:val="5D84F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3D7339"/>
    <w:multiLevelType w:val="hybridMultilevel"/>
    <w:tmpl w:val="EA5A2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E123C"/>
    <w:multiLevelType w:val="hybridMultilevel"/>
    <w:tmpl w:val="AE5A3AC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521ED6"/>
    <w:multiLevelType w:val="hybridMultilevel"/>
    <w:tmpl w:val="6158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0F6BAB"/>
    <w:multiLevelType w:val="hybridMultilevel"/>
    <w:tmpl w:val="7850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8C72E7"/>
    <w:multiLevelType w:val="hybridMultilevel"/>
    <w:tmpl w:val="B672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9904CE"/>
    <w:multiLevelType w:val="hybridMultilevel"/>
    <w:tmpl w:val="D0587F1C"/>
    <w:lvl w:ilvl="0" w:tplc="04090001">
      <w:start w:val="1"/>
      <w:numFmt w:val="bullet"/>
      <w:lvlText w:val=""/>
      <w:lvlJc w:val="left"/>
      <w:pPr>
        <w:ind w:left="360" w:hanging="360"/>
      </w:pPr>
      <w:rPr>
        <w:rFonts w:ascii="Symbol" w:hAnsi="Symbol" w:hint="default"/>
      </w:rPr>
    </w:lvl>
    <w:lvl w:ilvl="1" w:tplc="9AFAEB7E">
      <w:start w:val="1"/>
      <w:numFmt w:val="bullet"/>
      <w:lvlText w:val=""/>
      <w:lvlJc w:val="left"/>
      <w:pPr>
        <w:ind w:left="720" w:hanging="360"/>
      </w:pPr>
      <w:rPr>
        <w:rFonts w:ascii="Symbol" w:hAnsi="Symbol" w:hint="default"/>
        <w:sz w:val="24"/>
        <w:szCs w:val="24"/>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A182670"/>
    <w:multiLevelType w:val="hybridMultilevel"/>
    <w:tmpl w:val="266E9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8793A"/>
    <w:multiLevelType w:val="hybridMultilevel"/>
    <w:tmpl w:val="ED58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B16723"/>
    <w:multiLevelType w:val="hybridMultilevel"/>
    <w:tmpl w:val="FD6A8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F8213D"/>
    <w:multiLevelType w:val="hybridMultilevel"/>
    <w:tmpl w:val="A9E683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F35F53"/>
    <w:multiLevelType w:val="hybridMultilevel"/>
    <w:tmpl w:val="A92ED6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539F4"/>
    <w:multiLevelType w:val="multilevel"/>
    <w:tmpl w:val="21229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6F11CA"/>
    <w:multiLevelType w:val="hybridMultilevel"/>
    <w:tmpl w:val="AAA02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C670F"/>
    <w:multiLevelType w:val="hybridMultilevel"/>
    <w:tmpl w:val="4DD07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B2A86"/>
    <w:multiLevelType w:val="hybridMultilevel"/>
    <w:tmpl w:val="01A8C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7279E5"/>
    <w:multiLevelType w:val="hybridMultilevel"/>
    <w:tmpl w:val="0CFC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578EE"/>
    <w:multiLevelType w:val="hybridMultilevel"/>
    <w:tmpl w:val="2E8C2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7A1238"/>
    <w:multiLevelType w:val="hybridMultilevel"/>
    <w:tmpl w:val="32C06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65312BA"/>
    <w:multiLevelType w:val="hybridMultilevel"/>
    <w:tmpl w:val="B0E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937F3F"/>
    <w:multiLevelType w:val="hybridMultilevel"/>
    <w:tmpl w:val="BA1E8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6"/>
  </w:num>
  <w:num w:numId="4">
    <w:abstractNumId w:val="12"/>
  </w:num>
  <w:num w:numId="5">
    <w:abstractNumId w:val="11"/>
  </w:num>
  <w:num w:numId="6">
    <w:abstractNumId w:val="7"/>
  </w:num>
  <w:num w:numId="7">
    <w:abstractNumId w:val="24"/>
  </w:num>
  <w:num w:numId="8">
    <w:abstractNumId w:val="23"/>
  </w:num>
  <w:num w:numId="9">
    <w:abstractNumId w:val="20"/>
  </w:num>
  <w:num w:numId="10">
    <w:abstractNumId w:val="25"/>
  </w:num>
  <w:num w:numId="11">
    <w:abstractNumId w:val="4"/>
  </w:num>
  <w:num w:numId="12">
    <w:abstractNumId w:val="22"/>
  </w:num>
  <w:num w:numId="13">
    <w:abstractNumId w:val="14"/>
  </w:num>
  <w:num w:numId="14">
    <w:abstractNumId w:val="5"/>
  </w:num>
  <w:num w:numId="15">
    <w:abstractNumId w:val="8"/>
  </w:num>
  <w:num w:numId="16">
    <w:abstractNumId w:val="6"/>
  </w:num>
  <w:num w:numId="17">
    <w:abstractNumId w:val="17"/>
  </w:num>
  <w:num w:numId="18">
    <w:abstractNumId w:val="18"/>
  </w:num>
  <w:num w:numId="19">
    <w:abstractNumId w:val="2"/>
  </w:num>
  <w:num w:numId="20">
    <w:abstractNumId w:val="1"/>
  </w:num>
  <w:num w:numId="21">
    <w:abstractNumId w:val="10"/>
  </w:num>
  <w:num w:numId="22">
    <w:abstractNumId w:val="0"/>
  </w:num>
  <w:num w:numId="23">
    <w:abstractNumId w:val="9"/>
  </w:num>
  <w:num w:numId="24">
    <w:abstractNumId w:val="15"/>
  </w:num>
  <w:num w:numId="25">
    <w:abstractNumId w:val="2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83"/>
    <w:rsid w:val="00044AA9"/>
    <w:rsid w:val="000F56A7"/>
    <w:rsid w:val="001055BB"/>
    <w:rsid w:val="0012502B"/>
    <w:rsid w:val="00804ED4"/>
    <w:rsid w:val="00946283"/>
    <w:rsid w:val="00A67D46"/>
    <w:rsid w:val="00E2598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EDCA9"/>
  <w15:chartTrackingRefBased/>
  <w15:docId w15:val="{9E974934-4D0D-49FB-9F0B-CFE2EC308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46283"/>
    <w:pPr>
      <w:spacing w:after="0" w:line="240" w:lineRule="auto"/>
    </w:pPr>
    <w:rPr>
      <w:rFonts w:ascii="Times New Roman" w:eastAsia="Times New Roman" w:hAnsi="Times New Roman" w:cs="Times New Roman"/>
      <w:sz w:val="24"/>
      <w:szCs w:val="24"/>
      <w:lang w:val="en-U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946283"/>
    <w:rPr>
      <w:color w:val="0563C1" w:themeColor="hyperlink"/>
      <w:u w:val="single"/>
    </w:rPr>
  </w:style>
  <w:style w:type="character" w:styleId="Alaviitteenviite">
    <w:name w:val="footnote reference"/>
    <w:aliases w:val="4_G,16 Point,Superscript 6 Point"/>
    <w:unhideWhenUsed/>
    <w:rsid w:val="00946283"/>
    <w:rPr>
      <w:vertAlign w:val="superscript"/>
    </w:rPr>
  </w:style>
  <w:style w:type="paragraph" w:styleId="Alaviitteenteksti">
    <w:name w:val="footnote text"/>
    <w:aliases w:val="5_G"/>
    <w:basedOn w:val="Normaali"/>
    <w:link w:val="AlaviitteentekstiChar"/>
    <w:uiPriority w:val="99"/>
    <w:unhideWhenUsed/>
    <w:rsid w:val="00946283"/>
    <w:rPr>
      <w:rFonts w:ascii="Calibri" w:eastAsia="Calibri" w:hAnsi="Calibri"/>
      <w:sz w:val="20"/>
      <w:szCs w:val="20"/>
    </w:rPr>
  </w:style>
  <w:style w:type="character" w:customStyle="1" w:styleId="AlaviitteentekstiChar">
    <w:name w:val="Alaviitteen teksti Char"/>
    <w:aliases w:val="5_G Char"/>
    <w:basedOn w:val="Kappaleenoletusfontti"/>
    <w:link w:val="Alaviitteenteksti"/>
    <w:uiPriority w:val="99"/>
    <w:rsid w:val="00946283"/>
    <w:rPr>
      <w:rFonts w:ascii="Calibri" w:eastAsia="Calibri" w:hAnsi="Calibri" w:cs="Times New Roman"/>
      <w:sz w:val="20"/>
      <w:szCs w:val="20"/>
      <w:lang w:val="en-US"/>
    </w:rPr>
  </w:style>
  <w:style w:type="paragraph" w:styleId="Luettelokappale">
    <w:name w:val="List Paragraph"/>
    <w:aliases w:val="References,Dot pt,F5 List Paragraph,List Paragraph Char Char Char,Indicator Text,Numbered Para 1,Bullet 1,Bullet Points,List Paragraph2,MAIN CONTENT,Normal numbered,List Paragraph1,Colorful List - Accent 11,Issue Action POC,3"/>
    <w:basedOn w:val="Normaali"/>
    <w:link w:val="LuettelokappaleChar"/>
    <w:uiPriority w:val="34"/>
    <w:qFormat/>
    <w:rsid w:val="00946283"/>
    <w:pPr>
      <w:ind w:left="720"/>
      <w:contextualSpacing/>
    </w:pPr>
  </w:style>
  <w:style w:type="character" w:customStyle="1" w:styleId="LuettelokappaleChar">
    <w:name w:val="Luettelokappale Char"/>
    <w:aliases w:val="References Char,Dot pt Char,F5 List Paragraph Char,List Paragraph Char Char Char Char,Indicator Text Char,Numbered Para 1 Char,Bullet 1 Char,Bullet Points Char,List Paragraph2 Char,MAIN CONTENT Char,Normal numbered Char,3 Char"/>
    <w:link w:val="Luettelokappale"/>
    <w:uiPriority w:val="34"/>
    <w:locked/>
    <w:rsid w:val="00946283"/>
    <w:rPr>
      <w:rFonts w:ascii="Times New Roman" w:eastAsia="Times New Roman" w:hAnsi="Times New Roman" w:cs="Times New Roman"/>
      <w:sz w:val="24"/>
      <w:szCs w:val="24"/>
      <w:lang w:val="en-US"/>
    </w:rPr>
  </w:style>
  <w:style w:type="paragraph" w:styleId="Yltunniste">
    <w:name w:val="header"/>
    <w:basedOn w:val="Normaali"/>
    <w:link w:val="YltunnisteChar"/>
    <w:uiPriority w:val="99"/>
    <w:unhideWhenUsed/>
    <w:rsid w:val="000F56A7"/>
    <w:pPr>
      <w:tabs>
        <w:tab w:val="center" w:pos="4819"/>
        <w:tab w:val="right" w:pos="9638"/>
      </w:tabs>
    </w:pPr>
  </w:style>
  <w:style w:type="character" w:customStyle="1" w:styleId="YltunnisteChar">
    <w:name w:val="Ylätunniste Char"/>
    <w:basedOn w:val="Kappaleenoletusfontti"/>
    <w:link w:val="Yltunniste"/>
    <w:uiPriority w:val="99"/>
    <w:rsid w:val="000F56A7"/>
    <w:rPr>
      <w:rFonts w:ascii="Times New Roman" w:eastAsia="Times New Roman" w:hAnsi="Times New Roman" w:cs="Times New Roman"/>
      <w:sz w:val="24"/>
      <w:szCs w:val="24"/>
      <w:lang w:val="en-US"/>
    </w:rPr>
  </w:style>
  <w:style w:type="paragraph" w:styleId="Alatunniste">
    <w:name w:val="footer"/>
    <w:basedOn w:val="Normaali"/>
    <w:link w:val="AlatunnisteChar"/>
    <w:uiPriority w:val="99"/>
    <w:unhideWhenUsed/>
    <w:rsid w:val="000F56A7"/>
    <w:pPr>
      <w:tabs>
        <w:tab w:val="center" w:pos="4819"/>
        <w:tab w:val="right" w:pos="9638"/>
      </w:tabs>
    </w:pPr>
  </w:style>
  <w:style w:type="character" w:customStyle="1" w:styleId="AlatunnisteChar">
    <w:name w:val="Alatunniste Char"/>
    <w:basedOn w:val="Kappaleenoletusfontti"/>
    <w:link w:val="Alatunniste"/>
    <w:uiPriority w:val="99"/>
    <w:rsid w:val="000F56A7"/>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ilysignal.com/2020/08/03/transitioning-procedures-dont-help-mental-health-largest-data-%20set-show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ajp.psychiatryonline.org/doi/10.1176/appi.ajp.2019.1901008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genderidentitywatch.files.wordpress.com/2014/06/paul-mchugh_-transgender-surgery-isnt-the-solution-wsj.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1aae2dfcf38eb3d4f769327b9f8ce2e5">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83be24ca81d3dd6e9270b5b0a69b2c74"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Individuals</Category>
    <Doctype xmlns="d42e65b2-cf21-49c1-b27d-d23f90380c0e">input</Doctype>
    <Contributor xmlns="d42e65b2-cf21-49c1-b27d-d23f90380c0e">Outi Mäki </Contributor>
  </documentManagement>
</p:properties>
</file>

<file path=customXml/itemProps1.xml><?xml version="1.0" encoding="utf-8"?>
<ds:datastoreItem xmlns:ds="http://schemas.openxmlformats.org/officeDocument/2006/customXml" ds:itemID="{74323B35-CC42-4773-8E8A-49E7DF95C592}"/>
</file>

<file path=customXml/itemProps2.xml><?xml version="1.0" encoding="utf-8"?>
<ds:datastoreItem xmlns:ds="http://schemas.openxmlformats.org/officeDocument/2006/customXml" ds:itemID="{4164BBBF-13D7-4D54-A8D0-91F62C209611}"/>
</file>

<file path=customXml/itemProps3.xml><?xml version="1.0" encoding="utf-8"?>
<ds:datastoreItem xmlns:ds="http://schemas.openxmlformats.org/officeDocument/2006/customXml" ds:itemID="{72726DF3-A0DF-416F-982D-AE4830B4F8A1}"/>
</file>

<file path=docProps/app.xml><?xml version="1.0" encoding="utf-8"?>
<Properties xmlns="http://schemas.openxmlformats.org/officeDocument/2006/extended-properties" xmlns:vt="http://schemas.openxmlformats.org/officeDocument/2006/docPropsVTypes">
  <Template>Normal</Template>
  <TotalTime>27</TotalTime>
  <Pages>6</Pages>
  <Words>1278</Words>
  <Characters>10356</Characters>
  <Application>Microsoft Office Word</Application>
  <DocSecurity>0</DocSecurity>
  <Lines>86</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Outi Mäki</dc:creator>
  <cp:keywords/>
  <dc:description/>
  <cp:lastModifiedBy>Outi Mäki</cp:lastModifiedBy>
  <cp:revision>2</cp:revision>
  <dcterms:created xsi:type="dcterms:W3CDTF">2021-03-14T20:53:00Z</dcterms:created>
  <dcterms:modified xsi:type="dcterms:W3CDTF">2021-03-14T21:25:00Z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