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892EE" w14:textId="2E9C0714" w:rsidR="0076011A" w:rsidRDefault="0076011A" w:rsidP="004F6516">
      <w:pPr>
        <w:pStyle w:val="Heading2"/>
      </w:pPr>
      <w:r>
        <w:t>Introduction</w:t>
      </w:r>
    </w:p>
    <w:p w14:paraId="2433903B" w14:textId="775484C6" w:rsidR="00821967" w:rsidRDefault="0076011A">
      <w:r>
        <w:t>This is a response to the call for evidence by the</w:t>
      </w:r>
      <w:r w:rsidR="00705386">
        <w:t xml:space="preserve"> United Nation’s</w:t>
      </w:r>
      <w:r>
        <w:t xml:space="preserve"> </w:t>
      </w:r>
      <w:r w:rsidR="00705386">
        <w:t>Independent Expert on Sexual Orientation and Gender Identity</w:t>
      </w:r>
      <w:r>
        <w:t>.</w:t>
      </w:r>
    </w:p>
    <w:p w14:paraId="2D93E7FE" w14:textId="346DE793" w:rsidR="0076011A" w:rsidRDefault="0076011A">
      <w:r>
        <w:t>TransActual are a community interest company</w:t>
      </w:r>
      <w:r w:rsidR="00DF7920">
        <w:rPr>
          <w:rStyle w:val="FootnoteReference"/>
        </w:rPr>
        <w:t>[</w:t>
      </w:r>
      <w:r w:rsidR="00DF7920">
        <w:rPr>
          <w:rStyle w:val="FootnoteReference"/>
        </w:rPr>
        <w:footnoteReference w:id="1"/>
      </w:r>
      <w:r w:rsidR="00DF7920">
        <w:rPr>
          <w:rStyle w:val="FootnoteReference"/>
        </w:rPr>
        <w:t>]</w:t>
      </w:r>
      <w:r w:rsidR="00C94344">
        <w:t xml:space="preserve"> working across the UK</w:t>
      </w:r>
      <w:r>
        <w:t xml:space="preserve">, founded in late 2018, and formally incorporated in July 2020. Our aims are to educate wider society on the issues facing trans and non-binary people in the UK, as well as to empower trans and non-binary people to overcome them. We have rapidly become one of the </w:t>
      </w:r>
      <w:r w:rsidR="00C94344">
        <w:t xml:space="preserve">UK’s </w:t>
      </w:r>
      <w:r>
        <w:t xml:space="preserve">leading voices in this </w:t>
      </w:r>
      <w:r w:rsidR="00A004F1">
        <w:t>sector</w:t>
      </w:r>
      <w:r>
        <w:t xml:space="preserve"> and have good, solid working relationships with other leading organisations in the LGBT+ sector.</w:t>
      </w:r>
      <w:r w:rsidR="00234A67">
        <w:t xml:space="preserve"> We are grateful to those other organisations which have co-signed this submission.</w:t>
      </w:r>
    </w:p>
    <w:p w14:paraId="22631B5E" w14:textId="4F825F77" w:rsidR="0076011A" w:rsidRDefault="0076011A">
      <w:r>
        <w:t>The Independent Expert has asked a number of specific questions, but we think it is helpful first to give an overview of the current situation facing trans people in the UK</w:t>
      </w:r>
      <w:r w:rsidR="00A004F1">
        <w:t xml:space="preserve"> and how we got there</w:t>
      </w:r>
      <w:r>
        <w:t>.</w:t>
      </w:r>
      <w:r w:rsidR="00234A67">
        <w:t xml:space="preserve"> For a more detailed, academic analysis, we recommend reading TERF Wars</w:t>
      </w:r>
      <w:r w:rsidR="00DF7920">
        <w:rPr>
          <w:rStyle w:val="FootnoteReference"/>
        </w:rPr>
        <w:t>[</w:t>
      </w:r>
      <w:r w:rsidR="00DF7920">
        <w:rPr>
          <w:rStyle w:val="FootnoteReference"/>
        </w:rPr>
        <w:footnoteReference w:id="2"/>
      </w:r>
      <w:r w:rsidR="00DF7920">
        <w:rPr>
          <w:rStyle w:val="FootnoteReference"/>
        </w:rPr>
        <w:t>]</w:t>
      </w:r>
      <w:r w:rsidR="00234A67">
        <w:t>, specifically the introduction and the chapters by Prof Sally Hines and Cristan Williams.</w:t>
      </w:r>
    </w:p>
    <w:p w14:paraId="41D24562" w14:textId="2BBF6933" w:rsidR="005F4F61" w:rsidRDefault="005F4F61">
      <w:r>
        <w:t>We would also caution against adopting a Westernised view which might be best described as LGBT assimilation into a heteronormative society as the ultimate signifier of progress</w:t>
      </w:r>
      <w:r w:rsidR="00DF7920">
        <w:rPr>
          <w:rStyle w:val="FootnoteReference"/>
        </w:rPr>
        <w:t>[</w:t>
      </w:r>
      <w:r w:rsidR="00DF7920">
        <w:rPr>
          <w:rStyle w:val="FootnoteReference"/>
        </w:rPr>
        <w:footnoteReference w:id="3"/>
      </w:r>
      <w:r w:rsidR="00DF7920">
        <w:rPr>
          <w:rStyle w:val="FootnoteReference"/>
        </w:rPr>
        <w:t>]</w:t>
      </w:r>
      <w:r>
        <w:t>. While it is important that LGBT people are not excluded from societies simply by virtue of being LGBT, meaning that</w:t>
      </w:r>
      <w:r w:rsidR="00DD1E92">
        <w:t>, for example,</w:t>
      </w:r>
      <w:r>
        <w:t xml:space="preserve"> states must recognise relationships between and parenthood of or by LGBT people as equal in terms of respect and law to those experienced by other people, there needs to be respect and equality given to social structures developed within other cultures.</w:t>
      </w:r>
    </w:p>
    <w:p w14:paraId="106D8965" w14:textId="226D6649" w:rsidR="00CA5509" w:rsidRDefault="00CA5509"/>
    <w:p w14:paraId="59F9B969" w14:textId="77777777" w:rsidR="00CA5509" w:rsidRDefault="00CA5509"/>
    <w:p w14:paraId="5A263DDA" w14:textId="17106791" w:rsidR="0076011A" w:rsidRPr="004F6516" w:rsidRDefault="0076011A" w:rsidP="004F6516">
      <w:pPr>
        <w:pStyle w:val="Heading2"/>
      </w:pPr>
      <w:r w:rsidRPr="004F6516">
        <w:t>Background</w:t>
      </w:r>
    </w:p>
    <w:p w14:paraId="6B61D57A" w14:textId="46350190" w:rsidR="0076011A" w:rsidRDefault="0076011A">
      <w:r>
        <w:t>The UK was one of the last European countries</w:t>
      </w:r>
      <w:r w:rsidR="00DF7920">
        <w:rPr>
          <w:rStyle w:val="FootnoteReference"/>
        </w:rPr>
        <w:t>[</w:t>
      </w:r>
      <w:r w:rsidR="00DF7920">
        <w:rPr>
          <w:rStyle w:val="FootnoteReference"/>
        </w:rPr>
        <w:footnoteReference w:id="4"/>
      </w:r>
      <w:r w:rsidR="00DF7920">
        <w:rPr>
          <w:rStyle w:val="FootnoteReference"/>
        </w:rPr>
        <w:t>]</w:t>
      </w:r>
      <w:r>
        <w:t xml:space="preserve"> to enact legislation enabling trans people to be recognised legally in their lived</w:t>
      </w:r>
      <w:r w:rsidR="00827672">
        <w:t>-</w:t>
      </w:r>
      <w:r>
        <w:t>in sex. While there were shortcomings identified in the Gender Recognition Act 2004</w:t>
      </w:r>
      <w:r w:rsidR="00DF7920">
        <w:rPr>
          <w:rStyle w:val="FootnoteReference"/>
        </w:rPr>
        <w:t>[</w:t>
      </w:r>
      <w:r w:rsidR="00DF7920">
        <w:rPr>
          <w:rStyle w:val="FootnoteReference"/>
        </w:rPr>
        <w:footnoteReference w:id="5"/>
      </w:r>
      <w:r w:rsidR="00DF7920">
        <w:rPr>
          <w:rStyle w:val="FootnoteReference"/>
        </w:rPr>
        <w:t>]</w:t>
      </w:r>
      <w:r w:rsidR="00234A67">
        <w:t xml:space="preserve"> at the time it was enacted</w:t>
      </w:r>
      <w:r>
        <w:t>, such as the prohibition on marriages continuing post gender recognition, the legislation was generally seen as one of the most progressive in Europe at the time – mainly because it did not require surgeries</w:t>
      </w:r>
      <w:r w:rsidR="00DF7920">
        <w:rPr>
          <w:rStyle w:val="FootnoteReference"/>
        </w:rPr>
        <w:t>[</w:t>
      </w:r>
      <w:r w:rsidR="00DF7920">
        <w:rPr>
          <w:rStyle w:val="FootnoteReference"/>
        </w:rPr>
        <w:footnoteReference w:id="6"/>
      </w:r>
      <w:r w:rsidR="00DF7920">
        <w:rPr>
          <w:rStyle w:val="FootnoteReference"/>
        </w:rPr>
        <w:t>]</w:t>
      </w:r>
      <w:r>
        <w:t xml:space="preserve"> which trans men found incredibly invasive and risky.</w:t>
      </w:r>
    </w:p>
    <w:p w14:paraId="18BAC2F5" w14:textId="7019B70B" w:rsidR="00FE6755" w:rsidRDefault="00FE6755">
      <w:r>
        <w:t>The Equality Act 2010</w:t>
      </w:r>
      <w:r w:rsidR="00DF7920">
        <w:rPr>
          <w:rStyle w:val="FootnoteReference"/>
        </w:rPr>
        <w:t>[</w:t>
      </w:r>
      <w:r w:rsidR="00DF7920">
        <w:rPr>
          <w:rStyle w:val="FootnoteReference"/>
        </w:rPr>
        <w:footnoteReference w:id="7"/>
      </w:r>
      <w:r w:rsidR="00DF7920">
        <w:rPr>
          <w:rStyle w:val="FootnoteReference"/>
        </w:rPr>
        <w:t>]</w:t>
      </w:r>
      <w:r>
        <w:t xml:space="preserve"> drew together existing strands of equalities legislation and provided a common basis for </w:t>
      </w:r>
      <w:r w:rsidR="00AA289A">
        <w:t>9</w:t>
      </w:r>
      <w:r>
        <w:t xml:space="preserve"> protected characteristics</w:t>
      </w:r>
      <w:r w:rsidR="00DF7920">
        <w:rPr>
          <w:rStyle w:val="FootnoteReference"/>
        </w:rPr>
        <w:t>[</w:t>
      </w:r>
      <w:r w:rsidR="00DF7920">
        <w:rPr>
          <w:rStyle w:val="FootnoteReference"/>
        </w:rPr>
        <w:footnoteReference w:id="8"/>
      </w:r>
      <w:r w:rsidR="00DF7920">
        <w:rPr>
          <w:rStyle w:val="FootnoteReference"/>
        </w:rPr>
        <w:t>]</w:t>
      </w:r>
      <w:r w:rsidR="00AA289A">
        <w:t xml:space="preserve"> (</w:t>
      </w:r>
      <w:r>
        <w:t>including</w:t>
      </w:r>
      <w:r w:rsidR="00AA289A">
        <w:t xml:space="preserve"> but not restricted to</w:t>
      </w:r>
      <w:r>
        <w:t xml:space="preserve"> sex, sexuality and gender reassignment) as well as introducing </w:t>
      </w:r>
      <w:r w:rsidR="00AA289A">
        <w:t>protections for discrimination by perception, implicit discrimination and discrimination by association. Trans people had been protected from discrimination in employment since 1999</w:t>
      </w:r>
      <w:r w:rsidR="00DF7920">
        <w:rPr>
          <w:rStyle w:val="FootnoteReference"/>
        </w:rPr>
        <w:t>[</w:t>
      </w:r>
      <w:r w:rsidR="00DF7920">
        <w:rPr>
          <w:rStyle w:val="FootnoteReference"/>
        </w:rPr>
        <w:footnoteReference w:id="9"/>
      </w:r>
      <w:r w:rsidR="00DF7920">
        <w:rPr>
          <w:rStyle w:val="FootnoteReference"/>
        </w:rPr>
        <w:t>]</w:t>
      </w:r>
      <w:r w:rsidR="00AA289A">
        <w:t xml:space="preserve">, and from </w:t>
      </w:r>
      <w:r w:rsidR="00722060">
        <w:t>harassment by employers since 1997</w:t>
      </w:r>
      <w:r w:rsidR="00AA289A">
        <w:t>.</w:t>
      </w:r>
    </w:p>
    <w:p w14:paraId="30B3D83A" w14:textId="7B86F361" w:rsidR="00AA289A" w:rsidRDefault="0076011A">
      <w:r>
        <w:t>In 2013 the UK’s Parliament passed the Marriage (Same Sex Couples) Act</w:t>
      </w:r>
      <w:r w:rsidR="00DF7920">
        <w:rPr>
          <w:rStyle w:val="FootnoteReference"/>
        </w:rPr>
        <w:t>[</w:t>
      </w:r>
      <w:r w:rsidR="00DF7920">
        <w:rPr>
          <w:rStyle w:val="FootnoteReference"/>
        </w:rPr>
        <w:footnoteReference w:id="10"/>
      </w:r>
      <w:r w:rsidR="00DF7920">
        <w:rPr>
          <w:rStyle w:val="FootnoteReference"/>
        </w:rPr>
        <w:t>]</w:t>
      </w:r>
      <w:r>
        <w:t>, which removed the requirement for divorce in couples where one spouse was seeking legal gender recognition. Instead a concept</w:t>
      </w:r>
      <w:r w:rsidR="0021788E">
        <w:t xml:space="preserve"> of spousal consent</w:t>
      </w:r>
      <w:r>
        <w:t xml:space="preserve">, </w:t>
      </w:r>
      <w:r w:rsidR="00F52D24">
        <w:lastRenderedPageBreak/>
        <w:t>until then only</w:t>
      </w:r>
      <w:r>
        <w:t xml:space="preserve"> required</w:t>
      </w:r>
      <w:r w:rsidR="00F52D24">
        <w:t xml:space="preserve"> by</w:t>
      </w:r>
      <w:r>
        <w:t xml:space="preserve"> one rarely used and arcane process for changing names</w:t>
      </w:r>
      <w:r w:rsidR="00DF7920">
        <w:rPr>
          <w:rStyle w:val="FootnoteReference"/>
        </w:rPr>
        <w:t>[</w:t>
      </w:r>
      <w:r w:rsidR="00DF7920">
        <w:rPr>
          <w:rStyle w:val="FootnoteReference"/>
        </w:rPr>
        <w:footnoteReference w:id="11"/>
      </w:r>
      <w:r w:rsidR="00DF7920">
        <w:rPr>
          <w:rStyle w:val="FootnoteReference"/>
        </w:rPr>
        <w:t>]</w:t>
      </w:r>
      <w:r w:rsidR="00F52D24">
        <w:t>, was introduced specifically for these couples</w:t>
      </w:r>
      <w:r w:rsidR="00DF7920">
        <w:rPr>
          <w:rStyle w:val="FootnoteReference"/>
        </w:rPr>
        <w:t>[</w:t>
      </w:r>
      <w:r w:rsidR="00DF7920">
        <w:rPr>
          <w:rStyle w:val="FootnoteReference"/>
        </w:rPr>
        <w:footnoteReference w:id="12"/>
      </w:r>
      <w:r w:rsidR="00DF7920">
        <w:rPr>
          <w:rStyle w:val="FootnoteReference"/>
        </w:rPr>
        <w:t>]</w:t>
      </w:r>
      <w:r w:rsidR="00F52D24">
        <w:t>. This was rapidly named spousal veto by campaigners, as it placed the ability for a spouse, whether supportive or hostile, to block legal gender recognition</w:t>
      </w:r>
      <w:r w:rsidR="00DF7920">
        <w:rPr>
          <w:rStyle w:val="FootnoteReference"/>
        </w:rPr>
        <w:t>[</w:t>
      </w:r>
      <w:r w:rsidR="00DF7920">
        <w:rPr>
          <w:rStyle w:val="FootnoteReference"/>
        </w:rPr>
        <w:footnoteReference w:id="13"/>
      </w:r>
      <w:r w:rsidR="00DF7920">
        <w:rPr>
          <w:rStyle w:val="FootnoteReference"/>
        </w:rPr>
        <w:t>]</w:t>
      </w:r>
      <w:r w:rsidR="00F52D24">
        <w:t>.</w:t>
      </w:r>
      <w:r w:rsidR="00A70714">
        <w:t xml:space="preserve"> This Act only applied in England and Wales. Scotland passed their own Act in 2014</w:t>
      </w:r>
      <w:r w:rsidR="00DF7920">
        <w:rPr>
          <w:rStyle w:val="FootnoteReference"/>
        </w:rPr>
        <w:t>[</w:t>
      </w:r>
      <w:r w:rsidR="00DF7920">
        <w:rPr>
          <w:rStyle w:val="FootnoteReference"/>
        </w:rPr>
        <w:footnoteReference w:id="14"/>
      </w:r>
      <w:r w:rsidR="00DF7920">
        <w:rPr>
          <w:rStyle w:val="FootnoteReference"/>
        </w:rPr>
        <w:t>]</w:t>
      </w:r>
      <w:r w:rsidR="00A70714">
        <w:t>, while same sex marriage wasn’t enabled in Northern Ireland until 2020</w:t>
      </w:r>
      <w:r w:rsidR="00DF7920">
        <w:rPr>
          <w:rStyle w:val="FootnoteReference"/>
        </w:rPr>
        <w:t>[</w:t>
      </w:r>
      <w:r w:rsidR="00DF7920">
        <w:rPr>
          <w:rStyle w:val="FootnoteReference"/>
        </w:rPr>
        <w:footnoteReference w:id="15"/>
      </w:r>
      <w:r w:rsidR="00DF7920">
        <w:rPr>
          <w:rStyle w:val="FootnoteReference"/>
        </w:rPr>
        <w:t>][</w:t>
      </w:r>
      <w:r w:rsidR="00DF7920">
        <w:rPr>
          <w:rStyle w:val="FootnoteReference"/>
        </w:rPr>
        <w:footnoteReference w:id="16"/>
      </w:r>
      <w:r w:rsidR="00DF7920">
        <w:rPr>
          <w:rStyle w:val="FootnoteReference"/>
        </w:rPr>
        <w:t>]</w:t>
      </w:r>
      <w:r w:rsidR="00A70714">
        <w:t>.</w:t>
      </w:r>
    </w:p>
    <w:p w14:paraId="58534F09" w14:textId="3EA847EC" w:rsidR="0076011A" w:rsidRDefault="00F52D24">
      <w:r>
        <w:t>Out of 7 demands made by trans people at the time – including equal pension rights, removal of spousal veto, removal of other specific discrimination in marriage laws – Government only conceded on 1, equal pension rights for spouses</w:t>
      </w:r>
      <w:r w:rsidR="00DF7920">
        <w:rPr>
          <w:rStyle w:val="FootnoteReference"/>
        </w:rPr>
        <w:t>[</w:t>
      </w:r>
      <w:r w:rsidR="00DF7920">
        <w:rPr>
          <w:rStyle w:val="FootnoteReference"/>
        </w:rPr>
        <w:footnoteReference w:id="17"/>
      </w:r>
      <w:r w:rsidR="00DF7920">
        <w:rPr>
          <w:rStyle w:val="FootnoteReference"/>
        </w:rPr>
        <w:t>]</w:t>
      </w:r>
      <w:r>
        <w:t xml:space="preserve"> of trans people, and then proceeded not to fully implement it.</w:t>
      </w:r>
    </w:p>
    <w:p w14:paraId="42AD878C" w14:textId="6BB5D009" w:rsidR="00B017F8" w:rsidRDefault="00B017F8" w:rsidP="0010187B">
      <w:pPr>
        <w:pStyle w:val="Heading3"/>
      </w:pPr>
      <w:r>
        <w:t>Media Coverage pre</w:t>
      </w:r>
      <w:r w:rsidR="0021788E">
        <w:t>-</w:t>
      </w:r>
      <w:r>
        <w:t>2015</w:t>
      </w:r>
    </w:p>
    <w:p w14:paraId="07FBF951" w14:textId="4B1A153C" w:rsidR="00F52D24" w:rsidRDefault="00F52D24">
      <w:r>
        <w:t>Around the same time, trans people were expressing increased concern around the bias inherent within media coverage.</w:t>
      </w:r>
    </w:p>
    <w:p w14:paraId="5F8920C7" w14:textId="68985856" w:rsidR="00F52D24" w:rsidRDefault="00F52D24">
      <w:r>
        <w:t>While broadcast coverage was rare, broadcasters tended to treat trans people as exotic creatures, in much the same way as a nature documentary, or reduce trans people’s experiences to a stereotypical surgical journey. Trans men, non-binary people and intersex people were almost completely invisible.</w:t>
      </w:r>
    </w:p>
    <w:p w14:paraId="44600506" w14:textId="2D40E663" w:rsidR="00F52D24" w:rsidRDefault="00F52D24">
      <w:r>
        <w:t>The mainstream press tended to cover trans issues in a small number of standard tropes – where trans people were presented as deviant and therefore undeserving, or as comedic</w:t>
      </w:r>
      <w:r w:rsidR="00260F21">
        <w:t>. There</w:t>
      </w:r>
      <w:r>
        <w:t xml:space="preserve"> was a reduction to stereotype and an association with criminality. This was </w:t>
      </w:r>
      <w:r w:rsidR="0021788E">
        <w:t>highlighted</w:t>
      </w:r>
      <w:r>
        <w:t xml:space="preserve"> in oral evidence by Trans Media Watch to the Leveson Inquiry into Press Standards and Ethics at the start of 2012</w:t>
      </w:r>
      <w:r w:rsidR="00DF7920">
        <w:rPr>
          <w:rStyle w:val="FootnoteReference"/>
        </w:rPr>
        <w:t>[</w:t>
      </w:r>
      <w:r w:rsidR="00DF7920">
        <w:rPr>
          <w:rStyle w:val="FootnoteReference"/>
        </w:rPr>
        <w:footnoteReference w:id="18"/>
      </w:r>
      <w:r w:rsidR="00DF7920">
        <w:rPr>
          <w:rStyle w:val="FootnoteReference"/>
        </w:rPr>
        <w:t>]</w:t>
      </w:r>
      <w:r>
        <w:t>.</w:t>
      </w:r>
    </w:p>
    <w:p w14:paraId="1EDCE11B" w14:textId="7D595B66" w:rsidR="00F52D24" w:rsidRDefault="00F52D24">
      <w:r>
        <w:t>Lord Justice Leveson’s report added another category to the press reporting described by Trans Media Watch – that of unnecessary outings – and urged the press to radically improve</w:t>
      </w:r>
      <w:r w:rsidR="00DF7920">
        <w:rPr>
          <w:rStyle w:val="FootnoteReference"/>
        </w:rPr>
        <w:t>[</w:t>
      </w:r>
      <w:r w:rsidR="00DF7920">
        <w:rPr>
          <w:rStyle w:val="FootnoteReference"/>
        </w:rPr>
        <w:footnoteReference w:id="19"/>
      </w:r>
      <w:r w:rsidR="00DF7920">
        <w:rPr>
          <w:rStyle w:val="FootnoteReference"/>
        </w:rPr>
        <w:t>]</w:t>
      </w:r>
      <w:r>
        <w:t>. Despite this, the press did not change their ways until the spring of 2013 after Lucy Meadows, a newly transitioned primary school teacher, had taken her own life after significant harassment by the press</w:t>
      </w:r>
      <w:r w:rsidR="00DF7920">
        <w:rPr>
          <w:rStyle w:val="FootnoteReference"/>
        </w:rPr>
        <w:t>[</w:t>
      </w:r>
      <w:r w:rsidR="00DF7920">
        <w:rPr>
          <w:rStyle w:val="FootnoteReference"/>
        </w:rPr>
        <w:footnoteReference w:id="20"/>
      </w:r>
      <w:r w:rsidR="00DF7920">
        <w:rPr>
          <w:rStyle w:val="FootnoteReference"/>
        </w:rPr>
        <w:t>]</w:t>
      </w:r>
      <w:r>
        <w:t>.</w:t>
      </w:r>
    </w:p>
    <w:p w14:paraId="0531C8FC" w14:textId="3D0303F4" w:rsidR="00F52D24" w:rsidRPr="00B017F8" w:rsidRDefault="00F52D24" w:rsidP="00B017F8">
      <w:r>
        <w:t xml:space="preserve">When the press resumed reporting on trans issues a year or so later, they did so using what they called supportive outings. </w:t>
      </w:r>
      <w:r w:rsidR="00B017F8">
        <w:t>This coincided with some celebrities, including Caitlin Jenner</w:t>
      </w:r>
      <w:r w:rsidR="00DF7920">
        <w:rPr>
          <w:rStyle w:val="FootnoteReference"/>
        </w:rPr>
        <w:t>[</w:t>
      </w:r>
      <w:r w:rsidR="00DF7920">
        <w:rPr>
          <w:rStyle w:val="FootnoteReference"/>
        </w:rPr>
        <w:footnoteReference w:id="21"/>
      </w:r>
      <w:r w:rsidR="00DF7920">
        <w:rPr>
          <w:rStyle w:val="FootnoteReference"/>
        </w:rPr>
        <w:t>]</w:t>
      </w:r>
      <w:r w:rsidR="00B017F8">
        <w:t xml:space="preserve"> and Kellie </w:t>
      </w:r>
      <w:r w:rsidR="00B017F8" w:rsidRPr="00B017F8">
        <w:t>Maloney</w:t>
      </w:r>
      <w:r w:rsidR="00DF7920">
        <w:rPr>
          <w:rStyle w:val="FootnoteReference"/>
        </w:rPr>
        <w:t>[</w:t>
      </w:r>
      <w:r w:rsidR="00DF7920">
        <w:rPr>
          <w:rStyle w:val="FootnoteReference"/>
        </w:rPr>
        <w:footnoteReference w:id="22"/>
      </w:r>
      <w:r w:rsidR="00DF7920">
        <w:rPr>
          <w:rStyle w:val="FootnoteReference"/>
        </w:rPr>
        <w:t>]</w:t>
      </w:r>
      <w:r w:rsidR="00B017F8" w:rsidRPr="00B017F8">
        <w:t xml:space="preserve"> announcing they were trans.</w:t>
      </w:r>
    </w:p>
    <w:p w14:paraId="02A5BA12" w14:textId="335796F6" w:rsidR="00B017F8" w:rsidRDefault="00B017F8" w:rsidP="0010187B">
      <w:pPr>
        <w:pStyle w:val="Heading3"/>
      </w:pPr>
      <w:r>
        <w:t>Political Asks and Responses</w:t>
      </w:r>
    </w:p>
    <w:p w14:paraId="47BBEB48" w14:textId="533D28B0" w:rsidR="00B017F8" w:rsidRDefault="00B017F8" w:rsidP="00B017F8">
      <w:pPr>
        <w:rPr>
          <w:rFonts w:eastAsia="Times New Roman"/>
          <w:color w:val="333333"/>
          <w:lang w:eastAsia="en-GB"/>
        </w:rPr>
      </w:pPr>
      <w:r w:rsidRPr="00B017F8">
        <w:t>During 2014 a number of trans organisations came together to produce a trans manifesto which they asked candidates at the 2015 General Election</w:t>
      </w:r>
      <w:r w:rsidR="00DF7920">
        <w:rPr>
          <w:rStyle w:val="FootnoteReference"/>
        </w:rPr>
        <w:t>[</w:t>
      </w:r>
      <w:r w:rsidR="00DF7920">
        <w:rPr>
          <w:rStyle w:val="FootnoteReference"/>
        </w:rPr>
        <w:footnoteReference w:id="23"/>
      </w:r>
      <w:r w:rsidR="00DF7920">
        <w:rPr>
          <w:rStyle w:val="FootnoteReference"/>
        </w:rPr>
        <w:t>]</w:t>
      </w:r>
      <w:r w:rsidRPr="00B017F8">
        <w:t xml:space="preserve"> to sign up to. The manifesto had three broad asks, reflecting the needs of the trans communit</w:t>
      </w:r>
      <w:r w:rsidR="00C64D78">
        <w:t>ies</w:t>
      </w:r>
      <w:r w:rsidRPr="00B017F8">
        <w:t xml:space="preserve"> - </w:t>
      </w:r>
      <w:r>
        <w:rPr>
          <w:rFonts w:eastAsia="Times New Roman"/>
          <w:color w:val="333333"/>
          <w:lang w:eastAsia="en-GB"/>
        </w:rPr>
        <w:t>r</w:t>
      </w:r>
      <w:r w:rsidRPr="00B017F8">
        <w:rPr>
          <w:rFonts w:eastAsia="Times New Roman"/>
          <w:color w:val="333333"/>
          <w:lang w:eastAsia="en-GB"/>
        </w:rPr>
        <w:t>egard trans individuals as equal citizens with equal rights</w:t>
      </w:r>
      <w:r>
        <w:rPr>
          <w:rFonts w:eastAsia="Times New Roman"/>
          <w:color w:val="333333"/>
          <w:lang w:eastAsia="en-GB"/>
        </w:rPr>
        <w:t>; e</w:t>
      </w:r>
      <w:r w:rsidRPr="00B017F8">
        <w:rPr>
          <w:rFonts w:eastAsia="Times New Roman"/>
          <w:color w:val="333333"/>
          <w:lang w:eastAsia="en-GB"/>
        </w:rPr>
        <w:t>mpower trans individuals to be authorities on all aspects of their own lives</w:t>
      </w:r>
      <w:r>
        <w:rPr>
          <w:rFonts w:eastAsia="Times New Roman"/>
          <w:color w:val="333333"/>
          <w:lang w:eastAsia="en-GB"/>
        </w:rPr>
        <w:t>;</w:t>
      </w:r>
      <w:r w:rsidRPr="00B017F8">
        <w:rPr>
          <w:rFonts w:eastAsia="Times New Roman"/>
          <w:color w:val="333333"/>
          <w:lang w:eastAsia="en-GB"/>
        </w:rPr>
        <w:t xml:space="preserve"> and</w:t>
      </w:r>
      <w:r>
        <w:rPr>
          <w:rFonts w:eastAsia="Times New Roman"/>
          <w:color w:val="333333"/>
          <w:lang w:eastAsia="en-GB"/>
        </w:rPr>
        <w:t xml:space="preserve"> e</w:t>
      </w:r>
      <w:r w:rsidRPr="00B017F8">
        <w:rPr>
          <w:rFonts w:eastAsia="Times New Roman"/>
          <w:color w:val="333333"/>
          <w:lang w:eastAsia="en-GB"/>
        </w:rPr>
        <w:t>ncourage diverse, representative, realistic and positive portrayals of trans individuals.</w:t>
      </w:r>
      <w:r>
        <w:rPr>
          <w:rFonts w:eastAsia="Times New Roman"/>
          <w:color w:val="333333"/>
          <w:lang w:eastAsia="en-GB"/>
        </w:rPr>
        <w:t xml:space="preserve"> A number of people subsequently elected as MPs signed this pledge.</w:t>
      </w:r>
    </w:p>
    <w:p w14:paraId="659233E6" w14:textId="568496B9" w:rsidR="00B017F8" w:rsidRDefault="00B017F8" w:rsidP="00B017F8">
      <w:pPr>
        <w:rPr>
          <w:rFonts w:eastAsia="Times New Roman"/>
          <w:color w:val="333333"/>
          <w:lang w:eastAsia="en-GB"/>
        </w:rPr>
      </w:pPr>
      <w:r>
        <w:rPr>
          <w:rFonts w:eastAsia="Times New Roman"/>
          <w:color w:val="333333"/>
          <w:lang w:eastAsia="en-GB"/>
        </w:rPr>
        <w:lastRenderedPageBreak/>
        <w:t>Following the 2015 General Election, the House of Commons created a new Select Committee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24"/>
      </w:r>
      <w:r w:rsidR="00DF7920">
        <w:rPr>
          <w:rStyle w:val="FootnoteReference"/>
          <w:rFonts w:eastAsia="Times New Roman"/>
          <w:color w:val="333333"/>
          <w:lang w:eastAsia="en-GB"/>
        </w:rPr>
        <w:t>]</w:t>
      </w:r>
      <w:r>
        <w:rPr>
          <w:rFonts w:eastAsia="Times New Roman"/>
          <w:color w:val="333333"/>
          <w:lang w:eastAsia="en-GB"/>
        </w:rPr>
        <w:t xml:space="preserve"> in order to hold the Secretary of State for Women and Equalities and the Government Equalities Office to account. The first inquiry they held was on the issues facing trans people. The subsequent report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25"/>
      </w:r>
      <w:r w:rsidR="00DF7920">
        <w:rPr>
          <w:rStyle w:val="FootnoteReference"/>
          <w:rFonts w:eastAsia="Times New Roman"/>
          <w:color w:val="333333"/>
          <w:lang w:eastAsia="en-GB"/>
        </w:rPr>
        <w:t>]</w:t>
      </w:r>
      <w:r>
        <w:rPr>
          <w:rFonts w:eastAsia="Times New Roman"/>
          <w:color w:val="333333"/>
          <w:lang w:eastAsia="en-GB"/>
        </w:rPr>
        <w:t xml:space="preserve"> highlighted a number of areas, including significantly improving access to transition-related healthcare and reforming the Gender Recognition Act, recognising that countries across the world had start</w:t>
      </w:r>
      <w:r w:rsidR="008C3C38">
        <w:rPr>
          <w:rFonts w:eastAsia="Times New Roman"/>
          <w:color w:val="333333"/>
          <w:lang w:eastAsia="en-GB"/>
        </w:rPr>
        <w:t>ed</w:t>
      </w:r>
      <w:r>
        <w:rPr>
          <w:rFonts w:eastAsia="Times New Roman"/>
          <w:color w:val="333333"/>
          <w:lang w:eastAsia="en-GB"/>
        </w:rPr>
        <w:t xml:space="preserve"> implementing self-declaration processes for legal gender recognition.</w:t>
      </w:r>
    </w:p>
    <w:p w14:paraId="45137455" w14:textId="63A4D73A" w:rsidR="00B017F8" w:rsidRDefault="00B017F8" w:rsidP="00B017F8">
      <w:pPr>
        <w:rPr>
          <w:rFonts w:eastAsia="Times New Roman"/>
          <w:color w:val="333333"/>
          <w:lang w:eastAsia="en-GB"/>
        </w:rPr>
      </w:pPr>
      <w:r>
        <w:rPr>
          <w:rFonts w:eastAsia="Times New Roman"/>
          <w:color w:val="333333"/>
          <w:lang w:eastAsia="en-GB"/>
        </w:rPr>
        <w:t>In the run up to the 2017 General Election, then Prime Minister Theresa May announced that any incoming Conservative Government would reform the Gender Recognition Act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26"/>
      </w:r>
      <w:r w:rsidR="00DF7920">
        <w:rPr>
          <w:rStyle w:val="FootnoteReference"/>
          <w:rFonts w:eastAsia="Times New Roman"/>
          <w:color w:val="333333"/>
          <w:lang w:eastAsia="en-GB"/>
        </w:rPr>
        <w:t>]</w:t>
      </w:r>
      <w:r>
        <w:rPr>
          <w:rFonts w:eastAsia="Times New Roman"/>
          <w:color w:val="333333"/>
          <w:lang w:eastAsia="en-GB"/>
        </w:rPr>
        <w:t>. However, the required public consultation took 15 months to launch</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27"/>
      </w:r>
      <w:r w:rsidR="00DF7920">
        <w:rPr>
          <w:rStyle w:val="FootnoteReference"/>
          <w:rFonts w:eastAsia="Times New Roman"/>
          <w:color w:val="333333"/>
          <w:lang w:eastAsia="en-GB"/>
        </w:rPr>
        <w:t>]</w:t>
      </w:r>
      <w:r>
        <w:rPr>
          <w:rFonts w:eastAsia="Times New Roman"/>
          <w:color w:val="333333"/>
          <w:lang w:eastAsia="en-GB"/>
        </w:rPr>
        <w:t>, and the</w:t>
      </w:r>
      <w:r w:rsidR="00E560AF">
        <w:rPr>
          <w:rFonts w:eastAsia="Times New Roman"/>
          <w:color w:val="333333"/>
          <w:lang w:eastAsia="en-GB"/>
        </w:rPr>
        <w:t xml:space="preserve"> UK</w:t>
      </w:r>
      <w:r>
        <w:rPr>
          <w:rFonts w:eastAsia="Times New Roman"/>
          <w:color w:val="333333"/>
          <w:lang w:eastAsia="en-GB"/>
        </w:rPr>
        <w:t xml:space="preserve"> Government did not report on this until almost 2 years after it closed, </w:t>
      </w:r>
      <w:r w:rsidR="008C3C38">
        <w:rPr>
          <w:rFonts w:eastAsia="Times New Roman"/>
          <w:color w:val="333333"/>
          <w:lang w:eastAsia="en-GB"/>
        </w:rPr>
        <w:t>something attributed to</w:t>
      </w:r>
      <w:r>
        <w:rPr>
          <w:rFonts w:eastAsia="Times New Roman"/>
          <w:color w:val="333333"/>
          <w:lang w:eastAsia="en-GB"/>
        </w:rPr>
        <w:t xml:space="preserve"> the procession of Secretaries of State for Women and Equalities (Justine Greening [2016-18], Amber Rudd [2018], Penny Mordaunt [2018-19], Amber Rudd [2019], Liz Truss [2019-]).</w:t>
      </w:r>
    </w:p>
    <w:p w14:paraId="28A3DD7C" w14:textId="7744135B" w:rsidR="00B017F8" w:rsidRDefault="00B017F8" w:rsidP="0010187B">
      <w:pPr>
        <w:pStyle w:val="Heading3"/>
      </w:pPr>
      <w:r>
        <w:t>Media Coverage post</w:t>
      </w:r>
      <w:r w:rsidR="0021788E">
        <w:t>-</w:t>
      </w:r>
      <w:r>
        <w:t>2015</w:t>
      </w:r>
    </w:p>
    <w:p w14:paraId="68568D5B" w14:textId="5194B209" w:rsidR="00B017F8" w:rsidRDefault="00260F21" w:rsidP="00B017F8">
      <w:pPr>
        <w:rPr>
          <w:rFonts w:eastAsia="Times New Roman"/>
          <w:color w:val="333333"/>
          <w:lang w:eastAsia="en-GB"/>
        </w:rPr>
      </w:pPr>
      <w:r>
        <w:rPr>
          <w:rFonts w:eastAsia="Times New Roman"/>
          <w:color w:val="333333"/>
          <w:lang w:eastAsia="en-GB"/>
        </w:rPr>
        <w:t>By</w:t>
      </w:r>
      <w:r w:rsidR="00832CD1">
        <w:rPr>
          <w:rFonts w:eastAsia="Times New Roman"/>
          <w:color w:val="333333"/>
          <w:lang w:eastAsia="en-GB"/>
        </w:rPr>
        <w:t xml:space="preserve"> the </w:t>
      </w:r>
      <w:r>
        <w:rPr>
          <w:rFonts w:eastAsia="Times New Roman"/>
          <w:color w:val="333333"/>
          <w:lang w:eastAsia="en-GB"/>
        </w:rPr>
        <w:t>beginning</w:t>
      </w:r>
      <w:r w:rsidR="00832CD1">
        <w:rPr>
          <w:rFonts w:eastAsia="Times New Roman"/>
          <w:color w:val="333333"/>
          <w:lang w:eastAsia="en-GB"/>
        </w:rPr>
        <w:t xml:space="preserve"> of 2016 the UK’s media had started to investigate some of the issues that trans people faced and seemed broadly sympathetic. It was in this environment, where progress on trans issues was largely assumed to be non-contentious</w:t>
      </w:r>
      <w:r w:rsidR="008C3C38">
        <w:rPr>
          <w:rFonts w:eastAsia="Times New Roman"/>
          <w:color w:val="333333"/>
          <w:lang w:eastAsia="en-GB"/>
        </w:rPr>
        <w:t xml:space="preserve"> and had cross-party support</w:t>
      </w:r>
      <w:r w:rsidR="00832CD1">
        <w:rPr>
          <w:rFonts w:eastAsia="Times New Roman"/>
          <w:color w:val="333333"/>
          <w:lang w:eastAsia="en-GB"/>
        </w:rPr>
        <w:t>, that Theresa May announced reform of the Gender Recognition Act</w:t>
      </w:r>
      <w:r w:rsidR="00C132ED">
        <w:rPr>
          <w:rFonts w:eastAsia="Times New Roman"/>
          <w:color w:val="333333"/>
          <w:lang w:eastAsia="en-GB"/>
        </w:rPr>
        <w:t xml:space="preserve"> (</w:t>
      </w:r>
      <w:r w:rsidR="00C132ED" w:rsidRPr="00C132ED">
        <w:rPr>
          <w:rFonts w:eastAsia="Times New Roman"/>
          <w:i/>
          <w:iCs/>
          <w:color w:val="333333"/>
          <w:lang w:eastAsia="en-GB"/>
        </w:rPr>
        <w:t>GRA reform</w:t>
      </w:r>
      <w:r w:rsidR="00C132ED">
        <w:rPr>
          <w:rFonts w:eastAsia="Times New Roman"/>
          <w:color w:val="333333"/>
          <w:lang w:eastAsia="en-GB"/>
        </w:rPr>
        <w: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28"/>
      </w:r>
      <w:r w:rsidR="00DF7920">
        <w:rPr>
          <w:rStyle w:val="FootnoteReference"/>
          <w:rFonts w:eastAsia="Times New Roman"/>
          <w:color w:val="333333"/>
          <w:lang w:eastAsia="en-GB"/>
        </w:rPr>
        <w:t>]</w:t>
      </w:r>
      <w:r w:rsidR="00832CD1">
        <w:rPr>
          <w:rFonts w:eastAsia="Times New Roman"/>
          <w:color w:val="333333"/>
          <w:lang w:eastAsia="en-GB"/>
        </w:rPr>
        <w:t>.</w:t>
      </w:r>
    </w:p>
    <w:p w14:paraId="481BD91A" w14:textId="7DC88A9B" w:rsidR="00832CD1" w:rsidRDefault="00832CD1" w:rsidP="00B017F8">
      <w:pPr>
        <w:rPr>
          <w:rFonts w:eastAsia="Times New Roman"/>
          <w:color w:val="333333"/>
          <w:lang w:eastAsia="en-GB"/>
        </w:rPr>
      </w:pPr>
      <w:r>
        <w:rPr>
          <w:rFonts w:eastAsia="Times New Roman"/>
          <w:color w:val="333333"/>
          <w:lang w:eastAsia="en-GB"/>
        </w:rPr>
        <w:t>However, there were already signs that those opposed to trans inclusion had become more active. This included the start of a debate in the UK press about whether trans women were “real women”</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29"/>
      </w:r>
      <w:r w:rsidR="00DF7920">
        <w:rPr>
          <w:rStyle w:val="FootnoteReference"/>
          <w:rFonts w:eastAsia="Times New Roman"/>
          <w:color w:val="333333"/>
          <w:lang w:eastAsia="en-GB"/>
        </w:rPr>
        <w:t>]</w:t>
      </w:r>
      <w:r>
        <w:rPr>
          <w:rFonts w:eastAsia="Times New Roman"/>
          <w:color w:val="333333"/>
          <w:lang w:eastAsia="en-GB"/>
        </w:rPr>
        <w:t xml:space="preserve"> – the implication being that they weren’t because they hadn’t experienced menstruation and sexual harassment. The Government’s announcement of their intention to reform the Gender Recognition Act gave significant impetus to such campaigns.</w:t>
      </w:r>
    </w:p>
    <w:p w14:paraId="3D757034" w14:textId="7B88D89E" w:rsidR="00832CD1" w:rsidRDefault="004F6516" w:rsidP="00B017F8">
      <w:pPr>
        <w:rPr>
          <w:rFonts w:eastAsia="Times New Roman"/>
          <w:color w:val="333333"/>
          <w:lang w:eastAsia="en-GB"/>
        </w:rPr>
      </w:pPr>
      <w:r>
        <w:rPr>
          <w:rFonts w:eastAsia="Times New Roman"/>
          <w:color w:val="333333"/>
          <w:lang w:eastAsia="en-GB"/>
        </w:rPr>
        <w:t>T</w:t>
      </w:r>
      <w:r w:rsidR="00832CD1">
        <w:rPr>
          <w:rFonts w:eastAsia="Times New Roman"/>
          <w:color w:val="333333"/>
          <w:lang w:eastAsia="en-GB"/>
        </w:rPr>
        <w:t>he idea that women were being silenced or erased, that biological sex was of the utmost importance, that equality rights pertained to biological sex only rather than expression of gender identity or any of the other aspects of womanhood – all these started to dominate media discussion of trans people</w:t>
      </w:r>
      <w:r w:rsidR="008C3C38">
        <w:rPr>
          <w:rFonts w:eastAsia="Times New Roman"/>
          <w:color w:val="333333"/>
          <w:lang w:eastAsia="en-GB"/>
        </w:rPr>
        <w:t>. Trans men, non-binary people and intersex people again rapidly became invisible in media discourse</w:t>
      </w:r>
      <w:r w:rsidR="00832CD1">
        <w:rPr>
          <w:rFonts w:eastAsia="Times New Roman"/>
          <w:color w:val="333333"/>
          <w:lang w:eastAsia="en-GB"/>
        </w:rPr>
        <w:t>.</w:t>
      </w:r>
    </w:p>
    <w:p w14:paraId="317AFF93" w14:textId="500D0029" w:rsidR="00832CD1" w:rsidRDefault="00832CD1" w:rsidP="00B017F8">
      <w:pPr>
        <w:rPr>
          <w:rFonts w:eastAsia="Times New Roman"/>
          <w:color w:val="333333"/>
          <w:lang w:eastAsia="en-GB"/>
        </w:rPr>
      </w:pPr>
      <w:r>
        <w:rPr>
          <w:rFonts w:eastAsia="Times New Roman"/>
          <w:color w:val="333333"/>
          <w:lang w:eastAsia="en-GB"/>
        </w:rPr>
        <w:t xml:space="preserve">One of the shortcomings in the </w:t>
      </w:r>
      <w:r w:rsidR="00260F21">
        <w:rPr>
          <w:rFonts w:eastAsia="Times New Roman"/>
          <w:color w:val="333333"/>
          <w:lang w:eastAsia="en-GB"/>
        </w:rPr>
        <w:t xml:space="preserve">post-Leveson </w:t>
      </w:r>
      <w:r>
        <w:rPr>
          <w:rFonts w:eastAsia="Times New Roman"/>
          <w:color w:val="333333"/>
          <w:lang w:eastAsia="en-GB"/>
        </w:rPr>
        <w:t xml:space="preserve">regulation of the press </w:t>
      </w:r>
      <w:r w:rsidR="00260F21">
        <w:rPr>
          <w:rFonts w:eastAsia="Times New Roman"/>
          <w:color w:val="333333"/>
          <w:lang w:eastAsia="en-GB"/>
        </w:rPr>
        <w:t>remained</w:t>
      </w:r>
      <w:r>
        <w:rPr>
          <w:rFonts w:eastAsia="Times New Roman"/>
          <w:color w:val="333333"/>
          <w:lang w:eastAsia="en-GB"/>
        </w:rPr>
        <w:t xml:space="preserve"> around discrimination – where complaints could only be upheld if a piece named an individual and that individual complained</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0"/>
      </w:r>
      <w:r w:rsidR="00DF7920">
        <w:rPr>
          <w:rStyle w:val="FootnoteReference"/>
          <w:rFonts w:eastAsia="Times New Roman"/>
          <w:color w:val="333333"/>
          <w:lang w:eastAsia="en-GB"/>
        </w:rPr>
        <w:t>]</w:t>
      </w:r>
      <w:r>
        <w:rPr>
          <w:rFonts w:eastAsia="Times New Roman"/>
          <w:color w:val="333333"/>
          <w:lang w:eastAsia="en-GB"/>
        </w:rPr>
        <w:t>. The new Independent Press Complaints Organisation</w:t>
      </w:r>
      <w:r w:rsidR="00C132ED">
        <w:rPr>
          <w:rFonts w:eastAsia="Times New Roman"/>
          <w:color w:val="333333"/>
          <w:lang w:eastAsia="en-GB"/>
        </w:rPr>
        <w:t xml:space="preserve"> (</w:t>
      </w:r>
      <w:r w:rsidR="00C132ED" w:rsidRPr="00C132ED">
        <w:rPr>
          <w:rFonts w:eastAsia="Times New Roman"/>
          <w:i/>
          <w:iCs/>
          <w:color w:val="333333"/>
          <w:lang w:eastAsia="en-GB"/>
        </w:rPr>
        <w:t>IPSO</w:t>
      </w:r>
      <w:r w:rsidR="00C132ED">
        <w:rPr>
          <w:rFonts w:eastAsia="Times New Roman"/>
          <w:color w:val="333333"/>
          <w:lang w:eastAsia="en-GB"/>
        </w:rPr>
        <w:t>)</w:t>
      </w:r>
      <w:r>
        <w:rPr>
          <w:rFonts w:eastAsia="Times New Roman"/>
          <w:color w:val="333333"/>
          <w:lang w:eastAsia="en-GB"/>
        </w:rPr>
        <w:t xml:space="preserve"> – in reality just a rebadged </w:t>
      </w:r>
      <w:r w:rsidR="00260F21">
        <w:rPr>
          <w:rFonts w:eastAsia="Times New Roman"/>
          <w:color w:val="333333"/>
          <w:lang w:eastAsia="en-GB"/>
        </w:rPr>
        <w:t xml:space="preserve">version of the </w:t>
      </w:r>
      <w:r w:rsidR="008C3C38">
        <w:rPr>
          <w:rFonts w:eastAsia="Times New Roman"/>
          <w:color w:val="333333"/>
          <w:lang w:eastAsia="en-GB"/>
        </w:rPr>
        <w:t xml:space="preserve">discredited </w:t>
      </w:r>
      <w:r>
        <w:rPr>
          <w:rFonts w:eastAsia="Times New Roman"/>
          <w:color w:val="333333"/>
          <w:lang w:eastAsia="en-GB"/>
        </w:rPr>
        <w:t>Press Complaints Commission – made much over a discrimination complaint over a piece on a trans person which was brought forwards by a trans organisation, albeit with that trans person’s authorisation. The complaint was upheld</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1"/>
      </w:r>
      <w:r w:rsidR="00DF7920">
        <w:rPr>
          <w:rStyle w:val="FootnoteReference"/>
          <w:rFonts w:eastAsia="Times New Roman"/>
          <w:color w:val="333333"/>
          <w:lang w:eastAsia="en-GB"/>
        </w:rPr>
        <w:t>]</w:t>
      </w:r>
      <w:r>
        <w:rPr>
          <w:rFonts w:eastAsia="Times New Roman"/>
          <w:color w:val="333333"/>
          <w:lang w:eastAsia="en-GB"/>
        </w:rPr>
        <w:t xml:space="preserve"> – so far, the only complaint that IPSO has upheld on discrimination grounds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2"/>
      </w:r>
      <w:r w:rsidR="00DF7920">
        <w:rPr>
          <w:rStyle w:val="FootnoteReference"/>
          <w:rFonts w:eastAsia="Times New Roman"/>
          <w:color w:val="333333"/>
          <w:lang w:eastAsia="en-GB"/>
        </w:rPr>
        <w:t>]</w:t>
      </w:r>
      <w:r w:rsidR="008C3C38">
        <w:rPr>
          <w:rFonts w:eastAsia="Times New Roman"/>
          <w:color w:val="333333"/>
          <w:lang w:eastAsia="en-GB"/>
        </w:rPr>
        <w:t xml:space="preserve"> – although the offending paper did not comply fully with the new regulator’s demands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3"/>
      </w:r>
      <w:r w:rsidR="00DF7920">
        <w:rPr>
          <w:rStyle w:val="FootnoteReference"/>
          <w:rFonts w:eastAsia="Times New Roman"/>
          <w:color w:val="333333"/>
          <w:lang w:eastAsia="en-GB"/>
        </w:rPr>
        <w:t>]</w:t>
      </w:r>
      <w:r w:rsidR="00C35040">
        <w:rPr>
          <w:rFonts w:eastAsia="Times New Roman"/>
          <w:color w:val="333333"/>
          <w:lang w:eastAsia="en-GB"/>
        </w:rPr>
        <w:t xml:space="preserve"> and there were outstanding issues around victimisation of the complainant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4"/>
      </w:r>
      <w:r w:rsidR="00DF7920">
        <w:rPr>
          <w:rStyle w:val="FootnoteReference"/>
          <w:rFonts w:eastAsia="Times New Roman"/>
          <w:color w:val="333333"/>
          <w:lang w:eastAsia="en-GB"/>
        </w:rPr>
        <w:t>]</w:t>
      </w:r>
      <w:r>
        <w:rPr>
          <w:rFonts w:eastAsia="Times New Roman"/>
          <w:color w:val="333333"/>
          <w:lang w:eastAsia="en-GB"/>
        </w:rPr>
        <w:t>.</w:t>
      </w:r>
    </w:p>
    <w:p w14:paraId="60C2F436" w14:textId="364D68CD" w:rsidR="004F6516" w:rsidRDefault="004F6516" w:rsidP="00B017F8">
      <w:pPr>
        <w:rPr>
          <w:rFonts w:eastAsia="Times New Roman"/>
          <w:color w:val="333333"/>
          <w:lang w:eastAsia="en-GB"/>
        </w:rPr>
      </w:pPr>
      <w:r>
        <w:rPr>
          <w:rFonts w:eastAsia="Times New Roman"/>
          <w:color w:val="333333"/>
          <w:lang w:eastAsia="en-GB"/>
        </w:rPr>
        <w:lastRenderedPageBreak/>
        <w:t>Indeed, since then IPSO has rejected complaints from trans people creating problematic precedents for the whole of press regulation –</w:t>
      </w:r>
      <w:r w:rsidR="00260F21">
        <w:rPr>
          <w:rFonts w:eastAsia="Times New Roman"/>
          <w:color w:val="333333"/>
          <w:lang w:eastAsia="en-GB"/>
        </w:rPr>
        <w:t xml:space="preserve"> </w:t>
      </w:r>
      <w:r>
        <w:rPr>
          <w:rFonts w:eastAsia="Times New Roman"/>
          <w:color w:val="333333"/>
          <w:lang w:eastAsia="en-GB"/>
        </w:rPr>
        <w:t>accuracy is now subjective</w:t>
      </w:r>
      <w:r w:rsidR="00260F21">
        <w:rPr>
          <w:rFonts w:eastAsia="Times New Roman"/>
          <w:color w:val="333333"/>
          <w:lang w:eastAsia="en-GB"/>
        </w:rPr>
        <w:t>:</w:t>
      </w:r>
      <w:r>
        <w:rPr>
          <w:rFonts w:eastAsia="Times New Roman"/>
          <w:color w:val="333333"/>
          <w:lang w:eastAsia="en-GB"/>
        </w:rPr>
        <w:t xml:space="preserve"> inaccuracies in a piece can be justified if the journalist believed them to be true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5"/>
      </w:r>
      <w:r w:rsidR="00DF7920">
        <w:rPr>
          <w:rStyle w:val="FootnoteReference"/>
          <w:rFonts w:eastAsia="Times New Roman"/>
          <w:color w:val="333333"/>
          <w:lang w:eastAsia="en-GB"/>
        </w:rPr>
        <w:t>]</w:t>
      </w:r>
      <w:r>
        <w:rPr>
          <w:rFonts w:eastAsia="Times New Roman"/>
          <w:color w:val="333333"/>
          <w:lang w:eastAsia="en-GB"/>
        </w:rPr>
        <w:t>, and that quotes could be invented if the journalist thought it was the kind of thing that individuals might say</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6"/>
      </w:r>
      <w:r w:rsidR="00DF7920">
        <w:rPr>
          <w:rStyle w:val="FootnoteReference"/>
          <w:rFonts w:eastAsia="Times New Roman"/>
          <w:color w:val="333333"/>
          <w:lang w:eastAsia="en-GB"/>
        </w:rPr>
        <w:t>]</w:t>
      </w:r>
      <w:r>
        <w:rPr>
          <w:rFonts w:eastAsia="Times New Roman"/>
          <w:color w:val="333333"/>
          <w:lang w:eastAsia="en-GB"/>
        </w:rPr>
        <w:t>.</w:t>
      </w:r>
    </w:p>
    <w:p w14:paraId="54F2A404" w14:textId="2C237692" w:rsidR="00832CD1" w:rsidRDefault="00832CD1" w:rsidP="00B017F8">
      <w:pPr>
        <w:rPr>
          <w:rFonts w:eastAsia="Times New Roman"/>
          <w:color w:val="333333"/>
          <w:lang w:eastAsia="en-GB"/>
        </w:rPr>
      </w:pPr>
      <w:r>
        <w:rPr>
          <w:rFonts w:eastAsia="Times New Roman"/>
          <w:color w:val="333333"/>
          <w:lang w:eastAsia="en-GB"/>
        </w:rPr>
        <w:t>Furthermore, trans women started to be positioned as threats to other women. Much was made of the Karen White incident – where a trans wom</w:t>
      </w:r>
      <w:r w:rsidR="0021788E">
        <w:rPr>
          <w:rFonts w:eastAsia="Times New Roman"/>
          <w:color w:val="333333"/>
          <w:lang w:eastAsia="en-GB"/>
        </w:rPr>
        <w:t>a</w:t>
      </w:r>
      <w:r>
        <w:rPr>
          <w:rFonts w:eastAsia="Times New Roman"/>
          <w:color w:val="333333"/>
          <w:lang w:eastAsia="en-GB"/>
        </w:rPr>
        <w:t>n was moved to the female prison estate and then committed sexual assaults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7"/>
      </w:r>
      <w:r w:rsidR="00DF7920">
        <w:rPr>
          <w:rStyle w:val="FootnoteReference"/>
          <w:rFonts w:eastAsia="Times New Roman"/>
          <w:color w:val="333333"/>
          <w:lang w:eastAsia="en-GB"/>
        </w:rPr>
        <w:t>]</w:t>
      </w:r>
      <w:r>
        <w:rPr>
          <w:rFonts w:eastAsia="Times New Roman"/>
          <w:color w:val="333333"/>
          <w:lang w:eastAsia="en-GB"/>
        </w:rPr>
        <w:t>. The Prison Service later admitted that the</w:t>
      </w:r>
      <w:r w:rsidR="00260F21">
        <w:rPr>
          <w:rFonts w:eastAsia="Times New Roman"/>
          <w:color w:val="333333"/>
          <w:lang w:eastAsia="en-GB"/>
        </w:rPr>
        <w:t>ir</w:t>
      </w:r>
      <w:r>
        <w:rPr>
          <w:rFonts w:eastAsia="Times New Roman"/>
          <w:color w:val="333333"/>
          <w:lang w:eastAsia="en-GB"/>
        </w:rPr>
        <w:t xml:space="preserve"> new procedures regarding risk assessment had been bypassed</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8"/>
      </w:r>
      <w:r w:rsidR="00DF7920">
        <w:rPr>
          <w:rStyle w:val="FootnoteReference"/>
          <w:rFonts w:eastAsia="Times New Roman"/>
          <w:color w:val="333333"/>
          <w:lang w:eastAsia="en-GB"/>
        </w:rPr>
        <w:t>]</w:t>
      </w:r>
      <w:r>
        <w:rPr>
          <w:rFonts w:eastAsia="Times New Roman"/>
          <w:color w:val="333333"/>
          <w:lang w:eastAsia="en-GB"/>
        </w:rPr>
        <w:t xml:space="preserve"> and that White should have been recognised as posing a risk. There was much press speculation over whether an infamous murderer had declared himself to be trans – reports later found to be completely baseless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39"/>
      </w:r>
      <w:r w:rsidR="00DF7920">
        <w:rPr>
          <w:rStyle w:val="FootnoteReference"/>
          <w:rFonts w:eastAsia="Times New Roman"/>
          <w:color w:val="333333"/>
          <w:lang w:eastAsia="en-GB"/>
        </w:rPr>
        <w:t>]</w:t>
      </w:r>
      <w:r>
        <w:rPr>
          <w:rFonts w:eastAsia="Times New Roman"/>
          <w:color w:val="333333"/>
          <w:lang w:eastAsia="en-GB"/>
        </w:rPr>
        <w:t xml:space="preserve">. An incident in Hyde Park, where </w:t>
      </w:r>
      <w:r w:rsidR="00C132ED">
        <w:rPr>
          <w:rFonts w:eastAsia="Times New Roman"/>
          <w:color w:val="333333"/>
          <w:lang w:eastAsia="en-GB"/>
        </w:rPr>
        <w:t>a group of people opposed to trans inclusion were encountered by trans people and their supporters, turned ugly</w:t>
      </w:r>
      <w:r w:rsidR="00571BB3">
        <w:rPr>
          <w:rFonts w:eastAsia="Times New Roman"/>
          <w:color w:val="333333"/>
          <w:lang w:eastAsia="en-GB"/>
        </w:rPr>
        <w:t>. O</w:t>
      </w:r>
      <w:r w:rsidR="00C132ED">
        <w:rPr>
          <w:rFonts w:eastAsia="Times New Roman"/>
          <w:color w:val="333333"/>
          <w:lang w:eastAsia="en-GB"/>
        </w:rPr>
        <w:t xml:space="preserve">ne trans woman </w:t>
      </w:r>
      <w:r w:rsidR="00571BB3">
        <w:rPr>
          <w:rFonts w:eastAsia="Times New Roman"/>
          <w:color w:val="333333"/>
          <w:lang w:eastAsia="en-GB"/>
        </w:rPr>
        <w:t xml:space="preserve">(Tara Wolf) </w:t>
      </w:r>
      <w:r w:rsidR="00C132ED">
        <w:rPr>
          <w:rFonts w:eastAsia="Times New Roman"/>
          <w:color w:val="333333"/>
          <w:lang w:eastAsia="en-GB"/>
        </w:rPr>
        <w:t xml:space="preserve">was </w:t>
      </w:r>
      <w:r w:rsidR="00571BB3">
        <w:rPr>
          <w:rFonts w:eastAsia="Times New Roman"/>
          <w:color w:val="333333"/>
          <w:lang w:eastAsia="en-GB"/>
        </w:rPr>
        <w:t>subsequently</w:t>
      </w:r>
      <w:r w:rsidR="00C132ED">
        <w:rPr>
          <w:rFonts w:eastAsia="Times New Roman"/>
          <w:color w:val="333333"/>
          <w:lang w:eastAsia="en-GB"/>
        </w:rPr>
        <w:t xml:space="preserve"> found guilty of </w:t>
      </w:r>
      <w:r w:rsidR="00C132ED" w:rsidRPr="0065686C">
        <w:rPr>
          <w:rFonts w:eastAsia="Times New Roman"/>
          <w:color w:val="333333"/>
          <w:lang w:eastAsia="en-GB"/>
        </w:rPr>
        <w:t>assault</w:t>
      </w:r>
      <w:r w:rsidR="00DF7920">
        <w:rPr>
          <w:rStyle w:val="FootnoteReference"/>
          <w:rFonts w:eastAsia="Times New Roman"/>
          <w:color w:val="333333"/>
          <w:lang w:eastAsia="en-GB"/>
        </w:rPr>
        <w:t>[</w:t>
      </w:r>
      <w:r w:rsidR="00DF7920" w:rsidRPr="0065686C">
        <w:rPr>
          <w:rStyle w:val="FootnoteReference"/>
          <w:rFonts w:eastAsia="Times New Roman"/>
          <w:color w:val="333333"/>
          <w:lang w:eastAsia="en-GB"/>
        </w:rPr>
        <w:footnoteReference w:id="40"/>
      </w:r>
      <w:r w:rsidR="00DF7920">
        <w:rPr>
          <w:rStyle w:val="FootnoteReference"/>
          <w:rFonts w:eastAsia="Times New Roman"/>
          <w:color w:val="333333"/>
          <w:lang w:eastAsia="en-GB"/>
        </w:rPr>
        <w:t>]</w:t>
      </w:r>
      <w:r w:rsidR="00C132ED" w:rsidRPr="0065686C">
        <w:rPr>
          <w:rFonts w:eastAsia="Times New Roman"/>
          <w:color w:val="333333"/>
          <w:lang w:eastAsia="en-GB"/>
        </w:rPr>
        <w:t>,</w:t>
      </w:r>
      <w:r w:rsidR="00571BB3" w:rsidRPr="0065686C">
        <w:rPr>
          <w:rFonts w:eastAsia="Times New Roman"/>
          <w:color w:val="333333"/>
          <w:lang w:eastAsia="en-GB"/>
        </w:rPr>
        <w:t xml:space="preserve"> a case which has been used relentlessly to assert that all trans women are violent and dangerous</w:t>
      </w:r>
      <w:r w:rsidR="0065686C" w:rsidRPr="0065686C">
        <w:rPr>
          <w:rFonts w:eastAsia="Times New Roman"/>
          <w:color w:val="333333"/>
          <w:lang w:eastAsia="en-GB"/>
        </w:rPr>
        <w:t>,</w:t>
      </w:r>
      <w:r w:rsidR="00C132ED" w:rsidRPr="0065686C">
        <w:rPr>
          <w:rFonts w:eastAsia="Times New Roman"/>
          <w:color w:val="333333"/>
          <w:lang w:eastAsia="en-GB"/>
        </w:rPr>
        <w:t xml:space="preserve"> although it does appear that she had been subjected to provocation</w:t>
      </w:r>
      <w:r w:rsidR="00DF7920">
        <w:rPr>
          <w:rStyle w:val="FootnoteReference"/>
          <w:rFonts w:eastAsia="Times New Roman"/>
          <w:color w:val="333333"/>
          <w:lang w:eastAsia="en-GB"/>
        </w:rPr>
        <w:t>[</w:t>
      </w:r>
      <w:r w:rsidR="00DF7920" w:rsidRPr="0065686C">
        <w:rPr>
          <w:rStyle w:val="FootnoteReference"/>
          <w:rFonts w:eastAsia="Times New Roman"/>
          <w:color w:val="333333"/>
          <w:lang w:eastAsia="en-GB"/>
        </w:rPr>
        <w:footnoteReference w:id="41"/>
      </w:r>
      <w:r w:rsidR="00DF7920">
        <w:rPr>
          <w:rStyle w:val="FootnoteReference"/>
          <w:rFonts w:eastAsia="Times New Roman"/>
          <w:color w:val="333333"/>
          <w:lang w:eastAsia="en-GB"/>
        </w:rPr>
        <w:t>]</w:t>
      </w:r>
      <w:r w:rsidR="00C132ED" w:rsidRPr="0065686C">
        <w:rPr>
          <w:rFonts w:eastAsia="Times New Roman"/>
          <w:color w:val="333333"/>
          <w:lang w:eastAsia="en-GB"/>
        </w:rPr>
        <w:t>.</w:t>
      </w:r>
    </w:p>
    <w:p w14:paraId="18A67B7F" w14:textId="3C7B61EE" w:rsidR="00376F48" w:rsidRDefault="00376F48" w:rsidP="0010187B">
      <w:pPr>
        <w:pStyle w:val="Heading3"/>
      </w:pPr>
      <w:r>
        <w:t>Rise of</w:t>
      </w:r>
      <w:r w:rsidR="004F6516">
        <w:t xml:space="preserve"> Organised</w:t>
      </w:r>
      <w:r>
        <w:t xml:space="preserve"> Opposition</w:t>
      </w:r>
    </w:p>
    <w:p w14:paraId="61C12F01" w14:textId="0D44F8C8" w:rsidR="00C132ED" w:rsidRDefault="00C132ED" w:rsidP="00B017F8">
      <w:pPr>
        <w:rPr>
          <w:rFonts w:eastAsia="Times New Roman"/>
          <w:color w:val="333333"/>
          <w:lang w:eastAsia="en-GB"/>
        </w:rPr>
      </w:pPr>
      <w:r>
        <w:rPr>
          <w:rFonts w:eastAsia="Times New Roman"/>
          <w:color w:val="333333"/>
          <w:lang w:eastAsia="en-GB"/>
        </w:rPr>
        <w:t>Groups saying they were speaking for women started springing up – Fair Play for Women</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42"/>
      </w:r>
      <w:r w:rsidR="00DF7920">
        <w:rPr>
          <w:rStyle w:val="FootnoteReference"/>
          <w:rFonts w:eastAsia="Times New Roman"/>
          <w:color w:val="333333"/>
          <w:lang w:eastAsia="en-GB"/>
        </w:rPr>
        <w:t>]</w:t>
      </w:r>
      <w:r w:rsidR="008C3C38">
        <w:rPr>
          <w:rFonts w:eastAsia="Times New Roman"/>
          <w:color w:val="333333"/>
          <w:lang w:eastAsia="en-GB"/>
        </w:rPr>
        <w:t xml:space="preserve"> and</w:t>
      </w:r>
      <w:r>
        <w:rPr>
          <w:rFonts w:eastAsia="Times New Roman"/>
          <w:color w:val="333333"/>
          <w:lang w:eastAsia="en-GB"/>
        </w:rPr>
        <w:t xml:space="preserve"> A Women’s Place UK</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43"/>
      </w:r>
      <w:r w:rsidR="00DF7920">
        <w:rPr>
          <w:rStyle w:val="FootnoteReference"/>
          <w:rFonts w:eastAsia="Times New Roman"/>
          <w:color w:val="333333"/>
          <w:lang w:eastAsia="en-GB"/>
        </w:rPr>
        <w:t>]</w:t>
      </w:r>
      <w:r>
        <w:rPr>
          <w:rFonts w:eastAsia="Times New Roman"/>
          <w:color w:val="333333"/>
          <w:lang w:eastAsia="en-GB"/>
        </w:rPr>
        <w:t xml:space="preserve"> being the main ones</w:t>
      </w:r>
      <w:r w:rsidR="008A0924">
        <w:rPr>
          <w:rFonts w:eastAsia="Times New Roman"/>
          <w:color w:val="333333"/>
          <w:lang w:eastAsia="en-GB"/>
        </w:rPr>
        <w:t xml:space="preserve"> initially</w:t>
      </w:r>
      <w:r>
        <w:rPr>
          <w:rFonts w:eastAsia="Times New Roman"/>
          <w:color w:val="333333"/>
          <w:lang w:eastAsia="en-GB"/>
        </w:rPr>
        <w:t xml:space="preserve"> – all of whose focus was to organise dissent to the Government’s proposals on GRA reform</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44"/>
      </w:r>
      <w:r w:rsidR="00DF7920">
        <w:rPr>
          <w:rStyle w:val="FootnoteReference"/>
          <w:rFonts w:eastAsia="Times New Roman"/>
          <w:color w:val="333333"/>
          <w:lang w:eastAsia="en-GB"/>
        </w:rPr>
        <w:t>]</w:t>
      </w:r>
      <w:r>
        <w:rPr>
          <w:rFonts w:eastAsia="Times New Roman"/>
          <w:color w:val="333333"/>
          <w:lang w:eastAsia="en-GB"/>
        </w:rPr>
        <w:t>.</w:t>
      </w:r>
    </w:p>
    <w:p w14:paraId="6F2FFCF4" w14:textId="01ECBD8C" w:rsidR="00C132ED" w:rsidRDefault="00C132ED" w:rsidP="00B017F8">
      <w:pPr>
        <w:rPr>
          <w:rFonts w:eastAsia="Times New Roman"/>
          <w:color w:val="333333"/>
          <w:lang w:eastAsia="en-GB"/>
        </w:rPr>
      </w:pPr>
      <w:r>
        <w:rPr>
          <w:rFonts w:eastAsia="Times New Roman"/>
          <w:color w:val="333333"/>
          <w:lang w:eastAsia="en-GB"/>
        </w:rPr>
        <w:t xml:space="preserve">Other groups expressing concern over the capability of under 18s to consent to trans-related healthcare </w:t>
      </w:r>
      <w:r w:rsidR="008A0924">
        <w:rPr>
          <w:rFonts w:eastAsia="Times New Roman"/>
          <w:color w:val="333333"/>
          <w:lang w:eastAsia="en-GB"/>
        </w:rPr>
        <w:t>and trans supportive environments in schools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45"/>
      </w:r>
      <w:r w:rsidR="00DF7920">
        <w:rPr>
          <w:rStyle w:val="FootnoteReference"/>
          <w:rFonts w:eastAsia="Times New Roman"/>
          <w:color w:val="333333"/>
          <w:lang w:eastAsia="en-GB"/>
        </w:rPr>
        <w:t>]</w:t>
      </w:r>
      <w:r w:rsidR="008A0924">
        <w:rPr>
          <w:rFonts w:eastAsia="Times New Roman"/>
          <w:color w:val="333333"/>
          <w:lang w:eastAsia="en-GB"/>
        </w:rPr>
        <w:t xml:space="preserve"> </w:t>
      </w:r>
      <w:r>
        <w:rPr>
          <w:rFonts w:eastAsia="Times New Roman"/>
          <w:color w:val="333333"/>
          <w:lang w:eastAsia="en-GB"/>
        </w:rPr>
        <w:t>also sprang up</w:t>
      </w:r>
      <w:r w:rsidR="008D4FFA">
        <w:rPr>
          <w:rFonts w:eastAsia="Times New Roman"/>
          <w:color w:val="333333"/>
          <w:lang w:eastAsia="en-GB"/>
        </w:rPr>
        <w:t>. One prolific group</w:t>
      </w:r>
      <w:r w:rsidR="0071317F">
        <w:rPr>
          <w:rFonts w:eastAsia="Times New Roman"/>
          <w:color w:val="333333"/>
          <w:lang w:eastAsia="en-GB"/>
        </w:rPr>
        <w:t xml:space="preserve"> in this area</w:t>
      </w:r>
      <w:r w:rsidR="008D4FFA">
        <w:rPr>
          <w:rFonts w:eastAsia="Times New Roman"/>
          <w:color w:val="333333"/>
          <w:lang w:eastAsia="en-GB"/>
        </w:rPr>
        <w:t>, Transgender Trend, is headed by an individual who is “</w:t>
      </w:r>
      <w:r w:rsidR="008D4FFA" w:rsidRPr="008D4FFA">
        <w:rPr>
          <w:rFonts w:eastAsia="Times New Roman"/>
          <w:i/>
          <w:iCs/>
          <w:color w:val="333333"/>
          <w:lang w:eastAsia="en-GB"/>
        </w:rPr>
        <w:t xml:space="preserve">not qualified in </w:t>
      </w:r>
      <w:r w:rsidR="008D4FFA" w:rsidRPr="0065686C">
        <w:rPr>
          <w:rFonts w:eastAsia="Times New Roman"/>
          <w:i/>
          <w:iCs/>
          <w:color w:val="333333"/>
          <w:lang w:eastAsia="en-GB"/>
        </w:rPr>
        <w:t>medicine law, or teaching, and does not have professional experience working with trans people</w:t>
      </w:r>
      <w:r w:rsidR="008D4FFA" w:rsidRPr="0065686C">
        <w:rPr>
          <w:rFonts w:eastAsia="Times New Roman"/>
          <w:color w:val="333333"/>
          <w:lang w:eastAsia="en-GB"/>
        </w:rPr>
        <w:t>”</w:t>
      </w:r>
      <w:r w:rsidR="00DF7920">
        <w:rPr>
          <w:rStyle w:val="FootnoteReference"/>
          <w:rFonts w:eastAsia="Times New Roman"/>
          <w:color w:val="333333"/>
          <w:lang w:eastAsia="en-GB"/>
        </w:rPr>
        <w:t>[</w:t>
      </w:r>
      <w:r w:rsidR="00DF7920" w:rsidRPr="0065686C">
        <w:rPr>
          <w:rStyle w:val="FootnoteReference"/>
          <w:rFonts w:eastAsia="Times New Roman"/>
          <w:color w:val="333333"/>
          <w:lang w:eastAsia="en-GB"/>
        </w:rPr>
        <w:footnoteReference w:id="46"/>
      </w:r>
      <w:r w:rsidR="00DF7920">
        <w:rPr>
          <w:rStyle w:val="FootnoteReference"/>
          <w:rFonts w:eastAsia="Times New Roman"/>
          <w:color w:val="333333"/>
          <w:lang w:eastAsia="en-GB"/>
        </w:rPr>
        <w:t>]</w:t>
      </w:r>
      <w:r w:rsidR="0065686C" w:rsidRPr="0065686C">
        <w:rPr>
          <w:rFonts w:eastAsia="Times New Roman"/>
          <w:color w:val="333333"/>
          <w:lang w:eastAsia="en-GB"/>
        </w:rPr>
        <w:t xml:space="preserve"> </w:t>
      </w:r>
      <w:r w:rsidR="00C0170A">
        <w:rPr>
          <w:rFonts w:eastAsia="Times New Roman"/>
          <w:color w:val="333333"/>
          <w:lang w:eastAsia="en-GB"/>
        </w:rPr>
        <w:t xml:space="preserve">– </w:t>
      </w:r>
      <w:r w:rsidR="0065686C" w:rsidRPr="0065686C">
        <w:rPr>
          <w:rFonts w:eastAsia="Times New Roman"/>
          <w:color w:val="333333"/>
          <w:lang w:eastAsia="en-GB"/>
        </w:rPr>
        <w:t xml:space="preserve">someone </w:t>
      </w:r>
      <w:r w:rsidRPr="0065686C">
        <w:rPr>
          <w:rFonts w:eastAsia="Times New Roman"/>
          <w:color w:val="333333"/>
          <w:lang w:eastAsia="en-GB"/>
        </w:rPr>
        <w:t xml:space="preserve">who admitted they had only met </w:t>
      </w:r>
      <w:r w:rsidR="0065686C" w:rsidRPr="0065686C">
        <w:rPr>
          <w:rFonts w:eastAsia="Times New Roman"/>
          <w:color w:val="333333"/>
          <w:lang w:eastAsia="en-GB"/>
        </w:rPr>
        <w:t>“</w:t>
      </w:r>
      <w:r w:rsidR="0065686C" w:rsidRPr="00B340C9">
        <w:rPr>
          <w:rFonts w:eastAsia="Times New Roman"/>
          <w:i/>
          <w:iCs/>
          <w:color w:val="333333"/>
          <w:lang w:eastAsia="en-GB"/>
        </w:rPr>
        <w:t>about 10</w:t>
      </w:r>
      <w:r w:rsidR="0065686C" w:rsidRPr="0065686C">
        <w:rPr>
          <w:rFonts w:eastAsia="Times New Roman"/>
          <w:color w:val="333333"/>
          <w:lang w:eastAsia="en-GB"/>
        </w:rPr>
        <w:t>”</w:t>
      </w:r>
      <w:r w:rsidRPr="0065686C">
        <w:rPr>
          <w:rFonts w:eastAsia="Times New Roman"/>
          <w:color w:val="333333"/>
          <w:lang w:eastAsia="en-GB"/>
        </w:rPr>
        <w:t xml:space="preserve"> trans people</w:t>
      </w:r>
      <w:r w:rsidR="008C3C38" w:rsidRPr="0065686C">
        <w:rPr>
          <w:rFonts w:eastAsia="Times New Roman"/>
          <w:color w:val="333333"/>
          <w:lang w:eastAsia="en-GB"/>
        </w:rPr>
        <w:t xml:space="preserve"> </w:t>
      </w:r>
      <w:r w:rsidR="0065686C" w:rsidRPr="0065686C">
        <w:rPr>
          <w:rFonts w:eastAsia="Times New Roman"/>
          <w:color w:val="333333"/>
          <w:lang w:eastAsia="en-GB"/>
        </w:rPr>
        <w:t>after</w:t>
      </w:r>
      <w:r w:rsidR="0065686C">
        <w:rPr>
          <w:rFonts w:eastAsia="Times New Roman"/>
          <w:color w:val="333333"/>
          <w:lang w:eastAsia="en-GB"/>
        </w:rPr>
        <w:t xml:space="preserve"> starting their group</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47"/>
      </w:r>
      <w:r w:rsidR="00DF7920">
        <w:rPr>
          <w:rStyle w:val="FootnoteReference"/>
          <w:rFonts w:eastAsia="Times New Roman"/>
          <w:color w:val="333333"/>
          <w:lang w:eastAsia="en-GB"/>
        </w:rPr>
        <w:t>]</w:t>
      </w:r>
      <w:r>
        <w:rPr>
          <w:rFonts w:eastAsia="Times New Roman"/>
          <w:color w:val="333333"/>
          <w:lang w:eastAsia="en-GB"/>
        </w:rPr>
        <w:t>.</w:t>
      </w:r>
    </w:p>
    <w:p w14:paraId="4723845F" w14:textId="135563AA" w:rsidR="00C132ED" w:rsidRDefault="00C132ED" w:rsidP="00B017F8">
      <w:pPr>
        <w:rPr>
          <w:rFonts w:eastAsia="Times New Roman"/>
          <w:color w:val="333333"/>
          <w:lang w:eastAsia="en-GB"/>
        </w:rPr>
      </w:pPr>
      <w:r>
        <w:rPr>
          <w:rFonts w:eastAsia="Times New Roman"/>
          <w:color w:val="333333"/>
          <w:lang w:eastAsia="en-GB"/>
        </w:rPr>
        <w:t>Such groups appeared to be well-organised and well-funded</w:t>
      </w:r>
      <w:r w:rsidR="008D4FFA">
        <w:rPr>
          <w:rFonts w:eastAsia="Times New Roman"/>
          <w:color w:val="333333"/>
          <w:lang w:eastAsia="en-GB"/>
        </w:rPr>
        <w:t>, although were completely opaque in their financial dealings and governance structures</w:t>
      </w:r>
      <w:r>
        <w:rPr>
          <w:rFonts w:eastAsia="Times New Roman"/>
          <w:color w:val="333333"/>
          <w:lang w:eastAsia="en-GB"/>
        </w:rPr>
        <w:t>. Key players in</w:t>
      </w:r>
      <w:r w:rsidR="00C74621">
        <w:rPr>
          <w:rFonts w:eastAsia="Times New Roman"/>
          <w:color w:val="333333"/>
          <w:lang w:eastAsia="en-GB"/>
        </w:rPr>
        <w:t xml:space="preserve"> or closely associated with</w:t>
      </w:r>
      <w:r>
        <w:rPr>
          <w:rFonts w:eastAsia="Times New Roman"/>
          <w:color w:val="333333"/>
          <w:lang w:eastAsia="en-GB"/>
        </w:rPr>
        <w:t xml:space="preserve"> these groups were </w:t>
      </w:r>
      <w:r w:rsidR="0040389D">
        <w:rPr>
          <w:rFonts w:eastAsia="Times New Roman"/>
          <w:color w:val="333333"/>
          <w:lang w:eastAsia="en-GB"/>
        </w:rPr>
        <w:t>hosted by</w:t>
      </w:r>
      <w:r>
        <w:rPr>
          <w:rFonts w:eastAsia="Times New Roman"/>
          <w:color w:val="333333"/>
          <w:lang w:eastAsia="en-GB"/>
        </w:rPr>
        <w:t xml:space="preserve"> US-based organisations led by evangelical right-wing Christians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48"/>
      </w:r>
      <w:r w:rsidR="00DF7920">
        <w:rPr>
          <w:rStyle w:val="FootnoteReference"/>
          <w:rFonts w:eastAsia="Times New Roman"/>
          <w:color w:val="333333"/>
          <w:lang w:eastAsia="en-GB"/>
        </w:rPr>
        <w:t>]</w:t>
      </w:r>
      <w:r>
        <w:rPr>
          <w:rFonts w:eastAsia="Times New Roman"/>
          <w:color w:val="333333"/>
          <w:lang w:eastAsia="en-GB"/>
        </w:rPr>
        <w:t xml:space="preserve">. They rapidly gained a foothold in the media, </w:t>
      </w:r>
      <w:r w:rsidR="0000748A">
        <w:rPr>
          <w:rFonts w:eastAsia="Times New Roman"/>
          <w:color w:val="333333"/>
          <w:lang w:eastAsia="en-GB"/>
        </w:rPr>
        <w:t xml:space="preserve">almost </w:t>
      </w:r>
      <w:r>
        <w:rPr>
          <w:rFonts w:eastAsia="Times New Roman"/>
          <w:color w:val="333333"/>
          <w:lang w:eastAsia="en-GB"/>
        </w:rPr>
        <w:t xml:space="preserve">always appearing whenever trans issues were being discussed. One Channel 4 discussion programme </w:t>
      </w:r>
      <w:r w:rsidR="008C3C38">
        <w:rPr>
          <w:rFonts w:eastAsia="Times New Roman"/>
          <w:color w:val="333333"/>
          <w:lang w:eastAsia="en-GB"/>
        </w:rPr>
        <w:t>saw</w:t>
      </w:r>
      <w:r>
        <w:rPr>
          <w:rFonts w:eastAsia="Times New Roman"/>
          <w:color w:val="333333"/>
          <w:lang w:eastAsia="en-GB"/>
        </w:rPr>
        <w:t xml:space="preserve"> </w:t>
      </w:r>
      <w:r>
        <w:rPr>
          <w:rFonts w:eastAsia="Times New Roman"/>
          <w:color w:val="333333"/>
          <w:lang w:eastAsia="en-GB"/>
        </w:rPr>
        <w:lastRenderedPageBreak/>
        <w:t>members of the audience shout “</w:t>
      </w:r>
      <w:r w:rsidR="0071317F">
        <w:rPr>
          <w:rFonts w:eastAsia="Times New Roman"/>
          <w:color w:val="333333"/>
          <w:lang w:eastAsia="en-GB"/>
        </w:rPr>
        <w:t>p</w:t>
      </w:r>
      <w:r>
        <w:rPr>
          <w:rFonts w:eastAsia="Times New Roman"/>
          <w:color w:val="333333"/>
          <w:lang w:eastAsia="en-GB"/>
        </w:rPr>
        <w:t xml:space="preserve">enis, </w:t>
      </w:r>
      <w:r w:rsidR="0071317F">
        <w:rPr>
          <w:rFonts w:eastAsia="Times New Roman"/>
          <w:color w:val="333333"/>
          <w:lang w:eastAsia="en-GB"/>
        </w:rPr>
        <w:t>p</w:t>
      </w:r>
      <w:r>
        <w:rPr>
          <w:rFonts w:eastAsia="Times New Roman"/>
          <w:color w:val="333333"/>
          <w:lang w:eastAsia="en-GB"/>
        </w:rPr>
        <w:t>enis” whenever a trans women, Munroe Bergdorf, spoke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49"/>
      </w:r>
      <w:r w:rsidR="00DF7920">
        <w:rPr>
          <w:rStyle w:val="FootnoteReference"/>
          <w:rFonts w:eastAsia="Times New Roman"/>
          <w:color w:val="333333"/>
          <w:lang w:eastAsia="en-GB"/>
        </w:rPr>
        <w:t>]</w:t>
      </w:r>
      <w:r>
        <w:rPr>
          <w:rFonts w:eastAsia="Times New Roman"/>
          <w:color w:val="333333"/>
          <w:lang w:eastAsia="en-GB"/>
        </w:rPr>
        <w:t>.</w:t>
      </w:r>
      <w:r w:rsidR="008D4FFA">
        <w:rPr>
          <w:rFonts w:eastAsia="Times New Roman"/>
          <w:color w:val="333333"/>
          <w:lang w:eastAsia="en-GB"/>
        </w:rPr>
        <w:t xml:space="preserve"> They started routinely protesting outside events organised for</w:t>
      </w:r>
      <w:r w:rsidR="0021788E">
        <w:rPr>
          <w:rFonts w:eastAsia="Times New Roman"/>
          <w:color w:val="333333"/>
          <w:lang w:eastAsia="en-GB"/>
        </w:rPr>
        <w:t>, with</w:t>
      </w:r>
      <w:r w:rsidR="008D4FFA">
        <w:rPr>
          <w:rFonts w:eastAsia="Times New Roman"/>
          <w:color w:val="333333"/>
          <w:lang w:eastAsia="en-GB"/>
        </w:rPr>
        <w:t xml:space="preserve"> or by trans people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0"/>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1"/>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2"/>
      </w:r>
      <w:r w:rsidR="00DF7920">
        <w:rPr>
          <w:rStyle w:val="FootnoteReference"/>
          <w:rFonts w:eastAsia="Times New Roman"/>
          <w:color w:val="333333"/>
          <w:lang w:eastAsia="en-GB"/>
        </w:rPr>
        <w:t>]</w:t>
      </w:r>
      <w:r w:rsidR="008D4FFA">
        <w:rPr>
          <w:rFonts w:eastAsia="Times New Roman"/>
          <w:color w:val="333333"/>
          <w:lang w:eastAsia="en-GB"/>
        </w:rPr>
        <w:t>.</w:t>
      </w:r>
    </w:p>
    <w:p w14:paraId="450A4788" w14:textId="469B7655" w:rsidR="0040389D" w:rsidRDefault="0040389D" w:rsidP="00B017F8">
      <w:pPr>
        <w:rPr>
          <w:rFonts w:eastAsia="Times New Roman"/>
          <w:color w:val="333333"/>
          <w:lang w:eastAsia="en-GB"/>
        </w:rPr>
      </w:pPr>
      <w:r>
        <w:rPr>
          <w:rFonts w:eastAsia="Times New Roman"/>
          <w:color w:val="333333"/>
          <w:lang w:eastAsia="en-GB"/>
        </w:rPr>
        <w:t>The media started positioning trans women against other women, creating the erroneous impression that all women were on the same side of the argument. Women who did speak up in support of trans women were almost completely ignored.</w:t>
      </w:r>
    </w:p>
    <w:p w14:paraId="4DAE3272" w14:textId="6C49B9B4" w:rsidR="00C132ED" w:rsidRDefault="00C132ED" w:rsidP="00B017F8">
      <w:pPr>
        <w:rPr>
          <w:rFonts w:eastAsia="Times New Roman"/>
          <w:color w:val="333333"/>
          <w:lang w:eastAsia="en-GB"/>
        </w:rPr>
      </w:pPr>
      <w:r>
        <w:rPr>
          <w:rFonts w:eastAsia="Times New Roman"/>
          <w:color w:val="333333"/>
          <w:lang w:eastAsia="en-GB"/>
        </w:rPr>
        <w:t xml:space="preserve">Speakers who had a history of </w:t>
      </w:r>
      <w:r w:rsidR="00376F48">
        <w:rPr>
          <w:rFonts w:eastAsia="Times New Roman"/>
          <w:color w:val="333333"/>
          <w:lang w:eastAsia="en-GB"/>
        </w:rPr>
        <w:t>making statements diminishing the equality of trans people, such as Germaine Greer, found themselves subject to protests at events where they were booked to speak. Despite the fact that these events almost always went ahead with the speakers speaking</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3"/>
      </w:r>
      <w:r w:rsidR="00DF7920">
        <w:rPr>
          <w:rStyle w:val="FootnoteReference"/>
          <w:rFonts w:eastAsia="Times New Roman"/>
          <w:color w:val="333333"/>
          <w:lang w:eastAsia="en-GB"/>
        </w:rPr>
        <w:t>]</w:t>
      </w:r>
      <w:r w:rsidR="00376F48">
        <w:rPr>
          <w:rFonts w:eastAsia="Times New Roman"/>
          <w:color w:val="333333"/>
          <w:lang w:eastAsia="en-GB"/>
        </w:rPr>
        <w:t xml:space="preserve">, that didn’t stop the narrative emerging that these </w:t>
      </w:r>
      <w:r w:rsidR="008D4FFA">
        <w:rPr>
          <w:rFonts w:eastAsia="Times New Roman"/>
          <w:color w:val="333333"/>
          <w:lang w:eastAsia="en-GB"/>
        </w:rPr>
        <w:t>people</w:t>
      </w:r>
      <w:r w:rsidR="00376F48">
        <w:rPr>
          <w:rFonts w:eastAsia="Times New Roman"/>
          <w:color w:val="333333"/>
          <w:lang w:eastAsia="en-GB"/>
        </w:rPr>
        <w:t xml:space="preserve"> were being </w:t>
      </w:r>
      <w:r w:rsidR="00B775CD">
        <w:rPr>
          <w:rFonts w:eastAsia="Times New Roman"/>
          <w:color w:val="333333"/>
          <w:lang w:eastAsia="en-GB"/>
        </w:rPr>
        <w:t>“</w:t>
      </w:r>
      <w:r w:rsidR="00376F48">
        <w:rPr>
          <w:rFonts w:eastAsia="Times New Roman"/>
          <w:color w:val="333333"/>
          <w:lang w:eastAsia="en-GB"/>
        </w:rPr>
        <w:t>no platformed</w:t>
      </w:r>
      <w:r w:rsidR="00B775CD">
        <w:rPr>
          <w:rFonts w:eastAsia="Times New Roman"/>
          <w:color w:val="333333"/>
          <w:lang w:eastAsia="en-GB"/>
        </w:rPr>
        <w: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4"/>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5"/>
      </w:r>
      <w:r w:rsidR="00DF7920">
        <w:rPr>
          <w:rStyle w:val="FootnoteReference"/>
          <w:rFonts w:eastAsia="Times New Roman"/>
          <w:color w:val="333333"/>
          <w:lang w:eastAsia="en-GB"/>
        </w:rPr>
        <w:t>]</w:t>
      </w:r>
      <w:r w:rsidR="00376F48">
        <w:rPr>
          <w:rFonts w:eastAsia="Times New Roman"/>
          <w:color w:val="333333"/>
          <w:lang w:eastAsia="en-GB"/>
        </w:rPr>
        <w:t>.</w:t>
      </w:r>
    </w:p>
    <w:p w14:paraId="78A5BC23" w14:textId="43006680" w:rsidR="00CF046E" w:rsidRDefault="00CF046E" w:rsidP="0010187B">
      <w:pPr>
        <w:pStyle w:val="Heading3"/>
      </w:pPr>
      <w:r>
        <w:t>Current Media Debates</w:t>
      </w:r>
    </w:p>
    <w:p w14:paraId="70F4F6B3" w14:textId="311D6D74" w:rsidR="00B017F8" w:rsidRDefault="00376F48" w:rsidP="00B017F8">
      <w:pPr>
        <w:rPr>
          <w:rFonts w:eastAsia="Times New Roman"/>
          <w:color w:val="333333"/>
          <w:lang w:eastAsia="en-GB"/>
        </w:rPr>
      </w:pPr>
      <w:r>
        <w:rPr>
          <w:rFonts w:eastAsia="Times New Roman"/>
          <w:color w:val="333333"/>
          <w:lang w:eastAsia="en-GB"/>
        </w:rPr>
        <w:t>This prompt</w:t>
      </w:r>
      <w:r w:rsidR="005B2F98">
        <w:rPr>
          <w:rFonts w:eastAsia="Times New Roman"/>
          <w:color w:val="333333"/>
          <w:lang w:eastAsia="en-GB"/>
        </w:rPr>
        <w:t>ed</w:t>
      </w:r>
      <w:r>
        <w:rPr>
          <w:rFonts w:eastAsia="Times New Roman"/>
          <w:color w:val="333333"/>
          <w:lang w:eastAsia="en-GB"/>
        </w:rPr>
        <w:t xml:space="preserve"> a debate around freedom of speech, which always seemed to be tied to trans issues and predicated on an individual’s right to promote a particular</w:t>
      </w:r>
      <w:r w:rsidR="008C3C38">
        <w:rPr>
          <w:rFonts w:eastAsia="Times New Roman"/>
          <w:color w:val="333333"/>
          <w:lang w:eastAsia="en-GB"/>
        </w:rPr>
        <w:t>, usually detrimental,</w:t>
      </w:r>
      <w:r>
        <w:rPr>
          <w:rFonts w:eastAsia="Times New Roman"/>
          <w:color w:val="333333"/>
          <w:lang w:eastAsia="en-GB"/>
        </w:rPr>
        <w:t xml:space="preserve"> view about trans people in such a manner that wouldn’t be countenanced for any of the other characteristics protected under</w:t>
      </w:r>
      <w:r w:rsidR="008C3C38">
        <w:rPr>
          <w:rFonts w:eastAsia="Times New Roman"/>
          <w:color w:val="333333"/>
          <w:lang w:eastAsia="en-GB"/>
        </w:rPr>
        <w:t xml:space="preserve"> UK </w:t>
      </w:r>
      <w:r>
        <w:rPr>
          <w:rFonts w:eastAsia="Times New Roman"/>
          <w:color w:val="333333"/>
          <w:lang w:eastAsia="en-GB"/>
        </w:rPr>
        <w:t>equalities law.</w:t>
      </w:r>
    </w:p>
    <w:p w14:paraId="4991E09C" w14:textId="5B06A4DF" w:rsidR="00AA289A" w:rsidRDefault="00376F48" w:rsidP="00B017F8">
      <w:pPr>
        <w:rPr>
          <w:rFonts w:eastAsia="Times New Roman"/>
          <w:color w:val="333333"/>
          <w:lang w:eastAsia="en-GB"/>
        </w:rPr>
      </w:pPr>
      <w:r>
        <w:rPr>
          <w:rFonts w:eastAsia="Times New Roman"/>
          <w:color w:val="333333"/>
          <w:lang w:eastAsia="en-GB"/>
        </w:rPr>
        <w:t>This evolved into debates around cancel culture and silencing – where people were objecting to other people’s right to protest peacefully –</w:t>
      </w:r>
      <w:r w:rsidR="00AA289A">
        <w:rPr>
          <w:rFonts w:eastAsia="Times New Roman"/>
          <w:color w:val="333333"/>
          <w:lang w:eastAsia="en-GB"/>
        </w:rPr>
        <w:t xml:space="preserve"> </w:t>
      </w:r>
      <w:r>
        <w:rPr>
          <w:rFonts w:eastAsia="Times New Roman"/>
          <w:color w:val="333333"/>
          <w:lang w:eastAsia="en-GB"/>
        </w:rPr>
        <w:t>wokeness – where people were objecting to having to be careful about what they said about particular groups of people</w:t>
      </w:r>
      <w:r w:rsidR="00AA289A">
        <w:rPr>
          <w:rFonts w:eastAsia="Times New Roman"/>
          <w:color w:val="333333"/>
          <w:lang w:eastAsia="en-GB"/>
        </w:rPr>
        <w:t xml:space="preserve"> – and gender ideology – which was never clearly defined</w:t>
      </w:r>
      <w:r>
        <w:rPr>
          <w:rFonts w:eastAsia="Times New Roman"/>
          <w:color w:val="333333"/>
          <w:lang w:eastAsia="en-GB"/>
        </w:rPr>
        <w:t>.</w:t>
      </w:r>
    </w:p>
    <w:p w14:paraId="4E3832BF" w14:textId="184FC5B8" w:rsidR="00376F48" w:rsidRDefault="00376F48" w:rsidP="00B017F8">
      <w:pPr>
        <w:rPr>
          <w:rFonts w:eastAsia="Times New Roman"/>
          <w:color w:val="333333"/>
          <w:lang w:eastAsia="en-GB"/>
        </w:rPr>
      </w:pPr>
      <w:r>
        <w:rPr>
          <w:rFonts w:eastAsia="Times New Roman"/>
          <w:color w:val="333333"/>
          <w:lang w:eastAsia="en-GB"/>
        </w:rPr>
        <w:t>Those complaining of being silenced almost always managed to appear on a number of different mainstream media outlets.</w:t>
      </w:r>
    </w:p>
    <w:p w14:paraId="0BC98D0D" w14:textId="2A32AA96" w:rsidR="00DB385F" w:rsidRDefault="00DB385F" w:rsidP="00DB385F">
      <w:pPr>
        <w:rPr>
          <w:rFonts w:eastAsia="Times New Roman"/>
          <w:color w:val="333333"/>
          <w:lang w:eastAsia="en-GB"/>
        </w:rPr>
      </w:pPr>
      <w:r>
        <w:rPr>
          <w:rFonts w:eastAsia="Times New Roman"/>
          <w:color w:val="333333"/>
          <w:lang w:eastAsia="en-GB"/>
        </w:rPr>
        <w:t>At the end of 2017 a parliamentary inquiry into freedom of speech at universities found that no platforming incidents were rare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6"/>
      </w:r>
      <w:r w:rsidR="00DF7920">
        <w:rPr>
          <w:rStyle w:val="FootnoteReference"/>
          <w:rFonts w:eastAsia="Times New Roman"/>
          <w:color w:val="333333"/>
          <w:lang w:eastAsia="en-GB"/>
        </w:rPr>
        <w:t>]</w:t>
      </w:r>
      <w:r>
        <w:rPr>
          <w:rFonts w:eastAsia="Times New Roman"/>
          <w:color w:val="333333"/>
          <w:lang w:eastAsia="en-GB"/>
        </w:rPr>
        <w:t>.</w:t>
      </w:r>
    </w:p>
    <w:p w14:paraId="058D49AB" w14:textId="4D80EF84" w:rsidR="00827672" w:rsidRDefault="00827672" w:rsidP="00827672">
      <w:pPr>
        <w:rPr>
          <w:rFonts w:eastAsia="Times New Roman"/>
          <w:color w:val="333333"/>
          <w:lang w:eastAsia="en-GB"/>
        </w:rPr>
      </w:pPr>
      <w:r>
        <w:rPr>
          <w:rFonts w:eastAsia="Times New Roman"/>
          <w:color w:val="333333"/>
          <w:lang w:eastAsia="en-GB"/>
        </w:rPr>
        <w:t>The only NHS provider dealing with trans children came under increased scrutiny, with a small number of complaints around safeguarding</w:t>
      </w:r>
      <w:r w:rsidR="005B2F98">
        <w:rPr>
          <w:rFonts w:eastAsia="Times New Roman"/>
          <w:color w:val="333333"/>
          <w:lang w:eastAsia="en-GB"/>
        </w:rPr>
        <w:t xml:space="preserve"> – </w:t>
      </w:r>
      <w:r>
        <w:rPr>
          <w:rFonts w:eastAsia="Times New Roman"/>
          <w:color w:val="333333"/>
          <w:lang w:eastAsia="en-GB"/>
        </w:rPr>
        <w:t>which were not upheld</w:t>
      </w:r>
      <w:r w:rsidR="005B2F98">
        <w:rPr>
          <w:rFonts w:eastAsia="Times New Roman"/>
          <w:color w:val="333333"/>
          <w:lang w:eastAsia="en-GB"/>
        </w:rPr>
        <w:t xml:space="preserve"> – </w:t>
      </w:r>
      <w:r>
        <w:rPr>
          <w:rFonts w:eastAsia="Times New Roman"/>
          <w:color w:val="333333"/>
          <w:lang w:eastAsia="en-GB"/>
        </w:rPr>
        <w:t>made into a major news story</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7"/>
      </w:r>
      <w:r w:rsidR="00DF7920">
        <w:rPr>
          <w:rStyle w:val="FootnoteReference"/>
          <w:rFonts w:eastAsia="Times New Roman"/>
          <w:color w:val="333333"/>
          <w:lang w:eastAsia="en-GB"/>
        </w:rPr>
        <w:t>]</w:t>
      </w:r>
      <w:r>
        <w:rPr>
          <w:rFonts w:eastAsia="Times New Roman"/>
          <w:color w:val="333333"/>
          <w:lang w:eastAsia="en-GB"/>
        </w:rPr>
        <w:t>. The charities working in this area started experiencing repeated challenges on the basis that those under 18 were not equipped to know their identity, and that the charities were acting immorally</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8"/>
      </w:r>
      <w:r w:rsidR="00DF7920">
        <w:rPr>
          <w:rStyle w:val="FootnoteReference"/>
          <w:rFonts w:eastAsia="Times New Roman"/>
          <w:color w:val="333333"/>
          <w:lang w:eastAsia="en-GB"/>
        </w:rPr>
        <w:t>]</w:t>
      </w:r>
      <w:r>
        <w:rPr>
          <w:rFonts w:eastAsia="Times New Roman"/>
          <w:color w:val="333333"/>
          <w:lang w:eastAsia="en-GB"/>
        </w:rPr>
        <w:t>, trying to convert youngsters into being trans.</w:t>
      </w:r>
    </w:p>
    <w:p w14:paraId="6945558E" w14:textId="4B6C8E80" w:rsidR="00827672" w:rsidRDefault="00827672" w:rsidP="00827672">
      <w:pPr>
        <w:rPr>
          <w:rFonts w:eastAsia="Times New Roman"/>
          <w:color w:val="333333"/>
          <w:lang w:eastAsia="en-GB"/>
        </w:rPr>
      </w:pPr>
      <w:r>
        <w:rPr>
          <w:rFonts w:eastAsia="Times New Roman"/>
          <w:color w:val="333333"/>
          <w:lang w:eastAsia="en-GB"/>
        </w:rPr>
        <w:t>Allegations that trans women caused a danger in single-sex spaces, such as toilets and changing rooms, became endemic at this time. Single anecdotes were used to extrapolate wildly to the whole population. Statistics about trans people were</w:t>
      </w:r>
      <w:r w:rsidR="00DB385F">
        <w:rPr>
          <w:rFonts w:eastAsia="Times New Roman"/>
          <w:color w:val="333333"/>
          <w:lang w:eastAsia="en-GB"/>
        </w:rPr>
        <w:t xml:space="preserve"> grossly</w:t>
      </w:r>
      <w:r>
        <w:rPr>
          <w:rFonts w:eastAsia="Times New Roman"/>
          <w:color w:val="333333"/>
          <w:lang w:eastAsia="en-GB"/>
        </w:rPr>
        <w:t xml:space="preserve"> distorted to make it appear that the vast majority of transitioned trans women – those who would use such spaces, entirely legally – kept their male genitalia</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59"/>
      </w:r>
      <w:r w:rsidR="00DF7920">
        <w:rPr>
          <w:rStyle w:val="FootnoteReference"/>
          <w:rFonts w:eastAsia="Times New Roman"/>
          <w:color w:val="333333"/>
          <w:lang w:eastAsia="en-GB"/>
        </w:rPr>
        <w:t>]</w:t>
      </w:r>
      <w:r>
        <w:rPr>
          <w:rFonts w:eastAsia="Times New Roman"/>
          <w:color w:val="333333"/>
          <w:lang w:eastAsia="en-GB"/>
        </w:rPr>
        <w:t xml:space="preserve">. The aim was to make </w:t>
      </w:r>
      <w:r w:rsidR="000C20F8">
        <w:rPr>
          <w:rFonts w:eastAsia="Times New Roman"/>
          <w:color w:val="333333"/>
          <w:lang w:eastAsia="en-GB"/>
        </w:rPr>
        <w:t>women</w:t>
      </w:r>
      <w:r>
        <w:rPr>
          <w:rFonts w:eastAsia="Times New Roman"/>
          <w:color w:val="333333"/>
          <w:lang w:eastAsia="en-GB"/>
        </w:rPr>
        <w:t xml:space="preserve"> afraid of </w:t>
      </w:r>
      <w:r>
        <w:rPr>
          <w:rFonts w:eastAsia="Times New Roman"/>
          <w:color w:val="333333"/>
          <w:lang w:eastAsia="en-GB"/>
        </w:rPr>
        <w:lastRenderedPageBreak/>
        <w:t xml:space="preserve">trans women who, while </w:t>
      </w:r>
      <w:r w:rsidR="000C20F8">
        <w:rPr>
          <w:rFonts w:eastAsia="Times New Roman"/>
          <w:color w:val="333333"/>
          <w:lang w:eastAsia="en-GB"/>
        </w:rPr>
        <w:t xml:space="preserve">apparently </w:t>
      </w:r>
      <w:r>
        <w:rPr>
          <w:rFonts w:eastAsia="Times New Roman"/>
          <w:color w:val="333333"/>
          <w:lang w:eastAsia="en-GB"/>
        </w:rPr>
        <w:t>being eas</w:t>
      </w:r>
      <w:r w:rsidR="000C20F8">
        <w:rPr>
          <w:rFonts w:eastAsia="Times New Roman"/>
          <w:color w:val="333333"/>
          <w:lang w:eastAsia="en-GB"/>
        </w:rPr>
        <w:t xml:space="preserve">y to </w:t>
      </w:r>
      <w:r>
        <w:rPr>
          <w:rFonts w:eastAsia="Times New Roman"/>
          <w:color w:val="333333"/>
          <w:lang w:eastAsia="en-GB"/>
        </w:rPr>
        <w:t>identif</w:t>
      </w:r>
      <w:r w:rsidR="000C20F8">
        <w:rPr>
          <w:rFonts w:eastAsia="Times New Roman"/>
          <w:color w:val="333333"/>
          <w:lang w:eastAsia="en-GB"/>
        </w:rPr>
        <w:t>y</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0"/>
      </w:r>
      <w:r w:rsidR="00DF7920">
        <w:rPr>
          <w:rStyle w:val="FootnoteReference"/>
          <w:rFonts w:eastAsia="Times New Roman"/>
          <w:color w:val="333333"/>
          <w:lang w:eastAsia="en-GB"/>
        </w:rPr>
        <w:t>]</w:t>
      </w:r>
      <w:r>
        <w:rPr>
          <w:rFonts w:eastAsia="Times New Roman"/>
          <w:color w:val="333333"/>
          <w:lang w:eastAsia="en-GB"/>
        </w:rPr>
        <w:t>, were also capable of such deception as to slip under the radar completely unnoticed</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1"/>
      </w:r>
      <w:r w:rsidR="00DF7920">
        <w:rPr>
          <w:rStyle w:val="FootnoteReference"/>
          <w:rFonts w:eastAsia="Times New Roman"/>
          <w:color w:val="333333"/>
          <w:lang w:eastAsia="en-GB"/>
        </w:rPr>
        <w:t>]</w:t>
      </w:r>
      <w:r>
        <w:rPr>
          <w:rFonts w:eastAsia="Times New Roman"/>
          <w:color w:val="333333"/>
          <w:lang w:eastAsia="en-GB"/>
        </w:rPr>
        <w:t xml:space="preserve">. The lack of evidence of trans women using these spaces to commit crimes of violence </w:t>
      </w:r>
      <w:r w:rsidR="00B775CD">
        <w:rPr>
          <w:rFonts w:eastAsia="Times New Roman"/>
          <w:color w:val="333333"/>
          <w:lang w:eastAsia="en-GB"/>
        </w:rPr>
        <w:t>was</w:t>
      </w:r>
      <w:r>
        <w:rPr>
          <w:rFonts w:eastAsia="Times New Roman"/>
          <w:color w:val="333333"/>
          <w:lang w:eastAsia="en-GB"/>
        </w:rPr>
        <w:t xml:space="preserve"> irrelevant – it was all about creating fear and panic.</w:t>
      </w:r>
    </w:p>
    <w:p w14:paraId="13E21F7F" w14:textId="665BD1DE" w:rsidR="00376F48" w:rsidRDefault="00376F48" w:rsidP="00B017F8">
      <w:pPr>
        <w:rPr>
          <w:rFonts w:eastAsia="Times New Roman"/>
          <w:color w:val="333333"/>
          <w:lang w:eastAsia="en-GB"/>
        </w:rPr>
      </w:pPr>
      <w:r>
        <w:rPr>
          <w:rFonts w:eastAsia="Times New Roman"/>
          <w:color w:val="333333"/>
          <w:lang w:eastAsia="en-GB"/>
        </w:rPr>
        <w:t xml:space="preserve">Trans people were almost invisible in mainstream media throughout this time. On the rare occasions trans people did appear, it was almost always to answer questions framed as if trans people were threats and the complaints about them were valid. In 3 years, the media had moved from asking what problems and dangers did trans people face, to asking what problems were these </w:t>
      </w:r>
      <w:r w:rsidR="005B2F98">
        <w:rPr>
          <w:rFonts w:eastAsia="Times New Roman"/>
          <w:color w:val="333333"/>
          <w:lang w:eastAsia="en-GB"/>
        </w:rPr>
        <w:t>“</w:t>
      </w:r>
      <w:r>
        <w:rPr>
          <w:rFonts w:eastAsia="Times New Roman"/>
          <w:color w:val="333333"/>
          <w:lang w:eastAsia="en-GB"/>
        </w:rPr>
        <w:t>dangerous</w:t>
      </w:r>
      <w:r w:rsidR="005B2F98">
        <w:rPr>
          <w:rFonts w:eastAsia="Times New Roman"/>
          <w:color w:val="333333"/>
          <w:lang w:eastAsia="en-GB"/>
        </w:rPr>
        <w:t>”</w:t>
      </w:r>
      <w:r>
        <w:rPr>
          <w:rFonts w:eastAsia="Times New Roman"/>
          <w:color w:val="333333"/>
          <w:lang w:eastAsia="en-GB"/>
        </w:rPr>
        <w:t xml:space="preserve"> trans people creating.</w:t>
      </w:r>
    </w:p>
    <w:p w14:paraId="04D5DCA7" w14:textId="580CDA82" w:rsidR="00376F48" w:rsidRDefault="00CF046E" w:rsidP="00B017F8">
      <w:pPr>
        <w:rPr>
          <w:rFonts w:eastAsia="Times New Roman"/>
          <w:color w:val="333333"/>
          <w:lang w:eastAsia="en-GB"/>
        </w:rPr>
      </w:pPr>
      <w:r>
        <w:rPr>
          <w:rFonts w:eastAsia="Times New Roman"/>
          <w:color w:val="333333"/>
          <w:lang w:eastAsia="en-GB"/>
        </w:rPr>
        <w:t>An IPSO report, published in late 2020</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2"/>
      </w:r>
      <w:r w:rsidR="00DF7920">
        <w:rPr>
          <w:rStyle w:val="FootnoteReference"/>
          <w:rFonts w:eastAsia="Times New Roman"/>
          <w:color w:val="333333"/>
          <w:lang w:eastAsia="en-GB"/>
        </w:rPr>
        <w:t>]</w:t>
      </w:r>
      <w:r>
        <w:rPr>
          <w:rFonts w:eastAsia="Times New Roman"/>
          <w:color w:val="333333"/>
          <w:lang w:eastAsia="en-GB"/>
        </w:rPr>
        <w:t>, stated that press coverage of trans issues had increased by 400% between 20</w:t>
      </w:r>
      <w:r w:rsidR="00E342AF">
        <w:rPr>
          <w:rFonts w:eastAsia="Times New Roman"/>
          <w:color w:val="333333"/>
          <w:lang w:eastAsia="en-GB"/>
        </w:rPr>
        <w:t>09</w:t>
      </w:r>
      <w:r>
        <w:rPr>
          <w:rFonts w:eastAsia="Times New Roman"/>
          <w:color w:val="333333"/>
          <w:lang w:eastAsia="en-GB"/>
        </w:rPr>
        <w:t xml:space="preserve"> and 2019. </w:t>
      </w:r>
      <w:r w:rsidR="005B2F98">
        <w:rPr>
          <w:rFonts w:eastAsia="Times New Roman"/>
          <w:color w:val="333333"/>
          <w:lang w:eastAsia="en-GB"/>
        </w:rPr>
        <w:t>Its</w:t>
      </w:r>
      <w:r>
        <w:rPr>
          <w:rFonts w:eastAsia="Times New Roman"/>
          <w:color w:val="333333"/>
          <w:lang w:eastAsia="en-GB"/>
        </w:rPr>
        <w:t xml:space="preserve"> analysis </w:t>
      </w:r>
      <w:r w:rsidR="00EC3EA7">
        <w:rPr>
          <w:rFonts w:eastAsia="Times New Roman"/>
          <w:color w:val="333333"/>
          <w:lang w:eastAsia="en-GB"/>
        </w:rPr>
        <w:t>claimed</w:t>
      </w:r>
      <w:r>
        <w:rPr>
          <w:rFonts w:eastAsia="Times New Roman"/>
          <w:color w:val="333333"/>
          <w:lang w:eastAsia="en-GB"/>
        </w:rPr>
        <w:t xml:space="preserve"> that </w:t>
      </w:r>
      <w:r w:rsidR="00EC3EA7">
        <w:rPr>
          <w:rFonts w:eastAsia="Times New Roman"/>
          <w:color w:val="333333"/>
          <w:lang w:eastAsia="en-GB"/>
        </w:rPr>
        <w:t xml:space="preserve">there was no press </w:t>
      </w:r>
      <w:r>
        <w:rPr>
          <w:rFonts w:eastAsia="Times New Roman"/>
          <w:color w:val="333333"/>
          <w:lang w:eastAsia="en-GB"/>
        </w:rPr>
        <w:t xml:space="preserve">hostility against trans people, but also admitted that it did not analyse pieces by the </w:t>
      </w:r>
      <w:r w:rsidRPr="00EC3EA7">
        <w:rPr>
          <w:rFonts w:eastAsia="Times New Roman"/>
          <w:i/>
          <w:iCs/>
          <w:color w:val="333333"/>
          <w:lang w:eastAsia="en-GB"/>
        </w:rPr>
        <w:t>Times</w:t>
      </w:r>
      <w:r>
        <w:rPr>
          <w:rFonts w:eastAsia="Times New Roman"/>
          <w:color w:val="333333"/>
          <w:lang w:eastAsia="en-GB"/>
        </w:rPr>
        <w:t xml:space="preserve"> and </w:t>
      </w:r>
      <w:r w:rsidRPr="00EC3EA7">
        <w:rPr>
          <w:rFonts w:eastAsia="Times New Roman"/>
          <w:i/>
          <w:iCs/>
          <w:color w:val="333333"/>
          <w:lang w:eastAsia="en-GB"/>
        </w:rPr>
        <w:t>Sunday Times</w:t>
      </w:r>
      <w:r>
        <w:rPr>
          <w:rFonts w:eastAsia="Times New Roman"/>
          <w:color w:val="333333"/>
          <w:lang w:eastAsia="en-GB"/>
        </w:rPr>
        <w:t xml:space="preserve"> because they were behind a paywall. Those two papers have acted remorselessly against trans inclusion – </w:t>
      </w:r>
      <w:r w:rsidRPr="005B2F98">
        <w:rPr>
          <w:rFonts w:eastAsia="Times New Roman"/>
          <w:color w:val="333333"/>
          <w:lang w:eastAsia="en-GB"/>
        </w:rPr>
        <w:t>publishing 324 pieces on trans issues in 2020 alone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3"/>
      </w:r>
      <w:r w:rsidR="00DF7920">
        <w:rPr>
          <w:rStyle w:val="FootnoteReference"/>
          <w:rFonts w:eastAsia="Times New Roman"/>
          <w:color w:val="333333"/>
          <w:lang w:eastAsia="en-GB"/>
        </w:rPr>
        <w:t>]</w:t>
      </w:r>
      <w:r w:rsidRPr="005B2F98">
        <w:rPr>
          <w:rFonts w:eastAsia="Times New Roman"/>
          <w:color w:val="333333"/>
          <w:lang w:eastAsia="en-GB"/>
        </w:rPr>
        <w:t xml:space="preserve">, </w:t>
      </w:r>
      <w:r w:rsidR="00EC3EA7">
        <w:rPr>
          <w:rFonts w:eastAsia="Times New Roman"/>
          <w:color w:val="333333"/>
          <w:lang w:eastAsia="en-GB"/>
        </w:rPr>
        <w:t xml:space="preserve">none of which were written by trans people and </w:t>
      </w:r>
      <w:r w:rsidRPr="005B2F98">
        <w:rPr>
          <w:rFonts w:eastAsia="Times New Roman"/>
          <w:color w:val="333333"/>
          <w:lang w:eastAsia="en-GB"/>
        </w:rPr>
        <w:t>almost all of which pushed the message that trans people were threats</w:t>
      </w:r>
      <w:r>
        <w:rPr>
          <w:rFonts w:eastAsia="Times New Roman"/>
          <w:color w:val="333333"/>
          <w:lang w:eastAsia="en-GB"/>
        </w:rPr>
        <w:t>.</w:t>
      </w:r>
    </w:p>
    <w:p w14:paraId="0C2DBDBD" w14:textId="71292986" w:rsidR="00CF046E" w:rsidRDefault="00CF046E" w:rsidP="00B017F8">
      <w:pPr>
        <w:rPr>
          <w:rFonts w:eastAsia="Times New Roman"/>
          <w:color w:val="333333"/>
          <w:lang w:eastAsia="en-GB"/>
        </w:rPr>
      </w:pPr>
      <w:r>
        <w:rPr>
          <w:rFonts w:eastAsia="Times New Roman"/>
          <w:color w:val="333333"/>
          <w:lang w:eastAsia="en-GB"/>
        </w:rPr>
        <w:t xml:space="preserve">The BBC found it necessary to include voices opposed to trans inclusion on every news piece relating to trans people, </w:t>
      </w:r>
      <w:r w:rsidR="001359EC">
        <w:rPr>
          <w:rFonts w:eastAsia="Times New Roman"/>
          <w:color w:val="333333"/>
          <w:lang w:eastAsia="en-GB"/>
        </w:rPr>
        <w:t>while</w:t>
      </w:r>
      <w:r>
        <w:rPr>
          <w:rFonts w:eastAsia="Times New Roman"/>
          <w:color w:val="333333"/>
          <w:lang w:eastAsia="en-GB"/>
        </w:rPr>
        <w:t xml:space="preserve"> trans voices were excluded from reportage which focused on opposition to trans inclusion. Evidence is emerging of significant internal lobbying within the BBC on every single trans piece, in apparent breach of the BBC’s own guidelines.</w:t>
      </w:r>
      <w:r w:rsidR="00AA289A">
        <w:rPr>
          <w:rFonts w:eastAsia="Times New Roman"/>
          <w:color w:val="333333"/>
          <w:lang w:eastAsia="en-GB"/>
        </w:rPr>
        <w:t xml:space="preserve"> </w:t>
      </w:r>
      <w:r w:rsidR="00EC3EA7">
        <w:rPr>
          <w:rFonts w:eastAsia="Times New Roman"/>
          <w:color w:val="333333"/>
          <w:lang w:eastAsia="en-GB"/>
        </w:rPr>
        <w:t xml:space="preserve">The BBC’s media editor, Amol Rajan, awarded JK Rowling’s essay the </w:t>
      </w:r>
      <w:r w:rsidR="00BC4EB2">
        <w:rPr>
          <w:rFonts w:eastAsia="Times New Roman"/>
          <w:color w:val="333333"/>
          <w:lang w:eastAsia="en-GB"/>
        </w:rPr>
        <w:t xml:space="preserve">2020 </w:t>
      </w:r>
      <w:r w:rsidR="00EC3EA7">
        <w:rPr>
          <w:rFonts w:eastAsia="Times New Roman"/>
          <w:color w:val="333333"/>
          <w:lang w:eastAsia="en-GB"/>
        </w:rPr>
        <w:t>Russell Prize for best writing</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4"/>
      </w:r>
      <w:r w:rsidR="00DF7920">
        <w:rPr>
          <w:rStyle w:val="FootnoteReference"/>
          <w:rFonts w:eastAsia="Times New Roman"/>
          <w:color w:val="333333"/>
          <w:lang w:eastAsia="en-GB"/>
        </w:rPr>
        <w:t>]</w:t>
      </w:r>
      <w:r w:rsidR="00EC3EA7">
        <w:rPr>
          <w:rFonts w:eastAsia="Times New Roman"/>
          <w:color w:val="333333"/>
          <w:lang w:eastAsia="en-GB"/>
        </w:rPr>
        <w:t>, quoting from Enoch Powell’s</w:t>
      </w:r>
      <w:r w:rsidR="00212B62">
        <w:rPr>
          <w:rFonts w:eastAsia="Times New Roman"/>
          <w:color w:val="333333"/>
          <w:lang w:eastAsia="en-GB"/>
        </w:rPr>
        <w:t xml:space="preserve"> “Rivers of Blood” speech</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5"/>
      </w:r>
      <w:r w:rsidR="00DF7920">
        <w:rPr>
          <w:rStyle w:val="FootnoteReference"/>
          <w:rFonts w:eastAsia="Times New Roman"/>
          <w:color w:val="333333"/>
          <w:lang w:eastAsia="en-GB"/>
        </w:rPr>
        <w:t>]</w:t>
      </w:r>
      <w:r w:rsidR="00212B62">
        <w:rPr>
          <w:rFonts w:eastAsia="Times New Roman"/>
          <w:color w:val="333333"/>
          <w:lang w:eastAsia="en-GB"/>
        </w:rPr>
        <w:t xml:space="preserve">. </w:t>
      </w:r>
      <w:r w:rsidR="00AA289A">
        <w:rPr>
          <w:rFonts w:eastAsia="Times New Roman"/>
          <w:color w:val="333333"/>
          <w:lang w:eastAsia="en-GB"/>
        </w:rPr>
        <w:t>The BBC has consistently denied there is a problem</w:t>
      </w:r>
      <w:r w:rsidR="00212B62">
        <w:rPr>
          <w:rFonts w:eastAsia="Times New Roman"/>
          <w:color w:val="333333"/>
          <w:lang w:eastAsia="en-GB"/>
        </w:rPr>
        <w:t>, yet they recently defended their position on a prominent piece on trans issues where no trans person had been consulted, let alone interviewed</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6"/>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7"/>
      </w:r>
      <w:r w:rsidR="00DF7920">
        <w:rPr>
          <w:rStyle w:val="FootnoteReference"/>
          <w:rFonts w:eastAsia="Times New Roman"/>
          <w:color w:val="333333"/>
          <w:lang w:eastAsia="en-GB"/>
        </w:rPr>
        <w:t>]</w:t>
      </w:r>
      <w:r w:rsidR="00AA289A">
        <w:rPr>
          <w:rFonts w:eastAsia="Times New Roman"/>
          <w:color w:val="333333"/>
          <w:lang w:eastAsia="en-GB"/>
        </w:rPr>
        <w:t>.</w:t>
      </w:r>
    </w:p>
    <w:p w14:paraId="6B3A1CC6" w14:textId="73E7E846" w:rsidR="00212B62" w:rsidRDefault="00CF046E" w:rsidP="00B017F8">
      <w:pPr>
        <w:rPr>
          <w:rFonts w:eastAsia="Times New Roman"/>
          <w:color w:val="333333"/>
          <w:lang w:eastAsia="en-GB"/>
        </w:rPr>
      </w:pPr>
      <w:r>
        <w:rPr>
          <w:rFonts w:eastAsia="Times New Roman"/>
          <w:color w:val="333333"/>
          <w:lang w:eastAsia="en-GB"/>
        </w:rPr>
        <w:t xml:space="preserve">It was into this environment that </w:t>
      </w:r>
      <w:r w:rsidR="00A004F1">
        <w:rPr>
          <w:rFonts w:eastAsia="Times New Roman"/>
          <w:color w:val="333333"/>
          <w:lang w:eastAsia="en-GB"/>
        </w:rPr>
        <w:t xml:space="preserve">Secretary of State </w:t>
      </w:r>
      <w:r>
        <w:rPr>
          <w:rFonts w:eastAsia="Times New Roman"/>
          <w:color w:val="333333"/>
          <w:lang w:eastAsia="en-GB"/>
        </w:rPr>
        <w:t xml:space="preserve">Liz Truss started making statements around GRA reform, including </w:t>
      </w:r>
      <w:r w:rsidR="00212B62">
        <w:rPr>
          <w:rFonts w:eastAsia="Times New Roman"/>
          <w:color w:val="333333"/>
          <w:lang w:eastAsia="en-GB"/>
        </w:rPr>
        <w:t>statements</w:t>
      </w:r>
      <w:r>
        <w:rPr>
          <w:rFonts w:eastAsia="Times New Roman"/>
          <w:color w:val="333333"/>
          <w:lang w:eastAsia="en-GB"/>
        </w:rPr>
        <w:t xml:space="preserve"> such as the need to protect single-sex spaces</w:t>
      </w:r>
      <w:r w:rsidR="00A004F1">
        <w:rPr>
          <w:rFonts w:eastAsia="Times New Roman"/>
          <w:color w:val="333333"/>
          <w:lang w:eastAsia="en-GB"/>
        </w:rPr>
        <w:t xml:space="preserve"> and children from irreversible decisions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8"/>
      </w:r>
      <w:r w:rsidR="00DF7920">
        <w:rPr>
          <w:rStyle w:val="FootnoteReference"/>
          <w:rFonts w:eastAsia="Times New Roman"/>
          <w:color w:val="333333"/>
          <w:lang w:eastAsia="en-GB"/>
        </w:rPr>
        <w:t>]</w:t>
      </w:r>
      <w:r w:rsidR="00212B62">
        <w:rPr>
          <w:rFonts w:eastAsia="Times New Roman"/>
          <w:color w:val="333333"/>
          <w:lang w:eastAsia="en-GB"/>
        </w:rPr>
        <w:t>. Such statements were viewed by trans people as hostile – who did single-sex spaces need protecting from</w:t>
      </w:r>
      <w:r w:rsidR="001359EC">
        <w:rPr>
          <w:rFonts w:eastAsia="Times New Roman"/>
          <w:color w:val="333333"/>
          <w:lang w:eastAsia="en-GB"/>
        </w:rPr>
        <w:t>, and what decisions was she referring to</w:t>
      </w:r>
      <w:r w:rsidR="00212B62">
        <w:rPr>
          <w:rFonts w:eastAsia="Times New Roman"/>
          <w:color w:val="333333"/>
          <w:lang w:eastAsia="en-GB"/>
        </w:rPr>
        <w:t>? The Sunday Times ran a front page story alleging that the Government would not only drop GRA reform proposals but also restrict trans peoples’ access to single-sex spaces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69"/>
      </w:r>
      <w:r w:rsidR="00DF7920">
        <w:rPr>
          <w:rStyle w:val="FootnoteReference"/>
          <w:rFonts w:eastAsia="Times New Roman"/>
          <w:color w:val="333333"/>
          <w:lang w:eastAsia="en-GB"/>
        </w:rPr>
        <w:t>]</w:t>
      </w:r>
      <w:r w:rsidR="00212B62">
        <w:rPr>
          <w:rFonts w:eastAsia="Times New Roman"/>
          <w:color w:val="333333"/>
          <w:lang w:eastAsia="en-GB"/>
        </w:rPr>
        <w:t>.</w:t>
      </w:r>
      <w:r w:rsidR="00BC4EB2">
        <w:rPr>
          <w:rFonts w:eastAsia="Times New Roman"/>
          <w:color w:val="333333"/>
          <w:lang w:eastAsia="en-GB"/>
        </w:rPr>
        <w:t xml:space="preserve"> Understandably this caused massive alarm for trans people.</w:t>
      </w:r>
    </w:p>
    <w:p w14:paraId="7184B2A0" w14:textId="6B4BF69E" w:rsidR="0051276F" w:rsidRDefault="00212B62" w:rsidP="00B017F8">
      <w:pPr>
        <w:rPr>
          <w:rFonts w:eastAsia="Times New Roman"/>
          <w:color w:val="333333"/>
          <w:lang w:eastAsia="en-GB"/>
        </w:rPr>
      </w:pPr>
      <w:r>
        <w:rPr>
          <w:rFonts w:eastAsia="Times New Roman"/>
          <w:color w:val="333333"/>
          <w:lang w:eastAsia="en-GB"/>
        </w:rPr>
        <w:lastRenderedPageBreak/>
        <w:t>In September 2020 the Government</w:t>
      </w:r>
      <w:r w:rsidR="00CF046E">
        <w:rPr>
          <w:rFonts w:eastAsia="Times New Roman"/>
          <w:color w:val="333333"/>
          <w:lang w:eastAsia="en-GB"/>
        </w:rPr>
        <w:t xml:space="preserve"> finally publish</w:t>
      </w:r>
      <w:r>
        <w:rPr>
          <w:rFonts w:eastAsia="Times New Roman"/>
          <w:color w:val="333333"/>
          <w:lang w:eastAsia="en-GB"/>
        </w:rPr>
        <w:t>ed</w:t>
      </w:r>
      <w:r w:rsidR="00CF046E">
        <w:rPr>
          <w:rFonts w:eastAsia="Times New Roman"/>
          <w:color w:val="333333"/>
          <w:lang w:eastAsia="en-GB"/>
        </w:rPr>
        <w:t xml:space="preserve"> the report into the consultation and dropping the proposals for reform</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0"/>
      </w:r>
      <w:r w:rsidR="00DF7920">
        <w:rPr>
          <w:rStyle w:val="FootnoteReference"/>
          <w:rFonts w:eastAsia="Times New Roman"/>
          <w:color w:val="333333"/>
          <w:lang w:eastAsia="en-GB"/>
        </w:rPr>
        <w:t>]</w:t>
      </w:r>
      <w:r w:rsidR="00CF046E">
        <w:rPr>
          <w:rFonts w:eastAsia="Times New Roman"/>
          <w:color w:val="333333"/>
          <w:lang w:eastAsia="en-GB"/>
        </w:rPr>
        <w:t>. The consultation report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1"/>
      </w:r>
      <w:r w:rsidR="00DF7920">
        <w:rPr>
          <w:rStyle w:val="FootnoteReference"/>
          <w:rFonts w:eastAsia="Times New Roman"/>
          <w:color w:val="333333"/>
          <w:lang w:eastAsia="en-GB"/>
        </w:rPr>
        <w:t>]</w:t>
      </w:r>
      <w:r w:rsidR="00CF046E">
        <w:rPr>
          <w:rFonts w:eastAsia="Times New Roman"/>
          <w:color w:val="333333"/>
          <w:lang w:eastAsia="en-GB"/>
        </w:rPr>
        <w:t xml:space="preserve"> </w:t>
      </w:r>
      <w:r>
        <w:rPr>
          <w:rFonts w:eastAsia="Times New Roman"/>
          <w:color w:val="333333"/>
          <w:lang w:eastAsia="en-GB"/>
        </w:rPr>
        <w:t>showed</w:t>
      </w:r>
      <w:r w:rsidR="00CF046E">
        <w:rPr>
          <w:rFonts w:eastAsia="Times New Roman"/>
          <w:color w:val="333333"/>
          <w:lang w:eastAsia="en-GB"/>
        </w:rPr>
        <w:t xml:space="preserve"> that the majority of respondents were in support of all the different aspects of reform</w:t>
      </w:r>
      <w:r>
        <w:rPr>
          <w:rFonts w:eastAsia="Times New Roman"/>
          <w:color w:val="333333"/>
          <w:lang w:eastAsia="en-GB"/>
        </w:rPr>
        <w:t>, despite an orchestrated campaign against the proposals</w:t>
      </w:r>
      <w:r w:rsidR="00CF046E">
        <w:rPr>
          <w:rFonts w:eastAsia="Times New Roman"/>
          <w:color w:val="333333"/>
          <w:lang w:eastAsia="en-GB"/>
        </w:rPr>
        <w:t>.</w:t>
      </w:r>
    </w:p>
    <w:p w14:paraId="00AE7626" w14:textId="49647EDB" w:rsidR="00CF046E" w:rsidRDefault="00A004F1" w:rsidP="00B017F8">
      <w:pPr>
        <w:rPr>
          <w:rFonts w:eastAsia="Times New Roman"/>
          <w:color w:val="333333"/>
          <w:lang w:eastAsia="en-GB"/>
        </w:rPr>
      </w:pPr>
      <w:r>
        <w:rPr>
          <w:rFonts w:eastAsia="Times New Roman"/>
          <w:color w:val="333333"/>
          <w:lang w:eastAsia="en-GB"/>
        </w:rPr>
        <w:t xml:space="preserve">Truss has also announced that the </w:t>
      </w:r>
      <w:r w:rsidR="00E342AF">
        <w:rPr>
          <w:rFonts w:eastAsia="Times New Roman"/>
          <w:color w:val="333333"/>
          <w:lang w:eastAsia="en-GB"/>
        </w:rPr>
        <w:t>Government will move to</w:t>
      </w:r>
      <w:r>
        <w:rPr>
          <w:rFonts w:eastAsia="Times New Roman"/>
          <w:color w:val="333333"/>
          <w:lang w:eastAsia="en-GB"/>
        </w:rPr>
        <w:t xml:space="preserve"> promoting a different equalities agenda</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2"/>
      </w:r>
      <w:r w:rsidR="00DF7920">
        <w:rPr>
          <w:rStyle w:val="FootnoteReference"/>
          <w:rFonts w:eastAsia="Times New Roman"/>
          <w:color w:val="333333"/>
          <w:lang w:eastAsia="en-GB"/>
        </w:rPr>
        <w:t>]</w:t>
      </w:r>
      <w:r>
        <w:rPr>
          <w:rFonts w:eastAsia="Times New Roman"/>
          <w:color w:val="333333"/>
          <w:lang w:eastAsia="en-GB"/>
        </w:rPr>
        <w:t>, based on addressing economic inequalities</w:t>
      </w:r>
      <w:r w:rsidR="00E342AF">
        <w:rPr>
          <w:rFonts w:eastAsia="Times New Roman"/>
          <w:color w:val="333333"/>
          <w:lang w:eastAsia="en-GB"/>
        </w:rPr>
        <w:t xml:space="preserve"> rather than on characteristics of individuals or groups</w:t>
      </w:r>
      <w:r>
        <w:rPr>
          <w:rFonts w:eastAsia="Times New Roman"/>
          <w:color w:val="333333"/>
          <w:lang w:eastAsia="en-GB"/>
        </w:rPr>
        <w:t>.</w:t>
      </w:r>
      <w:r w:rsidR="00E342AF">
        <w:rPr>
          <w:rFonts w:eastAsia="Times New Roman"/>
          <w:color w:val="333333"/>
          <w:lang w:eastAsia="en-GB"/>
        </w:rPr>
        <w:t xml:space="preserve"> This will require significant restructuring of the Government Equalities Office.</w:t>
      </w:r>
    </w:p>
    <w:p w14:paraId="1A50CD9A" w14:textId="42E99F60" w:rsidR="004F6516" w:rsidRPr="004F6516" w:rsidRDefault="004F6516" w:rsidP="0010187B">
      <w:pPr>
        <w:pStyle w:val="Heading3"/>
      </w:pPr>
      <w:r w:rsidRPr="004F6516">
        <w:t>Current Campaigns Against Trans Inclusion</w:t>
      </w:r>
    </w:p>
    <w:p w14:paraId="34FB76C4" w14:textId="14E0C8F5" w:rsidR="00CF046E" w:rsidRDefault="00CF046E" w:rsidP="00B017F8">
      <w:pPr>
        <w:rPr>
          <w:rFonts w:eastAsia="Times New Roman"/>
          <w:color w:val="333333"/>
          <w:lang w:eastAsia="en-GB"/>
        </w:rPr>
      </w:pPr>
      <w:r>
        <w:rPr>
          <w:rFonts w:eastAsia="Times New Roman"/>
          <w:color w:val="333333"/>
          <w:lang w:eastAsia="en-GB"/>
        </w:rPr>
        <w:t>The UK has recently seen a concerted level of campaigning to protect</w:t>
      </w:r>
      <w:r w:rsidR="000C20F8">
        <w:rPr>
          <w:rFonts w:eastAsia="Times New Roman"/>
          <w:color w:val="333333"/>
          <w:lang w:eastAsia="en-GB"/>
        </w:rPr>
        <w:t xml:space="preserve"> so-called</w:t>
      </w:r>
      <w:r>
        <w:rPr>
          <w:rFonts w:eastAsia="Times New Roman"/>
          <w:color w:val="333333"/>
          <w:lang w:eastAsia="en-GB"/>
        </w:rPr>
        <w:t xml:space="preserve"> </w:t>
      </w:r>
      <w:r w:rsidR="004F6516">
        <w:rPr>
          <w:rFonts w:eastAsia="Times New Roman"/>
          <w:color w:val="333333"/>
          <w:lang w:eastAsia="en-GB"/>
        </w:rPr>
        <w:t>“</w:t>
      </w:r>
      <w:r>
        <w:rPr>
          <w:rFonts w:eastAsia="Times New Roman"/>
          <w:color w:val="333333"/>
          <w:lang w:eastAsia="en-GB"/>
        </w:rPr>
        <w:t>sex-based rights</w:t>
      </w:r>
      <w:r w:rsidR="004F6516">
        <w:rPr>
          <w:rFonts w:eastAsia="Times New Roman"/>
          <w:color w:val="333333"/>
          <w:lang w:eastAsia="en-GB"/>
        </w:rPr>
        <w:t>”</w:t>
      </w:r>
      <w:r>
        <w:rPr>
          <w:rFonts w:eastAsia="Times New Roman"/>
          <w:color w:val="333333"/>
          <w:lang w:eastAsia="en-GB"/>
        </w:rPr>
        <w:t>, based upon a particular and contested interpretation of the Equality Act</w:t>
      </w:r>
      <w:r w:rsidR="001F0930">
        <w:rPr>
          <w:rFonts w:eastAsia="Times New Roman"/>
          <w:color w:val="333333"/>
          <w:lang w:eastAsia="en-GB"/>
        </w:rPr>
        <w:t>, and completely counter to CEDAW</w:t>
      </w:r>
      <w:r>
        <w:rPr>
          <w:rFonts w:eastAsia="Times New Roman"/>
          <w:color w:val="333333"/>
          <w:lang w:eastAsia="en-GB"/>
        </w:rPr>
        <w:t xml:space="preserve">. The claim is that the protected characteristic of sex refers only to biological sex </w:t>
      </w:r>
      <w:r w:rsidR="004B630D">
        <w:rPr>
          <w:rFonts w:eastAsia="Times New Roman"/>
          <w:color w:val="333333"/>
          <w:lang w:eastAsia="en-GB"/>
        </w:rPr>
        <w:t>(d</w:t>
      </w:r>
      <w:r>
        <w:rPr>
          <w:rFonts w:eastAsia="Times New Roman"/>
          <w:color w:val="333333"/>
          <w:lang w:eastAsia="en-GB"/>
        </w:rPr>
        <w:t>espite the complete absence of this wording appearing in any UK legislation</w:t>
      </w:r>
      <w:r w:rsidR="004B630D">
        <w:rPr>
          <w:rFonts w:eastAsia="Times New Roman"/>
          <w:color w:val="333333"/>
          <w:lang w:eastAsia="en-GB"/>
        </w:rPr>
        <w:t>)</w:t>
      </w:r>
      <w:r>
        <w:rPr>
          <w:rFonts w:eastAsia="Times New Roman"/>
          <w:color w:val="333333"/>
          <w:lang w:eastAsia="en-GB"/>
        </w:rPr>
        <w:t xml:space="preserve"> and therefore cannot apply to trans people </w:t>
      </w:r>
      <w:r w:rsidR="004B630D">
        <w:rPr>
          <w:rFonts w:eastAsia="Times New Roman"/>
          <w:color w:val="333333"/>
          <w:lang w:eastAsia="en-GB"/>
        </w:rPr>
        <w:t>(</w:t>
      </w:r>
      <w:r>
        <w:rPr>
          <w:rFonts w:eastAsia="Times New Roman"/>
          <w:color w:val="333333"/>
          <w:lang w:eastAsia="en-GB"/>
        </w:rPr>
        <w:t>despite the Equality Act including protections against discrimination by perception or association</w:t>
      </w:r>
      <w:r w:rsidR="000C20F8">
        <w:rPr>
          <w:rFonts w:eastAsia="Times New Roman"/>
          <w:color w:val="333333"/>
          <w:lang w:eastAsia="en-GB"/>
        </w:rPr>
        <w:t xml:space="preserve"> and the conflation of </w:t>
      </w:r>
      <w:r w:rsidR="001F0930">
        <w:rPr>
          <w:rFonts w:eastAsia="Times New Roman"/>
          <w:color w:val="333333"/>
          <w:lang w:eastAsia="en-GB"/>
        </w:rPr>
        <w:t>the terms “</w:t>
      </w:r>
      <w:r w:rsidR="000C20F8">
        <w:rPr>
          <w:rFonts w:eastAsia="Times New Roman"/>
          <w:color w:val="333333"/>
          <w:lang w:eastAsia="en-GB"/>
        </w:rPr>
        <w:t>sex</w:t>
      </w:r>
      <w:r w:rsidR="001F0930">
        <w:rPr>
          <w:rFonts w:eastAsia="Times New Roman"/>
          <w:color w:val="333333"/>
          <w:lang w:eastAsia="en-GB"/>
        </w:rPr>
        <w:t>”</w:t>
      </w:r>
      <w:r w:rsidR="000C20F8">
        <w:rPr>
          <w:rFonts w:eastAsia="Times New Roman"/>
          <w:color w:val="333333"/>
          <w:lang w:eastAsia="en-GB"/>
        </w:rPr>
        <w:t xml:space="preserve"> and </w:t>
      </w:r>
      <w:r w:rsidR="001F0930">
        <w:rPr>
          <w:rFonts w:eastAsia="Times New Roman"/>
          <w:color w:val="333333"/>
          <w:lang w:eastAsia="en-GB"/>
        </w:rPr>
        <w:t>“</w:t>
      </w:r>
      <w:r w:rsidR="000C20F8">
        <w:rPr>
          <w:rFonts w:eastAsia="Times New Roman"/>
          <w:color w:val="333333"/>
          <w:lang w:eastAsia="en-GB"/>
        </w:rPr>
        <w:t>gender</w:t>
      </w:r>
      <w:r w:rsidR="001F0930">
        <w:rPr>
          <w:rFonts w:eastAsia="Times New Roman"/>
          <w:color w:val="333333"/>
          <w:lang w:eastAsia="en-GB"/>
        </w:rPr>
        <w:t>”</w:t>
      </w:r>
      <w:r w:rsidR="000C20F8">
        <w:rPr>
          <w:rFonts w:eastAsia="Times New Roman"/>
          <w:color w:val="333333"/>
          <w:lang w:eastAsia="en-GB"/>
        </w:rPr>
        <w:t xml:space="preserve"> throughout English law</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3"/>
      </w:r>
      <w:r w:rsidR="00DF7920">
        <w:rPr>
          <w:rStyle w:val="FootnoteReference"/>
          <w:rFonts w:eastAsia="Times New Roman"/>
          <w:color w:val="333333"/>
          <w:lang w:eastAsia="en-GB"/>
        </w:rPr>
        <w:t>]</w:t>
      </w:r>
      <w:r w:rsidR="004B630D">
        <w:rPr>
          <w:rFonts w:eastAsia="Times New Roman"/>
          <w:color w:val="333333"/>
          <w:lang w:eastAsia="en-GB"/>
        </w:rPr>
        <w:t>)</w:t>
      </w:r>
      <w:r>
        <w:rPr>
          <w:rFonts w:eastAsia="Times New Roman"/>
          <w:color w:val="333333"/>
          <w:lang w:eastAsia="en-GB"/>
        </w:rPr>
        <w:t>.</w:t>
      </w:r>
    </w:p>
    <w:p w14:paraId="5DC90468" w14:textId="1E109DFB" w:rsidR="00CF046E" w:rsidRDefault="00CF046E" w:rsidP="00B017F8">
      <w:pPr>
        <w:rPr>
          <w:rFonts w:eastAsia="Times New Roman"/>
          <w:color w:val="333333"/>
          <w:lang w:eastAsia="en-GB"/>
        </w:rPr>
      </w:pPr>
      <w:r>
        <w:rPr>
          <w:rFonts w:eastAsia="Times New Roman"/>
          <w:color w:val="333333"/>
          <w:lang w:eastAsia="en-GB"/>
        </w:rPr>
        <w:t>This campaign has</w:t>
      </w:r>
      <w:r w:rsidR="004F6516">
        <w:rPr>
          <w:rFonts w:eastAsia="Times New Roman"/>
          <w:color w:val="333333"/>
          <w:lang w:eastAsia="en-GB"/>
        </w:rPr>
        <w:t xml:space="preserve"> </w:t>
      </w:r>
      <w:r>
        <w:rPr>
          <w:rFonts w:eastAsia="Times New Roman"/>
          <w:color w:val="333333"/>
          <w:lang w:eastAsia="en-GB"/>
        </w:rPr>
        <w:t>become multi-faceted, impacting many current issues including but not restricted</w:t>
      </w:r>
      <w:r w:rsidR="00BB76EA">
        <w:rPr>
          <w:rFonts w:eastAsia="Times New Roman"/>
          <w:color w:val="333333"/>
          <w:lang w:eastAsia="en-GB"/>
        </w:rPr>
        <w:t xml:space="preserve"> </w:t>
      </w:r>
      <w:r>
        <w:rPr>
          <w:rFonts w:eastAsia="Times New Roman"/>
          <w:color w:val="333333"/>
          <w:lang w:eastAsia="en-GB"/>
        </w:rPr>
        <w:t xml:space="preserve">to </w:t>
      </w:r>
      <w:r w:rsidR="00BB76EA">
        <w:rPr>
          <w:rFonts w:eastAsia="Times New Roman"/>
          <w:color w:val="333333"/>
          <w:lang w:eastAsia="en-GB"/>
        </w:rPr>
        <w:t>Mr Potato Head</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4"/>
      </w:r>
      <w:r w:rsidR="00DF7920">
        <w:rPr>
          <w:rStyle w:val="FootnoteReference"/>
          <w:rFonts w:eastAsia="Times New Roman"/>
          <w:color w:val="333333"/>
          <w:lang w:eastAsia="en-GB"/>
        </w:rPr>
        <w:t>]</w:t>
      </w:r>
      <w:r w:rsidR="004F6516">
        <w:rPr>
          <w:rFonts w:eastAsia="Times New Roman"/>
          <w:color w:val="333333"/>
          <w:lang w:eastAsia="en-GB"/>
        </w:rPr>
        <w:t>, guidance to NHS midwives in Sussex</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5"/>
      </w:r>
      <w:r w:rsidR="00DF7920">
        <w:rPr>
          <w:rStyle w:val="FootnoteReference"/>
          <w:rFonts w:eastAsia="Times New Roman"/>
          <w:color w:val="333333"/>
          <w:lang w:eastAsia="en-GB"/>
        </w:rPr>
        <w:t>]</w:t>
      </w:r>
      <w:r w:rsidR="004F6516">
        <w:rPr>
          <w:rFonts w:eastAsia="Times New Roman"/>
          <w:color w:val="333333"/>
          <w:lang w:eastAsia="en-GB"/>
        </w:rPr>
        <w:t>, the recording of sex in the census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6"/>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7"/>
      </w:r>
      <w:r w:rsidR="00DF7920">
        <w:rPr>
          <w:rStyle w:val="FootnoteReference"/>
          <w:rFonts w:eastAsia="Times New Roman"/>
          <w:color w:val="333333"/>
          <w:lang w:eastAsia="en-GB"/>
        </w:rPr>
        <w:t>]</w:t>
      </w:r>
      <w:r w:rsidR="004F6516">
        <w:rPr>
          <w:rFonts w:eastAsia="Times New Roman"/>
          <w:color w:val="333333"/>
          <w:lang w:eastAsia="en-GB"/>
        </w:rPr>
        <w:t xml:space="preserve">, </w:t>
      </w:r>
      <w:r w:rsidR="00BB76EA">
        <w:rPr>
          <w:rFonts w:eastAsia="Times New Roman"/>
          <w:color w:val="333333"/>
          <w:lang w:eastAsia="en-GB"/>
        </w:rPr>
        <w:t xml:space="preserve">and </w:t>
      </w:r>
      <w:r w:rsidR="004F6516">
        <w:rPr>
          <w:rFonts w:eastAsia="Times New Roman"/>
          <w:color w:val="333333"/>
          <w:lang w:eastAsia="en-GB"/>
        </w:rPr>
        <w:t xml:space="preserve">the </w:t>
      </w:r>
      <w:r w:rsidR="00BB76EA">
        <w:rPr>
          <w:rFonts w:eastAsia="Times New Roman"/>
          <w:color w:val="333333"/>
          <w:lang w:eastAsia="en-GB"/>
        </w:rPr>
        <w:t xml:space="preserve">new </w:t>
      </w:r>
      <w:r w:rsidR="004F6516">
        <w:rPr>
          <w:rFonts w:eastAsia="Times New Roman"/>
          <w:color w:val="333333"/>
          <w:lang w:eastAsia="en-GB"/>
        </w:rPr>
        <w:t xml:space="preserve">Ministerial and Other Maternity Allowances </w:t>
      </w:r>
      <w:r w:rsidR="00BB76EA">
        <w:rPr>
          <w:rFonts w:eastAsia="Times New Roman"/>
          <w:color w:val="333333"/>
          <w:lang w:eastAsia="en-GB"/>
        </w:rPr>
        <w:t>Act 2021 (</w:t>
      </w:r>
      <w:r w:rsidR="00BB76EA" w:rsidRPr="00BB76EA">
        <w:rPr>
          <w:rFonts w:eastAsia="Times New Roman"/>
          <w:i/>
          <w:iCs/>
          <w:color w:val="333333"/>
          <w:lang w:eastAsia="en-GB"/>
        </w:rPr>
        <w:t>M</w:t>
      </w:r>
      <w:r w:rsidR="00C0170A">
        <w:rPr>
          <w:rFonts w:eastAsia="Times New Roman"/>
          <w:i/>
          <w:iCs/>
          <w:color w:val="333333"/>
          <w:lang w:eastAsia="en-GB"/>
        </w:rPr>
        <w:t>O</w:t>
      </w:r>
      <w:r w:rsidR="00BB76EA" w:rsidRPr="00BB76EA">
        <w:rPr>
          <w:rFonts w:eastAsia="Times New Roman"/>
          <w:i/>
          <w:iCs/>
          <w:color w:val="333333"/>
          <w:lang w:eastAsia="en-GB"/>
        </w:rPr>
        <w:t>MA Act</w:t>
      </w:r>
      <w:r w:rsidR="00BB76EA">
        <w:rPr>
          <w:rFonts w:eastAsia="Times New Roman"/>
          <w:color w:val="333333"/>
          <w:lang w:eastAsia="en-GB"/>
        </w:rPr>
        <w:t>)</w:t>
      </w:r>
      <w:r w:rsidR="004F6516">
        <w:rPr>
          <w:rFonts w:eastAsia="Times New Roman"/>
          <w:color w:val="333333"/>
          <w:lang w:eastAsia="en-GB"/>
        </w:rPr>
        <w:t>.</w:t>
      </w:r>
    </w:p>
    <w:p w14:paraId="5C1B3120" w14:textId="4C2DF258" w:rsidR="00BB76EA" w:rsidRDefault="00BB76EA" w:rsidP="00B017F8">
      <w:pPr>
        <w:rPr>
          <w:rFonts w:eastAsia="Times New Roman"/>
          <w:color w:val="333333"/>
          <w:lang w:eastAsia="en-GB"/>
        </w:rPr>
      </w:pPr>
      <w:r>
        <w:rPr>
          <w:rFonts w:eastAsia="Times New Roman"/>
          <w:color w:val="333333"/>
          <w:lang w:eastAsia="en-GB"/>
        </w:rPr>
        <w:t xml:space="preserve">On 25 February 2021, the </w:t>
      </w:r>
      <w:r w:rsidR="00E560AF">
        <w:rPr>
          <w:rFonts w:eastAsia="Times New Roman"/>
          <w:color w:val="333333"/>
          <w:lang w:eastAsia="en-GB"/>
        </w:rPr>
        <w:t xml:space="preserve">UK </w:t>
      </w:r>
      <w:r>
        <w:rPr>
          <w:rFonts w:eastAsia="Times New Roman"/>
          <w:color w:val="333333"/>
          <w:lang w:eastAsia="en-GB"/>
        </w:rPr>
        <w:t>Government replaced the default inclusive gender</w:t>
      </w:r>
      <w:r w:rsidR="0021788E">
        <w:rPr>
          <w:rFonts w:eastAsia="Times New Roman"/>
          <w:color w:val="333333"/>
          <w:lang w:eastAsia="en-GB"/>
        </w:rPr>
        <w:t>-</w:t>
      </w:r>
      <w:r>
        <w:rPr>
          <w:rFonts w:eastAsia="Times New Roman"/>
          <w:color w:val="333333"/>
          <w:lang w:eastAsia="en-GB"/>
        </w:rPr>
        <w:t>neutral language in the M</w:t>
      </w:r>
      <w:r w:rsidR="00C0170A">
        <w:rPr>
          <w:rFonts w:eastAsia="Times New Roman"/>
          <w:color w:val="333333"/>
          <w:lang w:eastAsia="en-GB"/>
        </w:rPr>
        <w:t>O</w:t>
      </w:r>
      <w:r>
        <w:rPr>
          <w:rFonts w:eastAsia="Times New Roman"/>
          <w:color w:val="333333"/>
          <w:lang w:eastAsia="en-GB"/>
        </w:rPr>
        <w:t>MA Act with gendered language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8"/>
      </w:r>
      <w:r w:rsidR="00DF7920">
        <w:rPr>
          <w:rStyle w:val="FootnoteReference"/>
          <w:rFonts w:eastAsia="Times New Roman"/>
          <w:color w:val="333333"/>
          <w:lang w:eastAsia="en-GB"/>
        </w:rPr>
        <w:t>]</w:t>
      </w:r>
      <w:r>
        <w:rPr>
          <w:rFonts w:eastAsia="Times New Roman"/>
          <w:color w:val="333333"/>
          <w:lang w:eastAsia="en-GB"/>
        </w:rPr>
        <w:t xml:space="preserve">, requiring trans men to identify as mothers in order to be treated equally. This was the first time in decades where the Government had explicitly decided to make new legislation less inclusive than originally drafted. In the House of Lords debate, the Government indicated it </w:t>
      </w:r>
      <w:r w:rsidR="00BC4EB2">
        <w:rPr>
          <w:rFonts w:eastAsia="Times New Roman"/>
          <w:color w:val="333333"/>
          <w:lang w:eastAsia="en-GB"/>
        </w:rPr>
        <w:t xml:space="preserve">now </w:t>
      </w:r>
      <w:r>
        <w:rPr>
          <w:rFonts w:eastAsia="Times New Roman"/>
          <w:color w:val="333333"/>
          <w:lang w:eastAsia="en-GB"/>
        </w:rPr>
        <w:t>intends to review the gender-neutral drafting of new legislation.</w:t>
      </w:r>
    </w:p>
    <w:p w14:paraId="1FBA409D" w14:textId="4047AB53" w:rsidR="004F6516" w:rsidRDefault="004F6516" w:rsidP="00B017F8">
      <w:pPr>
        <w:rPr>
          <w:rFonts w:eastAsia="Times New Roman"/>
          <w:color w:val="333333"/>
          <w:lang w:eastAsia="en-GB"/>
        </w:rPr>
      </w:pPr>
      <w:r>
        <w:rPr>
          <w:rFonts w:eastAsia="Times New Roman"/>
          <w:color w:val="333333"/>
          <w:lang w:eastAsia="en-GB"/>
        </w:rPr>
        <w:t>Meanwhile new campaign groups keep appearing who are fixated on removing current rights and protections from trans people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79"/>
      </w:r>
      <w:r w:rsidR="00DF7920">
        <w:rPr>
          <w:rStyle w:val="FootnoteReference"/>
          <w:rFonts w:eastAsia="Times New Roman"/>
          <w:color w:val="333333"/>
          <w:lang w:eastAsia="en-GB"/>
        </w:rPr>
        <w:t>]</w:t>
      </w:r>
      <w:r>
        <w:rPr>
          <w:rFonts w:eastAsia="Times New Roman"/>
          <w:color w:val="333333"/>
          <w:lang w:eastAsia="en-GB"/>
        </w:rPr>
        <w:t>, despite the</w:t>
      </w:r>
      <w:r w:rsidR="00BB76EA">
        <w:rPr>
          <w:rFonts w:eastAsia="Times New Roman"/>
          <w:color w:val="333333"/>
          <w:lang w:eastAsia="en-GB"/>
        </w:rPr>
        <w:t xml:space="preserve"> </w:t>
      </w:r>
      <w:r w:rsidR="00E560AF">
        <w:rPr>
          <w:rFonts w:eastAsia="Times New Roman"/>
          <w:color w:val="333333"/>
          <w:lang w:eastAsia="en-GB"/>
        </w:rPr>
        <w:t xml:space="preserve">UK </w:t>
      </w:r>
      <w:r w:rsidR="00BB76EA">
        <w:rPr>
          <w:rFonts w:eastAsia="Times New Roman"/>
          <w:color w:val="333333"/>
          <w:lang w:eastAsia="en-GB"/>
        </w:rPr>
        <w:t>Government’s</w:t>
      </w:r>
      <w:r>
        <w:rPr>
          <w:rFonts w:eastAsia="Times New Roman"/>
          <w:color w:val="333333"/>
          <w:lang w:eastAsia="en-GB"/>
        </w:rPr>
        <w:t xml:space="preserve"> decision to drop GRA reform. All these groups are opaque </w:t>
      </w:r>
      <w:r>
        <w:rPr>
          <w:rFonts w:eastAsia="Times New Roman"/>
          <w:color w:val="333333"/>
          <w:lang w:eastAsia="en-GB"/>
        </w:rPr>
        <w:lastRenderedPageBreak/>
        <w:t>about their financing</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0"/>
      </w:r>
      <w:r w:rsidR="00DF7920">
        <w:rPr>
          <w:rStyle w:val="FootnoteReference"/>
          <w:rFonts w:eastAsia="Times New Roman"/>
          <w:color w:val="333333"/>
          <w:lang w:eastAsia="en-GB"/>
        </w:rPr>
        <w:t>]</w:t>
      </w:r>
      <w:r>
        <w:rPr>
          <w:rFonts w:eastAsia="Times New Roman"/>
          <w:color w:val="333333"/>
          <w:lang w:eastAsia="en-GB"/>
        </w:rPr>
        <w:t>, appear as if they’re concerned for a wider group of people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1"/>
      </w:r>
      <w:r w:rsidR="00DF7920">
        <w:rPr>
          <w:rStyle w:val="FootnoteReference"/>
          <w:rFonts w:eastAsia="Times New Roman"/>
          <w:color w:val="333333"/>
          <w:lang w:eastAsia="en-GB"/>
        </w:rPr>
        <w:t>]</w:t>
      </w:r>
      <w:r>
        <w:rPr>
          <w:rFonts w:eastAsia="Times New Roman"/>
          <w:color w:val="333333"/>
          <w:lang w:eastAsia="en-GB"/>
        </w:rPr>
        <w:t>, yet only present trans people as a threat who need to be considerably restricted within society. Such groups have also started campaigning against LGB-inclusive education in schools, adoption rights of gay and lesbian couples, and even the concept of same-sex marriage itself.</w:t>
      </w:r>
    </w:p>
    <w:p w14:paraId="53CF55B0" w14:textId="09350F6A" w:rsidR="00BB76EA" w:rsidRDefault="00BB76EA" w:rsidP="00B017F8">
      <w:pPr>
        <w:rPr>
          <w:rFonts w:eastAsia="Times New Roman"/>
          <w:color w:val="333333"/>
          <w:lang w:eastAsia="en-GB"/>
        </w:rPr>
      </w:pPr>
      <w:r>
        <w:rPr>
          <w:rFonts w:eastAsia="Times New Roman"/>
          <w:color w:val="333333"/>
          <w:lang w:eastAsia="en-GB"/>
        </w:rPr>
        <w:t>Analysis shows that these groups are self-referencing and more-or-less completely disconnected from mainstream campaigning groups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2"/>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3"/>
      </w:r>
      <w:r w:rsidR="00DF7920">
        <w:rPr>
          <w:rStyle w:val="FootnoteReference"/>
          <w:rFonts w:eastAsia="Times New Roman"/>
          <w:color w:val="333333"/>
          <w:lang w:eastAsia="en-GB"/>
        </w:rPr>
        <w:t>]</w:t>
      </w:r>
      <w:r>
        <w:rPr>
          <w:rFonts w:eastAsia="Times New Roman"/>
          <w:color w:val="333333"/>
          <w:lang w:eastAsia="en-GB"/>
        </w:rPr>
        <w:t>.</w:t>
      </w:r>
    </w:p>
    <w:p w14:paraId="76B029B7" w14:textId="13664975" w:rsidR="0082361E" w:rsidRDefault="00FE6755" w:rsidP="00B017F8">
      <w:pPr>
        <w:rPr>
          <w:rFonts w:eastAsia="Times New Roman"/>
          <w:color w:val="333333"/>
          <w:lang w:eastAsia="en-GB"/>
        </w:rPr>
      </w:pPr>
      <w:r>
        <w:rPr>
          <w:rFonts w:eastAsia="Times New Roman"/>
          <w:color w:val="333333"/>
          <w:lang w:eastAsia="en-GB"/>
        </w:rPr>
        <w:t xml:space="preserve">Campaign groups </w:t>
      </w:r>
      <w:r w:rsidR="00A004F1">
        <w:rPr>
          <w:rFonts w:eastAsia="Times New Roman"/>
          <w:color w:val="333333"/>
          <w:lang w:eastAsia="en-GB"/>
        </w:rPr>
        <w:t xml:space="preserve">hostile to trans inclusion </w:t>
      </w:r>
      <w:r>
        <w:rPr>
          <w:rFonts w:eastAsia="Times New Roman"/>
          <w:color w:val="333333"/>
          <w:lang w:eastAsia="en-GB"/>
        </w:rPr>
        <w:t>have subjected many local authorities</w:t>
      </w:r>
      <w:r w:rsidR="00C30C20">
        <w:rPr>
          <w:rFonts w:eastAsia="Times New Roman"/>
          <w:color w:val="333333"/>
          <w:lang w:eastAsia="en-GB"/>
        </w:rPr>
        <w:t xml:space="preserve"> and public bodies</w:t>
      </w:r>
      <w:r>
        <w:rPr>
          <w:rFonts w:eastAsia="Times New Roman"/>
          <w:color w:val="333333"/>
          <w:lang w:eastAsia="en-GB"/>
        </w:rPr>
        <w:t xml:space="preserve"> to judicial reviews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4"/>
      </w:r>
      <w:r w:rsidR="00DF7920">
        <w:rPr>
          <w:rStyle w:val="FootnoteReference"/>
          <w:rFonts w:eastAsia="Times New Roman"/>
          <w:color w:val="333333"/>
          <w:lang w:eastAsia="en-GB"/>
        </w:rPr>
        <w:t>]</w:t>
      </w:r>
      <w:r>
        <w:rPr>
          <w:rFonts w:eastAsia="Times New Roman"/>
          <w:color w:val="333333"/>
          <w:lang w:eastAsia="en-GB"/>
        </w:rPr>
        <w:t xml:space="preserve"> </w:t>
      </w:r>
      <w:r w:rsidRPr="006166E8">
        <w:rPr>
          <w:rFonts w:eastAsia="Times New Roman"/>
          <w:color w:val="333333"/>
          <w:lang w:eastAsia="en-GB"/>
        </w:rPr>
        <w:t>and</w:t>
      </w:r>
      <w:r w:rsidR="00925D5E" w:rsidRPr="006166E8">
        <w:rPr>
          <w:rFonts w:eastAsia="Times New Roman"/>
          <w:color w:val="333333"/>
          <w:lang w:eastAsia="en-GB"/>
        </w:rPr>
        <w:t xml:space="preserve"> thousands of</w:t>
      </w:r>
      <w:r w:rsidRPr="006166E8">
        <w:rPr>
          <w:rFonts w:eastAsia="Times New Roman"/>
          <w:color w:val="333333"/>
          <w:lang w:eastAsia="en-GB"/>
        </w:rPr>
        <w:t xml:space="preserve"> freedom of information requests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5"/>
      </w:r>
      <w:r w:rsidR="00DF7920">
        <w:rPr>
          <w:rStyle w:val="FootnoteReference"/>
          <w:rFonts w:eastAsia="Times New Roman"/>
          <w:color w:val="333333"/>
          <w:lang w:eastAsia="en-GB"/>
        </w:rPr>
        <w:t>]</w:t>
      </w:r>
      <w:r w:rsidRPr="006166E8">
        <w:rPr>
          <w:rFonts w:eastAsia="Times New Roman"/>
          <w:color w:val="333333"/>
          <w:lang w:eastAsia="en-GB"/>
        </w:rPr>
        <w:t>,</w:t>
      </w:r>
      <w:r>
        <w:rPr>
          <w:rFonts w:eastAsia="Times New Roman"/>
          <w:color w:val="333333"/>
          <w:lang w:eastAsia="en-GB"/>
        </w:rPr>
        <w:t xml:space="preserve"> sometimes leading to withdrawal of </w:t>
      </w:r>
      <w:r w:rsidR="00A004F1">
        <w:rPr>
          <w:rFonts w:eastAsia="Times New Roman"/>
          <w:color w:val="333333"/>
          <w:lang w:eastAsia="en-GB"/>
        </w:rPr>
        <w:t xml:space="preserve">trans-inclusive </w:t>
      </w:r>
      <w:r>
        <w:rPr>
          <w:rFonts w:eastAsia="Times New Roman"/>
          <w:color w:val="333333"/>
          <w:lang w:eastAsia="en-GB"/>
        </w:rPr>
        <w:t>guidance</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6"/>
      </w:r>
      <w:r w:rsidR="00DF7920">
        <w:rPr>
          <w:rStyle w:val="FootnoteReference"/>
          <w:rFonts w:eastAsia="Times New Roman"/>
          <w:color w:val="333333"/>
          <w:lang w:eastAsia="en-GB"/>
        </w:rPr>
        <w:t>]</w:t>
      </w:r>
      <w:r>
        <w:rPr>
          <w:rFonts w:eastAsia="Times New Roman"/>
          <w:color w:val="333333"/>
          <w:lang w:eastAsia="en-GB"/>
        </w:rPr>
        <w:t xml:space="preserve"> because local authority finances </w:t>
      </w:r>
      <w:r w:rsidR="00E560AF">
        <w:rPr>
          <w:rFonts w:eastAsia="Times New Roman"/>
          <w:color w:val="333333"/>
          <w:lang w:eastAsia="en-GB"/>
        </w:rPr>
        <w:t xml:space="preserve">and staff </w:t>
      </w:r>
      <w:r>
        <w:rPr>
          <w:rFonts w:eastAsia="Times New Roman"/>
          <w:color w:val="333333"/>
          <w:lang w:eastAsia="en-GB"/>
        </w:rPr>
        <w:t xml:space="preserve">are already stretched by </w:t>
      </w:r>
      <w:r w:rsidR="00925D5E">
        <w:rPr>
          <w:rFonts w:eastAsia="Times New Roman"/>
          <w:color w:val="333333"/>
          <w:lang w:eastAsia="en-GB"/>
        </w:rPr>
        <w:t xml:space="preserve">the </w:t>
      </w:r>
      <w:r>
        <w:rPr>
          <w:rFonts w:eastAsia="Times New Roman"/>
          <w:color w:val="333333"/>
          <w:lang w:eastAsia="en-GB"/>
        </w:rPr>
        <w:t>covid-19 pandemic.</w:t>
      </w:r>
      <w:r w:rsidR="000C20F8">
        <w:rPr>
          <w:rFonts w:eastAsia="Times New Roman"/>
          <w:color w:val="333333"/>
          <w:lang w:eastAsia="en-GB"/>
        </w:rPr>
        <w:t xml:space="preserve"> </w:t>
      </w:r>
      <w:r w:rsidR="00925D5E">
        <w:rPr>
          <w:rFonts w:eastAsia="Times New Roman"/>
          <w:color w:val="333333"/>
          <w:lang w:eastAsia="en-GB"/>
        </w:rPr>
        <w:t>They count these as legal wins, claiming that it is proof that local authorities have acted illegally</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7"/>
      </w:r>
      <w:r w:rsidR="00DF7920">
        <w:rPr>
          <w:rStyle w:val="FootnoteReference"/>
          <w:rFonts w:eastAsia="Times New Roman"/>
          <w:color w:val="333333"/>
          <w:lang w:eastAsia="en-GB"/>
        </w:rPr>
        <w:t>]</w:t>
      </w:r>
      <w:r w:rsidR="000C20F8">
        <w:rPr>
          <w:rFonts w:eastAsia="Times New Roman"/>
          <w:color w:val="333333"/>
          <w:lang w:eastAsia="en-GB"/>
        </w:rPr>
        <w:t>.</w:t>
      </w:r>
    </w:p>
    <w:p w14:paraId="6A2CE5BD" w14:textId="5B0547A2" w:rsidR="00886A81" w:rsidRDefault="00886A81" w:rsidP="00B017F8">
      <w:pPr>
        <w:rPr>
          <w:rFonts w:eastAsia="Times New Roman"/>
          <w:color w:val="333333"/>
          <w:lang w:eastAsia="en-GB"/>
        </w:rPr>
      </w:pPr>
      <w:r>
        <w:rPr>
          <w:rFonts w:eastAsia="Times New Roman"/>
          <w:color w:val="333333"/>
          <w:lang w:eastAsia="en-GB"/>
        </w:rPr>
        <w:t>Individuals associated with these groups appear</w:t>
      </w:r>
      <w:r w:rsidR="00CE2A5B">
        <w:rPr>
          <w:rFonts w:eastAsia="Times New Roman"/>
          <w:color w:val="333333"/>
          <w:lang w:eastAsia="en-GB"/>
        </w:rPr>
        <w:t xml:space="preserve"> very active on social media and</w:t>
      </w:r>
      <w:r>
        <w:rPr>
          <w:rFonts w:eastAsia="Times New Roman"/>
          <w:color w:val="333333"/>
          <w:lang w:eastAsia="en-GB"/>
        </w:rPr>
        <w:t xml:space="preserve"> </w:t>
      </w:r>
      <w:r w:rsidR="007C256E">
        <w:rPr>
          <w:rFonts w:eastAsia="Times New Roman"/>
          <w:color w:val="333333"/>
          <w:lang w:eastAsia="en-GB"/>
        </w:rPr>
        <w:t>some threaten litigation</w:t>
      </w:r>
      <w:r>
        <w:rPr>
          <w:rFonts w:eastAsia="Times New Roman"/>
          <w:color w:val="333333"/>
          <w:lang w:eastAsia="en-GB"/>
        </w:rPr>
        <w:t xml:space="preserve">, especially around being called </w:t>
      </w:r>
      <w:r w:rsidR="009F625D">
        <w:rPr>
          <w:rFonts w:eastAsia="Times New Roman"/>
          <w:color w:val="333333"/>
          <w:lang w:eastAsia="en-GB"/>
        </w:rPr>
        <w:t>“</w:t>
      </w:r>
      <w:r>
        <w:rPr>
          <w:rFonts w:eastAsia="Times New Roman"/>
          <w:color w:val="333333"/>
          <w:lang w:eastAsia="en-GB"/>
        </w:rPr>
        <w:t>TERFs</w:t>
      </w:r>
      <w:r w:rsidR="009F625D">
        <w:rPr>
          <w:rFonts w:eastAsia="Times New Roman"/>
          <w:color w:val="333333"/>
          <w:lang w:eastAsia="en-GB"/>
        </w:rPr>
        <w:t>”</w:t>
      </w:r>
      <w:r>
        <w:rPr>
          <w:rFonts w:eastAsia="Times New Roman"/>
          <w:color w:val="333333"/>
          <w:lang w:eastAsia="en-GB"/>
        </w:rPr>
        <w:t xml:space="preserve"> or </w:t>
      </w:r>
      <w:r w:rsidR="009F625D">
        <w:rPr>
          <w:rFonts w:eastAsia="Times New Roman"/>
          <w:color w:val="333333"/>
          <w:lang w:eastAsia="en-GB"/>
        </w:rPr>
        <w:t>“</w:t>
      </w:r>
      <w:r>
        <w:rPr>
          <w:rFonts w:eastAsia="Times New Roman"/>
          <w:color w:val="333333"/>
          <w:lang w:eastAsia="en-GB"/>
        </w:rPr>
        <w:t>transphobic</w:t>
      </w:r>
      <w:r w:rsidR="009F625D">
        <w:rPr>
          <w:rFonts w:eastAsia="Times New Roman"/>
          <w:color w:val="333333"/>
          <w:lang w:eastAsia="en-GB"/>
        </w:rPr>
        <w: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8"/>
      </w:r>
      <w:r w:rsidR="00DF7920">
        <w:rPr>
          <w:rStyle w:val="FootnoteReference"/>
          <w:rFonts w:eastAsia="Times New Roman"/>
          <w:color w:val="333333"/>
          <w:lang w:eastAsia="en-GB"/>
        </w:rPr>
        <w:t>]</w:t>
      </w:r>
      <w:r>
        <w:rPr>
          <w:rFonts w:eastAsia="Times New Roman"/>
          <w:color w:val="333333"/>
          <w:lang w:eastAsia="en-GB"/>
        </w:rPr>
        <w:t>.</w:t>
      </w:r>
    </w:p>
    <w:p w14:paraId="267C2D17" w14:textId="4FB1C573" w:rsidR="00FE6755" w:rsidRDefault="00FE6755" w:rsidP="00B017F8">
      <w:pPr>
        <w:rPr>
          <w:rFonts w:eastAsia="Times New Roman"/>
          <w:color w:val="333333"/>
          <w:lang w:eastAsia="en-GB"/>
        </w:rPr>
      </w:pPr>
      <w:r>
        <w:rPr>
          <w:rFonts w:eastAsia="Times New Roman"/>
          <w:color w:val="333333"/>
          <w:lang w:eastAsia="en-GB"/>
        </w:rPr>
        <w:t>Medical treatment under the NHS for trans under-18s has been significantly impacted by a court ruling</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89"/>
      </w:r>
      <w:r w:rsidR="00DF7920">
        <w:rPr>
          <w:rStyle w:val="FootnoteReference"/>
          <w:rFonts w:eastAsia="Times New Roman"/>
          <w:color w:val="333333"/>
          <w:lang w:eastAsia="en-GB"/>
        </w:rPr>
        <w:t>]</w:t>
      </w:r>
      <w:r>
        <w:rPr>
          <w:rFonts w:eastAsia="Times New Roman"/>
          <w:color w:val="333333"/>
          <w:lang w:eastAsia="en-GB"/>
        </w:rPr>
        <w:t>, subject to appeal, restricting access of trans youth to puberty blockers. It is unclear why the NHS did not challenge the suspect evidence presented</w:t>
      </w:r>
      <w:r w:rsidR="00AA289A">
        <w:rPr>
          <w:rFonts w:eastAsia="Times New Roman"/>
          <w:color w:val="333333"/>
          <w:lang w:eastAsia="en-GB"/>
        </w:rPr>
        <w:t xml:space="preserve"> </w:t>
      </w:r>
      <w:r>
        <w:rPr>
          <w:rFonts w:eastAsia="Times New Roman"/>
          <w:color w:val="333333"/>
          <w:lang w:eastAsia="en-GB"/>
        </w:rPr>
        <w:t>from US evangelical Christian sources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0"/>
      </w:r>
      <w:r w:rsidR="00DF7920">
        <w:rPr>
          <w:rStyle w:val="FootnoteReference"/>
          <w:rFonts w:eastAsia="Times New Roman"/>
          <w:color w:val="333333"/>
          <w:lang w:eastAsia="en-GB"/>
        </w:rPr>
        <w:t>]</w:t>
      </w:r>
      <w:r>
        <w:rPr>
          <w:rFonts w:eastAsia="Times New Roman"/>
          <w:color w:val="333333"/>
          <w:lang w:eastAsia="en-GB"/>
        </w:rPr>
        <w:t xml:space="preserve"> at the original hearing, but </w:t>
      </w:r>
      <w:r w:rsidRPr="006166E8">
        <w:rPr>
          <w:rFonts w:eastAsia="Times New Roman"/>
          <w:color w:val="333333"/>
          <w:lang w:eastAsia="en-GB"/>
        </w:rPr>
        <w:t>the NHS immediately imposed more draconian measures than actually required by the court ruling</w:t>
      </w:r>
      <w:r w:rsidR="00DF7920">
        <w:rPr>
          <w:rStyle w:val="FootnoteReference"/>
          <w:rFonts w:eastAsia="Times New Roman"/>
          <w:color w:val="333333"/>
          <w:lang w:eastAsia="en-GB"/>
        </w:rPr>
        <w:t>[</w:t>
      </w:r>
      <w:r w:rsidR="00DF7920" w:rsidRPr="006166E8">
        <w:rPr>
          <w:rStyle w:val="FootnoteReference"/>
          <w:rFonts w:eastAsia="Times New Roman"/>
          <w:color w:val="333333"/>
          <w:lang w:eastAsia="en-GB"/>
        </w:rPr>
        <w:footnoteReference w:id="91"/>
      </w:r>
      <w:r w:rsidR="00DF7920">
        <w:rPr>
          <w:rStyle w:val="FootnoteReference"/>
          <w:rFonts w:eastAsia="Times New Roman"/>
          <w:color w:val="333333"/>
          <w:lang w:eastAsia="en-GB"/>
        </w:rPr>
        <w:t>]</w:t>
      </w:r>
      <w:r w:rsidRPr="006166E8">
        <w:rPr>
          <w:rFonts w:eastAsia="Times New Roman"/>
          <w:color w:val="333333"/>
          <w:lang w:eastAsia="en-GB"/>
        </w:rPr>
        <w:t xml:space="preserve"> without undertaking</w:t>
      </w:r>
      <w:r>
        <w:rPr>
          <w:rFonts w:eastAsia="Times New Roman"/>
          <w:color w:val="333333"/>
          <w:lang w:eastAsia="en-GB"/>
        </w:rPr>
        <w:t xml:space="preserve"> any equalities impact assessments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2"/>
      </w:r>
      <w:r w:rsidR="00DF7920">
        <w:rPr>
          <w:rStyle w:val="FootnoteReference"/>
          <w:rFonts w:eastAsia="Times New Roman"/>
          <w:color w:val="333333"/>
          <w:lang w:eastAsia="en-GB"/>
        </w:rPr>
        <w:t>]</w:t>
      </w:r>
      <w:r w:rsidR="00925D5E">
        <w:rPr>
          <w:rFonts w:eastAsia="Times New Roman"/>
          <w:color w:val="333333"/>
          <w:lang w:eastAsia="en-GB"/>
        </w:rPr>
        <w:t xml:space="preserve"> as required by law.</w:t>
      </w:r>
    </w:p>
    <w:p w14:paraId="4CC44BB8" w14:textId="14E71CFD" w:rsidR="0082361E" w:rsidRDefault="0082361E" w:rsidP="00B017F8">
      <w:pPr>
        <w:rPr>
          <w:rFonts w:eastAsia="Times New Roman"/>
          <w:color w:val="333333"/>
          <w:lang w:eastAsia="en-GB"/>
        </w:rPr>
      </w:pPr>
      <w:r>
        <w:rPr>
          <w:rFonts w:eastAsia="Times New Roman"/>
          <w:color w:val="333333"/>
          <w:lang w:eastAsia="en-GB"/>
        </w:rPr>
        <w:t xml:space="preserve">In an ongoing parliamentary inquiry into the Government’s decision to drop GRA reform, a witness who is opposed </w:t>
      </w:r>
      <w:r w:rsidR="006166E8">
        <w:rPr>
          <w:rFonts w:eastAsia="Times New Roman"/>
          <w:color w:val="333333"/>
          <w:lang w:eastAsia="en-GB"/>
        </w:rPr>
        <w:t>to GRA reform</w:t>
      </w:r>
      <w:r>
        <w:rPr>
          <w:rFonts w:eastAsia="Times New Roman"/>
          <w:color w:val="333333"/>
          <w:lang w:eastAsia="en-GB"/>
        </w:rPr>
        <w:t xml:space="preserve"> made statements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3"/>
      </w:r>
      <w:r w:rsidR="00DF7920">
        <w:rPr>
          <w:rStyle w:val="FootnoteReference"/>
          <w:rFonts w:eastAsia="Times New Roman"/>
          <w:color w:val="333333"/>
          <w:lang w:eastAsia="en-GB"/>
        </w:rPr>
        <w:t>]</w:t>
      </w:r>
      <w:r>
        <w:rPr>
          <w:rFonts w:eastAsia="Times New Roman"/>
          <w:color w:val="333333"/>
          <w:lang w:eastAsia="en-GB"/>
        </w:rPr>
        <w:t xml:space="preserve"> including giving birth </w:t>
      </w:r>
      <w:r w:rsidR="00797CC9">
        <w:rPr>
          <w:rFonts w:eastAsia="Times New Roman"/>
          <w:color w:val="333333"/>
          <w:lang w:eastAsia="en-GB"/>
        </w:rPr>
        <w:t>“</w:t>
      </w:r>
      <w:r w:rsidRPr="00797CC9">
        <w:rPr>
          <w:rFonts w:eastAsia="Times New Roman"/>
          <w:i/>
          <w:iCs/>
          <w:color w:val="333333"/>
          <w:lang w:eastAsia="en-GB"/>
        </w:rPr>
        <w:t xml:space="preserve">is </w:t>
      </w:r>
      <w:r w:rsidR="00797CC9" w:rsidRPr="00797CC9">
        <w:rPr>
          <w:rFonts w:eastAsia="Times New Roman"/>
          <w:i/>
          <w:iCs/>
          <w:color w:val="333333"/>
          <w:lang w:eastAsia="en-GB"/>
        </w:rPr>
        <w:t xml:space="preserve">such </w:t>
      </w:r>
      <w:r w:rsidRPr="00797CC9">
        <w:rPr>
          <w:rFonts w:eastAsia="Times New Roman"/>
          <w:i/>
          <w:iCs/>
          <w:color w:val="333333"/>
          <w:lang w:eastAsia="en-GB"/>
        </w:rPr>
        <w:t xml:space="preserve">an </w:t>
      </w:r>
      <w:r w:rsidR="00797CC9" w:rsidRPr="00797CC9">
        <w:rPr>
          <w:rFonts w:eastAsia="Times New Roman"/>
          <w:i/>
          <w:iCs/>
          <w:color w:val="333333"/>
          <w:lang w:eastAsia="en-GB"/>
        </w:rPr>
        <w:t>absolutely centrally</w:t>
      </w:r>
      <w:r w:rsidRPr="00797CC9">
        <w:rPr>
          <w:rFonts w:eastAsia="Times New Roman"/>
          <w:i/>
          <w:iCs/>
          <w:color w:val="333333"/>
          <w:lang w:eastAsia="en-GB"/>
        </w:rPr>
        <w:t xml:space="preserve"> female thing to do</w:t>
      </w:r>
      <w:r>
        <w:rPr>
          <w:rFonts w:eastAsia="Times New Roman"/>
          <w:color w:val="333333"/>
          <w:lang w:eastAsia="en-GB"/>
        </w:rPr>
        <w: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4"/>
      </w:r>
      <w:r w:rsidR="00DF7920">
        <w:rPr>
          <w:rStyle w:val="FootnoteReference"/>
          <w:rFonts w:eastAsia="Times New Roman"/>
          <w:color w:val="333333"/>
          <w:lang w:eastAsia="en-GB"/>
        </w:rPr>
        <w:t>]</w:t>
      </w:r>
      <w:r>
        <w:rPr>
          <w:rFonts w:eastAsia="Times New Roman"/>
          <w:color w:val="333333"/>
          <w:lang w:eastAsia="en-GB"/>
        </w:rPr>
        <w:t xml:space="preserve"> (</w:t>
      </w:r>
      <w:r w:rsidR="00C17F8D">
        <w:rPr>
          <w:rFonts w:eastAsia="Times New Roman"/>
          <w:color w:val="333333"/>
          <w:lang w:eastAsia="en-GB"/>
        </w:rPr>
        <w:t xml:space="preserve">attempting to </w:t>
      </w:r>
      <w:r>
        <w:rPr>
          <w:rFonts w:eastAsia="Times New Roman"/>
          <w:color w:val="333333"/>
          <w:lang w:eastAsia="en-GB"/>
        </w:rPr>
        <w:t>eras</w:t>
      </w:r>
      <w:r w:rsidR="00C17F8D">
        <w:rPr>
          <w:rFonts w:eastAsia="Times New Roman"/>
          <w:color w:val="333333"/>
          <w:lang w:eastAsia="en-GB"/>
        </w:rPr>
        <w:t>e</w:t>
      </w:r>
      <w:r>
        <w:rPr>
          <w:rFonts w:eastAsia="Times New Roman"/>
          <w:color w:val="333333"/>
          <w:lang w:eastAsia="en-GB"/>
        </w:rPr>
        <w:t xml:space="preserve"> any idea that trans men who give birth can be considered as men), </w:t>
      </w:r>
      <w:r w:rsidR="00163D9E">
        <w:rPr>
          <w:rFonts w:eastAsia="Times New Roman"/>
          <w:color w:val="333333"/>
          <w:lang w:eastAsia="en-GB"/>
        </w:rPr>
        <w:t xml:space="preserve">that </w:t>
      </w:r>
      <w:r>
        <w:rPr>
          <w:rFonts w:eastAsia="Times New Roman"/>
          <w:color w:val="333333"/>
          <w:lang w:eastAsia="en-GB"/>
        </w:rPr>
        <w:t>it’s acceptable for male-bodied people to be excluded from women-only areas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5"/>
      </w:r>
      <w:r w:rsidR="00DF7920">
        <w:rPr>
          <w:rStyle w:val="FootnoteReference"/>
          <w:rFonts w:eastAsia="Times New Roman"/>
          <w:color w:val="333333"/>
          <w:lang w:eastAsia="en-GB"/>
        </w:rPr>
        <w:t>]</w:t>
      </w:r>
      <w:r>
        <w:rPr>
          <w:rFonts w:eastAsia="Times New Roman"/>
          <w:color w:val="333333"/>
          <w:lang w:eastAsia="en-GB"/>
        </w:rPr>
        <w:t xml:space="preserve"> and that the legal basis for this is already in place, and </w:t>
      </w:r>
      <w:r w:rsidR="00797CC9">
        <w:rPr>
          <w:rFonts w:eastAsia="Times New Roman"/>
          <w:color w:val="333333"/>
          <w:lang w:eastAsia="en-GB"/>
        </w:rPr>
        <w:t xml:space="preserve">committing </w:t>
      </w:r>
      <w:r w:rsidR="00CE2A5B">
        <w:rPr>
          <w:rFonts w:eastAsia="Times New Roman"/>
          <w:color w:val="333333"/>
          <w:lang w:eastAsia="en-GB"/>
        </w:rPr>
        <w:t>violent</w:t>
      </w:r>
      <w:r>
        <w:rPr>
          <w:rFonts w:eastAsia="Times New Roman"/>
          <w:color w:val="333333"/>
          <w:lang w:eastAsia="en-GB"/>
        </w:rPr>
        <w:t xml:space="preserve"> offences</w:t>
      </w:r>
      <w:r w:rsidR="00CE2A5B">
        <w:rPr>
          <w:rFonts w:eastAsia="Times New Roman"/>
          <w:color w:val="333333"/>
          <w:lang w:eastAsia="en-GB"/>
        </w:rPr>
        <w:t xml:space="preserve"> against women</w:t>
      </w:r>
      <w:r w:rsidR="00797CC9">
        <w:rPr>
          <w:rFonts w:eastAsia="Times New Roman"/>
          <w:color w:val="333333"/>
          <w:lang w:eastAsia="en-GB"/>
        </w:rPr>
        <w:t xml:space="preserve"> </w:t>
      </w:r>
      <w:r>
        <w:rPr>
          <w:rFonts w:eastAsia="Times New Roman"/>
          <w:color w:val="333333"/>
          <w:lang w:eastAsia="en-GB"/>
        </w:rPr>
        <w:t>“</w:t>
      </w:r>
      <w:r w:rsidR="00797CC9" w:rsidRPr="00797CC9">
        <w:rPr>
          <w:rFonts w:eastAsia="Times New Roman"/>
          <w:i/>
          <w:iCs/>
          <w:color w:val="333333"/>
          <w:lang w:eastAsia="en-GB"/>
        </w:rPr>
        <w:t>is something fundamentally</w:t>
      </w:r>
      <w:r w:rsidRPr="00797CC9">
        <w:rPr>
          <w:rFonts w:eastAsia="Times New Roman"/>
          <w:i/>
          <w:iCs/>
          <w:color w:val="333333"/>
          <w:lang w:eastAsia="en-GB"/>
        </w:rPr>
        <w:t xml:space="preserve"> incompatible with being a woman</w:t>
      </w:r>
      <w:r>
        <w:rPr>
          <w:rFonts w:eastAsia="Times New Roman"/>
          <w:color w:val="333333"/>
          <w:lang w:eastAsia="en-GB"/>
        </w:rPr>
        <w: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6"/>
      </w:r>
      <w:r w:rsidR="00DF7920">
        <w:rPr>
          <w:rStyle w:val="FootnoteReference"/>
          <w:rFonts w:eastAsia="Times New Roman"/>
          <w:color w:val="333333"/>
          <w:lang w:eastAsia="en-GB"/>
        </w:rPr>
        <w:t>]</w:t>
      </w:r>
      <w:r>
        <w:rPr>
          <w:rFonts w:eastAsia="Times New Roman"/>
          <w:color w:val="333333"/>
          <w:lang w:eastAsia="en-GB"/>
        </w:rPr>
        <w:t xml:space="preserve"> (</w:t>
      </w:r>
      <w:r w:rsidR="00163D9E">
        <w:rPr>
          <w:rFonts w:eastAsia="Times New Roman"/>
          <w:color w:val="333333"/>
          <w:lang w:eastAsia="en-GB"/>
        </w:rPr>
        <w:t>ignoring</w:t>
      </w:r>
      <w:r>
        <w:rPr>
          <w:rFonts w:eastAsia="Times New Roman"/>
          <w:color w:val="333333"/>
          <w:lang w:eastAsia="en-GB"/>
        </w:rPr>
        <w:t xml:space="preserve"> the question about what should happen to those </w:t>
      </w:r>
      <w:r w:rsidR="00163D9E">
        <w:rPr>
          <w:rFonts w:eastAsia="Times New Roman"/>
          <w:color w:val="333333"/>
          <w:lang w:eastAsia="en-GB"/>
        </w:rPr>
        <w:t xml:space="preserve">cis </w:t>
      </w:r>
      <w:r>
        <w:rPr>
          <w:rFonts w:eastAsia="Times New Roman"/>
          <w:color w:val="333333"/>
          <w:lang w:eastAsia="en-GB"/>
        </w:rPr>
        <w:t>women who commit such offences).</w:t>
      </w:r>
    </w:p>
    <w:p w14:paraId="5CB934CF" w14:textId="31E54F43" w:rsidR="005E0101" w:rsidRDefault="005E0101" w:rsidP="00B017F8">
      <w:pPr>
        <w:rPr>
          <w:rFonts w:eastAsia="Times New Roman"/>
          <w:color w:val="333333"/>
          <w:lang w:eastAsia="en-GB"/>
        </w:rPr>
      </w:pPr>
      <w:r>
        <w:rPr>
          <w:rFonts w:eastAsia="Times New Roman"/>
          <w:color w:val="333333"/>
          <w:lang w:eastAsia="en-GB"/>
        </w:rPr>
        <w:t>On the BBC</w:t>
      </w:r>
      <w:r w:rsidR="007C256E">
        <w:rPr>
          <w:rFonts w:eastAsia="Times New Roman"/>
          <w:color w:val="333333"/>
          <w:lang w:eastAsia="en-GB"/>
        </w:rPr>
        <w:t>’s</w:t>
      </w:r>
      <w:r>
        <w:rPr>
          <w:rFonts w:eastAsia="Times New Roman"/>
          <w:color w:val="333333"/>
          <w:lang w:eastAsia="en-GB"/>
        </w:rPr>
        <w:t xml:space="preserve"> Newsnight programme in late 2018, another prominent campaigner</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7"/>
      </w:r>
      <w:r w:rsidR="00DF7920">
        <w:rPr>
          <w:rStyle w:val="FootnoteReference"/>
          <w:rFonts w:eastAsia="Times New Roman"/>
          <w:color w:val="333333"/>
          <w:lang w:eastAsia="en-GB"/>
        </w:rPr>
        <w:t>]</w:t>
      </w:r>
      <w:r>
        <w:rPr>
          <w:rFonts w:eastAsia="Times New Roman"/>
          <w:color w:val="333333"/>
          <w:lang w:eastAsia="en-GB"/>
        </w:rPr>
        <w:t xml:space="preserve"> opposed to trans inclusion </w:t>
      </w:r>
      <w:r w:rsidR="00A004F1">
        <w:rPr>
          <w:rFonts w:eastAsia="Times New Roman"/>
          <w:color w:val="333333"/>
          <w:lang w:eastAsia="en-GB"/>
        </w:rPr>
        <w:t xml:space="preserve">and associated with one of the new “women’s-rights” groups </w:t>
      </w:r>
      <w:r>
        <w:rPr>
          <w:rFonts w:eastAsia="Times New Roman"/>
          <w:color w:val="333333"/>
          <w:lang w:eastAsia="en-GB"/>
        </w:rPr>
        <w:t xml:space="preserve">called for segregation of trans people – </w:t>
      </w:r>
      <w:r w:rsidR="0040389D">
        <w:rPr>
          <w:rFonts w:eastAsia="Times New Roman"/>
          <w:color w:val="333333"/>
          <w:lang w:eastAsia="en-GB"/>
        </w:rPr>
        <w:t>implying</w:t>
      </w:r>
      <w:r>
        <w:rPr>
          <w:rFonts w:eastAsia="Times New Roman"/>
          <w:color w:val="333333"/>
          <w:lang w:eastAsia="en-GB"/>
        </w:rPr>
        <w:t xml:space="preserve"> </w:t>
      </w:r>
      <w:r>
        <w:rPr>
          <w:rFonts w:eastAsia="Times New Roman"/>
          <w:color w:val="333333"/>
          <w:lang w:eastAsia="en-GB"/>
        </w:rPr>
        <w:lastRenderedPageBreak/>
        <w:t>trans men and trans women should share a third set of gendered toilets and changing facilities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8"/>
      </w:r>
      <w:r w:rsidR="00DF7920">
        <w:rPr>
          <w:rStyle w:val="FootnoteReference"/>
          <w:rFonts w:eastAsia="Times New Roman"/>
          <w:color w:val="333333"/>
          <w:lang w:eastAsia="en-GB"/>
        </w:rPr>
        <w:t>]</w:t>
      </w:r>
      <w:r>
        <w:rPr>
          <w:rFonts w:eastAsia="Times New Roman"/>
          <w:color w:val="333333"/>
          <w:lang w:eastAsia="en-GB"/>
        </w:rPr>
        <w:t>.</w:t>
      </w:r>
      <w:r w:rsidR="00A004F1">
        <w:rPr>
          <w:rFonts w:eastAsia="Times New Roman"/>
          <w:color w:val="333333"/>
          <w:lang w:eastAsia="en-GB"/>
        </w:rPr>
        <w:t xml:space="preserve"> The call passed almost without comment.</w:t>
      </w:r>
    </w:p>
    <w:p w14:paraId="39B60DFD" w14:textId="4AD356C6" w:rsidR="005E0101" w:rsidRDefault="005E0101" w:rsidP="00B017F8">
      <w:pPr>
        <w:rPr>
          <w:rFonts w:eastAsia="Times New Roman"/>
          <w:color w:val="333333"/>
          <w:lang w:eastAsia="en-GB"/>
        </w:rPr>
      </w:pPr>
      <w:r>
        <w:rPr>
          <w:rFonts w:eastAsia="Times New Roman"/>
          <w:color w:val="333333"/>
          <w:lang w:eastAsia="en-GB"/>
        </w:rPr>
        <w:t xml:space="preserve">The Scottish Government </w:t>
      </w:r>
      <w:r w:rsidR="00AE2688">
        <w:rPr>
          <w:color w:val="333333"/>
          <w:lang w:eastAsia="en-GB"/>
        </w:rPr>
        <w:t>announced plans to single out discussion and criticism of trans people in freedom of expression provisions in new hate speech legislation</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99"/>
      </w:r>
      <w:r w:rsidR="00DF7920">
        <w:rPr>
          <w:rStyle w:val="FootnoteReference"/>
          <w:rFonts w:eastAsia="Times New Roman"/>
          <w:color w:val="333333"/>
          <w:lang w:eastAsia="en-GB"/>
        </w:rPr>
        <w:t>]</w:t>
      </w:r>
      <w:r>
        <w:rPr>
          <w:rFonts w:eastAsia="Times New Roman"/>
          <w:color w:val="333333"/>
          <w:lang w:eastAsia="en-GB"/>
        </w:rPr>
        <w:t>, although it did subsequently drop those plans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100"/>
      </w:r>
      <w:r w:rsidR="00DF7920">
        <w:rPr>
          <w:rStyle w:val="FootnoteReference"/>
          <w:rFonts w:eastAsia="Times New Roman"/>
          <w:color w:val="333333"/>
          <w:lang w:eastAsia="en-GB"/>
        </w:rPr>
        <w:t>]</w:t>
      </w:r>
      <w:r>
        <w:rPr>
          <w:rFonts w:eastAsia="Times New Roman"/>
          <w:color w:val="333333"/>
          <w:lang w:eastAsia="en-GB"/>
        </w:rPr>
        <w:t>.</w:t>
      </w:r>
    </w:p>
    <w:p w14:paraId="03FE44CE" w14:textId="4D00B9E8" w:rsidR="004F6516" w:rsidRDefault="004F6516" w:rsidP="00B017F8">
      <w:pPr>
        <w:rPr>
          <w:rFonts w:eastAsia="Times New Roman"/>
          <w:color w:val="333333"/>
          <w:lang w:eastAsia="en-GB"/>
        </w:rPr>
      </w:pPr>
      <w:r>
        <w:rPr>
          <w:rFonts w:eastAsia="Times New Roman"/>
          <w:color w:val="333333"/>
          <w:lang w:eastAsia="en-GB"/>
        </w:rPr>
        <w:t xml:space="preserve">The </w:t>
      </w:r>
      <w:r w:rsidR="00E560AF">
        <w:rPr>
          <w:rFonts w:eastAsia="Times New Roman"/>
          <w:color w:val="333333"/>
          <w:lang w:eastAsia="en-GB"/>
        </w:rPr>
        <w:t xml:space="preserve">UK </w:t>
      </w:r>
      <w:r>
        <w:rPr>
          <w:rFonts w:eastAsia="Times New Roman"/>
          <w:color w:val="333333"/>
          <w:lang w:eastAsia="en-GB"/>
        </w:rPr>
        <w:t>Government has recently announced plans for a freedom of speech “</w:t>
      </w:r>
      <w:r w:rsidR="000C20F8">
        <w:rPr>
          <w:rFonts w:eastAsia="Times New Roman"/>
          <w:color w:val="333333"/>
          <w:lang w:eastAsia="en-GB"/>
        </w:rPr>
        <w:t>Champion</w:t>
      </w:r>
      <w:r>
        <w:rPr>
          <w:rFonts w:eastAsia="Times New Roman"/>
          <w:color w:val="333333"/>
          <w:lang w:eastAsia="en-GB"/>
        </w:rPr>
        <w:t>” and further legislation to “protect” freedom of speech across university campuses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101"/>
      </w:r>
      <w:r w:rsidR="00DF7920">
        <w:rPr>
          <w:rStyle w:val="FootnoteReference"/>
          <w:rFonts w:eastAsia="Times New Roman"/>
          <w:color w:val="333333"/>
          <w:lang w:eastAsia="en-GB"/>
        </w:rPr>
        <w:t>]</w:t>
      </w:r>
      <w:r>
        <w:rPr>
          <w:rFonts w:eastAsia="Times New Roman"/>
          <w:color w:val="333333"/>
          <w:lang w:eastAsia="en-GB"/>
        </w:rPr>
        <w:t xml:space="preserve"> – again, despite any evidence of anything other than an </w:t>
      </w:r>
      <w:r w:rsidR="0040389D">
        <w:rPr>
          <w:rFonts w:eastAsia="Times New Roman"/>
          <w:color w:val="333333"/>
          <w:lang w:eastAsia="en-GB"/>
        </w:rPr>
        <w:t>almost vanishingly</w:t>
      </w:r>
      <w:r>
        <w:rPr>
          <w:rFonts w:eastAsia="Times New Roman"/>
          <w:color w:val="333333"/>
          <w:lang w:eastAsia="en-GB"/>
        </w:rPr>
        <w:t xml:space="preserve"> small number of incidents</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102"/>
      </w:r>
      <w:r w:rsidR="00DF7920">
        <w:rPr>
          <w:rStyle w:val="FootnoteReference"/>
          <w:rFonts w:eastAsia="Times New Roman"/>
          <w:color w:val="333333"/>
          <w:lang w:eastAsia="en-GB"/>
        </w:rPr>
        <w:t>]</w:t>
      </w:r>
      <w:r>
        <w:rPr>
          <w:rFonts w:eastAsia="Times New Roman"/>
          <w:color w:val="333333"/>
          <w:lang w:eastAsia="en-GB"/>
        </w:rPr>
        <w:t>.</w:t>
      </w:r>
    </w:p>
    <w:p w14:paraId="63A8AD54" w14:textId="415553C7" w:rsidR="008C3C38" w:rsidRDefault="008C3C38" w:rsidP="00B017F8">
      <w:pPr>
        <w:rPr>
          <w:rFonts w:eastAsia="Times New Roman"/>
          <w:color w:val="333333"/>
          <w:lang w:eastAsia="en-GB"/>
        </w:rPr>
      </w:pPr>
      <w:r>
        <w:rPr>
          <w:rFonts w:eastAsia="Times New Roman"/>
          <w:color w:val="333333"/>
          <w:lang w:eastAsia="en-GB"/>
        </w:rPr>
        <w:t xml:space="preserve">Furthermore the </w:t>
      </w:r>
      <w:r w:rsidR="00E560AF">
        <w:rPr>
          <w:rFonts w:eastAsia="Times New Roman"/>
          <w:color w:val="333333"/>
          <w:lang w:eastAsia="en-GB"/>
        </w:rPr>
        <w:t xml:space="preserve">UK </w:t>
      </w:r>
      <w:r>
        <w:rPr>
          <w:rFonts w:eastAsia="Times New Roman"/>
          <w:color w:val="333333"/>
          <w:lang w:eastAsia="en-GB"/>
        </w:rPr>
        <w:t>Government has made no secret of its intentions to replace existing Human Rights legislation</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103"/>
      </w:r>
      <w:r w:rsidR="00DF7920">
        <w:rPr>
          <w:rStyle w:val="FootnoteReference"/>
          <w:rFonts w:eastAsia="Times New Roman"/>
          <w:color w:val="333333"/>
          <w:lang w:eastAsia="en-GB"/>
        </w:rPr>
        <w:t>]</w:t>
      </w:r>
      <w:r>
        <w:rPr>
          <w:rFonts w:eastAsia="Times New Roman"/>
          <w:color w:val="333333"/>
          <w:lang w:eastAsia="en-GB"/>
        </w:rPr>
        <w:t xml:space="preserve"> and issue “clarifications” around the Equality Act</w:t>
      </w:r>
      <w:r w:rsidR="00DF7920">
        <w:rPr>
          <w:rStyle w:val="FootnoteReference"/>
          <w:rFonts w:eastAsia="Times New Roman"/>
          <w:color w:val="333333"/>
          <w:lang w:eastAsia="en-GB"/>
        </w:rPr>
        <w:t>[</w:t>
      </w:r>
      <w:r w:rsidR="00DF7920">
        <w:rPr>
          <w:rStyle w:val="FootnoteReference"/>
          <w:rFonts w:eastAsia="Times New Roman"/>
          <w:color w:val="333333"/>
          <w:lang w:eastAsia="en-GB"/>
        </w:rPr>
        <w:footnoteReference w:id="104"/>
      </w:r>
      <w:r w:rsidR="00DF7920">
        <w:rPr>
          <w:rStyle w:val="FootnoteReference"/>
          <w:rFonts w:eastAsia="Times New Roman"/>
          <w:color w:val="333333"/>
          <w:lang w:eastAsia="en-GB"/>
        </w:rPr>
        <w:t>]</w:t>
      </w:r>
      <w:r>
        <w:rPr>
          <w:rFonts w:eastAsia="Times New Roman"/>
          <w:color w:val="333333"/>
          <w:lang w:eastAsia="en-GB"/>
        </w:rPr>
        <w:t>.</w:t>
      </w:r>
    </w:p>
    <w:p w14:paraId="12B95C14" w14:textId="77777777" w:rsidR="00A9498D" w:rsidRDefault="00A9498D" w:rsidP="0010187B">
      <w:pPr>
        <w:pStyle w:val="Heading3"/>
      </w:pPr>
      <w:r>
        <w:t>Scotland and Northern Ireland</w:t>
      </w:r>
    </w:p>
    <w:p w14:paraId="6C0E390A" w14:textId="77777777" w:rsidR="00A9498D" w:rsidRPr="00A9498D" w:rsidRDefault="00A9498D" w:rsidP="00A9498D">
      <w:pPr>
        <w:pStyle w:val="NormalWeb"/>
        <w:spacing w:before="0" w:beforeAutospacing="0" w:after="160" w:afterAutospacing="0" w:line="259" w:lineRule="auto"/>
        <w:rPr>
          <w:rFonts w:asciiTheme="minorHAnsi" w:hAnsiTheme="minorHAnsi" w:cstheme="minorHAnsi"/>
        </w:rPr>
      </w:pPr>
      <w:r w:rsidRPr="00A9498D">
        <w:rPr>
          <w:rFonts w:asciiTheme="minorHAnsi" w:hAnsiTheme="minorHAnsi" w:cstheme="minorHAnsi"/>
          <w:color w:val="000000"/>
          <w:sz w:val="22"/>
          <w:szCs w:val="22"/>
        </w:rPr>
        <w:t>It should be recognised that gender recognition is a devolved area of law in Scotland and Northern Ireland. The two devolved governments have different political compositions, which underpins differences in approach.</w:t>
      </w:r>
    </w:p>
    <w:p w14:paraId="78AF234C" w14:textId="62EED369" w:rsidR="00A9498D" w:rsidRPr="00A9498D" w:rsidRDefault="00A9498D" w:rsidP="00A9498D">
      <w:pPr>
        <w:pStyle w:val="NormalWeb"/>
        <w:spacing w:before="0" w:beforeAutospacing="0" w:after="160" w:afterAutospacing="0" w:line="259" w:lineRule="auto"/>
        <w:rPr>
          <w:rFonts w:asciiTheme="minorHAnsi" w:hAnsiTheme="minorHAnsi" w:cstheme="minorHAnsi"/>
        </w:rPr>
      </w:pPr>
      <w:r w:rsidRPr="00A9498D">
        <w:rPr>
          <w:rFonts w:asciiTheme="minorHAnsi" w:hAnsiTheme="minorHAnsi" w:cstheme="minorHAnsi"/>
          <w:color w:val="000000"/>
          <w:sz w:val="22"/>
          <w:szCs w:val="22"/>
        </w:rPr>
        <w:t>The Scottish Government has also paused GRA reform</w:t>
      </w:r>
      <w:r w:rsidR="00DF7920">
        <w:rPr>
          <w:rStyle w:val="FootnoteReference"/>
          <w:rFonts w:asciiTheme="minorHAnsi" w:hAnsiTheme="minorHAnsi" w:cstheme="minorHAnsi"/>
          <w:color w:val="000000"/>
          <w:sz w:val="22"/>
          <w:szCs w:val="22"/>
        </w:rPr>
        <w:t>[</w:t>
      </w:r>
      <w:r w:rsidR="00DF7920">
        <w:rPr>
          <w:rStyle w:val="FootnoteReference"/>
          <w:rFonts w:asciiTheme="minorHAnsi" w:hAnsiTheme="minorHAnsi" w:cstheme="minorHAnsi"/>
          <w:color w:val="000000"/>
          <w:sz w:val="22"/>
          <w:szCs w:val="22"/>
        </w:rPr>
        <w:footnoteReference w:id="105"/>
      </w:r>
      <w:r w:rsidR="00DF7920">
        <w:rPr>
          <w:rStyle w:val="FootnoteReference"/>
          <w:rFonts w:asciiTheme="minorHAnsi" w:hAnsiTheme="minorHAnsi" w:cstheme="minorHAnsi"/>
          <w:color w:val="000000"/>
          <w:sz w:val="22"/>
          <w:szCs w:val="22"/>
        </w:rPr>
        <w:t>]</w:t>
      </w:r>
      <w:r w:rsidRPr="00A9498D">
        <w:rPr>
          <w:rFonts w:asciiTheme="minorHAnsi" w:hAnsiTheme="minorHAnsi" w:cstheme="minorHAnsi"/>
          <w:color w:val="000000"/>
          <w:sz w:val="22"/>
          <w:szCs w:val="22"/>
        </w:rPr>
        <w:t xml:space="preserve">, following two consultations. Holyrood has many politicians who wish to progress GRA reform but are unsure how to counter the narrative that this would impinge on women’s rights. Trans rights appear to have become a proxy for a power struggle within the </w:t>
      </w:r>
      <w:r>
        <w:rPr>
          <w:rFonts w:asciiTheme="minorHAnsi" w:hAnsiTheme="minorHAnsi" w:cstheme="minorHAnsi"/>
          <w:color w:val="000000"/>
          <w:sz w:val="22"/>
          <w:szCs w:val="22"/>
        </w:rPr>
        <w:t xml:space="preserve">governing </w:t>
      </w:r>
      <w:r w:rsidRPr="00A9498D">
        <w:rPr>
          <w:rFonts w:asciiTheme="minorHAnsi" w:hAnsiTheme="minorHAnsi" w:cstheme="minorHAnsi"/>
          <w:color w:val="000000"/>
          <w:sz w:val="22"/>
          <w:szCs w:val="22"/>
        </w:rPr>
        <w:t>SNP</w:t>
      </w:r>
      <w:r w:rsidR="00DF7920">
        <w:rPr>
          <w:rStyle w:val="FootnoteReference"/>
          <w:rFonts w:asciiTheme="minorHAnsi" w:hAnsiTheme="minorHAnsi" w:cstheme="minorHAnsi"/>
          <w:color w:val="000000"/>
          <w:sz w:val="22"/>
          <w:szCs w:val="22"/>
        </w:rPr>
        <w:t>[</w:t>
      </w:r>
      <w:r w:rsidR="00DF7920">
        <w:rPr>
          <w:rStyle w:val="FootnoteReference"/>
          <w:rFonts w:asciiTheme="minorHAnsi" w:hAnsiTheme="minorHAnsi" w:cstheme="minorHAnsi"/>
          <w:color w:val="000000"/>
          <w:sz w:val="22"/>
          <w:szCs w:val="22"/>
        </w:rPr>
        <w:footnoteReference w:id="106"/>
      </w:r>
      <w:r w:rsidR="00DF7920">
        <w:rPr>
          <w:rStyle w:val="FootnoteReference"/>
          <w:rFonts w:asciiTheme="minorHAnsi" w:hAnsiTheme="minorHAnsi" w:cstheme="minorHAnsi"/>
          <w:color w:val="000000"/>
          <w:sz w:val="22"/>
          <w:szCs w:val="22"/>
        </w:rPr>
        <w:t>][</w:t>
      </w:r>
      <w:r w:rsidR="00DF7920">
        <w:rPr>
          <w:rStyle w:val="FootnoteReference"/>
          <w:rFonts w:asciiTheme="minorHAnsi" w:hAnsiTheme="minorHAnsi" w:cstheme="minorHAnsi"/>
          <w:color w:val="000000"/>
          <w:sz w:val="22"/>
          <w:szCs w:val="22"/>
        </w:rPr>
        <w:footnoteReference w:id="107"/>
      </w:r>
      <w:r w:rsidR="00DF7920">
        <w:rPr>
          <w:rStyle w:val="FootnoteReference"/>
          <w:rFonts w:asciiTheme="minorHAnsi" w:hAnsiTheme="minorHAnsi" w:cstheme="minorHAnsi"/>
          <w:color w:val="000000"/>
          <w:sz w:val="22"/>
          <w:szCs w:val="22"/>
        </w:rPr>
        <w:t>]</w:t>
      </w:r>
      <w:r w:rsidRPr="00A9498D">
        <w:rPr>
          <w:rFonts w:asciiTheme="minorHAnsi" w:hAnsiTheme="minorHAnsi" w:cstheme="minorHAnsi"/>
          <w:color w:val="000000"/>
          <w:sz w:val="22"/>
          <w:szCs w:val="22"/>
        </w:rPr>
        <w:t>.</w:t>
      </w:r>
    </w:p>
    <w:p w14:paraId="71EA25C0" w14:textId="39777B0A" w:rsidR="00A9498D" w:rsidRPr="00A9498D" w:rsidRDefault="00A9498D" w:rsidP="00A9498D">
      <w:pPr>
        <w:pStyle w:val="NormalWeb"/>
        <w:spacing w:before="0" w:beforeAutospacing="0" w:after="160" w:afterAutospacing="0" w:line="259" w:lineRule="auto"/>
        <w:rPr>
          <w:rFonts w:asciiTheme="minorHAnsi" w:hAnsiTheme="minorHAnsi" w:cstheme="minorHAnsi"/>
        </w:rPr>
      </w:pPr>
      <w:r w:rsidRPr="00A9498D">
        <w:rPr>
          <w:rFonts w:asciiTheme="minorHAnsi" w:hAnsiTheme="minorHAnsi" w:cstheme="minorHAnsi"/>
          <w:color w:val="000000"/>
          <w:sz w:val="22"/>
          <w:szCs w:val="22"/>
        </w:rPr>
        <w:t xml:space="preserve">The unionist voice </w:t>
      </w:r>
      <w:r>
        <w:rPr>
          <w:rFonts w:asciiTheme="minorHAnsi" w:hAnsiTheme="minorHAnsi" w:cstheme="minorHAnsi"/>
          <w:color w:val="000000"/>
          <w:sz w:val="22"/>
          <w:szCs w:val="22"/>
        </w:rPr>
        <w:t xml:space="preserve">(in the form of the DUP) </w:t>
      </w:r>
      <w:r w:rsidRPr="00A9498D">
        <w:rPr>
          <w:rFonts w:asciiTheme="minorHAnsi" w:hAnsiTheme="minorHAnsi" w:cstheme="minorHAnsi"/>
          <w:color w:val="000000"/>
          <w:sz w:val="22"/>
          <w:szCs w:val="22"/>
        </w:rPr>
        <w:t>has a more significant voice as well as a veto within the Northern Ireland Assembly. The UK Government imposed same-sex marriage onto the Province in late 20</w:t>
      </w:r>
      <w:r w:rsidR="006805E3">
        <w:rPr>
          <w:rFonts w:asciiTheme="minorHAnsi" w:hAnsiTheme="minorHAnsi" w:cstheme="minorHAnsi"/>
          <w:color w:val="000000"/>
          <w:sz w:val="22"/>
          <w:szCs w:val="22"/>
        </w:rPr>
        <w:t>19</w:t>
      </w:r>
      <w:r w:rsidR="00DF7920">
        <w:rPr>
          <w:rStyle w:val="FootnoteReference"/>
          <w:rFonts w:asciiTheme="minorHAnsi" w:hAnsiTheme="minorHAnsi" w:cstheme="minorHAnsi"/>
          <w:color w:val="000000"/>
          <w:sz w:val="22"/>
          <w:szCs w:val="22"/>
        </w:rPr>
        <w:t>[</w:t>
      </w:r>
      <w:r w:rsidR="00DF7920">
        <w:rPr>
          <w:rStyle w:val="FootnoteReference"/>
          <w:rFonts w:asciiTheme="minorHAnsi" w:hAnsiTheme="minorHAnsi" w:cstheme="minorHAnsi"/>
          <w:color w:val="000000"/>
          <w:sz w:val="22"/>
          <w:szCs w:val="22"/>
        </w:rPr>
        <w:footnoteReference w:id="108"/>
      </w:r>
      <w:r w:rsidR="00DF7920">
        <w:rPr>
          <w:rStyle w:val="FootnoteReference"/>
          <w:rFonts w:asciiTheme="minorHAnsi" w:hAnsiTheme="minorHAnsi" w:cstheme="minorHAnsi"/>
          <w:color w:val="000000"/>
          <w:sz w:val="22"/>
          <w:szCs w:val="22"/>
        </w:rPr>
        <w:t>]</w:t>
      </w:r>
      <w:r w:rsidRPr="00A9498D">
        <w:rPr>
          <w:rFonts w:asciiTheme="minorHAnsi" w:hAnsiTheme="minorHAnsi" w:cstheme="minorHAnsi"/>
          <w:color w:val="000000"/>
          <w:sz w:val="22"/>
          <w:szCs w:val="22"/>
        </w:rPr>
        <w:t xml:space="preserve"> following years of obstruction within the Assembly</w:t>
      </w:r>
      <w:r>
        <w:rPr>
          <w:rFonts w:asciiTheme="minorHAnsi" w:hAnsiTheme="minorHAnsi" w:cstheme="minorHAnsi"/>
          <w:color w:val="000000"/>
          <w:sz w:val="22"/>
          <w:szCs w:val="22"/>
        </w:rPr>
        <w:t>, mainly by the DUP</w:t>
      </w:r>
      <w:r w:rsidRPr="00A9498D">
        <w:rPr>
          <w:rFonts w:asciiTheme="minorHAnsi" w:hAnsiTheme="minorHAnsi" w:cstheme="minorHAnsi"/>
          <w:color w:val="000000"/>
          <w:sz w:val="22"/>
          <w:szCs w:val="22"/>
        </w:rPr>
        <w:t xml:space="preserve">. GRA reform is not </w:t>
      </w:r>
      <w:r w:rsidR="00B66B0F">
        <w:rPr>
          <w:rFonts w:asciiTheme="minorHAnsi" w:hAnsiTheme="minorHAnsi" w:cstheme="minorHAnsi"/>
          <w:color w:val="000000"/>
          <w:sz w:val="22"/>
          <w:szCs w:val="22"/>
        </w:rPr>
        <w:t xml:space="preserve">currently </w:t>
      </w:r>
      <w:r w:rsidRPr="00A9498D">
        <w:rPr>
          <w:rFonts w:asciiTheme="minorHAnsi" w:hAnsiTheme="minorHAnsi" w:cstheme="minorHAnsi"/>
          <w:color w:val="000000"/>
          <w:sz w:val="22"/>
          <w:szCs w:val="22"/>
        </w:rPr>
        <w:t>being seriously discussed.</w:t>
      </w:r>
    </w:p>
    <w:p w14:paraId="568CED59" w14:textId="2BA9EFF1" w:rsidR="00B017F8" w:rsidRDefault="00FE6755" w:rsidP="0010187B">
      <w:pPr>
        <w:pStyle w:val="Heading3"/>
      </w:pPr>
      <w:r>
        <w:t>Effects on Trans People</w:t>
      </w:r>
    </w:p>
    <w:p w14:paraId="3166BCE7" w14:textId="6910D2B6" w:rsidR="00FE6755" w:rsidRDefault="00FE6755">
      <w:r>
        <w:t>The effects on trans people in the UK have been alarming. Recognising that only a small fraction of transphobic incidents are reported to the police</w:t>
      </w:r>
      <w:r w:rsidR="00DF7920">
        <w:rPr>
          <w:rStyle w:val="FootnoteReference"/>
        </w:rPr>
        <w:t>[</w:t>
      </w:r>
      <w:r w:rsidR="00DF7920">
        <w:rPr>
          <w:rStyle w:val="FootnoteReference"/>
        </w:rPr>
        <w:footnoteReference w:id="109"/>
      </w:r>
      <w:r w:rsidR="00DF7920">
        <w:rPr>
          <w:rStyle w:val="FootnoteReference"/>
        </w:rPr>
        <w:t>]</w:t>
      </w:r>
      <w:r>
        <w:t>, transphobic hate crimes have risen by 400% from 2015 to 2019</w:t>
      </w:r>
      <w:r w:rsidR="00DF7920">
        <w:rPr>
          <w:rStyle w:val="FootnoteReference"/>
        </w:rPr>
        <w:t>[</w:t>
      </w:r>
      <w:r w:rsidR="00DF7920">
        <w:rPr>
          <w:rStyle w:val="FootnoteReference"/>
        </w:rPr>
        <w:footnoteReference w:id="110"/>
      </w:r>
      <w:r w:rsidR="00DF7920">
        <w:rPr>
          <w:rStyle w:val="FootnoteReference"/>
        </w:rPr>
        <w:t>]</w:t>
      </w:r>
      <w:r>
        <w:t>.</w:t>
      </w:r>
    </w:p>
    <w:p w14:paraId="41E822E4" w14:textId="4461C1FA" w:rsidR="00FE6755" w:rsidRDefault="00FE6755">
      <w:r>
        <w:t xml:space="preserve">The NHS transition pathways have been closed to new admissions since the start of the covid-19 pandemic, with waiting lists now in excess of 3 years (despite a target time of a maximum of 18 weeks) at all clinics. While three new </w:t>
      </w:r>
      <w:r w:rsidR="00AA289A">
        <w:t xml:space="preserve">NHS </w:t>
      </w:r>
      <w:r>
        <w:t>clinics were announced by Liz Truss at the same time as she dropped plans for GRA reform, it is unlikely they will make any dent in the waiting list times</w:t>
      </w:r>
      <w:r w:rsidR="00AA289A">
        <w:t xml:space="preserve">. </w:t>
      </w:r>
      <w:r w:rsidR="00E342AF">
        <w:t>O</w:t>
      </w:r>
      <w:r>
        <w:t xml:space="preserve">penings of 2 of these 3 “new” clinics </w:t>
      </w:r>
      <w:r w:rsidR="00E342AF">
        <w:t>had already been</w:t>
      </w:r>
      <w:r>
        <w:t xml:space="preserve"> planned </w:t>
      </w:r>
      <w:r w:rsidR="00E342AF">
        <w:t xml:space="preserve">by the NHS </w:t>
      </w:r>
      <w:r>
        <w:t>for at least 2 years. Many trans people oppose this specialisation of the transition pathway – the need for local GP-based specialist centres has been understood for at least 15 years.</w:t>
      </w:r>
      <w:r w:rsidR="008C3C38">
        <w:t xml:space="preserve"> But equally an increasing number of trans people are now finding it difficult to access appropriate treatment from their GPs.</w:t>
      </w:r>
    </w:p>
    <w:p w14:paraId="73633508" w14:textId="442DC24C" w:rsidR="00F52D24" w:rsidRDefault="00AA289A">
      <w:r>
        <w:lastRenderedPageBreak/>
        <w:t>Trans people are now left without any mainstream media outlet reliably reporting on any issues which affect them. Media coverage is seen as horrifically biased, negative, de-humanising and relentless</w:t>
      </w:r>
      <w:r w:rsidR="00DF7920">
        <w:rPr>
          <w:rStyle w:val="FootnoteReference"/>
        </w:rPr>
        <w:t>[</w:t>
      </w:r>
      <w:r w:rsidR="00DF7920">
        <w:rPr>
          <w:rStyle w:val="FootnoteReference"/>
        </w:rPr>
        <w:footnoteReference w:id="111"/>
      </w:r>
      <w:r w:rsidR="00DF7920">
        <w:rPr>
          <w:rStyle w:val="FootnoteReference"/>
        </w:rPr>
        <w:t>]</w:t>
      </w:r>
      <w:r>
        <w:t>.</w:t>
      </w:r>
    </w:p>
    <w:p w14:paraId="1964C5FE" w14:textId="50E7D8C2" w:rsidR="00EC4595" w:rsidRDefault="00EC4595" w:rsidP="00EC4595">
      <w:r>
        <w:t>In 201</w:t>
      </w:r>
      <w:r w:rsidR="00E342AF">
        <w:t>7</w:t>
      </w:r>
      <w:r>
        <w:t xml:space="preserve"> a trans woman from the UK was granted </w:t>
      </w:r>
      <w:r w:rsidR="00E342AF">
        <w:t>residency</w:t>
      </w:r>
      <w:r>
        <w:t xml:space="preserve"> in New Zealand</w:t>
      </w:r>
      <w:r w:rsidR="00DF7920">
        <w:rPr>
          <w:rStyle w:val="FootnoteReference"/>
        </w:rPr>
        <w:t>[</w:t>
      </w:r>
      <w:r w:rsidR="00DF7920">
        <w:rPr>
          <w:rStyle w:val="FootnoteReference"/>
        </w:rPr>
        <w:footnoteReference w:id="112"/>
      </w:r>
      <w:r w:rsidR="00DF7920">
        <w:rPr>
          <w:rStyle w:val="FootnoteReference"/>
        </w:rPr>
        <w:t>]</w:t>
      </w:r>
      <w:r>
        <w:t xml:space="preserve"> because of the systemic transphobia within the UK. Since the start of 2020, many trans people have expressed a desire to leave the UK</w:t>
      </w:r>
      <w:r w:rsidR="00DF7920">
        <w:rPr>
          <w:rStyle w:val="FootnoteReference"/>
        </w:rPr>
        <w:t>[</w:t>
      </w:r>
      <w:r w:rsidR="00DF7920">
        <w:rPr>
          <w:rStyle w:val="FootnoteReference"/>
        </w:rPr>
        <w:footnoteReference w:id="113"/>
      </w:r>
      <w:r w:rsidR="00DF7920">
        <w:rPr>
          <w:rStyle w:val="FootnoteReference"/>
        </w:rPr>
        <w:t>]</w:t>
      </w:r>
      <w:r>
        <w:t>, feeling that it is now an unsafe place to live. Some, including some campaigners, have left.</w:t>
      </w:r>
      <w:r w:rsidR="00B82E2E">
        <w:t xml:space="preserve"> Many trans people have made </w:t>
      </w:r>
      <w:r w:rsidR="00CE2A5B">
        <w:t xml:space="preserve">significant </w:t>
      </w:r>
      <w:r w:rsidR="00B82E2E">
        <w:t>adjustments to their lifestyle</w:t>
      </w:r>
      <w:r w:rsidR="00DF7920">
        <w:rPr>
          <w:rStyle w:val="FootnoteReference"/>
        </w:rPr>
        <w:t>[</w:t>
      </w:r>
      <w:r w:rsidR="00DF7920">
        <w:rPr>
          <w:rStyle w:val="FootnoteReference"/>
        </w:rPr>
        <w:footnoteReference w:id="114"/>
      </w:r>
      <w:r w:rsidR="00DF7920">
        <w:rPr>
          <w:rStyle w:val="FootnoteReference"/>
        </w:rPr>
        <w:t>]</w:t>
      </w:r>
      <w:r w:rsidR="00B82E2E">
        <w:t xml:space="preserve"> as a result of the new environment within the UK</w:t>
      </w:r>
      <w:r w:rsidR="00F7574F" w:rsidRPr="00F7574F">
        <w:rPr>
          <w:vertAlign w:val="superscript"/>
        </w:rPr>
        <w:t>[</w:t>
      </w:r>
      <w:r w:rsidR="00F7574F">
        <w:rPr>
          <w:rStyle w:val="FootnoteReference"/>
        </w:rPr>
        <w:footnoteReference w:id="115"/>
      </w:r>
      <w:r w:rsidR="00F7574F" w:rsidRPr="00F7574F">
        <w:rPr>
          <w:vertAlign w:val="superscript"/>
        </w:rPr>
        <w:t>]</w:t>
      </w:r>
      <w:r w:rsidR="00B82E2E">
        <w:t>.</w:t>
      </w:r>
    </w:p>
    <w:p w14:paraId="1C1DA31D" w14:textId="38076002" w:rsidR="00CA5509" w:rsidRDefault="00CA5509">
      <w:pPr>
        <w:rPr>
          <w:rFonts w:asciiTheme="majorHAnsi" w:eastAsiaTheme="majorEastAsia" w:hAnsiTheme="majorHAnsi" w:cstheme="majorBidi"/>
          <w:b/>
          <w:bCs/>
          <w:color w:val="2F5496" w:themeColor="accent1" w:themeShade="BF"/>
          <w:sz w:val="26"/>
          <w:szCs w:val="26"/>
        </w:rPr>
      </w:pPr>
    </w:p>
    <w:p w14:paraId="0DFB09B7" w14:textId="77777777" w:rsidR="00CA5509" w:rsidRDefault="00CA5509">
      <w:pPr>
        <w:rPr>
          <w:rFonts w:asciiTheme="majorHAnsi" w:eastAsiaTheme="majorEastAsia" w:hAnsiTheme="majorHAnsi" w:cstheme="majorBidi"/>
          <w:b/>
          <w:bCs/>
          <w:color w:val="2F5496" w:themeColor="accent1" w:themeShade="BF"/>
          <w:sz w:val="26"/>
          <w:szCs w:val="26"/>
        </w:rPr>
      </w:pPr>
    </w:p>
    <w:p w14:paraId="54B16EA6" w14:textId="37667BB4" w:rsidR="00EC4595" w:rsidRDefault="00EC4595" w:rsidP="00EC4595">
      <w:pPr>
        <w:pStyle w:val="Heading2"/>
      </w:pPr>
      <w:r>
        <w:t>Responses to Specific Questions</w:t>
      </w:r>
    </w:p>
    <w:p w14:paraId="4A9EAC9E" w14:textId="17DB826C" w:rsidR="00EC4595" w:rsidRDefault="004971BB" w:rsidP="0010187B">
      <w:pPr>
        <w:pStyle w:val="Heading3"/>
      </w:pPr>
      <w:r>
        <w:t xml:space="preserve">3. </w:t>
      </w:r>
      <w:r>
        <w:tab/>
        <w:t xml:space="preserve">What kinds of information and data are collected by States to identify forms of violence and discrimination faced by people based on sexual orientation and </w:t>
      </w:r>
      <w:r w:rsidRPr="0010187B">
        <w:t>gender</w:t>
      </w:r>
      <w:r>
        <w:t xml:space="preserve"> identity?</w:t>
      </w:r>
    </w:p>
    <w:p w14:paraId="381919F9" w14:textId="1BF9A96F" w:rsidR="00F2746A" w:rsidRDefault="00F2746A">
      <w:r>
        <w:t>The UK has had procedures in place for police forces to record information about hate incidents and hate crimes motivated by hatred of sexuality and “transgender identity” since 2007</w:t>
      </w:r>
      <w:r w:rsidR="00DF7920">
        <w:rPr>
          <w:rStyle w:val="FootnoteReference"/>
        </w:rPr>
        <w:t>[</w:t>
      </w:r>
      <w:r w:rsidR="00DF7920">
        <w:rPr>
          <w:rStyle w:val="FootnoteReference"/>
        </w:rPr>
        <w:footnoteReference w:id="116"/>
      </w:r>
      <w:r w:rsidR="00DF7920">
        <w:rPr>
          <w:rStyle w:val="FootnoteReference"/>
        </w:rPr>
        <w:t>]</w:t>
      </w:r>
      <w:r>
        <w:t>. As the House of Commons Library’s briefing makes clear, it is recognised that all hate incidents are under-reported to the police, and the National Crime Survey (run by the Office of National Statistics) does not record crimes against those aged under 16.</w:t>
      </w:r>
    </w:p>
    <w:p w14:paraId="4421190A" w14:textId="5FA436EE" w:rsidR="004971BB" w:rsidRDefault="00F2746A">
      <w:r>
        <w:t>Galop’s Transphobic Hate Crime 2020 report</w:t>
      </w:r>
      <w:r w:rsidR="00DF7920">
        <w:rPr>
          <w:rStyle w:val="FootnoteReference"/>
        </w:rPr>
        <w:t>[</w:t>
      </w:r>
      <w:r w:rsidR="00DF7920">
        <w:rPr>
          <w:rStyle w:val="FootnoteReference"/>
        </w:rPr>
        <w:footnoteReference w:id="117"/>
      </w:r>
      <w:r w:rsidR="00DF7920">
        <w:rPr>
          <w:rStyle w:val="FootnoteReference"/>
        </w:rPr>
        <w:t>]</w:t>
      </w:r>
      <w:r>
        <w:t xml:space="preserve"> identified that only 1 in 7 trans people reported hate incidents against them to the police, and that 70% of trans people thought the police would do nothing with the report.</w:t>
      </w:r>
    </w:p>
    <w:p w14:paraId="245C8D59" w14:textId="66768185" w:rsidR="00F2746A" w:rsidRDefault="008F3497">
      <w:r>
        <w:t>The Home Office hate crime statistics for England and Wales</w:t>
      </w:r>
      <w:r w:rsidR="00DF7920">
        <w:rPr>
          <w:rStyle w:val="FootnoteReference"/>
        </w:rPr>
        <w:t>[</w:t>
      </w:r>
      <w:r w:rsidR="00DF7920">
        <w:rPr>
          <w:rStyle w:val="FootnoteReference"/>
        </w:rPr>
        <w:footnoteReference w:id="118"/>
      </w:r>
      <w:r w:rsidR="00DF7920">
        <w:rPr>
          <w:rStyle w:val="FootnoteReference"/>
        </w:rPr>
        <w:t>]</w:t>
      </w:r>
      <w:r>
        <w:t xml:space="preserve"> shows that the number of reported hate crimes against trans people has risen substantially over the past decade (from 296 in 2011/12 to 2,540 in 2019/20). These now constitute around 2.5% of all recorded hate crimes, while the trans population is estimated to be a maximum of 1.5%. It is likely that the actual number of people who would put themselves in a position where they may experience transphobic hate crime is significantly smaller than 1% of the UK’s population.</w:t>
      </w:r>
    </w:p>
    <w:p w14:paraId="3BF4B6B1" w14:textId="544845CA" w:rsidR="008F3497" w:rsidRDefault="008F3497">
      <w:r>
        <w:t>The published Home Office hate crime statistics do not record a breakdown of type of crime within each recorded category.</w:t>
      </w:r>
    </w:p>
    <w:p w14:paraId="73AA4A25" w14:textId="77777777" w:rsidR="00C13B2C" w:rsidRDefault="00C13B2C"/>
    <w:p w14:paraId="26A3769F" w14:textId="1CEF3BFE" w:rsidR="004971BB" w:rsidRDefault="004971BB" w:rsidP="0010187B">
      <w:pPr>
        <w:pStyle w:val="Heading3"/>
      </w:pPr>
      <w:r>
        <w:t>4.</w:t>
      </w:r>
      <w:r>
        <w:tab/>
        <w:t>Is comprehensive sexuality education taught in schools?</w:t>
      </w:r>
    </w:p>
    <w:p w14:paraId="20DD305B" w14:textId="17451777" w:rsidR="004971BB" w:rsidRDefault="008F3497">
      <w:r>
        <w:t>Relationships and Sexual Health Education (RSHE) was due to become compulsory in state-funded schools from September 2020. However this was deferred until April 2021 due to the coronavirus pandemic.</w:t>
      </w:r>
    </w:p>
    <w:p w14:paraId="50A200C7" w14:textId="1EE5C082" w:rsidR="008F3497" w:rsidRDefault="008F3497">
      <w:r>
        <w:t>Secondary schools in England are mandated to provide both sex education and relationships education which must be inclusive of LGBT identities</w:t>
      </w:r>
      <w:r w:rsidR="00DF7920">
        <w:rPr>
          <w:rStyle w:val="FootnoteReference"/>
        </w:rPr>
        <w:t>[</w:t>
      </w:r>
      <w:r w:rsidR="00DF7920">
        <w:rPr>
          <w:rStyle w:val="FootnoteReference"/>
        </w:rPr>
        <w:footnoteReference w:id="119"/>
      </w:r>
      <w:r w:rsidR="00DF7920">
        <w:rPr>
          <w:rStyle w:val="FootnoteReference"/>
        </w:rPr>
        <w:t>]</w:t>
      </w:r>
      <w:r>
        <w:t>. Parents/carers may opt their child out of sex education, but the young person may opt in once they are within two terms of their 16</w:t>
      </w:r>
      <w:r w:rsidRPr="008F3497">
        <w:rPr>
          <w:vertAlign w:val="superscript"/>
        </w:rPr>
        <w:t>th</w:t>
      </w:r>
      <w:r>
        <w:t xml:space="preserve"> birthday.</w:t>
      </w:r>
    </w:p>
    <w:p w14:paraId="5D0F823F" w14:textId="7C1B56E3" w:rsidR="008F3497" w:rsidRDefault="008F3497">
      <w:r>
        <w:t xml:space="preserve">Primary schools in England are mandated to provide relationships education. Statutory guidance states that teaching must include different types of families, but the inclusion of families </w:t>
      </w:r>
      <w:r w:rsidR="0010187B">
        <w:t xml:space="preserve">containing LGBT people is suggested </w:t>
      </w:r>
      <w:r w:rsidR="0010187B">
        <w:lastRenderedPageBreak/>
        <w:t>rather than compulsory. Ofsted’s most recent guidance</w:t>
      </w:r>
      <w:r w:rsidR="00DF7920">
        <w:rPr>
          <w:rStyle w:val="FootnoteReference"/>
        </w:rPr>
        <w:t>[</w:t>
      </w:r>
      <w:r w:rsidR="00DF7920">
        <w:rPr>
          <w:rStyle w:val="FootnoteReference"/>
        </w:rPr>
        <w:footnoteReference w:id="120"/>
      </w:r>
      <w:r w:rsidR="00DF7920">
        <w:rPr>
          <w:rStyle w:val="FootnoteReference"/>
        </w:rPr>
        <w:t>]</w:t>
      </w:r>
      <w:r w:rsidR="0010187B">
        <w:t xml:space="preserve"> states that children and young people should learn about all of the different protected characteristics of the Equality Act – which includes sexuality and gender identity.</w:t>
      </w:r>
    </w:p>
    <w:p w14:paraId="3447BDA3" w14:textId="1EE7A036" w:rsidR="0010187B" w:rsidRDefault="0050188E">
      <w:r>
        <w:t>In 2020 t</w:t>
      </w:r>
      <w:r w:rsidR="0010187B">
        <w:t>he Government Equalities Office withdr</w:t>
      </w:r>
      <w:r>
        <w:t>e</w:t>
      </w:r>
      <w:r w:rsidR="0010187B">
        <w:t>w its free training on LGBT-inclusive RSHE</w:t>
      </w:r>
      <w:r w:rsidR="00DF7920">
        <w:rPr>
          <w:rStyle w:val="FootnoteReference"/>
        </w:rPr>
        <w:t>[</w:t>
      </w:r>
      <w:r w:rsidR="00DF7920">
        <w:rPr>
          <w:rStyle w:val="FootnoteReference"/>
        </w:rPr>
        <w:footnoteReference w:id="121"/>
      </w:r>
      <w:r w:rsidR="00DF7920">
        <w:rPr>
          <w:rStyle w:val="FootnoteReference"/>
        </w:rPr>
        <w:t>]</w:t>
      </w:r>
      <w:r w:rsidR="0010187B">
        <w:t>, resulting in minimal free training being available to schools and teachers.</w:t>
      </w:r>
      <w:r w:rsidR="004B5A22">
        <w:t xml:space="preserve"> Government also stopped funding a programme to combat homophobic, biphobic and transphobic bullying in schools</w:t>
      </w:r>
      <w:r w:rsidR="00DF7920">
        <w:rPr>
          <w:rStyle w:val="FootnoteReference"/>
        </w:rPr>
        <w:t>[</w:t>
      </w:r>
      <w:r w:rsidR="00DF7920">
        <w:rPr>
          <w:rStyle w:val="FootnoteReference"/>
        </w:rPr>
        <w:footnoteReference w:id="122"/>
      </w:r>
      <w:r w:rsidR="00DF7920">
        <w:rPr>
          <w:rStyle w:val="FootnoteReference"/>
        </w:rPr>
        <w:t>]</w:t>
      </w:r>
      <w:r w:rsidR="004B5A22">
        <w:t>.</w:t>
      </w:r>
    </w:p>
    <w:p w14:paraId="71D89C52" w14:textId="6D307D74" w:rsidR="0010187B" w:rsidRDefault="0010187B">
      <w:r>
        <w:t>LGBT inclusivity is mandated in RSHE in Scotland for secondary school and encouraged for all ages</w:t>
      </w:r>
      <w:r w:rsidR="00DF7920">
        <w:rPr>
          <w:rStyle w:val="FootnoteReference"/>
        </w:rPr>
        <w:t>[</w:t>
      </w:r>
      <w:r w:rsidR="00DF7920">
        <w:rPr>
          <w:rStyle w:val="FootnoteReference"/>
        </w:rPr>
        <w:footnoteReference w:id="123"/>
      </w:r>
      <w:r w:rsidR="00DF7920">
        <w:rPr>
          <w:rStyle w:val="FootnoteReference"/>
        </w:rPr>
        <w:t>]</w:t>
      </w:r>
      <w:r>
        <w:t>.</w:t>
      </w:r>
    </w:p>
    <w:p w14:paraId="2033E3F7" w14:textId="63252944" w:rsidR="008F3497" w:rsidRDefault="0010187B">
      <w:r>
        <w:t>Draft guidance from the Welsh Government</w:t>
      </w:r>
      <w:r w:rsidR="00DF7920">
        <w:rPr>
          <w:rStyle w:val="FootnoteReference"/>
        </w:rPr>
        <w:t>[</w:t>
      </w:r>
      <w:r w:rsidR="00DF7920">
        <w:rPr>
          <w:rStyle w:val="FootnoteReference"/>
        </w:rPr>
        <w:footnoteReference w:id="124"/>
      </w:r>
      <w:r w:rsidR="00DF7920">
        <w:rPr>
          <w:rStyle w:val="FootnoteReference"/>
        </w:rPr>
        <w:t>]</w:t>
      </w:r>
      <w:r>
        <w:t xml:space="preserve"> indicates that sex education is to be mandatory for secondary school pupils, and that LGBTQ young people must have access to relevant and suitable sex education.</w:t>
      </w:r>
    </w:p>
    <w:p w14:paraId="6EC09CCB" w14:textId="77777777" w:rsidR="00C13B2C" w:rsidRDefault="00C13B2C"/>
    <w:p w14:paraId="7799F08C" w14:textId="39842018" w:rsidR="004971BB" w:rsidRDefault="004971BB" w:rsidP="0010187B">
      <w:pPr>
        <w:pStyle w:val="Heading3"/>
      </w:pPr>
      <w:r>
        <w:t>5.</w:t>
      </w:r>
      <w:r>
        <w:tab/>
        <w:t>Are there examples where the concept of gender has been used in religious narratives or narratives of tradition, traditional values or protection of the family to hinder the adoption of legislative or policy measures aimed at addressing or eradicating violence and discrimination based on sex, gender, sexual orientation and gender identity?</w:t>
      </w:r>
    </w:p>
    <w:p w14:paraId="0A4D3732" w14:textId="36F332C6" w:rsidR="00A505BF" w:rsidRDefault="00EA5D3D">
      <w:r>
        <w:t>Fundamentalist Christian groups such as the Christian Institute</w:t>
      </w:r>
      <w:r w:rsidR="00DF7920">
        <w:rPr>
          <w:rStyle w:val="FootnoteReference"/>
        </w:rPr>
        <w:t>[</w:t>
      </w:r>
      <w:r w:rsidR="00DF7920">
        <w:rPr>
          <w:rStyle w:val="FootnoteReference"/>
        </w:rPr>
        <w:footnoteReference w:id="125"/>
      </w:r>
      <w:r w:rsidR="00DF7920">
        <w:rPr>
          <w:rStyle w:val="FootnoteReference"/>
        </w:rPr>
        <w:t>]</w:t>
      </w:r>
      <w:r>
        <w:t xml:space="preserve"> and Christian Concern</w:t>
      </w:r>
      <w:r w:rsidR="00DF7920">
        <w:rPr>
          <w:rStyle w:val="FootnoteReference"/>
        </w:rPr>
        <w:t>[</w:t>
      </w:r>
      <w:r w:rsidR="00DF7920">
        <w:rPr>
          <w:rStyle w:val="FootnoteReference"/>
        </w:rPr>
        <w:footnoteReference w:id="126"/>
      </w:r>
      <w:r w:rsidR="00DF7920">
        <w:rPr>
          <w:rStyle w:val="FootnoteReference"/>
        </w:rPr>
        <w:t>][</w:t>
      </w:r>
      <w:r w:rsidR="00DF7920">
        <w:rPr>
          <w:rStyle w:val="FootnoteReference"/>
        </w:rPr>
        <w:footnoteReference w:id="127"/>
      </w:r>
      <w:r w:rsidR="00DF7920">
        <w:rPr>
          <w:rStyle w:val="FootnoteReference"/>
        </w:rPr>
        <w:t>]</w:t>
      </w:r>
      <w:r>
        <w:t xml:space="preserve"> regularly attempt to intervene in legal cases and policy decisions where LGBT peoples’ rights are involved.</w:t>
      </w:r>
    </w:p>
    <w:p w14:paraId="1CD01316" w14:textId="498C3DAC" w:rsidR="004971BB" w:rsidRDefault="00EA5D3D">
      <w:r>
        <w:t>Paul Conrathe</w:t>
      </w:r>
      <w:r w:rsidR="00DF7920">
        <w:rPr>
          <w:rStyle w:val="FootnoteReference"/>
        </w:rPr>
        <w:t>[</w:t>
      </w:r>
      <w:r w:rsidR="00DF7920">
        <w:rPr>
          <w:rStyle w:val="FootnoteReference"/>
        </w:rPr>
        <w:footnoteReference w:id="128"/>
      </w:r>
      <w:r w:rsidR="00DF7920">
        <w:rPr>
          <w:rStyle w:val="FootnoteReference"/>
        </w:rPr>
        <w:t>]</w:t>
      </w:r>
      <w:r>
        <w:t xml:space="preserve">, who </w:t>
      </w:r>
      <w:r w:rsidR="00A505BF">
        <w:t>has been involved in senior roles in evangelical, fundamentalist Christian organisations</w:t>
      </w:r>
      <w:r>
        <w:t>, is a lawyer</w:t>
      </w:r>
      <w:r w:rsidR="00DF7920">
        <w:rPr>
          <w:rStyle w:val="FootnoteReference"/>
        </w:rPr>
        <w:t>[</w:t>
      </w:r>
      <w:r w:rsidR="00DF7920">
        <w:rPr>
          <w:rStyle w:val="FootnoteReference"/>
        </w:rPr>
        <w:footnoteReference w:id="129"/>
      </w:r>
      <w:r w:rsidR="00DF7920">
        <w:rPr>
          <w:rStyle w:val="FootnoteReference"/>
        </w:rPr>
        <w:t>]</w:t>
      </w:r>
      <w:r>
        <w:t xml:space="preserve"> who has regularly represented those who object to LGBT inclusion in court cases</w:t>
      </w:r>
      <w:r w:rsidR="00DF7920">
        <w:rPr>
          <w:rStyle w:val="FootnoteReference"/>
        </w:rPr>
        <w:t>[</w:t>
      </w:r>
      <w:r w:rsidR="00DF7920">
        <w:rPr>
          <w:rStyle w:val="FootnoteReference"/>
        </w:rPr>
        <w:footnoteReference w:id="130"/>
      </w:r>
      <w:r w:rsidR="00DF7920">
        <w:rPr>
          <w:rStyle w:val="FootnoteReference"/>
        </w:rPr>
        <w:t>][</w:t>
      </w:r>
      <w:r w:rsidR="00DF7920">
        <w:rPr>
          <w:rStyle w:val="FootnoteReference"/>
        </w:rPr>
        <w:footnoteReference w:id="131"/>
      </w:r>
      <w:r w:rsidR="00DF7920">
        <w:rPr>
          <w:rStyle w:val="FootnoteReference"/>
        </w:rPr>
        <w:t>][</w:t>
      </w:r>
      <w:r w:rsidR="00DF7920">
        <w:rPr>
          <w:rStyle w:val="FootnoteReference"/>
        </w:rPr>
        <w:footnoteReference w:id="132"/>
      </w:r>
      <w:r w:rsidR="00DF7920">
        <w:rPr>
          <w:rStyle w:val="FootnoteReference"/>
        </w:rPr>
        <w:t>]</w:t>
      </w:r>
      <w:r>
        <w:t xml:space="preserve"> – most recently in the Bell case</w:t>
      </w:r>
      <w:r w:rsidR="00DF7920">
        <w:rPr>
          <w:rStyle w:val="FootnoteReference"/>
        </w:rPr>
        <w:t>[</w:t>
      </w:r>
      <w:r w:rsidR="00DF7920">
        <w:rPr>
          <w:rStyle w:val="FootnoteReference"/>
        </w:rPr>
        <w:footnoteReference w:id="133"/>
      </w:r>
      <w:r w:rsidR="00DF7920">
        <w:rPr>
          <w:rStyle w:val="FootnoteReference"/>
        </w:rPr>
        <w:t>]</w:t>
      </w:r>
      <w:r>
        <w:t xml:space="preserve"> which restricted</w:t>
      </w:r>
      <w:r w:rsidRPr="00EA5D3D">
        <w:t xml:space="preserve"> </w:t>
      </w:r>
      <w:r>
        <w:t>access to puberty blockers by trans people who are under 18.</w:t>
      </w:r>
      <w:r w:rsidR="000A2130">
        <w:t xml:space="preserve"> Conrathe has a history of representing people in cases which attempt to restrict access to abortion.</w:t>
      </w:r>
    </w:p>
    <w:p w14:paraId="5FEDE2D3" w14:textId="25DA7452" w:rsidR="00A505BF" w:rsidRDefault="00A505BF">
      <w:r>
        <w:t xml:space="preserve">Muslim groups </w:t>
      </w:r>
      <w:r w:rsidR="000A2130">
        <w:t>have</w:t>
      </w:r>
      <w:r>
        <w:t xml:space="preserve"> also</w:t>
      </w:r>
      <w:r w:rsidR="000A2130">
        <w:t xml:space="preserve"> been</w:t>
      </w:r>
      <w:r>
        <w:t xml:space="preserve"> involved in protesting LGBT education in primary schools in Birmingham</w:t>
      </w:r>
      <w:r w:rsidR="00DF7920">
        <w:rPr>
          <w:rStyle w:val="FootnoteReference"/>
        </w:rPr>
        <w:t>[</w:t>
      </w:r>
      <w:r w:rsidR="00DF7920">
        <w:rPr>
          <w:rStyle w:val="FootnoteReference"/>
        </w:rPr>
        <w:footnoteReference w:id="134"/>
      </w:r>
      <w:r w:rsidR="00DF7920">
        <w:rPr>
          <w:rStyle w:val="FootnoteReference"/>
        </w:rPr>
        <w:t>]</w:t>
      </w:r>
      <w:r>
        <w:t>.</w:t>
      </w:r>
    </w:p>
    <w:p w14:paraId="2F5DA5C8" w14:textId="5A53E8ED" w:rsidR="00167D08" w:rsidRDefault="00167D08">
      <w:r>
        <w:t>Analysis of responses opposed to GRA reform in Scotland identified that roughly half came from “</w:t>
      </w:r>
      <w:r w:rsidRPr="00381ADA">
        <w:rPr>
          <w:i/>
          <w:iCs/>
        </w:rPr>
        <w:t>Christian conservative groups which traditionally oppose abortion and same sex marriage</w:t>
      </w:r>
      <w:r>
        <w:t>” and the other half from “women’s groups that fight for these rights”</w:t>
      </w:r>
      <w:r w:rsidR="00DF7920">
        <w:rPr>
          <w:rStyle w:val="FootnoteReference"/>
        </w:rPr>
        <w:t>[</w:t>
      </w:r>
      <w:r w:rsidR="00DF7920">
        <w:rPr>
          <w:rStyle w:val="FootnoteReference"/>
        </w:rPr>
        <w:footnoteReference w:id="135"/>
      </w:r>
      <w:r w:rsidR="00DF7920">
        <w:rPr>
          <w:rStyle w:val="FootnoteReference"/>
        </w:rPr>
        <w:t>]</w:t>
      </w:r>
      <w:r>
        <w:t>. The analysis continues “</w:t>
      </w:r>
      <w:r w:rsidRPr="00381ADA">
        <w:rPr>
          <w:rFonts w:cstheme="minorHAnsi"/>
          <w:i/>
          <w:iCs/>
          <w:color w:val="000000"/>
        </w:rPr>
        <w:t xml:space="preserve">Some of their arguments in response to the consultation’s questions were also markedly similar: that reforms would threaten women-only spaces, </w:t>
      </w:r>
      <w:r w:rsidRPr="00381ADA">
        <w:rPr>
          <w:rFonts w:cstheme="minorHAnsi"/>
          <w:i/>
          <w:iCs/>
          <w:color w:val="000000"/>
        </w:rPr>
        <w:lastRenderedPageBreak/>
        <w:t>marriages, families, and the safety of women and children</w:t>
      </w:r>
      <w:r>
        <w:t>”. It was noted that one response to the Scottish consultation was from ADF International</w:t>
      </w:r>
      <w:r w:rsidR="00DF7920">
        <w:rPr>
          <w:rStyle w:val="FootnoteReference"/>
        </w:rPr>
        <w:t>[</w:t>
      </w:r>
      <w:r w:rsidR="00DF7920">
        <w:rPr>
          <w:rStyle w:val="FootnoteReference"/>
        </w:rPr>
        <w:footnoteReference w:id="136"/>
      </w:r>
      <w:r w:rsidR="00DF7920">
        <w:rPr>
          <w:rStyle w:val="FootnoteReference"/>
        </w:rPr>
        <w:t>]</w:t>
      </w:r>
      <w:r>
        <w:t>.</w:t>
      </w:r>
    </w:p>
    <w:p w14:paraId="78AFB20D" w14:textId="77777777" w:rsidR="00C13B2C" w:rsidRDefault="00C13B2C"/>
    <w:p w14:paraId="3A849763" w14:textId="1DB4CE1A" w:rsidR="004971BB" w:rsidRDefault="004971BB" w:rsidP="00CF3BA5">
      <w:pPr>
        <w:pStyle w:val="Heading3"/>
      </w:pPr>
      <w:r>
        <w:t>7.</w:t>
      </w:r>
      <w:r>
        <w:tab/>
        <w:t>Are there examples in which narratives or “gender ideology”, “genderism” or other gender-related concepts have been used to introduce regressive measures?</w:t>
      </w:r>
    </w:p>
    <w:p w14:paraId="78BB344D" w14:textId="65FB0F97" w:rsidR="004971BB" w:rsidRDefault="00CF3BA5">
      <w:r>
        <w:t>In the UK, it is those who oppose trans inclusion who use the term “gender ideology” to reference a supposed agenda of trans groups and campaigners</w:t>
      </w:r>
      <w:r w:rsidR="00DF7920">
        <w:rPr>
          <w:rStyle w:val="FootnoteReference"/>
        </w:rPr>
        <w:t>[</w:t>
      </w:r>
      <w:r w:rsidR="00DF7920">
        <w:rPr>
          <w:rStyle w:val="FootnoteReference"/>
        </w:rPr>
        <w:footnoteReference w:id="137"/>
      </w:r>
      <w:r w:rsidR="00DF7920">
        <w:rPr>
          <w:rStyle w:val="FootnoteReference"/>
        </w:rPr>
        <w:t>][</w:t>
      </w:r>
      <w:r w:rsidR="00DF7920">
        <w:rPr>
          <w:rStyle w:val="FootnoteReference"/>
        </w:rPr>
        <w:footnoteReference w:id="138"/>
      </w:r>
      <w:r w:rsidR="00DF7920">
        <w:rPr>
          <w:rStyle w:val="FootnoteReference"/>
        </w:rPr>
        <w:t>]</w:t>
      </w:r>
      <w:r>
        <w:t>. It is never clearly defined what this is, along with other terminology such as “transgender agenda”.</w:t>
      </w:r>
    </w:p>
    <w:p w14:paraId="708CD0C0" w14:textId="189436EF" w:rsidR="001B4883" w:rsidRDefault="000A2130">
      <w:r>
        <w:t>In her speech of 22 April 2020, Liz Truss (Secretary of State for Women and Equalities) used terms which trans people generally equate with those opposed to trans inclusion</w:t>
      </w:r>
      <w:r w:rsidR="00EB5108">
        <w:t>:</w:t>
      </w:r>
    </w:p>
    <w:p w14:paraId="0893D775" w14:textId="5CD2ABA3" w:rsidR="00CF3BA5" w:rsidRDefault="000A2130" w:rsidP="00381ADA">
      <w:pPr>
        <w:pStyle w:val="ListParagraph"/>
        <w:numPr>
          <w:ilvl w:val="0"/>
          <w:numId w:val="5"/>
        </w:numPr>
        <w:ind w:left="425" w:hanging="357"/>
        <w:contextualSpacing w:val="0"/>
      </w:pPr>
      <w:r>
        <w:t>She talked about the need to protect single-sex spaces</w:t>
      </w:r>
      <w:r w:rsidR="001B4883">
        <w:t>, but didn’t clearly define who those spaces needed to be protected from. Campaigns which had used that language up to that point</w:t>
      </w:r>
      <w:r w:rsidR="00DF7920">
        <w:rPr>
          <w:rStyle w:val="FootnoteReference"/>
        </w:rPr>
        <w:t>[</w:t>
      </w:r>
      <w:r w:rsidR="00DF7920">
        <w:rPr>
          <w:rStyle w:val="FootnoteReference"/>
        </w:rPr>
        <w:footnoteReference w:id="139"/>
      </w:r>
      <w:r w:rsidR="00DF7920">
        <w:rPr>
          <w:rStyle w:val="FootnoteReference"/>
        </w:rPr>
        <w:t>]</w:t>
      </w:r>
      <w:r w:rsidR="001B4883">
        <w:t>, clearly implied that trans women should be excluded from those spaces.</w:t>
      </w:r>
    </w:p>
    <w:p w14:paraId="2D0F4D9A" w14:textId="423C1EE5" w:rsidR="001B4883" w:rsidRDefault="001B4883" w:rsidP="00381ADA">
      <w:pPr>
        <w:pStyle w:val="ListParagraph"/>
        <w:numPr>
          <w:ilvl w:val="0"/>
          <w:numId w:val="5"/>
        </w:numPr>
        <w:ind w:left="425" w:hanging="357"/>
        <w:contextualSpacing w:val="0"/>
      </w:pPr>
      <w:r>
        <w:t>Truss said it was important to maintain “</w:t>
      </w:r>
      <w:r w:rsidRPr="00381ADA">
        <w:rPr>
          <w:rFonts w:cstheme="minorHAnsi"/>
          <w:i/>
          <w:iCs/>
          <w:color w:val="0B0C0C"/>
          <w:shd w:val="clear" w:color="auto" w:fill="FFFFFF"/>
        </w:rPr>
        <w:t>the proper checks and balances in the system</w:t>
      </w:r>
      <w:r>
        <w:t>” when considering GRA reform. This implied that the existing restrictions had been used to prevent “undesirables” from gaining legal gender recognition, but there are no statistics to back this assertion up.</w:t>
      </w:r>
    </w:p>
    <w:p w14:paraId="177A105C" w14:textId="42A7A565" w:rsidR="001B4883" w:rsidRDefault="001B4883" w:rsidP="00381ADA">
      <w:pPr>
        <w:pStyle w:val="ListParagraph"/>
        <w:numPr>
          <w:ilvl w:val="0"/>
          <w:numId w:val="5"/>
        </w:numPr>
        <w:ind w:left="425" w:hanging="357"/>
        <w:contextualSpacing w:val="0"/>
      </w:pPr>
      <w:r>
        <w:t>Finally, Truss said “</w:t>
      </w:r>
      <w:r w:rsidRPr="00381ADA">
        <w:rPr>
          <w:rFonts w:cstheme="minorHAnsi"/>
          <w:i/>
          <w:iCs/>
          <w:color w:val="0B0C0C"/>
          <w:shd w:val="clear" w:color="auto" w:fill="FFFFFF"/>
        </w:rPr>
        <w:t>it’s very important that while people are still developing their decision-making capabilities that we protect them from making those irreversible decisions</w:t>
      </w:r>
      <w:r>
        <w:t>”</w:t>
      </w:r>
      <w:r w:rsidR="00EB5108">
        <w:t xml:space="preserve">, which was understood as saying that nobody under 18 should be allowed to pursue transition-related healthcare. </w:t>
      </w:r>
    </w:p>
    <w:p w14:paraId="3480FDCA" w14:textId="4A298C46" w:rsidR="00EB5108" w:rsidRDefault="00EB5108">
      <w:r>
        <w:t>Currently there is debate over the banning of conversion therapy, with the usual groups opposed to trans inclusion urging the Government to exclude conversion therapy performed on trans people from any ban</w:t>
      </w:r>
      <w:r w:rsidR="00DF7920">
        <w:rPr>
          <w:rStyle w:val="FootnoteReference"/>
        </w:rPr>
        <w:t>[</w:t>
      </w:r>
      <w:r w:rsidR="00DF7920">
        <w:rPr>
          <w:rStyle w:val="FootnoteReference"/>
        </w:rPr>
        <w:footnoteReference w:id="140"/>
      </w:r>
      <w:r w:rsidR="00DF7920">
        <w:rPr>
          <w:rStyle w:val="FootnoteReference"/>
        </w:rPr>
        <w:t>][</w:t>
      </w:r>
      <w:r w:rsidR="00DF7920">
        <w:rPr>
          <w:rStyle w:val="FootnoteReference"/>
        </w:rPr>
        <w:footnoteReference w:id="141"/>
      </w:r>
      <w:r w:rsidR="00DF7920">
        <w:rPr>
          <w:rStyle w:val="FootnoteReference"/>
        </w:rPr>
        <w:t>]</w:t>
      </w:r>
      <w:r>
        <w:t>.</w:t>
      </w:r>
    </w:p>
    <w:p w14:paraId="5BF72F4D" w14:textId="77777777" w:rsidR="00C13B2C" w:rsidRDefault="00C13B2C"/>
    <w:p w14:paraId="6566343F" w14:textId="0076A6A9" w:rsidR="004971BB" w:rsidRDefault="004971BB" w:rsidP="00CF3BA5">
      <w:pPr>
        <w:pStyle w:val="Heading3"/>
      </w:pPr>
      <w:r>
        <w:t>9.</w:t>
      </w:r>
      <w:r>
        <w:tab/>
        <w:t>Have there been public expressions or statements by political and/or religious leaders that have led to indefinite extension, modification or suppression of actions, activities, projects, public policies or application of gender frameworks?</w:t>
      </w:r>
    </w:p>
    <w:p w14:paraId="62E451F2" w14:textId="074EA339" w:rsidR="004971BB" w:rsidRDefault="00BC4EB2">
      <w:r>
        <w:t>We refer the Independent Expert to our answer to question 5 above.</w:t>
      </w:r>
    </w:p>
    <w:p w14:paraId="6ED876FB" w14:textId="77777777" w:rsidR="00C13B2C" w:rsidRDefault="00C13B2C"/>
    <w:p w14:paraId="6E6ABCB0" w14:textId="16ED3269" w:rsidR="004971BB" w:rsidRDefault="004971BB" w:rsidP="00CF3BA5">
      <w:pPr>
        <w:pStyle w:val="Heading3"/>
      </w:pPr>
      <w:r>
        <w:t>10.</w:t>
      </w:r>
      <w:r>
        <w:tab/>
        <w:t>Who are [the] main actors who argue that the defenders of human rights of LGBT individuals are furthering a so-called “gender ideology”? What are their main arguments? Have they been effective in regressing the rights of LGBT individuals? Have their strategies directly or indirectly also impacted on the human rights of women and girls?</w:t>
      </w:r>
    </w:p>
    <w:p w14:paraId="44B73704" w14:textId="62CC6EF4" w:rsidR="00167D08" w:rsidRDefault="00167D08">
      <w:r>
        <w:t>We note again that, in the UK, it is those who oppose trans inclusion who use the term “gender ideology” to reference a supposed agenda of trans groups and campaigners.</w:t>
      </w:r>
    </w:p>
    <w:p w14:paraId="24B3B486" w14:textId="1A65E42A" w:rsidR="004971BB" w:rsidRDefault="00EB5108">
      <w:r>
        <w:lastRenderedPageBreak/>
        <w:t>There are several groups, some from an overtly religious perspective, others with opaque backing. Some have already been referenced in this submission, but organisations we understand to meet the criteria are listed below</w:t>
      </w:r>
      <w:r w:rsidR="00DF7920">
        <w:rPr>
          <w:rStyle w:val="FootnoteReference"/>
        </w:rPr>
        <w:t>[</w:t>
      </w:r>
      <w:r w:rsidR="00DF7920">
        <w:rPr>
          <w:rStyle w:val="FootnoteReference"/>
        </w:rPr>
        <w:footnoteReference w:id="142"/>
      </w:r>
      <w:r w:rsidR="00DF7920">
        <w:rPr>
          <w:rStyle w:val="FootnoteReference"/>
        </w:rPr>
        <w:t>]</w:t>
      </w:r>
      <w:r>
        <w:t>:</w:t>
      </w:r>
    </w:p>
    <w:p w14:paraId="79674C8C" w14:textId="5E0CBACD" w:rsidR="00167D08" w:rsidRDefault="00167D08" w:rsidP="00381ADA">
      <w:pPr>
        <w:pStyle w:val="ListParagraph"/>
        <w:numPr>
          <w:ilvl w:val="0"/>
          <w:numId w:val="6"/>
        </w:numPr>
      </w:pPr>
      <w:r>
        <w:t>ADF International</w:t>
      </w:r>
    </w:p>
    <w:p w14:paraId="29673F36" w14:textId="3868C204" w:rsidR="00E71A62" w:rsidRDefault="00E71A62" w:rsidP="00381ADA">
      <w:pPr>
        <w:pStyle w:val="ListParagraph"/>
        <w:numPr>
          <w:ilvl w:val="0"/>
          <w:numId w:val="6"/>
        </w:numPr>
      </w:pPr>
      <w:r>
        <w:t>Authentic Equality Alliance</w:t>
      </w:r>
    </w:p>
    <w:p w14:paraId="50B6C3EF" w14:textId="4ACB6ED2" w:rsidR="00EB5108" w:rsidRDefault="00EB5108" w:rsidP="00381ADA">
      <w:pPr>
        <w:pStyle w:val="ListParagraph"/>
        <w:numPr>
          <w:ilvl w:val="0"/>
          <w:numId w:val="6"/>
        </w:numPr>
      </w:pPr>
      <w:r>
        <w:t>Christian Concern</w:t>
      </w:r>
    </w:p>
    <w:p w14:paraId="77B6AA68" w14:textId="25E7F250" w:rsidR="00EB5108" w:rsidRDefault="00EB5108" w:rsidP="00381ADA">
      <w:pPr>
        <w:pStyle w:val="ListParagraph"/>
        <w:numPr>
          <w:ilvl w:val="0"/>
          <w:numId w:val="6"/>
        </w:numPr>
      </w:pPr>
      <w:r>
        <w:t>Christian Institute</w:t>
      </w:r>
    </w:p>
    <w:p w14:paraId="4E47BF41" w14:textId="24BFBFCB" w:rsidR="00E71A62" w:rsidRDefault="00E71A62" w:rsidP="00381ADA">
      <w:pPr>
        <w:pStyle w:val="ListParagraph"/>
        <w:numPr>
          <w:ilvl w:val="0"/>
          <w:numId w:val="6"/>
        </w:numPr>
      </w:pPr>
      <w:r>
        <w:t>Conservatives for Women</w:t>
      </w:r>
    </w:p>
    <w:p w14:paraId="606EC0D8" w14:textId="6B2D824B" w:rsidR="00381ADA" w:rsidRDefault="00EB5108" w:rsidP="00381ADA">
      <w:pPr>
        <w:pStyle w:val="ListParagraph"/>
        <w:numPr>
          <w:ilvl w:val="0"/>
          <w:numId w:val="6"/>
        </w:numPr>
      </w:pPr>
      <w:r>
        <w:t>Fair Play for Women</w:t>
      </w:r>
    </w:p>
    <w:p w14:paraId="4BEC7640" w14:textId="0BAB422F" w:rsidR="00E71A62" w:rsidRDefault="00E71A62" w:rsidP="00381ADA">
      <w:pPr>
        <w:pStyle w:val="ListParagraph"/>
        <w:numPr>
          <w:ilvl w:val="0"/>
          <w:numId w:val="6"/>
        </w:numPr>
      </w:pPr>
      <w:r>
        <w:t>FiLiA</w:t>
      </w:r>
    </w:p>
    <w:p w14:paraId="5DEDAB63" w14:textId="77777777" w:rsidR="00381ADA" w:rsidRDefault="00381ADA" w:rsidP="00381ADA">
      <w:pPr>
        <w:pStyle w:val="ListParagraph"/>
        <w:numPr>
          <w:ilvl w:val="0"/>
          <w:numId w:val="6"/>
        </w:numPr>
      </w:pPr>
      <w:r>
        <w:t>For Women Scotland</w:t>
      </w:r>
    </w:p>
    <w:p w14:paraId="14718293" w14:textId="4416B7A7" w:rsidR="00EB5108" w:rsidRDefault="00381ADA" w:rsidP="00381ADA">
      <w:pPr>
        <w:pStyle w:val="ListParagraph"/>
        <w:numPr>
          <w:ilvl w:val="0"/>
          <w:numId w:val="6"/>
        </w:numPr>
      </w:pPr>
      <w:r>
        <w:t>Heritage Foundation</w:t>
      </w:r>
    </w:p>
    <w:p w14:paraId="36904C73" w14:textId="6985E794" w:rsidR="00E71A62" w:rsidRDefault="00E71A62" w:rsidP="00381ADA">
      <w:pPr>
        <w:pStyle w:val="ListParagraph"/>
        <w:numPr>
          <w:ilvl w:val="0"/>
          <w:numId w:val="6"/>
        </w:numPr>
      </w:pPr>
      <w:r>
        <w:t>The Institute of Feminist Thought</w:t>
      </w:r>
    </w:p>
    <w:p w14:paraId="511219DE" w14:textId="61259491" w:rsidR="00E71A62" w:rsidRDefault="00E71A62" w:rsidP="00381ADA">
      <w:pPr>
        <w:pStyle w:val="ListParagraph"/>
        <w:numPr>
          <w:ilvl w:val="0"/>
          <w:numId w:val="6"/>
        </w:numPr>
      </w:pPr>
      <w:r>
        <w:t>Labour Women’s Declaration</w:t>
      </w:r>
    </w:p>
    <w:p w14:paraId="79C16F4A" w14:textId="3432BE3D" w:rsidR="00E71A62" w:rsidRDefault="00E71A62" w:rsidP="00381ADA">
      <w:pPr>
        <w:pStyle w:val="ListParagraph"/>
        <w:numPr>
          <w:ilvl w:val="0"/>
          <w:numId w:val="6"/>
        </w:numPr>
      </w:pPr>
      <w:r>
        <w:t>Legal Feminist Collective</w:t>
      </w:r>
    </w:p>
    <w:p w14:paraId="5602CA40" w14:textId="41FDFF65" w:rsidR="00E71A62" w:rsidRDefault="00E71A62" w:rsidP="00381ADA">
      <w:pPr>
        <w:pStyle w:val="ListParagraph"/>
        <w:numPr>
          <w:ilvl w:val="0"/>
          <w:numId w:val="6"/>
        </w:numPr>
      </w:pPr>
      <w:r>
        <w:t>Lesbian Labour</w:t>
      </w:r>
    </w:p>
    <w:p w14:paraId="7DDAC653" w14:textId="5A6838B5" w:rsidR="00EB5108" w:rsidRDefault="00EB5108" w:rsidP="00381ADA">
      <w:pPr>
        <w:pStyle w:val="ListParagraph"/>
        <w:numPr>
          <w:ilvl w:val="0"/>
          <w:numId w:val="6"/>
        </w:numPr>
      </w:pPr>
      <w:r>
        <w:t>LGB Alliance</w:t>
      </w:r>
      <w:r w:rsidR="00DF7920">
        <w:rPr>
          <w:rStyle w:val="FootnoteReference"/>
        </w:rPr>
        <w:t>[</w:t>
      </w:r>
      <w:r w:rsidR="00DF7920">
        <w:rPr>
          <w:rStyle w:val="FootnoteReference"/>
        </w:rPr>
        <w:footnoteReference w:id="143"/>
      </w:r>
      <w:r w:rsidR="00DF7920">
        <w:rPr>
          <w:rStyle w:val="FootnoteReference"/>
        </w:rPr>
        <w:t>][</w:t>
      </w:r>
      <w:r w:rsidR="00DF7920">
        <w:rPr>
          <w:rStyle w:val="FootnoteReference"/>
        </w:rPr>
        <w:footnoteReference w:id="144"/>
      </w:r>
      <w:r w:rsidR="00DF7920">
        <w:rPr>
          <w:rStyle w:val="FootnoteReference"/>
        </w:rPr>
        <w:t>][</w:t>
      </w:r>
      <w:r w:rsidR="00DF7920">
        <w:rPr>
          <w:rStyle w:val="FootnoteReference"/>
        </w:rPr>
        <w:footnoteReference w:id="145"/>
      </w:r>
      <w:r w:rsidR="00DF7920">
        <w:rPr>
          <w:rStyle w:val="FootnoteReference"/>
        </w:rPr>
        <w:t>]</w:t>
      </w:r>
    </w:p>
    <w:p w14:paraId="7C9C20E1" w14:textId="77777777" w:rsidR="00E71A62" w:rsidRDefault="00E71A62" w:rsidP="00381ADA">
      <w:pPr>
        <w:pStyle w:val="ListParagraph"/>
        <w:numPr>
          <w:ilvl w:val="0"/>
          <w:numId w:val="6"/>
        </w:numPr>
      </w:pPr>
      <w:r>
        <w:t>Merched Cymru</w:t>
      </w:r>
    </w:p>
    <w:p w14:paraId="58A94548" w14:textId="0CA644FD" w:rsidR="00EB5108" w:rsidRDefault="00EB5108" w:rsidP="00381ADA">
      <w:pPr>
        <w:pStyle w:val="ListParagraph"/>
        <w:numPr>
          <w:ilvl w:val="0"/>
          <w:numId w:val="6"/>
        </w:numPr>
      </w:pPr>
      <w:r>
        <w:t>Safe Schools Alliance</w:t>
      </w:r>
    </w:p>
    <w:p w14:paraId="61B14B17" w14:textId="43E9DD5F" w:rsidR="00E71A62" w:rsidRDefault="00E71A62" w:rsidP="00381ADA">
      <w:pPr>
        <w:pStyle w:val="ListParagraph"/>
        <w:numPr>
          <w:ilvl w:val="0"/>
          <w:numId w:val="6"/>
        </w:numPr>
      </w:pPr>
      <w:r>
        <w:t>Sex Matters</w:t>
      </w:r>
    </w:p>
    <w:p w14:paraId="6AF016E4" w14:textId="288A1278" w:rsidR="00EB5108" w:rsidRDefault="00EB5108" w:rsidP="00381ADA">
      <w:pPr>
        <w:pStyle w:val="ListParagraph"/>
        <w:numPr>
          <w:ilvl w:val="0"/>
          <w:numId w:val="6"/>
        </w:numPr>
      </w:pPr>
      <w:r>
        <w:t>Transgender Trend</w:t>
      </w:r>
    </w:p>
    <w:p w14:paraId="277F3AB0" w14:textId="7DDE65A4" w:rsidR="00EB5108" w:rsidRDefault="00EB5108" w:rsidP="00381ADA">
      <w:pPr>
        <w:pStyle w:val="ListParagraph"/>
        <w:numPr>
          <w:ilvl w:val="0"/>
          <w:numId w:val="6"/>
        </w:numPr>
      </w:pPr>
      <w:r>
        <w:t>Woman’s Place UK</w:t>
      </w:r>
    </w:p>
    <w:p w14:paraId="57EE4681" w14:textId="1CE7F7A0" w:rsidR="00E71A62" w:rsidRDefault="00E71A62" w:rsidP="00381ADA">
      <w:pPr>
        <w:pStyle w:val="ListParagraph"/>
        <w:numPr>
          <w:ilvl w:val="0"/>
          <w:numId w:val="6"/>
        </w:numPr>
      </w:pPr>
      <w:r>
        <w:t>Women Uniting</w:t>
      </w:r>
    </w:p>
    <w:p w14:paraId="08CA7EA4" w14:textId="3A9000DD" w:rsidR="00167D08" w:rsidRDefault="00167D08">
      <w:r>
        <w:t>It can be argued that they have been effective in preventing the UK</w:t>
      </w:r>
      <w:r w:rsidR="00381ADA">
        <w:t>, including Scotland,</w:t>
      </w:r>
      <w:r>
        <w:t xml:space="preserve"> from adopting measures such as GRA reform which are now becoming standard across many other countries. They have done so by generating a substantial level of fear across the media, which has the effect of demonising trans and non-binary people, presenting them as dangerous and violent predators.</w:t>
      </w:r>
    </w:p>
    <w:p w14:paraId="083A3427" w14:textId="2FA651F7" w:rsidR="00167D08" w:rsidRDefault="001B2698">
      <w:r>
        <w:t>While they would all deny being transphobic, the logical endpoint of the policies they are pursuing is to remove anyone who deviates from acceptable gender norms from public life – reinforcing a conformity, particularly upon women and girls, that there is a very narrow band of acceptable appearance and behaviour</w:t>
      </w:r>
      <w:r w:rsidR="00DF7920">
        <w:rPr>
          <w:rStyle w:val="FootnoteReference"/>
        </w:rPr>
        <w:t>[</w:t>
      </w:r>
      <w:r w:rsidR="00DF7920">
        <w:rPr>
          <w:rStyle w:val="FootnoteReference"/>
        </w:rPr>
        <w:footnoteReference w:id="146"/>
      </w:r>
      <w:r w:rsidR="00DF7920">
        <w:rPr>
          <w:rStyle w:val="FootnoteReference"/>
        </w:rPr>
        <w:t>]</w:t>
      </w:r>
      <w:r>
        <w:t>.</w:t>
      </w:r>
    </w:p>
    <w:p w14:paraId="1CA20C77" w14:textId="3C7E75CB" w:rsidR="004971BB" w:rsidRDefault="004971BB" w:rsidP="00CF3BA5">
      <w:pPr>
        <w:pStyle w:val="Heading3"/>
      </w:pPr>
      <w:r>
        <w:lastRenderedPageBreak/>
        <w:t>11.</w:t>
      </w:r>
      <w:r>
        <w:tab/>
        <w:t>Can you provide examples of coalitions working together on resisting attacks on gender ideology?</w:t>
      </w:r>
    </w:p>
    <w:p w14:paraId="6BB8F441" w14:textId="77777777" w:rsidR="001B2698" w:rsidRDefault="001B2698" w:rsidP="001B2698">
      <w:r>
        <w:t>We note again that, in the UK, it is those who oppose trans inclusion who use the term “gender ideology” to reference a supposed agenda of trans groups and campaigners.</w:t>
      </w:r>
    </w:p>
    <w:p w14:paraId="3427B463" w14:textId="6BC11196" w:rsidR="004971BB" w:rsidRDefault="001B2698">
      <w:r>
        <w:t>LGBT Consortium</w:t>
      </w:r>
      <w:r w:rsidR="00DF7920">
        <w:rPr>
          <w:rStyle w:val="FootnoteReference"/>
        </w:rPr>
        <w:t>[</w:t>
      </w:r>
      <w:r w:rsidR="00DF7920">
        <w:rPr>
          <w:rStyle w:val="FootnoteReference"/>
        </w:rPr>
        <w:footnoteReference w:id="147"/>
      </w:r>
      <w:r w:rsidR="00DF7920">
        <w:rPr>
          <w:rStyle w:val="FootnoteReference"/>
        </w:rPr>
        <w:t>]</w:t>
      </w:r>
      <w:r>
        <w:t xml:space="preserve"> is the main infrastructure body for LGBT organisations across the UK. In 2013 it created a Trans Organisations Network</w:t>
      </w:r>
      <w:r w:rsidR="00DF7920">
        <w:rPr>
          <w:rStyle w:val="FootnoteReference"/>
        </w:rPr>
        <w:t>[</w:t>
      </w:r>
      <w:r w:rsidR="00DF7920">
        <w:rPr>
          <w:rStyle w:val="FootnoteReference"/>
        </w:rPr>
        <w:footnoteReference w:id="148"/>
      </w:r>
      <w:r w:rsidR="00DF7920">
        <w:rPr>
          <w:rStyle w:val="FootnoteReference"/>
        </w:rPr>
        <w:t>]</w:t>
      </w:r>
      <w:r>
        <w:t xml:space="preserve"> to allow trans groups to focus on the development of the Trans Manifesto for the 2015 General Election. Consortium also facilitates regular discussions between leaders of groups, and groups which have specific focuses.</w:t>
      </w:r>
    </w:p>
    <w:p w14:paraId="52402413" w14:textId="65C2DA68" w:rsidR="001B2698" w:rsidRDefault="001B2698">
      <w:r>
        <w:t xml:space="preserve">Organisations interested in protecting and advancing the rights of LGBT people, including but not restricted to Stonewall, LGBT Foundation, LGBT Consortium, Scottish Trans Alliance, </w:t>
      </w:r>
      <w:r w:rsidR="00C249AB">
        <w:t xml:space="preserve">Mermaids, Gendered Intelligence, </w:t>
      </w:r>
      <w:r>
        <w:t>TransActual, Trans Media Watch and The Proud Trust have irregular, informal discussions about a range of issues, including on consultations and campaigns.</w:t>
      </w:r>
    </w:p>
    <w:p w14:paraId="11F1AEDC" w14:textId="50EB943D" w:rsidR="00B340C9" w:rsidRDefault="00D60898">
      <w:r>
        <w:t>We note that attempts have been made to marginalise most of the trans groups on the basis that they are lobby groups</w:t>
      </w:r>
      <w:r w:rsidR="00DF7920">
        <w:rPr>
          <w:rStyle w:val="FootnoteReference"/>
        </w:rPr>
        <w:t>[</w:t>
      </w:r>
      <w:r w:rsidR="00DF7920">
        <w:rPr>
          <w:rStyle w:val="FootnoteReference"/>
        </w:rPr>
        <w:footnoteReference w:id="149"/>
      </w:r>
      <w:r w:rsidR="00DF7920">
        <w:rPr>
          <w:rStyle w:val="FootnoteReference"/>
        </w:rPr>
        <w:t>]</w:t>
      </w:r>
      <w:r>
        <w:t xml:space="preserve"> or run by activists. This is problematic for two reasons – 1, who do they expect to run these groups and what do they expect them to do, and 2, are they stating that the groups listed in response to question 10 are not lobby groups or are not run by activists?</w:t>
      </w:r>
    </w:p>
    <w:p w14:paraId="08497B4A" w14:textId="58A7A7E3" w:rsidR="004B5A22" w:rsidRDefault="004B5A22"/>
    <w:p w14:paraId="32E0A58E" w14:textId="77777777" w:rsidR="00C13B2C" w:rsidRDefault="00C13B2C"/>
    <w:p w14:paraId="03D585CB" w14:textId="77777777" w:rsidR="004B5A22" w:rsidRDefault="004B5A22"/>
    <w:p w14:paraId="60F602C0" w14:textId="50BA30DF" w:rsidR="004971BB" w:rsidRDefault="004971BB" w:rsidP="004971BB">
      <w:pPr>
        <w:pStyle w:val="Heading2"/>
      </w:pPr>
      <w:r>
        <w:t>Conclusion</w:t>
      </w:r>
      <w:r w:rsidR="001F0930">
        <w:t>s</w:t>
      </w:r>
    </w:p>
    <w:p w14:paraId="1E05BC90" w14:textId="23C899E9" w:rsidR="004971BB" w:rsidRDefault="004971BB">
      <w:r>
        <w:t xml:space="preserve">The environment that trans people face in the UK has moved from one of hope and anticipated progress in 2017 and 2018, to one of deep despair by </w:t>
      </w:r>
      <w:r w:rsidR="001F0930">
        <w:t xml:space="preserve">the end of </w:t>
      </w:r>
      <w:r>
        <w:t>2020.</w:t>
      </w:r>
    </w:p>
    <w:p w14:paraId="06F50D55" w14:textId="744272AD" w:rsidR="004971BB" w:rsidRDefault="004971BB">
      <w:r>
        <w:t xml:space="preserve">Trans people are </w:t>
      </w:r>
      <w:r w:rsidR="001F0930">
        <w:t xml:space="preserve">routinely and </w:t>
      </w:r>
      <w:r>
        <w:t xml:space="preserve">relentlessly misrepresented </w:t>
      </w:r>
      <w:r w:rsidR="00925D5E">
        <w:t xml:space="preserve">across the UK’s </w:t>
      </w:r>
      <w:r w:rsidR="0021788E">
        <w:t xml:space="preserve">mainstream </w:t>
      </w:r>
      <w:r w:rsidR="00925D5E">
        <w:t xml:space="preserve">media </w:t>
      </w:r>
      <w:r>
        <w:t>with no effective right of redress.</w:t>
      </w:r>
    </w:p>
    <w:p w14:paraId="3C916233" w14:textId="1538F61F" w:rsidR="00925D5E" w:rsidRDefault="00925D5E" w:rsidP="00925D5E">
      <w:r>
        <w:t xml:space="preserve">The </w:t>
      </w:r>
      <w:r w:rsidR="0021788E">
        <w:t xml:space="preserve">mainstream </w:t>
      </w:r>
      <w:r>
        <w:t xml:space="preserve">media is only interested in platforming trans people in a framing which presents them as problematic. There is now no discourse </w:t>
      </w:r>
      <w:r w:rsidR="0021788E">
        <w:t xml:space="preserve">in mainstream media </w:t>
      </w:r>
      <w:r>
        <w:t>of the issues that trans people face.</w:t>
      </w:r>
    </w:p>
    <w:p w14:paraId="4972160C" w14:textId="173073C5" w:rsidR="004971BB" w:rsidRDefault="001F0930">
      <w:r>
        <w:t xml:space="preserve">Opaquely </w:t>
      </w:r>
      <w:r w:rsidR="004971BB">
        <w:t>funded and well-organised campaign groups are using the media and the courts to significantly restrict trans people’s lives, while advocating for the removal of their existing rights. These groups frequently masquerade as being the voice of all women or the voice of all LGB people.</w:t>
      </w:r>
    </w:p>
    <w:p w14:paraId="5F2D981B" w14:textId="2A8D8EAF" w:rsidR="004971BB" w:rsidRDefault="004971BB">
      <w:r>
        <w:t>The UK Government is listening to these campaigns, while largely ignoring the voices of those who are directly affected by the outcomes</w:t>
      </w:r>
      <w:r w:rsidR="00DF7920">
        <w:rPr>
          <w:rStyle w:val="FootnoteReference"/>
        </w:rPr>
        <w:t>[</w:t>
      </w:r>
      <w:r w:rsidR="00DF7920">
        <w:rPr>
          <w:rStyle w:val="FootnoteReference"/>
        </w:rPr>
        <w:footnoteReference w:id="150"/>
      </w:r>
      <w:r w:rsidR="00DF7920">
        <w:rPr>
          <w:rStyle w:val="FootnoteReference"/>
        </w:rPr>
        <w:t>]</w:t>
      </w:r>
      <w:r>
        <w:t>.</w:t>
      </w:r>
    </w:p>
    <w:p w14:paraId="66BE283E" w14:textId="772EBE72" w:rsidR="00B82E2E" w:rsidRDefault="00B82E2E">
      <w:r>
        <w:t>Trans people in the UK are now scared for their own safety</w:t>
      </w:r>
      <w:r w:rsidR="001F0930">
        <w:t>. M</w:t>
      </w:r>
      <w:r>
        <w:t xml:space="preserve">any now </w:t>
      </w:r>
      <w:r w:rsidR="00925D5E">
        <w:t>consider</w:t>
      </w:r>
      <w:r>
        <w:t xml:space="preserve"> the country’s institutions as systemically transphobic, and many who are able to</w:t>
      </w:r>
      <w:r w:rsidR="001F0930">
        <w:t xml:space="preserve"> are</w:t>
      </w:r>
      <w:r>
        <w:t xml:space="preserve"> now looking to leave the country.</w:t>
      </w:r>
    </w:p>
    <w:p w14:paraId="574D2475" w14:textId="4F176F97" w:rsidR="00E63222" w:rsidRPr="00AE2688" w:rsidRDefault="00AE2688" w:rsidP="00AE2688">
      <w:pPr>
        <w:jc w:val="right"/>
        <w:rPr>
          <w:i/>
          <w:iCs/>
        </w:rPr>
      </w:pPr>
      <w:r w:rsidRPr="00AE2688">
        <w:rPr>
          <w:i/>
          <w:iCs/>
        </w:rPr>
        <w:t>TransActual, 12 March 2021</w:t>
      </w:r>
    </w:p>
    <w:p w14:paraId="4405BA53" w14:textId="77777777" w:rsidR="00AE2688" w:rsidRDefault="00AE2688"/>
    <w:p w14:paraId="5732F32B" w14:textId="77777777" w:rsidR="00C13B2C" w:rsidRDefault="00C13B2C">
      <w:pPr>
        <w:rPr>
          <w:rFonts w:asciiTheme="majorHAnsi" w:eastAsiaTheme="majorEastAsia" w:hAnsiTheme="majorHAnsi" w:cstheme="majorBidi"/>
          <w:b/>
          <w:bCs/>
          <w:color w:val="2F5496" w:themeColor="accent1" w:themeShade="BF"/>
          <w:sz w:val="26"/>
          <w:szCs w:val="26"/>
        </w:rPr>
      </w:pPr>
      <w:r>
        <w:br w:type="page"/>
      </w:r>
    </w:p>
    <w:p w14:paraId="541C90E6" w14:textId="34DE8221" w:rsidR="00E63222" w:rsidRDefault="00E63222" w:rsidP="00E63222">
      <w:pPr>
        <w:pStyle w:val="Heading2"/>
      </w:pPr>
      <w:r>
        <w:lastRenderedPageBreak/>
        <w:t>Signatories</w:t>
      </w:r>
    </w:p>
    <w:p w14:paraId="60E4D790" w14:textId="511E92CA" w:rsidR="00E63222" w:rsidRDefault="00E63222">
      <w:r>
        <w:t>Helen Belcher, Chair, TransActual CIC</w:t>
      </w:r>
      <w:r w:rsidR="00D27B98">
        <w:t xml:space="preserve"> (author)</w:t>
      </w:r>
    </w:p>
    <w:p w14:paraId="64E44CD3" w14:textId="1183E40E" w:rsidR="006D5A92" w:rsidRDefault="006D5A92" w:rsidP="006D5A92">
      <w:r>
        <w:t>Cat Burton, Chair, GIRES</w:t>
      </w:r>
    </w:p>
    <w:p w14:paraId="0BD0A237" w14:textId="076B63EC" w:rsidR="0027203A" w:rsidRDefault="0027203A" w:rsidP="006D5A92">
      <w:r>
        <w:t>Jane Fae, Chair, Trans Media Watch</w:t>
      </w:r>
    </w:p>
    <w:p w14:paraId="65D55F73" w14:textId="77777777" w:rsidR="006D5A92" w:rsidRDefault="006D5A92" w:rsidP="006D5A92">
      <w:r>
        <w:t>Susie Green, CEO, Mermaids</w:t>
      </w:r>
    </w:p>
    <w:p w14:paraId="2B8FD854" w14:textId="5E96A817" w:rsidR="00E63222" w:rsidRDefault="00E63222">
      <w:r>
        <w:t>Nancy Kelley, CEO, Stonewall</w:t>
      </w:r>
    </w:p>
    <w:p w14:paraId="4BDA348A" w14:textId="77777777" w:rsidR="006D5A92" w:rsidRDefault="006D5A92" w:rsidP="006D5A92">
      <w:r>
        <w:t>Shaan Knan, Trans Organisations Network Officer, LGBT Consortium</w:t>
      </w:r>
    </w:p>
    <w:p w14:paraId="0C280F4D" w14:textId="77777777" w:rsidR="006D5A92" w:rsidRDefault="006D5A92" w:rsidP="006D5A92">
      <w:r>
        <w:t>Amelia Lee, Strategic Director, The Proud Trust</w:t>
      </w:r>
    </w:p>
    <w:p w14:paraId="36A09C1A" w14:textId="77777777" w:rsidR="006D5A92" w:rsidRDefault="006D5A92" w:rsidP="006D5A92">
      <w:r>
        <w:t>Paul Martin OBE, Chief Executive, LGBT Foundation</w:t>
      </w:r>
    </w:p>
    <w:p w14:paraId="54BB637B" w14:textId="4EDAA26C" w:rsidR="00E63222" w:rsidRDefault="00E63222">
      <w:r>
        <w:t>Paul Roberts</w:t>
      </w:r>
      <w:r w:rsidR="006D5A92">
        <w:t xml:space="preserve"> OBE</w:t>
      </w:r>
      <w:r>
        <w:t>, CEO, LGBT Consortium</w:t>
      </w:r>
    </w:p>
    <w:p w14:paraId="1973E24A" w14:textId="0D4838E4" w:rsidR="00C249AB" w:rsidRDefault="00C249AB">
      <w:r>
        <w:t>Dr Jay Stewart, CEO, Gendered Intelligence</w:t>
      </w:r>
    </w:p>
    <w:p w14:paraId="67EC0A4F" w14:textId="52CEDCAB" w:rsidR="00AE2688" w:rsidRDefault="00AE2688">
      <w:r>
        <w:t xml:space="preserve">Jack Tielemans, </w:t>
      </w:r>
      <w:r w:rsidR="0000748A">
        <w:t>Chair</w:t>
      </w:r>
      <w:r>
        <w:t>, National Trans Youth Network</w:t>
      </w:r>
    </w:p>
    <w:sectPr w:rsidR="00AE2688" w:rsidSect="00A9498D">
      <w:footerReference w:type="default" r:id="rId8"/>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699B5" w14:textId="77777777" w:rsidR="00AE5409" w:rsidRDefault="00AE5409" w:rsidP="00827672">
      <w:pPr>
        <w:spacing w:after="0" w:line="240" w:lineRule="auto"/>
      </w:pPr>
      <w:r>
        <w:separator/>
      </w:r>
    </w:p>
  </w:endnote>
  <w:endnote w:type="continuationSeparator" w:id="0">
    <w:p w14:paraId="63A18700" w14:textId="77777777" w:rsidR="00AE5409" w:rsidRDefault="00AE5409" w:rsidP="008276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AC933" w14:textId="0CFD04E5" w:rsidR="00E560AF" w:rsidRDefault="00E560AF">
    <w:pPr>
      <w:pStyle w:val="Footer"/>
    </w:pPr>
  </w:p>
  <w:p w14:paraId="61B18448" w14:textId="675D9C6E" w:rsidR="00E560AF" w:rsidRPr="001F0930" w:rsidRDefault="00E560AF" w:rsidP="00A9498D">
    <w:pPr>
      <w:pStyle w:val="Footer"/>
      <w:pBdr>
        <w:top w:val="single" w:sz="4" w:space="1" w:color="auto"/>
      </w:pBdr>
      <w:tabs>
        <w:tab w:val="clear" w:pos="9026"/>
        <w:tab w:val="right" w:pos="10204"/>
      </w:tabs>
      <w:rPr>
        <w:sz w:val="18"/>
        <w:szCs w:val="18"/>
      </w:rPr>
    </w:pPr>
    <w:r w:rsidRPr="001F0930">
      <w:rPr>
        <w:sz w:val="18"/>
        <w:szCs w:val="18"/>
      </w:rPr>
      <w:t>TransActual Submission to the UN Independent Expert on SOGI – March 2021</w:t>
    </w:r>
    <w:r w:rsidRPr="001F0930">
      <w:rPr>
        <w:sz w:val="18"/>
        <w:szCs w:val="18"/>
      </w:rPr>
      <w:tab/>
      <w:t xml:space="preserve">Page </w:t>
    </w:r>
    <w:r w:rsidRPr="001F0930">
      <w:rPr>
        <w:sz w:val="18"/>
        <w:szCs w:val="18"/>
      </w:rPr>
      <w:fldChar w:fldCharType="begin"/>
    </w:r>
    <w:r w:rsidRPr="001F0930">
      <w:rPr>
        <w:sz w:val="18"/>
        <w:szCs w:val="18"/>
      </w:rPr>
      <w:instrText xml:space="preserve"> PAGE   \* MERGEFORMAT </w:instrText>
    </w:r>
    <w:r w:rsidRPr="001F0930">
      <w:rPr>
        <w:sz w:val="18"/>
        <w:szCs w:val="18"/>
      </w:rPr>
      <w:fldChar w:fldCharType="separate"/>
    </w:r>
    <w:r w:rsidRPr="001F0930">
      <w:rPr>
        <w:noProof/>
        <w:sz w:val="18"/>
        <w:szCs w:val="18"/>
      </w:rPr>
      <w:t>1</w:t>
    </w:r>
    <w:r w:rsidRPr="001F093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E9565" w14:textId="77777777" w:rsidR="00AE5409" w:rsidRDefault="00AE5409" w:rsidP="00827672">
      <w:pPr>
        <w:spacing w:after="0" w:line="240" w:lineRule="auto"/>
      </w:pPr>
      <w:r>
        <w:separator/>
      </w:r>
    </w:p>
  </w:footnote>
  <w:footnote w:type="continuationSeparator" w:id="0">
    <w:p w14:paraId="334DC870" w14:textId="77777777" w:rsidR="00AE5409" w:rsidRDefault="00AE5409" w:rsidP="00827672">
      <w:pPr>
        <w:spacing w:after="0" w:line="240" w:lineRule="auto"/>
      </w:pPr>
      <w:r>
        <w:continuationSeparator/>
      </w:r>
    </w:p>
  </w:footnote>
  <w:footnote w:id="1">
    <w:p w14:paraId="7759BDBD" w14:textId="2EF83BF3"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http://www.transactual.org.uk</w:t>
      </w:r>
    </w:p>
  </w:footnote>
  <w:footnote w:id="2">
    <w:p w14:paraId="5795403B" w14:textId="0CED9FC0" w:rsidR="00E560AF" w:rsidRDefault="00E560AF" w:rsidP="00234A67">
      <w:pPr>
        <w:pStyle w:val="FootnoteText"/>
        <w:ind w:left="426" w:hanging="426"/>
      </w:pPr>
      <w:r>
        <w:rPr>
          <w:rStyle w:val="FootnoteReference"/>
        </w:rPr>
        <w:t>[</w:t>
      </w:r>
      <w:r>
        <w:rPr>
          <w:rStyle w:val="FootnoteReference"/>
        </w:rPr>
        <w:footnoteRef/>
      </w:r>
      <w:r>
        <w:rPr>
          <w:rStyle w:val="FootnoteReference"/>
        </w:rPr>
        <w:t>]</w:t>
      </w:r>
      <w:r>
        <w:t xml:space="preserve"> </w:t>
      </w:r>
      <w:r>
        <w:tab/>
        <w:t xml:space="preserve">TERF Wars: Feminism and the fight for transgender futures; Vincent, Ben; Eirakainen, Sonja and Pearce, Ruth eds. (2020) - </w:t>
      </w:r>
      <w:r w:rsidRPr="00234A67">
        <w:t>http://oro.open.ac.uk/71667/</w:t>
      </w:r>
    </w:p>
  </w:footnote>
  <w:footnote w:id="3">
    <w:p w14:paraId="69338159" w14:textId="0B101D3B" w:rsidR="00E560AF" w:rsidRDefault="00E560AF" w:rsidP="00DD1E92">
      <w:pPr>
        <w:pStyle w:val="FootnoteText"/>
        <w:ind w:left="426" w:hanging="426"/>
      </w:pPr>
      <w:r>
        <w:rPr>
          <w:rStyle w:val="FootnoteReference"/>
        </w:rPr>
        <w:t>[</w:t>
      </w:r>
      <w:r>
        <w:rPr>
          <w:rStyle w:val="FootnoteReference"/>
        </w:rPr>
        <w:footnoteRef/>
      </w:r>
      <w:r>
        <w:rPr>
          <w:rStyle w:val="FootnoteReference"/>
        </w:rPr>
        <w:t>]</w:t>
      </w:r>
      <w:r>
        <w:t xml:space="preserve"> </w:t>
      </w:r>
      <w:r>
        <w:tab/>
      </w:r>
      <w:r w:rsidRPr="00DD1E92">
        <w:t>http://iglp.law.harvard.edu/wp-content/uploads/2014/10/Rao-Echoes-of-Imperalism.pdf</w:t>
      </w:r>
    </w:p>
  </w:footnote>
  <w:footnote w:id="4">
    <w:p w14:paraId="6CFA760C" w14:textId="7F07F4F0"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The UK government lost the case Goodwin vs UK in 2002, regarding the right of a trans woman to legally marry a man. At the time, the only European countries without any form of legal gender recognition were the UK, Ireland and Albania.</w:t>
      </w:r>
    </w:p>
  </w:footnote>
  <w:footnote w:id="5">
    <w:p w14:paraId="2682160E" w14:textId="59A81CB4"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722060">
        <w:t>https://www.legislation.gov.uk/ukpga/2004/7/contents</w:t>
      </w:r>
    </w:p>
  </w:footnote>
  <w:footnote w:id="6">
    <w:p w14:paraId="7A89D5F0" w14:textId="128C5E68"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 xml:space="preserve">Section 3 of the GRA lays out the evidential requirements, and the only medical report required is a diagnosis of gender dysphoria. </w:t>
      </w:r>
    </w:p>
  </w:footnote>
  <w:footnote w:id="7">
    <w:p w14:paraId="0C7F23A5" w14:textId="0710BF8E"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722060">
        <w:t>https://www.legislation.gov.uk/ukpga/2010/15/contents</w:t>
      </w:r>
    </w:p>
  </w:footnote>
  <w:footnote w:id="8">
    <w:p w14:paraId="64F253BF" w14:textId="564918DD"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Chapter 1 of the Equality Act lists the 9 protected characteristics.</w:t>
      </w:r>
    </w:p>
  </w:footnote>
  <w:footnote w:id="9">
    <w:p w14:paraId="25900EFE" w14:textId="5C9DBF7E"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722060">
        <w:t>http://www.pfc.org.uk/olderleglislation.html</w:t>
      </w:r>
    </w:p>
  </w:footnote>
  <w:footnote w:id="10">
    <w:p w14:paraId="6DA07F46" w14:textId="75DCDF0D"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722060">
        <w:t>https://www.legislation.gov.uk/ukpga/2013/30/contents</w:t>
      </w:r>
    </w:p>
  </w:footnote>
  <w:footnote w:id="11">
    <w:p w14:paraId="78972E6A" w14:textId="253FE508" w:rsidR="00E560AF" w:rsidRDefault="00E560AF" w:rsidP="00234A67">
      <w:pPr>
        <w:pStyle w:val="FootnoteText"/>
        <w:ind w:left="426" w:hanging="426"/>
      </w:pPr>
      <w:r>
        <w:rPr>
          <w:rStyle w:val="FootnoteReference"/>
        </w:rPr>
        <w:t>[</w:t>
      </w:r>
      <w:r>
        <w:rPr>
          <w:rStyle w:val="FootnoteReference"/>
        </w:rPr>
        <w:footnoteRef/>
      </w:r>
      <w:r>
        <w:rPr>
          <w:rStyle w:val="FootnoteReference"/>
        </w:rPr>
        <w:t>]</w:t>
      </w:r>
      <w:r>
        <w:t xml:space="preserve"> </w:t>
      </w:r>
      <w:r>
        <w:tab/>
      </w:r>
      <w:r w:rsidRPr="00234A67">
        <w:t>https://deedpolloffice.com/change-name/enrolling</w:t>
      </w:r>
      <w:r>
        <w:t xml:space="preserve"> - note particularly the position that “</w:t>
      </w:r>
      <w:r w:rsidRPr="00234A67">
        <w:rPr>
          <w:i/>
          <w:iCs/>
        </w:rPr>
        <w:t>enrolling deed polls is, quite frankly, that the procedure is an anachronism from the 19</w:t>
      </w:r>
      <w:r w:rsidRPr="00234A67">
        <w:rPr>
          <w:i/>
          <w:iCs/>
          <w:vertAlign w:val="superscript"/>
        </w:rPr>
        <w:t>th</w:t>
      </w:r>
      <w:r w:rsidRPr="00234A67">
        <w:rPr>
          <w:i/>
          <w:iCs/>
        </w:rPr>
        <w:t xml:space="preserve"> century, and a</w:t>
      </w:r>
      <w:r>
        <w:t xml:space="preserve"> waste of time.”</w:t>
      </w:r>
    </w:p>
  </w:footnote>
  <w:footnote w:id="12">
    <w:p w14:paraId="1F7B0F5E" w14:textId="6AEFEED0"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Section 3, clause 6A was inserted into the GRA by the Marriage (Same Sex Couples) Act</w:t>
      </w:r>
    </w:p>
  </w:footnote>
  <w:footnote w:id="13">
    <w:p w14:paraId="201D7609" w14:textId="743027FC" w:rsidR="00E560AF" w:rsidRDefault="00E560AF" w:rsidP="00234A67">
      <w:pPr>
        <w:pStyle w:val="FootnoteText"/>
        <w:ind w:left="426" w:hanging="426"/>
      </w:pPr>
      <w:r>
        <w:rPr>
          <w:rStyle w:val="FootnoteReference"/>
        </w:rPr>
        <w:t>[</w:t>
      </w:r>
      <w:r>
        <w:rPr>
          <w:rStyle w:val="FootnoteReference"/>
        </w:rPr>
        <w:footnoteRef/>
      </w:r>
      <w:r>
        <w:rPr>
          <w:rStyle w:val="FootnoteReference"/>
        </w:rPr>
        <w:t>]</w:t>
      </w:r>
      <w:r>
        <w:t xml:space="preserve"> </w:t>
      </w:r>
      <w:r>
        <w:tab/>
      </w:r>
      <w:r w:rsidRPr="00234A67">
        <w:t>https://committees.parliament.uk/writtenevidence/16834/pdf/</w:t>
      </w:r>
      <w:r>
        <w:t xml:space="preserve"> - paras 21 and 22 </w:t>
      </w:r>
    </w:p>
  </w:footnote>
  <w:footnote w:id="14">
    <w:p w14:paraId="3EBE4980" w14:textId="50CAF9B8" w:rsidR="00E560AF" w:rsidRDefault="00E560AF" w:rsidP="00260F21">
      <w:pPr>
        <w:pStyle w:val="FootnoteText"/>
        <w:ind w:left="426" w:hanging="426"/>
      </w:pPr>
      <w:r>
        <w:rPr>
          <w:rStyle w:val="FootnoteReference"/>
        </w:rPr>
        <w:t>[</w:t>
      </w:r>
      <w:r>
        <w:rPr>
          <w:rStyle w:val="FootnoteReference"/>
        </w:rPr>
        <w:footnoteRef/>
      </w:r>
      <w:r>
        <w:rPr>
          <w:rStyle w:val="FootnoteReference"/>
        </w:rPr>
        <w:t>]</w:t>
      </w:r>
      <w:r>
        <w:t xml:space="preserve"> </w:t>
      </w:r>
      <w:r>
        <w:tab/>
      </w:r>
      <w:r w:rsidRPr="00260F21">
        <w:t>https://www.legislation.gov.uk/asp/2014/5/contents/enacted</w:t>
      </w:r>
    </w:p>
  </w:footnote>
  <w:footnote w:id="15">
    <w:p w14:paraId="27064AA8" w14:textId="253B6200" w:rsidR="00E560AF" w:rsidRDefault="00E560AF" w:rsidP="00260F21">
      <w:pPr>
        <w:pStyle w:val="FootnoteText"/>
        <w:ind w:left="426" w:hanging="426"/>
      </w:pPr>
      <w:r>
        <w:rPr>
          <w:rStyle w:val="FootnoteReference"/>
        </w:rPr>
        <w:t>[</w:t>
      </w:r>
      <w:r>
        <w:rPr>
          <w:rStyle w:val="FootnoteReference"/>
        </w:rPr>
        <w:footnoteRef/>
      </w:r>
      <w:r>
        <w:rPr>
          <w:rStyle w:val="FootnoteReference"/>
        </w:rPr>
        <w:t>]</w:t>
      </w:r>
      <w:r>
        <w:t xml:space="preserve"> </w:t>
      </w:r>
      <w:r>
        <w:tab/>
      </w:r>
      <w:r w:rsidRPr="00260F21">
        <w:t>https://www.legislation.gov.uk/uksi/2019/1514/contents/made</w:t>
      </w:r>
    </w:p>
  </w:footnote>
  <w:footnote w:id="16">
    <w:p w14:paraId="0333BAB7" w14:textId="1C9F61BC"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A70714">
        <w:t>https://www.bl.uk/lgbtq-histories/articles/a-short-history-of-lgbt-rights-in-the-uk#</w:t>
      </w:r>
    </w:p>
  </w:footnote>
  <w:footnote w:id="17">
    <w:p w14:paraId="58DBFFBA" w14:textId="550CC046"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Section 16 of the Marriage (Same Sex Couples) Act</w:t>
      </w:r>
    </w:p>
  </w:footnote>
  <w:footnote w:id="18">
    <w:p w14:paraId="2DD31FAF" w14:textId="1E48DC30"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A70714">
        <w:t>https://www.discoverleveson.com/hearing/2012-02-08/1075/?bc=3</w:t>
      </w:r>
    </w:p>
  </w:footnote>
  <w:footnote w:id="19">
    <w:p w14:paraId="52B94637" w14:textId="1E3BAB24"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 xml:space="preserve">Report of the Leveson Inquiry, Part F, 8:34 - </w:t>
      </w:r>
      <w:r w:rsidRPr="00A70714">
        <w:t>https://assets.publishing.service.gov.uk/government/uploads/system/uploads/attachment_data/file/270941/0780_ii.pdf</w:t>
      </w:r>
    </w:p>
  </w:footnote>
  <w:footnote w:id="20">
    <w:p w14:paraId="68145FBF" w14:textId="4A9DCD8E"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A70714">
        <w:t>https://www.theguardian.com/uk/2013/may/28/lucy-meadows-coroner-press-shame</w:t>
      </w:r>
    </w:p>
  </w:footnote>
  <w:footnote w:id="21">
    <w:p w14:paraId="384DC406" w14:textId="7709B2D5"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A70714">
        <w:t>https://abcnews.go.com/Entertainment/bruce-jenner-im-woman/story?id=30570350</w:t>
      </w:r>
    </w:p>
  </w:footnote>
  <w:footnote w:id="22">
    <w:p w14:paraId="37BB8706" w14:textId="2880DDA9" w:rsidR="00E560AF" w:rsidRDefault="00E560AF" w:rsidP="00260F21">
      <w:pPr>
        <w:pStyle w:val="FootnoteText"/>
        <w:ind w:left="426" w:hanging="426"/>
      </w:pPr>
      <w:r>
        <w:rPr>
          <w:rStyle w:val="FootnoteReference"/>
        </w:rPr>
        <w:t>[</w:t>
      </w:r>
      <w:r>
        <w:rPr>
          <w:rStyle w:val="FootnoteReference"/>
        </w:rPr>
        <w:footnoteRef/>
      </w:r>
      <w:r>
        <w:rPr>
          <w:rStyle w:val="FootnoteReference"/>
        </w:rPr>
        <w:t>]</w:t>
      </w:r>
      <w:r>
        <w:t xml:space="preserve"> </w:t>
      </w:r>
      <w:r>
        <w:tab/>
      </w:r>
      <w:r w:rsidRPr="00260F21">
        <w:t>https://www.theguardian.com/commentisfree/2014/aug/17/kellie-maloney-times-better-for-transgender-people</w:t>
      </w:r>
    </w:p>
  </w:footnote>
  <w:footnote w:id="23">
    <w:p w14:paraId="6C4EBDCE" w14:textId="4367467E"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A70714">
        <w:t>https://www.newstatesman.com/politics/2015/03/trans-manifesto-2015-what-do-transgender-people-want-our-politicians</w:t>
      </w:r>
    </w:p>
  </w:footnote>
  <w:footnote w:id="24">
    <w:p w14:paraId="0AD9F1B7" w14:textId="3AE849FF" w:rsidR="00E560AF" w:rsidRDefault="00E560AF" w:rsidP="00DD1E92">
      <w:pPr>
        <w:pStyle w:val="FootnoteText"/>
        <w:ind w:left="426" w:hanging="426"/>
      </w:pPr>
      <w:r>
        <w:rPr>
          <w:rStyle w:val="FootnoteReference"/>
        </w:rPr>
        <w:t>[</w:t>
      </w:r>
      <w:r>
        <w:rPr>
          <w:rStyle w:val="FootnoteReference"/>
        </w:rPr>
        <w:footnoteRef/>
      </w:r>
      <w:r>
        <w:rPr>
          <w:rStyle w:val="FootnoteReference"/>
        </w:rPr>
        <w:t>]</w:t>
      </w:r>
      <w:r>
        <w:t xml:space="preserve"> </w:t>
      </w:r>
      <w:r>
        <w:tab/>
      </w:r>
      <w:r w:rsidRPr="00DD1E92">
        <w:t>https://committees.parliament.uk/committee/328/women-and-equalities-committee/</w:t>
      </w:r>
    </w:p>
  </w:footnote>
  <w:footnote w:id="25">
    <w:p w14:paraId="379711CC" w14:textId="7A59C2C0"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 xml:space="preserve">Transgender Equality – First Report of Session 2015-16 </w:t>
      </w:r>
      <w:r w:rsidRPr="00A70714">
        <w:t>https://publications.parliament.uk/pa/cm201516/cmselect/cmwomeq/390/390.pdf</w:t>
      </w:r>
    </w:p>
  </w:footnote>
  <w:footnote w:id="26">
    <w:p w14:paraId="6834089E" w14:textId="6E03B317"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C35040">
        <w:t>https://www.independent.co.uk/news/uk/politics/theresa-may-transgender-not-illness-gender-recognition-act-lgbt-rights-sex-edution-homophobia-pink-news-awards-a8008486.html</w:t>
      </w:r>
    </w:p>
  </w:footnote>
  <w:footnote w:id="27">
    <w:p w14:paraId="4AA94711" w14:textId="5E4A1AE2"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C35040">
        <w:t>https://www.gov.uk/government/news/government-announces-plans-to-reform-process-of-changing-legal-gender</w:t>
      </w:r>
    </w:p>
  </w:footnote>
  <w:footnote w:id="28">
    <w:p w14:paraId="507EF1CA" w14:textId="5CE5D0A0" w:rsidR="00E560AF" w:rsidRDefault="00E560AF" w:rsidP="00DD1E92">
      <w:pPr>
        <w:pStyle w:val="FootnoteText"/>
        <w:ind w:left="426" w:hanging="426"/>
      </w:pPr>
      <w:r>
        <w:rPr>
          <w:rStyle w:val="FootnoteReference"/>
        </w:rPr>
        <w:t>[</w:t>
      </w:r>
      <w:r>
        <w:rPr>
          <w:rStyle w:val="FootnoteReference"/>
        </w:rPr>
        <w:footnoteRef/>
      </w:r>
      <w:r>
        <w:rPr>
          <w:rStyle w:val="FootnoteReference"/>
        </w:rPr>
        <w:t>]</w:t>
      </w:r>
      <w:r>
        <w:t xml:space="preserve"> </w:t>
      </w:r>
      <w:r>
        <w:tab/>
      </w:r>
      <w:r w:rsidRPr="00DD1E92">
        <w:t>https://www.theguardian.com/society/2017/oct/18/theresa-may-plans-to-let-people-change-gender-without-medical-checks</w:t>
      </w:r>
    </w:p>
  </w:footnote>
  <w:footnote w:id="29">
    <w:p w14:paraId="117A637C" w14:textId="36E71930"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C35040">
        <w:t>https://www.theguardian.com/society/2017/mar/05/jenni-murray-transgender-not-real-women-sunday-times-magazine</w:t>
      </w:r>
    </w:p>
  </w:footnote>
  <w:footnote w:id="30">
    <w:p w14:paraId="17339ACA" w14:textId="433E69C7"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 xml:space="preserve">IPSO Editors’ Code, Section 12 - </w:t>
      </w:r>
      <w:r w:rsidRPr="00C35040">
        <w:t>https://www.ipso.co.uk/editors-code-of-practice/</w:t>
      </w:r>
    </w:p>
  </w:footnote>
  <w:footnote w:id="31">
    <w:p w14:paraId="3AFF1B69" w14:textId="380223A4"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 xml:space="preserve">IPSO 00572-15 Trans Media Watch vs The Sun - </w:t>
      </w:r>
      <w:r w:rsidRPr="00C35040">
        <w:t>https://www.ipso.co.uk/rulings-and-resolution-statements/ruling/?id=00572-15</w:t>
      </w:r>
    </w:p>
  </w:footnote>
  <w:footnote w:id="32">
    <w:p w14:paraId="7825E815" w14:textId="102742F0"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C35040">
        <w:t>https://hackinginquiry.org/how-the-press-gets-away-with-discrimination/</w:t>
      </w:r>
    </w:p>
  </w:footnote>
  <w:footnote w:id="33">
    <w:p w14:paraId="4EE11F40" w14:textId="40DCB590"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C35040">
        <w:t>https://hackinginquiry.org/the-headline-that-wasnt-impotent-ipso-bows-to-the-sun/</w:t>
      </w:r>
    </w:p>
  </w:footnote>
  <w:footnote w:id="34">
    <w:p w14:paraId="1DCBF658" w14:textId="7AB0D3C5"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C35040">
        <w:t>https://www.theguardian.com/media/2015/jun/04/ipso-sun-trans-media-watch-rod-liddle-emily-brothers</w:t>
      </w:r>
    </w:p>
  </w:footnote>
  <w:footnote w:id="35">
    <w:p w14:paraId="62722F41" w14:textId="0F2F7EE5"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 xml:space="preserve">IPSO 01059-18 Lennox vs The Times - </w:t>
      </w:r>
      <w:r w:rsidRPr="008A0924">
        <w:t>https://www.ipso.co.uk/rulings-and-resolution-statements/ruling/?id=01059-18</w:t>
      </w:r>
    </w:p>
  </w:footnote>
  <w:footnote w:id="36">
    <w:p w14:paraId="52BA6015" w14:textId="6BEB0AB3"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t xml:space="preserve">IPSO 07454-18 Belcher vs The Times - </w:t>
      </w:r>
      <w:r w:rsidRPr="008A0924">
        <w:t>https://www.ipso.co.uk/rulings-and-resolution-statements/ruling/?id=07454-18</w:t>
      </w:r>
    </w:p>
  </w:footnote>
  <w:footnote w:id="37">
    <w:p w14:paraId="341B9940" w14:textId="3611190C"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8A0924">
        <w:t>https://www.independent.co.uk/news/uk/crime/karen-white-transgender-prisoner-jailed-life-sexual-assault-rape-a8579146.html</w:t>
      </w:r>
    </w:p>
  </w:footnote>
  <w:footnote w:id="38">
    <w:p w14:paraId="4ED0D16B" w14:textId="4C66265E"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8A0924">
        <w:t>https://www.manchestereveningnews.co.uk/news/greater-manchester-news/prison-service-apologise-mistakes-allowed-15271851</w:t>
      </w:r>
    </w:p>
  </w:footnote>
  <w:footnote w:id="39">
    <w:p w14:paraId="737C7996" w14:textId="780BF7EE" w:rsidR="00E560AF" w:rsidRDefault="00E560AF" w:rsidP="00260F21">
      <w:pPr>
        <w:pStyle w:val="FootnoteText"/>
        <w:ind w:left="426" w:hanging="426"/>
      </w:pPr>
      <w:r>
        <w:rPr>
          <w:rStyle w:val="FootnoteReference"/>
        </w:rPr>
        <w:t>[</w:t>
      </w:r>
      <w:r>
        <w:rPr>
          <w:rStyle w:val="FootnoteReference"/>
        </w:rPr>
        <w:footnoteRef/>
      </w:r>
      <w:r>
        <w:rPr>
          <w:rStyle w:val="FootnoteReference"/>
        </w:rPr>
        <w:t>]</w:t>
      </w:r>
      <w:r>
        <w:t xml:space="preserve"> </w:t>
      </w:r>
      <w:r>
        <w:tab/>
      </w:r>
      <w:r w:rsidRPr="00260F21">
        <w:t>https://inews.co.uk/news/media/ian-huntley-transgender-claims-apology-daily-star-257028</w:t>
      </w:r>
    </w:p>
  </w:footnote>
  <w:footnote w:id="40">
    <w:p w14:paraId="5D2343C7" w14:textId="5213C317"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8A0924">
        <w:t>https://www.standard.co.uk/news/crime/transgender-activist-tara-wolf-fined-ps150-for-assaulting-exclusionary-radical-feminist-in-hyde-park-a3813856.html</w:t>
      </w:r>
    </w:p>
  </w:footnote>
  <w:footnote w:id="41">
    <w:p w14:paraId="67888039" w14:textId="492196F0" w:rsidR="00E560AF" w:rsidRDefault="00E560AF" w:rsidP="0065686C">
      <w:pPr>
        <w:pStyle w:val="FootnoteText"/>
        <w:ind w:left="426" w:hanging="426"/>
      </w:pPr>
      <w:r>
        <w:rPr>
          <w:rStyle w:val="FootnoteReference"/>
        </w:rPr>
        <w:t>[</w:t>
      </w:r>
      <w:r>
        <w:rPr>
          <w:rStyle w:val="FootnoteReference"/>
        </w:rPr>
        <w:footnoteRef/>
      </w:r>
      <w:r>
        <w:rPr>
          <w:rStyle w:val="FootnoteReference"/>
        </w:rPr>
        <w:t>]</w:t>
      </w:r>
      <w:r>
        <w:t xml:space="preserve"> </w:t>
      </w:r>
      <w:r>
        <w:tab/>
      </w:r>
      <w:r w:rsidRPr="0065686C">
        <w:t>https://www.standard.co.uk/news/crime/transgender-activist-tara-wolf-fined-ps150-for-assaulting-exclusionary-radical-feminist-in-hyde-park-a3813856.html</w:t>
      </w:r>
    </w:p>
  </w:footnote>
  <w:footnote w:id="42">
    <w:p w14:paraId="01ACEB2A" w14:textId="0AB6F9AB"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8A0924">
        <w:t>https://fairplayforwomen.com/</w:t>
      </w:r>
    </w:p>
  </w:footnote>
  <w:footnote w:id="43">
    <w:p w14:paraId="10FC9855" w14:textId="3FC12CFB"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8A0924">
        <w:t>https://womansplaceuk.org/</w:t>
      </w:r>
    </w:p>
  </w:footnote>
  <w:footnote w:id="44">
    <w:p w14:paraId="2A08D9DD" w14:textId="113A3372" w:rsidR="00E560AF" w:rsidRDefault="00E560AF" w:rsidP="00B340C9">
      <w:pPr>
        <w:pStyle w:val="FootnoteText"/>
        <w:ind w:left="426" w:hanging="426"/>
      </w:pPr>
      <w:r>
        <w:rPr>
          <w:rStyle w:val="FootnoteReference"/>
        </w:rPr>
        <w:t>[</w:t>
      </w:r>
      <w:r>
        <w:rPr>
          <w:rStyle w:val="FootnoteReference"/>
        </w:rPr>
        <w:footnoteRef/>
      </w:r>
      <w:r>
        <w:rPr>
          <w:rStyle w:val="FootnoteReference"/>
        </w:rPr>
        <w:t>]</w:t>
      </w:r>
      <w:r>
        <w:t xml:space="preserve"> </w:t>
      </w:r>
      <w:r>
        <w:tab/>
      </w:r>
      <w:r w:rsidRPr="00B340C9">
        <w:t>https://forwomen.scot/about/</w:t>
      </w:r>
    </w:p>
  </w:footnote>
  <w:footnote w:id="45">
    <w:p w14:paraId="7A370FC8" w14:textId="35801896"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8A0924">
        <w:t>https://www.transgendertrend.com/</w:t>
      </w:r>
    </w:p>
  </w:footnote>
  <w:footnote w:id="46">
    <w:p w14:paraId="05451DCE" w14:textId="2D4F2C29" w:rsidR="00E560AF" w:rsidRDefault="00E560AF" w:rsidP="008D4FFA">
      <w:pPr>
        <w:pStyle w:val="FootnoteText"/>
        <w:ind w:left="426" w:hanging="426"/>
      </w:pPr>
      <w:r>
        <w:rPr>
          <w:rStyle w:val="FootnoteReference"/>
        </w:rPr>
        <w:t>[</w:t>
      </w:r>
      <w:r>
        <w:rPr>
          <w:rStyle w:val="FootnoteReference"/>
        </w:rPr>
        <w:footnoteRef/>
      </w:r>
      <w:r>
        <w:rPr>
          <w:rStyle w:val="FootnoteReference"/>
        </w:rPr>
        <w:t>]</w:t>
      </w:r>
      <w:r>
        <w:t xml:space="preserve"> </w:t>
      </w:r>
      <w:r>
        <w:tab/>
      </w:r>
      <w:r w:rsidRPr="008D4FFA">
        <w:t>https://www.buzzfeed.com/patrickstrudwick/trans-kids-should-be-outed-to-their-parents-says-a-group</w:t>
      </w:r>
    </w:p>
  </w:footnote>
  <w:footnote w:id="47">
    <w:p w14:paraId="723051A3" w14:textId="4DCF0EB7" w:rsidR="00E560AF" w:rsidRDefault="00E560AF" w:rsidP="0065686C">
      <w:pPr>
        <w:pStyle w:val="FootnoteText"/>
        <w:ind w:left="426" w:hanging="426"/>
      </w:pPr>
      <w:r>
        <w:rPr>
          <w:rStyle w:val="FootnoteReference"/>
        </w:rPr>
        <w:t>[</w:t>
      </w:r>
      <w:r>
        <w:rPr>
          <w:rStyle w:val="FootnoteReference"/>
        </w:rPr>
        <w:footnoteRef/>
      </w:r>
      <w:r>
        <w:rPr>
          <w:rStyle w:val="FootnoteReference"/>
        </w:rPr>
        <w:t>]</w:t>
      </w:r>
      <w:r>
        <w:t xml:space="preserve"> </w:t>
      </w:r>
      <w:r>
        <w:tab/>
      </w:r>
      <w:r w:rsidRPr="0065686C">
        <w:t>https://www.buzzfeed.com/patrickstrudwick/trans-kids-should-be-outed-to-their-parents-says-a-group</w:t>
      </w:r>
    </w:p>
  </w:footnote>
  <w:footnote w:id="48">
    <w:p w14:paraId="663C0A7D" w14:textId="747D0860"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C74621">
        <w:t>https://www.islingtongazette.co.uk/news/dozens-picket-anti-trans-meeting-including-presentation-by-transgendertrend-founder-3811512</w:t>
      </w:r>
    </w:p>
  </w:footnote>
  <w:footnote w:id="49">
    <w:p w14:paraId="20BB6FF8" w14:textId="2B820EDC" w:rsidR="00E560AF" w:rsidRDefault="00E560AF" w:rsidP="00C74621">
      <w:pPr>
        <w:pStyle w:val="FootnoteText"/>
        <w:ind w:left="426" w:hanging="426"/>
      </w:pPr>
      <w:r>
        <w:rPr>
          <w:rStyle w:val="FootnoteReference"/>
        </w:rPr>
        <w:t>[</w:t>
      </w:r>
      <w:r>
        <w:rPr>
          <w:rStyle w:val="FootnoteReference"/>
        </w:rPr>
        <w:footnoteRef/>
      </w:r>
      <w:r>
        <w:rPr>
          <w:rStyle w:val="FootnoteReference"/>
        </w:rPr>
        <w:t>]</w:t>
      </w:r>
      <w:r>
        <w:t xml:space="preserve"> </w:t>
      </w:r>
      <w:r>
        <w:tab/>
      </w:r>
      <w:r w:rsidRPr="00C74621">
        <w:t>https://www.standard.co.uk/culture/tvfilm/channel-4-slammed-by-uncomfortable-viewers-as-munroe-bergdorf-is-heckled-during-genderquake-the-debate-a3834421.html</w:t>
      </w:r>
    </w:p>
  </w:footnote>
  <w:footnote w:id="50">
    <w:p w14:paraId="3BAE4F6F" w14:textId="1332091E" w:rsidR="00E560AF" w:rsidRDefault="00E560AF" w:rsidP="0021788E">
      <w:pPr>
        <w:pStyle w:val="FootnoteText"/>
        <w:ind w:left="426" w:hanging="426"/>
      </w:pPr>
      <w:r>
        <w:rPr>
          <w:rStyle w:val="FootnoteReference"/>
        </w:rPr>
        <w:t>[</w:t>
      </w:r>
      <w:r>
        <w:rPr>
          <w:rStyle w:val="FootnoteReference"/>
        </w:rPr>
        <w:footnoteRef/>
      </w:r>
      <w:r>
        <w:rPr>
          <w:rStyle w:val="FootnoteReference"/>
        </w:rPr>
        <w:t>]</w:t>
      </w:r>
      <w:r>
        <w:t xml:space="preserve"> </w:t>
      </w:r>
      <w:r>
        <w:tab/>
      </w:r>
      <w:r w:rsidRPr="0021788E">
        <w:t>https://www.washingtontimes.com/news/2016/jun/15/uk-feminists-protest-transgender-rights-event</w:t>
      </w:r>
    </w:p>
  </w:footnote>
  <w:footnote w:id="51">
    <w:p w14:paraId="23FA9CED" w14:textId="677D691E" w:rsidR="00E560AF" w:rsidRDefault="00E560AF" w:rsidP="0021788E">
      <w:pPr>
        <w:pStyle w:val="FootnoteText"/>
        <w:ind w:left="426" w:hanging="426"/>
      </w:pPr>
      <w:r>
        <w:rPr>
          <w:rStyle w:val="FootnoteReference"/>
        </w:rPr>
        <w:t>[</w:t>
      </w:r>
      <w:r>
        <w:rPr>
          <w:rStyle w:val="FootnoteReference"/>
        </w:rPr>
        <w:footnoteRef/>
      </w:r>
      <w:r>
        <w:rPr>
          <w:rStyle w:val="FootnoteReference"/>
        </w:rPr>
        <w:t>]</w:t>
      </w:r>
      <w:r>
        <w:t xml:space="preserve"> </w:t>
      </w:r>
      <w:r>
        <w:tab/>
      </w:r>
      <w:r w:rsidRPr="0021788E">
        <w:t>https://www.bbc.co.uk/news/uk-england-london-44757403</w:t>
      </w:r>
    </w:p>
  </w:footnote>
  <w:footnote w:id="52">
    <w:p w14:paraId="4DDD359E" w14:textId="3CFF4787" w:rsidR="00E560AF" w:rsidRDefault="00E560AF" w:rsidP="0021788E">
      <w:pPr>
        <w:pStyle w:val="FootnoteText"/>
        <w:ind w:left="426" w:hanging="426"/>
      </w:pPr>
      <w:r>
        <w:rPr>
          <w:rStyle w:val="FootnoteReference"/>
        </w:rPr>
        <w:t>[</w:t>
      </w:r>
      <w:r>
        <w:rPr>
          <w:rStyle w:val="FootnoteReference"/>
        </w:rPr>
        <w:footnoteRef/>
      </w:r>
      <w:r>
        <w:rPr>
          <w:rStyle w:val="FootnoteReference"/>
        </w:rPr>
        <w:t>]</w:t>
      </w:r>
      <w:r>
        <w:t xml:space="preserve"> </w:t>
      </w:r>
      <w:r>
        <w:tab/>
      </w:r>
      <w:r w:rsidRPr="0021788E">
        <w:t>https://twitter.com/JackRaoul/status/1362397727771000832</w:t>
      </w:r>
    </w:p>
  </w:footnote>
  <w:footnote w:id="53">
    <w:p w14:paraId="3B7D203B" w14:textId="4DEE79F0"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r>
      <w:r w:rsidRPr="00C74621">
        <w:t>https://www.theguardian.com/books/2015/nov/18/transgender-activists-protest-germaine-greer-lecture-cardiff-university</w:t>
      </w:r>
    </w:p>
  </w:footnote>
  <w:footnote w:id="54">
    <w:p w14:paraId="77153ABB" w14:textId="23068E97"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r>
      <w:r w:rsidRPr="00C74621">
        <w:t>https://www.varsity.co.uk/news/14333</w:t>
      </w:r>
    </w:p>
  </w:footnote>
  <w:footnote w:id="55">
    <w:p w14:paraId="63661890" w14:textId="0B9D89C9"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r>
      <w:r w:rsidRPr="00C74621">
        <w:t>https://www.express.co.uk/news/politics/1398525/Sky-News-Adam-Boulton-liberal-transgender-no-platforming-left-wing-row-latest-vn</w:t>
      </w:r>
    </w:p>
  </w:footnote>
  <w:footnote w:id="56">
    <w:p w14:paraId="74C710A2" w14:textId="2FC7BDEA"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t xml:space="preserve">Joint Committee on Human Rights – Freedom of Speech in Universities – sections 3 and 4 </w:t>
      </w:r>
      <w:r w:rsidRPr="00DB385F">
        <w:t>https://publications.parliament.uk/pa/jt201719/jtselect/jtrights/589/58902.htm</w:t>
      </w:r>
    </w:p>
  </w:footnote>
  <w:footnote w:id="57">
    <w:p w14:paraId="6DCE6D1C" w14:textId="4CA84866"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r>
      <w:r w:rsidRPr="00DB385F">
        <w:t>https://www.bbc.co.uk/news/health-51806962</w:t>
      </w:r>
    </w:p>
  </w:footnote>
  <w:footnote w:id="58">
    <w:p w14:paraId="667170D2" w14:textId="2AB635E3" w:rsidR="00E560AF" w:rsidRDefault="00E560AF" w:rsidP="00C0170A">
      <w:pPr>
        <w:pStyle w:val="FootnoteText"/>
        <w:ind w:left="426" w:hanging="426"/>
      </w:pPr>
      <w:r>
        <w:rPr>
          <w:rStyle w:val="FootnoteReference"/>
        </w:rPr>
        <w:t>[</w:t>
      </w:r>
      <w:r>
        <w:rPr>
          <w:rStyle w:val="FootnoteReference"/>
        </w:rPr>
        <w:footnoteRef/>
      </w:r>
      <w:r>
        <w:rPr>
          <w:rStyle w:val="FootnoteReference"/>
        </w:rPr>
        <w:t>]</w:t>
      </w:r>
      <w:r>
        <w:t xml:space="preserve"> </w:t>
      </w:r>
      <w:r>
        <w:tab/>
      </w:r>
      <w:r w:rsidRPr="00C0170A">
        <w:t>https://www.independent.co.uk/voices/mermaids-trans-charity-children-big-lottery-fund-support-transphobia-graham-linehan-a8688701.html</w:t>
      </w:r>
    </w:p>
  </w:footnote>
  <w:footnote w:id="59">
    <w:p w14:paraId="74548E99" w14:textId="5A112DB1" w:rsidR="00E560AF" w:rsidRPr="00E6798B" w:rsidRDefault="00E560AF" w:rsidP="00E6798B">
      <w:pPr>
        <w:spacing w:after="60"/>
        <w:ind w:left="425" w:hanging="426"/>
        <w:rPr>
          <w:sz w:val="20"/>
          <w:szCs w:val="20"/>
        </w:rPr>
      </w:pPr>
      <w:r>
        <w:rPr>
          <w:rStyle w:val="FootnoteReference"/>
        </w:rPr>
        <w:t>[</w:t>
      </w:r>
      <w:r>
        <w:rPr>
          <w:rStyle w:val="FootnoteReference"/>
        </w:rPr>
        <w:footnoteRef/>
      </w:r>
      <w:r>
        <w:rPr>
          <w:rStyle w:val="FootnoteReference"/>
        </w:rPr>
        <w:t>]</w:t>
      </w:r>
      <w:r>
        <w:t xml:space="preserve"> </w:t>
      </w:r>
      <w:r>
        <w:tab/>
      </w:r>
      <w:r w:rsidRPr="00E6798B">
        <w:rPr>
          <w:sz w:val="20"/>
          <w:szCs w:val="20"/>
        </w:rPr>
        <w:t xml:space="preserve">https://fairplayforwomen.com/penis/. There is no precise count of trans women in the UK. However, a best estimate for the total number of trans women is most likely in a range 20,000 to a maximum of 30,000, based on name changes recorded by DVLA and waiting lists for NHS services – and most likely somewhere in the middle of that range. </w:t>
      </w:r>
    </w:p>
    <w:p w14:paraId="6AEF75C5" w14:textId="77777777" w:rsidR="00E560AF" w:rsidRPr="00E6798B" w:rsidRDefault="00E560AF" w:rsidP="00E6798B">
      <w:pPr>
        <w:spacing w:after="60"/>
        <w:ind w:left="425"/>
        <w:rPr>
          <w:sz w:val="20"/>
          <w:szCs w:val="20"/>
        </w:rPr>
      </w:pPr>
      <w:r w:rsidRPr="00E6798B">
        <w:rPr>
          <w:sz w:val="20"/>
          <w:szCs w:val="20"/>
        </w:rPr>
        <w:t xml:space="preserve">The number of genital reconstruction surgeries on trans women is estimated to be in excess of 15,000 – perhaps as high as 20,000. This means that between 50% and 80% or more of trans women have had genital reconstruction, and a few thousand more are on the waiting list for genital reconstruction surgeries. </w:t>
      </w:r>
    </w:p>
    <w:p w14:paraId="7F85FFDF" w14:textId="77527172" w:rsidR="00E560AF" w:rsidRDefault="00E560AF" w:rsidP="00E6798B">
      <w:pPr>
        <w:pStyle w:val="FootnoteText"/>
        <w:ind w:left="426"/>
      </w:pPr>
      <w:r>
        <w:t>Fair Play for Women have extrapolated from a statement by trans charity GIRES stating that around 1% of the population is potentially gender incongruent to some degree and decided that gender incongruence is synonymous with “binary trans”. In the process they ignored all non-binary identified individuals, as well as a range of categories including those who are not “out” and cross-dressers, without understanding that most of these people will neither transition nor ever make use of facilities assigned to the sex opposite to that which they were assigned to at birth</w:t>
      </w:r>
      <w:r w:rsidRPr="00E6798B">
        <w:t>.</w:t>
      </w:r>
    </w:p>
  </w:footnote>
  <w:footnote w:id="60">
    <w:p w14:paraId="655E64C6" w14:textId="4BC312F9" w:rsidR="00E560AF" w:rsidRDefault="00E560AF" w:rsidP="00B775CD">
      <w:pPr>
        <w:pStyle w:val="FootnoteText"/>
        <w:ind w:left="426" w:hanging="426"/>
      </w:pPr>
      <w:r>
        <w:rPr>
          <w:rStyle w:val="FootnoteReference"/>
        </w:rPr>
        <w:t>[</w:t>
      </w:r>
      <w:r>
        <w:rPr>
          <w:rStyle w:val="FootnoteReference"/>
        </w:rPr>
        <w:footnoteRef/>
      </w:r>
      <w:r>
        <w:rPr>
          <w:rStyle w:val="FootnoteReference"/>
        </w:rPr>
        <w:t>]</w:t>
      </w:r>
      <w:r>
        <w:t xml:space="preserve"> </w:t>
      </w:r>
      <w:r>
        <w:tab/>
      </w:r>
      <w:r w:rsidRPr="00B775CD">
        <w:t>https://twitter.com/mimmymum/status/1177953893994635264</w:t>
      </w:r>
    </w:p>
  </w:footnote>
  <w:footnote w:id="61">
    <w:p w14:paraId="1EA3ADC7" w14:textId="56F54299" w:rsidR="00E560AF" w:rsidRDefault="00E560AF" w:rsidP="00B775CD">
      <w:pPr>
        <w:pStyle w:val="FootnoteText"/>
        <w:ind w:left="426" w:hanging="426"/>
      </w:pPr>
      <w:r>
        <w:rPr>
          <w:rStyle w:val="FootnoteReference"/>
        </w:rPr>
        <w:t>[</w:t>
      </w:r>
      <w:r>
        <w:rPr>
          <w:rStyle w:val="FootnoteReference"/>
        </w:rPr>
        <w:footnoteRef/>
      </w:r>
      <w:r>
        <w:rPr>
          <w:rStyle w:val="FootnoteReference"/>
        </w:rPr>
        <w:t>]</w:t>
      </w:r>
      <w:r>
        <w:t xml:space="preserve"> </w:t>
      </w:r>
      <w:r>
        <w:tab/>
      </w:r>
      <w:r w:rsidRPr="00B775CD">
        <w:t>https://yourstory.com/herstory/2019/09/transgender-women-comments-questions-tired-hearing</w:t>
      </w:r>
    </w:p>
  </w:footnote>
  <w:footnote w:id="62">
    <w:p w14:paraId="5E7E10DF" w14:textId="745F1E07"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r>
      <w:r w:rsidRPr="00E342AF">
        <w:t>https://www.ipso.co.uk/news-press-releases/press-releases/new-research-on-reporting-of-trans-issues-shows-400-increase-in-coverage-and-varying-perceptions-on-broader-editorial-standards/</w:t>
      </w:r>
    </w:p>
  </w:footnote>
  <w:footnote w:id="63">
    <w:p w14:paraId="002788B8" w14:textId="4A033CC7" w:rsidR="00E560AF" w:rsidRDefault="00E560AF" w:rsidP="00EC3EA7">
      <w:pPr>
        <w:pStyle w:val="FootnoteText"/>
        <w:ind w:left="426" w:hanging="426"/>
      </w:pPr>
      <w:r>
        <w:rPr>
          <w:rStyle w:val="FootnoteReference"/>
        </w:rPr>
        <w:t>[</w:t>
      </w:r>
      <w:r>
        <w:rPr>
          <w:rStyle w:val="FootnoteReference"/>
        </w:rPr>
        <w:footnoteRef/>
      </w:r>
      <w:r>
        <w:rPr>
          <w:rStyle w:val="FootnoteReference"/>
        </w:rPr>
        <w:t>]</w:t>
      </w:r>
      <w:r>
        <w:t xml:space="preserve"> </w:t>
      </w:r>
      <w:r>
        <w:tab/>
      </w:r>
      <w:r w:rsidRPr="00EC3EA7">
        <w:t>https://twitter.com/jefflez/status/1346046772569899008?lang=en</w:t>
      </w:r>
    </w:p>
  </w:footnote>
  <w:footnote w:id="64">
    <w:p w14:paraId="6B462AF5" w14:textId="097CDF1C" w:rsidR="00E560AF" w:rsidRDefault="00E560AF" w:rsidP="00212B62">
      <w:pPr>
        <w:pStyle w:val="FootnoteText"/>
        <w:ind w:left="426" w:hanging="426"/>
      </w:pPr>
      <w:r>
        <w:rPr>
          <w:rStyle w:val="FootnoteReference"/>
        </w:rPr>
        <w:t>[</w:t>
      </w:r>
      <w:r>
        <w:rPr>
          <w:rStyle w:val="FootnoteReference"/>
        </w:rPr>
        <w:footnoteRef/>
      </w:r>
      <w:r>
        <w:rPr>
          <w:rStyle w:val="FootnoteReference"/>
        </w:rPr>
        <w:t>]</w:t>
      </w:r>
      <w:r>
        <w:t xml:space="preserve"> </w:t>
      </w:r>
      <w:r>
        <w:tab/>
      </w:r>
      <w:r w:rsidRPr="00212B62">
        <w:t>https://www.bbc.co.uk/news/entertainment-arts-55350905</w:t>
      </w:r>
    </w:p>
  </w:footnote>
  <w:footnote w:id="65">
    <w:p w14:paraId="3355DA0D" w14:textId="600AEC1A" w:rsidR="00E560AF" w:rsidRDefault="00E560AF" w:rsidP="00212B62">
      <w:pPr>
        <w:pStyle w:val="FootnoteText"/>
        <w:ind w:left="426" w:hanging="426"/>
      </w:pPr>
      <w:r>
        <w:rPr>
          <w:rStyle w:val="FootnoteReference"/>
        </w:rPr>
        <w:t>[</w:t>
      </w:r>
      <w:r>
        <w:rPr>
          <w:rStyle w:val="FootnoteReference"/>
        </w:rPr>
        <w:footnoteRef/>
      </w:r>
      <w:r>
        <w:rPr>
          <w:rStyle w:val="FootnoteReference"/>
        </w:rPr>
        <w:t>]</w:t>
      </w:r>
      <w:r>
        <w:t xml:space="preserve"> </w:t>
      </w:r>
      <w:r>
        <w:tab/>
      </w:r>
      <w:r w:rsidRPr="00212B62">
        <w:t>https://en.wikipedia.org/wiki/Rivers_of_Blood_speech</w:t>
      </w:r>
      <w:r>
        <w:t xml:space="preserve"> - the speech has historically been viewed as racist, making it even more incredible that an experienced journalist with Rajan’s heritage wouldn’t understand the implications.</w:t>
      </w:r>
    </w:p>
  </w:footnote>
  <w:footnote w:id="66">
    <w:p w14:paraId="326AB396" w14:textId="2659C827" w:rsidR="00E560AF" w:rsidRDefault="00E560AF" w:rsidP="0051276F">
      <w:pPr>
        <w:pStyle w:val="FootnoteText"/>
        <w:ind w:left="426" w:hanging="426"/>
      </w:pPr>
      <w:r>
        <w:rPr>
          <w:rStyle w:val="FootnoteReference"/>
        </w:rPr>
        <w:t>[</w:t>
      </w:r>
      <w:r>
        <w:rPr>
          <w:rStyle w:val="FootnoteReference"/>
        </w:rPr>
        <w:footnoteRef/>
      </w:r>
      <w:r>
        <w:rPr>
          <w:rStyle w:val="FootnoteReference"/>
        </w:rPr>
        <w:t>]</w:t>
      </w:r>
      <w:r>
        <w:t xml:space="preserve"> </w:t>
      </w:r>
      <w:r>
        <w:tab/>
      </w:r>
      <w:r w:rsidRPr="0051276F">
        <w:t>https://twitter.com/KatyMontgomerie/status/1363986578251603969</w:t>
      </w:r>
    </w:p>
  </w:footnote>
  <w:footnote w:id="67">
    <w:p w14:paraId="532ADDDC" w14:textId="2451929E" w:rsidR="00E560AF" w:rsidRDefault="00E560AF" w:rsidP="00212B62">
      <w:pPr>
        <w:pStyle w:val="FootnoteText"/>
        <w:ind w:left="426" w:hanging="426"/>
      </w:pPr>
      <w:r>
        <w:rPr>
          <w:rStyle w:val="FootnoteReference"/>
        </w:rPr>
        <w:t>[</w:t>
      </w:r>
      <w:r>
        <w:rPr>
          <w:rStyle w:val="FootnoteReference"/>
        </w:rPr>
        <w:footnoteRef/>
      </w:r>
      <w:r>
        <w:rPr>
          <w:rStyle w:val="FootnoteReference"/>
        </w:rPr>
        <w:t>]</w:t>
      </w:r>
      <w:r>
        <w:t xml:space="preserve"> </w:t>
      </w:r>
      <w:r>
        <w:tab/>
      </w:r>
      <w:r w:rsidRPr="00212B62">
        <w:t>https://www.pinknews.co.uk/2021/02/23/bbc-newsnight-trans-coverage-puberty-blockers-transphobia-complaint/</w:t>
      </w:r>
    </w:p>
  </w:footnote>
  <w:footnote w:id="68">
    <w:p w14:paraId="64C1A0DC" w14:textId="30DE6708"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r>
      <w:r w:rsidRPr="00E342AF">
        <w:t>https://www.gov.uk/government/speeches/minister-for-women-and-equalities-liz-truss-sets-out-priorities-to-women-and-equalities-select-committee</w:t>
      </w:r>
    </w:p>
  </w:footnote>
  <w:footnote w:id="69">
    <w:p w14:paraId="22C6C2F0" w14:textId="2B7198A9" w:rsidR="00E560AF" w:rsidRDefault="00E560AF" w:rsidP="00BC4EB2">
      <w:pPr>
        <w:pStyle w:val="FootnoteText"/>
        <w:ind w:left="426" w:hanging="426"/>
      </w:pPr>
      <w:r>
        <w:rPr>
          <w:rStyle w:val="FootnoteReference"/>
        </w:rPr>
        <w:t>[</w:t>
      </w:r>
      <w:r>
        <w:rPr>
          <w:rStyle w:val="FootnoteReference"/>
        </w:rPr>
        <w:footnoteRef/>
      </w:r>
      <w:r>
        <w:rPr>
          <w:rStyle w:val="FootnoteReference"/>
        </w:rPr>
        <w:t>]</w:t>
      </w:r>
      <w:r>
        <w:t xml:space="preserve"> </w:t>
      </w:r>
      <w:r>
        <w:tab/>
      </w:r>
      <w:r w:rsidRPr="00BC4EB2">
        <w:t>https://www.thetimes.co.uk/article/boris-johnson-scraps-plan-to-make-gender-change-easier-zs6lqfls0</w:t>
      </w:r>
    </w:p>
  </w:footnote>
  <w:footnote w:id="70">
    <w:p w14:paraId="3E6820D2" w14:textId="7F1A98E1"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r>
      <w:r w:rsidRPr="00E342AF">
        <w:t>https://www.bbc.co.uk/news/uk-politics-54246686</w:t>
      </w:r>
    </w:p>
  </w:footnote>
  <w:footnote w:id="71">
    <w:p w14:paraId="5C40FF03" w14:textId="5DA8F70B"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t xml:space="preserve">Gender Recognition Act – Analysis of Consultation Responses - </w:t>
      </w:r>
      <w:r w:rsidRPr="00E342AF">
        <w:t>https://assets.publishing.service.gov.uk/government/uploads/system/uploads/attachment_data/file/919890/Analysis_of_responses_Gender_Recognition_Act.pdf</w:t>
      </w:r>
    </w:p>
  </w:footnote>
  <w:footnote w:id="72">
    <w:p w14:paraId="2F637811" w14:textId="33BB44CA" w:rsidR="00E560AF" w:rsidRDefault="00E560AF" w:rsidP="00E342AF">
      <w:pPr>
        <w:pStyle w:val="FootnoteText"/>
        <w:ind w:left="426" w:hanging="426"/>
      </w:pPr>
      <w:r>
        <w:rPr>
          <w:rStyle w:val="FootnoteReference"/>
        </w:rPr>
        <w:t>[</w:t>
      </w:r>
      <w:r>
        <w:rPr>
          <w:rStyle w:val="FootnoteReference"/>
        </w:rPr>
        <w:footnoteRef/>
      </w:r>
      <w:r>
        <w:rPr>
          <w:rStyle w:val="FootnoteReference"/>
        </w:rPr>
        <w:t>]</w:t>
      </w:r>
      <w:r>
        <w:t xml:space="preserve"> </w:t>
      </w:r>
      <w:r>
        <w:tab/>
      </w:r>
      <w:r w:rsidRPr="00E342AF">
        <w:t>https://www.gov.uk/government/news/fight-for-fairness-speech-to-set-out-governments-new-approach-to-equality</w:t>
      </w:r>
    </w:p>
  </w:footnote>
  <w:footnote w:id="73">
    <w:p w14:paraId="0E8A12EF" w14:textId="46BA18C0" w:rsidR="00E560AF" w:rsidRPr="00B340C9" w:rsidRDefault="00E560AF" w:rsidP="00B340C9">
      <w:pPr>
        <w:pStyle w:val="FootnoteText"/>
        <w:ind w:left="426" w:hanging="426"/>
        <w:rPr>
          <w:rFonts w:cstheme="minorHAnsi"/>
          <w:i/>
          <w:iCs/>
        </w:rPr>
      </w:pPr>
      <w:r>
        <w:rPr>
          <w:rStyle w:val="FootnoteReference"/>
        </w:rPr>
        <w:t>[</w:t>
      </w:r>
      <w:r>
        <w:rPr>
          <w:rStyle w:val="FootnoteReference"/>
        </w:rPr>
        <w:footnoteRef/>
      </w:r>
      <w:r>
        <w:rPr>
          <w:rStyle w:val="FootnoteReference"/>
        </w:rPr>
        <w:t>]</w:t>
      </w:r>
      <w:r>
        <w:t xml:space="preserve"> </w:t>
      </w:r>
      <w:r>
        <w:tab/>
      </w:r>
      <w:r w:rsidRPr="00B340C9">
        <w:t>https://www.equalityhumanrights.com/en/our-work/news/our-statement-sex-and-gender-reassignment-legal-protections-and-language</w:t>
      </w:r>
      <w:r>
        <w:t xml:space="preserve"> - “</w:t>
      </w:r>
      <w:r w:rsidRPr="00B340C9">
        <w:rPr>
          <w:rFonts w:cstheme="minorHAnsi"/>
          <w:i/>
          <w:iCs/>
          <w:color w:val="364546"/>
          <w:shd w:val="clear" w:color="auto" w:fill="FFFFFF"/>
        </w:rPr>
        <w:t>'Gender’ refers to socially constructed roles of women and men and/or an individual’s conception of their identity. The term is often used interchangeably with ‘sex’, partly in recognition that much of the inequality between women and men is driven by underlying social and power structures rather than by biological sex. Although the Equality Act protects people from discrimination because of their sex, other UK legislation (such as the regulations requiring employers to publish their gender pay gap) refers to gender.”</w:t>
      </w:r>
    </w:p>
  </w:footnote>
  <w:footnote w:id="74">
    <w:p w14:paraId="606E5470" w14:textId="237286FB" w:rsidR="00E560AF" w:rsidRDefault="00E560AF" w:rsidP="00BB76EA">
      <w:pPr>
        <w:pStyle w:val="FootnoteText"/>
        <w:ind w:left="426" w:hanging="426"/>
      </w:pPr>
      <w:r>
        <w:rPr>
          <w:rStyle w:val="FootnoteReference"/>
        </w:rPr>
        <w:t>[</w:t>
      </w:r>
      <w:r>
        <w:rPr>
          <w:rStyle w:val="FootnoteReference"/>
        </w:rPr>
        <w:footnoteRef/>
      </w:r>
      <w:r>
        <w:rPr>
          <w:rStyle w:val="FootnoteReference"/>
        </w:rPr>
        <w:t>]</w:t>
      </w:r>
      <w:r>
        <w:t xml:space="preserve"> </w:t>
      </w:r>
      <w:r>
        <w:tab/>
      </w:r>
      <w:r w:rsidRPr="00BB76EA">
        <w:t>https://www.telegraph.co.uk/family/life/potato-head-non-binary-dolls-rise-rise-gender-neutral-toys/</w:t>
      </w:r>
      <w:r>
        <w:t xml:space="preserve"> - Hasbro had made it clear that while the brand was changing name, the toys would remain gendered.</w:t>
      </w:r>
    </w:p>
  </w:footnote>
  <w:footnote w:id="75">
    <w:p w14:paraId="0785AA63" w14:textId="7B313081" w:rsidR="00E560AF" w:rsidRDefault="00E560AF" w:rsidP="00BB76EA">
      <w:pPr>
        <w:pStyle w:val="FootnoteText"/>
        <w:ind w:left="426" w:hanging="426"/>
      </w:pPr>
      <w:r>
        <w:rPr>
          <w:rStyle w:val="FootnoteReference"/>
        </w:rPr>
        <w:t>[</w:t>
      </w:r>
      <w:r>
        <w:rPr>
          <w:rStyle w:val="FootnoteReference"/>
        </w:rPr>
        <w:footnoteRef/>
      </w:r>
      <w:r>
        <w:rPr>
          <w:rStyle w:val="FootnoteReference"/>
        </w:rPr>
        <w:t>]</w:t>
      </w:r>
      <w:r>
        <w:t xml:space="preserve"> </w:t>
      </w:r>
      <w:r>
        <w:tab/>
      </w:r>
      <w:r w:rsidRPr="00AE2688">
        <w:t>https://www.bsuh.nhs.uk/supporting-inclusive-midwifery-care/</w:t>
      </w:r>
    </w:p>
  </w:footnote>
  <w:footnote w:id="76">
    <w:p w14:paraId="499CB0CA" w14:textId="4DBA0C3F" w:rsidR="00E560AF" w:rsidRDefault="00E560AF" w:rsidP="00BB76EA">
      <w:pPr>
        <w:pStyle w:val="FootnoteText"/>
        <w:ind w:left="426" w:hanging="426"/>
      </w:pPr>
      <w:r>
        <w:rPr>
          <w:rStyle w:val="FootnoteReference"/>
        </w:rPr>
        <w:t>[</w:t>
      </w:r>
      <w:r>
        <w:rPr>
          <w:rStyle w:val="FootnoteReference"/>
        </w:rPr>
        <w:footnoteRef/>
      </w:r>
      <w:r>
        <w:rPr>
          <w:rStyle w:val="FootnoteReference"/>
        </w:rPr>
        <w:t>]</w:t>
      </w:r>
      <w:r>
        <w:t xml:space="preserve"> </w:t>
      </w:r>
      <w:r>
        <w:tab/>
      </w:r>
      <w:r w:rsidRPr="00BB76EA">
        <w:t>https://thepoliticalerasureofsex.org/</w:t>
      </w:r>
      <w:r>
        <w:t xml:space="preserve"> - UKRI granted £20,000 to this project, which was supplemented by a further anonymous gift of £50,000.</w:t>
      </w:r>
    </w:p>
  </w:footnote>
  <w:footnote w:id="77">
    <w:p w14:paraId="51B8DD76" w14:textId="2138C154" w:rsidR="00E560AF" w:rsidRDefault="00E560AF" w:rsidP="00575BB7">
      <w:pPr>
        <w:pStyle w:val="FootnoteText"/>
        <w:ind w:left="426" w:hanging="426"/>
      </w:pPr>
      <w:r>
        <w:rPr>
          <w:rStyle w:val="FootnoteReference"/>
        </w:rPr>
        <w:t>[</w:t>
      </w:r>
      <w:r>
        <w:rPr>
          <w:rStyle w:val="FootnoteReference"/>
        </w:rPr>
        <w:footnoteRef/>
      </w:r>
      <w:r>
        <w:rPr>
          <w:rStyle w:val="FootnoteReference"/>
        </w:rPr>
        <w:t>]</w:t>
      </w:r>
      <w:r>
        <w:t xml:space="preserve"> </w:t>
      </w:r>
      <w:r>
        <w:tab/>
      </w:r>
      <w:r w:rsidRPr="00575BB7">
        <w:t>https://www.bbc.co.uk/news/uk-56338666</w:t>
      </w:r>
      <w:r>
        <w:t xml:space="preserve"> - on 9 March 2021 a judge made an interim order, pending full judicial review, that the guidance for the sex question on the 2021 census should only reference documents relating to a person’s legal sex rather than their lived sex. For this census, the ONS had originally issued guidance that referenced documentation representing lived sex, in line with their guidance for the 2011 census - </w:t>
      </w:r>
      <w:r w:rsidRPr="00575BB7">
        <w:t>https://webarchive.nationalarchives.gov.uk/20110324104243/http://help.census.gov.uk/england/help/help-and-information/Aboutthequestions/Individualquestions1to15/Topics/Question2Yoursex_U0002B.html</w:t>
      </w:r>
      <w:r>
        <w:t>. If such a ruling is upheld, it will affect continuity of data, as well as opening the possibility for implicit discrimination cases should trans people be challenged on how they’ve answered the question. Incorrectly answering mandatory questions, including the sex question, is punishable with a fine of up to £1,000.</w:t>
      </w:r>
    </w:p>
  </w:footnote>
  <w:footnote w:id="78">
    <w:p w14:paraId="14D85F6F" w14:textId="4B6F76A5" w:rsidR="00E560AF" w:rsidRDefault="00E560AF" w:rsidP="00BB76EA">
      <w:pPr>
        <w:pStyle w:val="FootnoteText"/>
        <w:ind w:left="426" w:hanging="426"/>
      </w:pPr>
      <w:r>
        <w:rPr>
          <w:rStyle w:val="FootnoteReference"/>
        </w:rPr>
        <w:t>[</w:t>
      </w:r>
      <w:r>
        <w:rPr>
          <w:rStyle w:val="FootnoteReference"/>
        </w:rPr>
        <w:footnoteRef/>
      </w:r>
      <w:r>
        <w:rPr>
          <w:rStyle w:val="FootnoteReference"/>
        </w:rPr>
        <w:t>]</w:t>
      </w:r>
      <w:r>
        <w:t xml:space="preserve"> </w:t>
      </w:r>
      <w:r>
        <w:tab/>
      </w:r>
      <w:r w:rsidRPr="00BB76EA">
        <w:t>https://hansard.parliament.uk/lords/2021-02-25/debates/DFB70DF3-ABA0-4168-8DBF-DBDA63BA4AEE/MinisterialAndOtherMaternityAllowancesBill</w:t>
      </w:r>
    </w:p>
  </w:footnote>
  <w:footnote w:id="79">
    <w:p w14:paraId="58577A53" w14:textId="2FFA7AF1" w:rsidR="00E560AF" w:rsidRDefault="00E560AF" w:rsidP="00BB76EA">
      <w:pPr>
        <w:pStyle w:val="FootnoteText"/>
        <w:ind w:left="426" w:hanging="426"/>
      </w:pPr>
      <w:r>
        <w:rPr>
          <w:rStyle w:val="FootnoteReference"/>
        </w:rPr>
        <w:t>[</w:t>
      </w:r>
      <w:r>
        <w:rPr>
          <w:rStyle w:val="FootnoteReference"/>
        </w:rPr>
        <w:footnoteRef/>
      </w:r>
      <w:r>
        <w:rPr>
          <w:rStyle w:val="FootnoteReference"/>
        </w:rPr>
        <w:t>]</w:t>
      </w:r>
      <w:r>
        <w:t xml:space="preserve"> </w:t>
      </w:r>
      <w:r>
        <w:tab/>
      </w:r>
      <w:r w:rsidRPr="00BB76EA">
        <w:t>https://lgballiance.org.uk/</w:t>
      </w:r>
    </w:p>
  </w:footnote>
  <w:footnote w:id="80">
    <w:p w14:paraId="5231F532" w14:textId="2998B0C2" w:rsidR="00E560AF" w:rsidRDefault="00E560AF" w:rsidP="006166E8">
      <w:pPr>
        <w:pStyle w:val="FootnoteText"/>
        <w:ind w:left="426" w:hanging="426"/>
      </w:pPr>
      <w:r>
        <w:rPr>
          <w:rStyle w:val="FootnoteReference"/>
        </w:rPr>
        <w:t>[</w:t>
      </w:r>
      <w:r>
        <w:rPr>
          <w:rStyle w:val="FootnoteReference"/>
        </w:rPr>
        <w:footnoteRef/>
      </w:r>
      <w:r>
        <w:rPr>
          <w:rStyle w:val="FootnoteReference"/>
        </w:rPr>
        <w:t>]</w:t>
      </w:r>
      <w:r>
        <w:t xml:space="preserve"> </w:t>
      </w:r>
      <w:r>
        <w:tab/>
      </w:r>
      <w:r w:rsidRPr="006166E8">
        <w:t>https://www.reuters.com/article/britain-lgbt-tech-idUSKBN28P0EE</w:t>
      </w:r>
    </w:p>
  </w:footnote>
  <w:footnote w:id="81">
    <w:p w14:paraId="5DF8828C" w14:textId="0E458605" w:rsidR="00E560AF" w:rsidRDefault="00E560AF" w:rsidP="00D3163E">
      <w:pPr>
        <w:pStyle w:val="FootnoteText"/>
        <w:ind w:left="426" w:hanging="426"/>
      </w:pPr>
      <w:r>
        <w:rPr>
          <w:rStyle w:val="FootnoteReference"/>
        </w:rPr>
        <w:t>[</w:t>
      </w:r>
      <w:r>
        <w:rPr>
          <w:rStyle w:val="FootnoteReference"/>
        </w:rPr>
        <w:footnoteRef/>
      </w:r>
      <w:r>
        <w:rPr>
          <w:rStyle w:val="FootnoteReference"/>
        </w:rPr>
        <w:t>]</w:t>
      </w:r>
      <w:r>
        <w:t xml:space="preserve"> </w:t>
      </w:r>
      <w:r>
        <w:tab/>
      </w:r>
      <w:r w:rsidRPr="00D3163E">
        <w:t>https://www.pinknews.co.uk/2020/04/03/lgb-alliance-neo-nazi-homophobia-spinster-death-head-charity-commission/</w:t>
      </w:r>
    </w:p>
  </w:footnote>
  <w:footnote w:id="82">
    <w:p w14:paraId="39121619" w14:textId="14CCF3FC" w:rsidR="00E560AF" w:rsidRDefault="00E560AF" w:rsidP="00BB76EA">
      <w:pPr>
        <w:pStyle w:val="FootnoteText"/>
        <w:ind w:left="426" w:hanging="426"/>
      </w:pPr>
      <w:r>
        <w:rPr>
          <w:rStyle w:val="FootnoteReference"/>
        </w:rPr>
        <w:t>[</w:t>
      </w:r>
      <w:r>
        <w:rPr>
          <w:rStyle w:val="FootnoteReference"/>
        </w:rPr>
        <w:footnoteRef/>
      </w:r>
      <w:r>
        <w:rPr>
          <w:rStyle w:val="FootnoteReference"/>
        </w:rPr>
        <w:t>]</w:t>
      </w:r>
      <w:r>
        <w:t xml:space="preserve"> </w:t>
      </w:r>
      <w:r>
        <w:tab/>
      </w:r>
      <w:r w:rsidRPr="00BB76EA">
        <w:t>https://twitter.com/minusplnp/status/1366460569449021441</w:t>
      </w:r>
    </w:p>
  </w:footnote>
  <w:footnote w:id="83">
    <w:p w14:paraId="539D0C6E" w14:textId="702F5EFA" w:rsidR="00E560AF" w:rsidRDefault="00E560AF" w:rsidP="00BB76EA">
      <w:pPr>
        <w:pStyle w:val="FootnoteText"/>
        <w:ind w:left="426" w:hanging="426"/>
      </w:pPr>
      <w:r>
        <w:rPr>
          <w:rStyle w:val="FootnoteReference"/>
        </w:rPr>
        <w:t>[</w:t>
      </w:r>
      <w:r>
        <w:rPr>
          <w:rStyle w:val="FootnoteReference"/>
        </w:rPr>
        <w:footnoteRef/>
      </w:r>
      <w:r>
        <w:rPr>
          <w:rStyle w:val="FootnoteReference"/>
        </w:rPr>
        <w:t>]</w:t>
      </w:r>
      <w:r>
        <w:t xml:space="preserve"> </w:t>
      </w:r>
      <w:r>
        <w:tab/>
      </w:r>
      <w:r w:rsidRPr="00BB76EA">
        <w:t>https://twitter.com/minusplnp/status/1366460588768002051</w:t>
      </w:r>
    </w:p>
  </w:footnote>
  <w:footnote w:id="84">
    <w:p w14:paraId="70AF35EE" w14:textId="754F1F2E" w:rsidR="00E560AF" w:rsidRDefault="00E560AF" w:rsidP="00C30C20">
      <w:pPr>
        <w:pStyle w:val="FootnoteText"/>
        <w:ind w:left="426" w:hanging="426"/>
      </w:pPr>
      <w:r>
        <w:rPr>
          <w:rStyle w:val="FootnoteReference"/>
        </w:rPr>
        <w:t>[</w:t>
      </w:r>
      <w:r>
        <w:rPr>
          <w:rStyle w:val="FootnoteReference"/>
        </w:rPr>
        <w:footnoteRef/>
      </w:r>
      <w:r>
        <w:rPr>
          <w:rStyle w:val="FootnoteReference"/>
        </w:rPr>
        <w:t>]</w:t>
      </w:r>
      <w:r>
        <w:t xml:space="preserve"> </w:t>
      </w:r>
      <w:r>
        <w:tab/>
      </w:r>
      <w:r w:rsidRPr="00C30C20">
        <w:t>https://www.pinknews.co.uk/2020/05/07/safe-schools-alliance-anti-trans-bathroom-bill-lgbt-hate-crime-oxfordshire-county-council/</w:t>
      </w:r>
    </w:p>
  </w:footnote>
  <w:footnote w:id="85">
    <w:p w14:paraId="317E1960" w14:textId="59FFEDAF" w:rsidR="00E560AF" w:rsidRDefault="00E560AF" w:rsidP="006166E8">
      <w:pPr>
        <w:pStyle w:val="FootnoteText"/>
        <w:ind w:left="426" w:hanging="426"/>
      </w:pPr>
      <w:r>
        <w:rPr>
          <w:rStyle w:val="FootnoteReference"/>
        </w:rPr>
        <w:t>[</w:t>
      </w:r>
      <w:r>
        <w:rPr>
          <w:rStyle w:val="FootnoteReference"/>
        </w:rPr>
        <w:footnoteRef/>
      </w:r>
      <w:r>
        <w:rPr>
          <w:rStyle w:val="FootnoteReference"/>
        </w:rPr>
        <w:t>]</w:t>
      </w:r>
      <w:r>
        <w:t xml:space="preserve"> </w:t>
      </w:r>
      <w:r>
        <w:tab/>
      </w:r>
      <w:r w:rsidRPr="006166E8">
        <w:t>https://legalfeminist.org.uk/2021/02/04/shining-a-light-on-stonewalls-activities/</w:t>
      </w:r>
    </w:p>
  </w:footnote>
  <w:footnote w:id="86">
    <w:p w14:paraId="2770CC0A" w14:textId="1A1A4784" w:rsidR="00E560AF" w:rsidRDefault="00E560AF" w:rsidP="00DD1E92">
      <w:pPr>
        <w:pStyle w:val="FootnoteText"/>
        <w:ind w:left="426" w:hanging="426"/>
      </w:pPr>
      <w:r>
        <w:rPr>
          <w:rStyle w:val="FootnoteReference"/>
        </w:rPr>
        <w:t>[</w:t>
      </w:r>
      <w:r>
        <w:rPr>
          <w:rStyle w:val="FootnoteReference"/>
        </w:rPr>
        <w:footnoteRef/>
      </w:r>
      <w:r>
        <w:rPr>
          <w:rStyle w:val="FootnoteReference"/>
        </w:rPr>
        <w:t>]</w:t>
      </w:r>
      <w:r>
        <w:t xml:space="preserve"> </w:t>
      </w:r>
      <w:r>
        <w:tab/>
      </w:r>
      <w:r w:rsidRPr="00DD1E92">
        <w:t>https://news.oxfordshire.gov.uk/statement-on-the-trans-inclusion-toolkit/</w:t>
      </w:r>
    </w:p>
  </w:footnote>
  <w:footnote w:id="87">
    <w:p w14:paraId="51CE8C00" w14:textId="173A3F0E" w:rsidR="00E560AF" w:rsidRDefault="00E560AF" w:rsidP="009F625D">
      <w:pPr>
        <w:pStyle w:val="FootnoteText"/>
        <w:ind w:left="426" w:hanging="426"/>
      </w:pPr>
      <w:r>
        <w:rPr>
          <w:rStyle w:val="FootnoteReference"/>
        </w:rPr>
        <w:t>[</w:t>
      </w:r>
      <w:r>
        <w:rPr>
          <w:rStyle w:val="FootnoteReference"/>
        </w:rPr>
        <w:footnoteRef/>
      </w:r>
      <w:r>
        <w:rPr>
          <w:rStyle w:val="FootnoteReference"/>
        </w:rPr>
        <w:t>]</w:t>
      </w:r>
      <w:r>
        <w:t xml:space="preserve"> </w:t>
      </w:r>
      <w:r>
        <w:tab/>
      </w:r>
      <w:r w:rsidRPr="009F625D">
        <w:t>https://committees.parliament.uk/oralevidence/1693/default/</w:t>
      </w:r>
      <w:r>
        <w:t xml:space="preserve"> - Q75</w:t>
      </w:r>
    </w:p>
  </w:footnote>
  <w:footnote w:id="88">
    <w:p w14:paraId="7499FE1F" w14:textId="3F9AFCC7" w:rsidR="00E560AF" w:rsidRDefault="00E560AF" w:rsidP="00B340C9">
      <w:pPr>
        <w:pStyle w:val="FootnoteText"/>
        <w:ind w:left="426" w:hanging="426"/>
      </w:pPr>
      <w:r>
        <w:rPr>
          <w:rStyle w:val="FootnoteReference"/>
        </w:rPr>
        <w:t>[</w:t>
      </w:r>
      <w:r>
        <w:rPr>
          <w:rStyle w:val="FootnoteReference"/>
        </w:rPr>
        <w:footnoteRef/>
      </w:r>
      <w:r>
        <w:rPr>
          <w:rStyle w:val="FootnoteReference"/>
        </w:rPr>
        <w:t>]</w:t>
      </w:r>
      <w:r>
        <w:t xml:space="preserve"> </w:t>
      </w:r>
      <w:r>
        <w:tab/>
      </w:r>
      <w:r w:rsidRPr="00B340C9">
        <w:t>https://twitter.com/joannaccherry/status/1358379850982113284</w:t>
      </w:r>
      <w:r>
        <w:t xml:space="preserve"> - while there is no evidence that Joanna Cherry MP is a member of any of these groups, she has expressed concerns using the same language as many of these groups</w:t>
      </w:r>
    </w:p>
  </w:footnote>
  <w:footnote w:id="89">
    <w:p w14:paraId="3CDC4D02" w14:textId="08937BB4"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r>
      <w:r w:rsidRPr="000C20F8">
        <w:t>https://www.judiciary.uk/wp-content/uploads/2020/12/Bell-v-Tavistock-Judgment.pdf</w:t>
      </w:r>
    </w:p>
  </w:footnote>
  <w:footnote w:id="90">
    <w:p w14:paraId="7F5F54CC" w14:textId="441A572A" w:rsidR="00E560AF" w:rsidRDefault="00E560AF" w:rsidP="001F0930">
      <w:pPr>
        <w:pStyle w:val="FootnoteText"/>
        <w:ind w:left="426" w:hanging="426"/>
      </w:pPr>
      <w:r>
        <w:rPr>
          <w:rStyle w:val="FootnoteReference"/>
        </w:rPr>
        <w:t>[</w:t>
      </w:r>
      <w:r>
        <w:rPr>
          <w:rStyle w:val="FootnoteReference"/>
        </w:rPr>
        <w:footnoteRef/>
      </w:r>
      <w:r>
        <w:rPr>
          <w:rStyle w:val="FootnoteReference"/>
        </w:rPr>
        <w:t>]</w:t>
      </w:r>
      <w:r>
        <w:t xml:space="preserve"> </w:t>
      </w:r>
      <w:r>
        <w:tab/>
      </w:r>
      <w:r w:rsidRPr="001F0930">
        <w:t>https://twitter.com/jolyonmaugham/status/1338760394836488192?lang=en</w:t>
      </w:r>
    </w:p>
  </w:footnote>
  <w:footnote w:id="91">
    <w:p w14:paraId="3B426DC9" w14:textId="5A529B0E" w:rsidR="00E560AF" w:rsidRDefault="00E560AF" w:rsidP="006166E8">
      <w:pPr>
        <w:pStyle w:val="FootnoteText"/>
        <w:ind w:left="426" w:hanging="426"/>
      </w:pPr>
      <w:r>
        <w:rPr>
          <w:rStyle w:val="FootnoteReference"/>
        </w:rPr>
        <w:t>[</w:t>
      </w:r>
      <w:r>
        <w:rPr>
          <w:rStyle w:val="FootnoteReference"/>
        </w:rPr>
        <w:footnoteRef/>
      </w:r>
      <w:r>
        <w:rPr>
          <w:rStyle w:val="FootnoteReference"/>
        </w:rPr>
        <w:t>]</w:t>
      </w:r>
      <w:r>
        <w:t xml:space="preserve"> </w:t>
      </w:r>
      <w:r>
        <w:tab/>
      </w:r>
      <w:r w:rsidRPr="006166E8">
        <w:t>https://mermaidsuk.org.uk/news/analysis-of-the-high-court-judgment-on-access-to-puberty-blockers/</w:t>
      </w:r>
    </w:p>
  </w:footnote>
  <w:footnote w:id="92">
    <w:p w14:paraId="71F0AFE8" w14:textId="4503FFC9" w:rsidR="00E560AF" w:rsidRDefault="00E560AF" w:rsidP="00925D5E">
      <w:pPr>
        <w:pStyle w:val="FootnoteText"/>
        <w:ind w:left="426" w:hanging="426"/>
      </w:pPr>
      <w:r>
        <w:rPr>
          <w:rStyle w:val="FootnoteReference"/>
        </w:rPr>
        <w:t>[</w:t>
      </w:r>
      <w:r>
        <w:rPr>
          <w:rStyle w:val="FootnoteReference"/>
        </w:rPr>
        <w:footnoteRef/>
      </w:r>
      <w:r>
        <w:rPr>
          <w:rStyle w:val="FootnoteReference"/>
        </w:rPr>
        <w:t>]</w:t>
      </w:r>
      <w:r>
        <w:t xml:space="preserve"> </w:t>
      </w:r>
      <w:r>
        <w:tab/>
        <w:t xml:space="preserve">Answer by Jo Churchill MP in response to written question from Crispin Blunt MP - </w:t>
      </w:r>
      <w:r w:rsidRPr="00925D5E">
        <w:t>https://members.parliament.uk/member/104/writtenquestions</w:t>
      </w:r>
      <w:r>
        <w:t xml:space="preserve"> UIN126776</w:t>
      </w:r>
    </w:p>
  </w:footnote>
  <w:footnote w:id="93">
    <w:p w14:paraId="7F7CE2A4" w14:textId="3008BB90"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t xml:space="preserve">Women and Equalities Committee – Oral Session 10 February 2021 - </w:t>
      </w:r>
      <w:r w:rsidRPr="00797CC9">
        <w:t>https://committees.parliament.uk/oralevidence/1693/default/</w:t>
      </w:r>
    </w:p>
  </w:footnote>
  <w:footnote w:id="94">
    <w:p w14:paraId="686953E8" w14:textId="14DA312F"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t>Naomi Cunningham response to Q52</w:t>
      </w:r>
    </w:p>
  </w:footnote>
  <w:footnote w:id="95">
    <w:p w14:paraId="7644846B" w14:textId="71CC5946"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t>Naomi Cunningham response to Q67</w:t>
      </w:r>
    </w:p>
  </w:footnote>
  <w:footnote w:id="96">
    <w:p w14:paraId="014FD0F5" w14:textId="4A218598"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t>Naomi Cunningham response to Q89</w:t>
      </w:r>
    </w:p>
  </w:footnote>
  <w:footnote w:id="97">
    <w:p w14:paraId="3E5E57CA" w14:textId="4BCF21B5"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t>Ruth Serwotka of A Woman’s Place UK, on BBC Newsnight, 18 October 2018</w:t>
      </w:r>
    </w:p>
  </w:footnote>
  <w:footnote w:id="98">
    <w:p w14:paraId="451E7B75" w14:textId="7FD745FD" w:rsidR="00E560AF" w:rsidRDefault="00E560AF" w:rsidP="009F625D">
      <w:pPr>
        <w:pStyle w:val="FootnoteText"/>
        <w:ind w:left="426" w:hanging="426"/>
      </w:pPr>
      <w:r>
        <w:rPr>
          <w:rStyle w:val="FootnoteReference"/>
        </w:rPr>
        <w:t>[</w:t>
      </w:r>
      <w:r>
        <w:rPr>
          <w:rStyle w:val="FootnoteReference"/>
        </w:rPr>
        <w:footnoteRef/>
      </w:r>
      <w:r>
        <w:rPr>
          <w:rStyle w:val="FootnoteReference"/>
        </w:rPr>
        <w:t>]</w:t>
      </w:r>
      <w:r>
        <w:t xml:space="preserve"> </w:t>
      </w:r>
      <w:r>
        <w:tab/>
      </w:r>
      <w:r w:rsidRPr="009F625D">
        <w:t>https://www.change.org/p/boris-johnson-a-plea-for-third-spaces-for-transgender-men-and-women</w:t>
      </w:r>
    </w:p>
  </w:footnote>
  <w:footnote w:id="99">
    <w:p w14:paraId="68312975" w14:textId="66559E28"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r>
      <w:r w:rsidRPr="000C20F8">
        <w:t>https://www.pinknews.co.uk/2021/01/27/scotland-hate-crime-bill-humza-yousaf-transgender-criticism-amendment/</w:t>
      </w:r>
    </w:p>
  </w:footnote>
  <w:footnote w:id="100">
    <w:p w14:paraId="28B4D9A6" w14:textId="111CC0BC"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r>
      <w:r w:rsidRPr="000C20F8">
        <w:t>https://uk.news.yahoo.com/scottish-government-withdraws-amendment-exempt-205454143.html</w:t>
      </w:r>
    </w:p>
  </w:footnote>
  <w:footnote w:id="101">
    <w:p w14:paraId="069504EF" w14:textId="25497551"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r>
      <w:r w:rsidRPr="000C20F8">
        <w:t>https://www.gov.uk/government/news/landmark-proposals-to-strengthen-free-speech-at-universities</w:t>
      </w:r>
    </w:p>
  </w:footnote>
  <w:footnote w:id="102">
    <w:p w14:paraId="776B682B" w14:textId="11104122" w:rsidR="00E560AF" w:rsidRDefault="00E560AF" w:rsidP="006166E8">
      <w:pPr>
        <w:pStyle w:val="FootnoteText"/>
        <w:ind w:left="426" w:hanging="426"/>
      </w:pPr>
      <w:r>
        <w:rPr>
          <w:rStyle w:val="FootnoteReference"/>
        </w:rPr>
        <w:t>[</w:t>
      </w:r>
      <w:r>
        <w:rPr>
          <w:rStyle w:val="FootnoteReference"/>
        </w:rPr>
        <w:footnoteRef/>
      </w:r>
      <w:r>
        <w:rPr>
          <w:rStyle w:val="FootnoteReference"/>
        </w:rPr>
        <w:t>]</w:t>
      </w:r>
      <w:r>
        <w:t xml:space="preserve"> </w:t>
      </w:r>
      <w:r>
        <w:tab/>
      </w:r>
      <w:r w:rsidRPr="006166E8">
        <w:t>https://www.theguardian.com/education/2021/feb/27/gavin-williamson-using-misleading-research-to-justify-campus-free-speech-law</w:t>
      </w:r>
    </w:p>
  </w:footnote>
  <w:footnote w:id="103">
    <w:p w14:paraId="48A65E5D" w14:textId="2EEADE60" w:rsidR="00E560AF" w:rsidRDefault="00E560AF" w:rsidP="006805E3">
      <w:pPr>
        <w:pStyle w:val="FootnoteText"/>
        <w:ind w:left="426" w:hanging="426"/>
      </w:pPr>
      <w:r>
        <w:rPr>
          <w:rStyle w:val="FootnoteReference"/>
        </w:rPr>
        <w:t>[</w:t>
      </w:r>
      <w:r>
        <w:rPr>
          <w:rStyle w:val="FootnoteReference"/>
        </w:rPr>
        <w:footnoteRef/>
      </w:r>
      <w:r>
        <w:rPr>
          <w:rStyle w:val="FootnoteReference"/>
        </w:rPr>
        <w:t>]</w:t>
      </w:r>
      <w:r>
        <w:t xml:space="preserve"> </w:t>
      </w:r>
      <w:r>
        <w:tab/>
      </w:r>
      <w:r w:rsidRPr="006805E3">
        <w:t>https://www.prospectmagazine.co.uk/politics/the-sinister-threat-to-human-rights-buried-in-the-conservative-manifesto-brexit-european-convention</w:t>
      </w:r>
    </w:p>
  </w:footnote>
  <w:footnote w:id="104">
    <w:p w14:paraId="6CCAD0B2" w14:textId="11FF97F2" w:rsidR="00E560AF" w:rsidRDefault="00E560AF" w:rsidP="006805E3">
      <w:pPr>
        <w:pStyle w:val="FootnoteText"/>
        <w:ind w:left="426" w:hanging="426"/>
      </w:pPr>
      <w:r>
        <w:rPr>
          <w:rStyle w:val="FootnoteReference"/>
        </w:rPr>
        <w:t>[</w:t>
      </w:r>
      <w:r>
        <w:rPr>
          <w:rStyle w:val="FootnoteReference"/>
        </w:rPr>
        <w:footnoteRef/>
      </w:r>
      <w:r>
        <w:rPr>
          <w:rStyle w:val="FootnoteReference"/>
        </w:rPr>
        <w:t>]</w:t>
      </w:r>
      <w:r>
        <w:t xml:space="preserve"> </w:t>
      </w:r>
      <w:r>
        <w:tab/>
      </w:r>
      <w:r w:rsidRPr="006805E3">
        <w:t>https://www.bbc.co.uk/news/uk-politics-55346920</w:t>
      </w:r>
    </w:p>
  </w:footnote>
  <w:footnote w:id="105">
    <w:p w14:paraId="067A6903" w14:textId="49D1F49B" w:rsidR="00E560AF" w:rsidRDefault="00E560AF" w:rsidP="006805E3">
      <w:pPr>
        <w:pStyle w:val="FootnoteText"/>
        <w:ind w:left="426" w:hanging="426"/>
      </w:pPr>
      <w:r>
        <w:rPr>
          <w:rStyle w:val="FootnoteReference"/>
        </w:rPr>
        <w:t>[</w:t>
      </w:r>
      <w:r>
        <w:rPr>
          <w:rStyle w:val="FootnoteReference"/>
        </w:rPr>
        <w:footnoteRef/>
      </w:r>
      <w:r>
        <w:rPr>
          <w:rStyle w:val="FootnoteReference"/>
        </w:rPr>
        <w:t>]</w:t>
      </w:r>
      <w:r>
        <w:t xml:space="preserve"> </w:t>
      </w:r>
      <w:r>
        <w:tab/>
      </w:r>
      <w:r w:rsidRPr="006805E3">
        <w:t>https://www.bbc.co.uk/news/uk-scotland-scotland-politics-52119865</w:t>
      </w:r>
    </w:p>
  </w:footnote>
  <w:footnote w:id="106">
    <w:p w14:paraId="503331FD" w14:textId="070DECDF" w:rsidR="00E560AF" w:rsidRDefault="00E560AF" w:rsidP="006805E3">
      <w:pPr>
        <w:pStyle w:val="FootnoteText"/>
        <w:ind w:left="426" w:hanging="426"/>
      </w:pPr>
      <w:r>
        <w:rPr>
          <w:rStyle w:val="FootnoteReference"/>
        </w:rPr>
        <w:t>[</w:t>
      </w:r>
      <w:r>
        <w:rPr>
          <w:rStyle w:val="FootnoteReference"/>
        </w:rPr>
        <w:footnoteRef/>
      </w:r>
      <w:r>
        <w:rPr>
          <w:rStyle w:val="FootnoteReference"/>
        </w:rPr>
        <w:t>]</w:t>
      </w:r>
      <w:r>
        <w:t xml:space="preserve"> </w:t>
      </w:r>
      <w:r>
        <w:tab/>
      </w:r>
      <w:r w:rsidRPr="006805E3">
        <w:t>https://www.theguardian.com/politics/2021/feb/05/joanna-cherry-sacking-brings-snp-trans-rights-row-off-twitter-and-into-the-light</w:t>
      </w:r>
    </w:p>
  </w:footnote>
  <w:footnote w:id="107">
    <w:p w14:paraId="7F314479" w14:textId="4442E5CE" w:rsidR="00E560AF" w:rsidRDefault="00E560AF" w:rsidP="006805E3">
      <w:pPr>
        <w:pStyle w:val="FootnoteText"/>
        <w:ind w:left="426" w:hanging="426"/>
      </w:pPr>
      <w:r>
        <w:rPr>
          <w:rStyle w:val="FootnoteReference"/>
        </w:rPr>
        <w:t>[</w:t>
      </w:r>
      <w:r>
        <w:rPr>
          <w:rStyle w:val="FootnoteReference"/>
        </w:rPr>
        <w:footnoteRef/>
      </w:r>
      <w:r>
        <w:rPr>
          <w:rStyle w:val="FootnoteReference"/>
        </w:rPr>
        <w:t>]</w:t>
      </w:r>
      <w:r>
        <w:t xml:space="preserve"> </w:t>
      </w:r>
      <w:r>
        <w:tab/>
      </w:r>
      <w:r w:rsidRPr="006805E3">
        <w:t>https://www.scotsman.com/news/politics/nicola-sturgeon-plea-significant-numbers-young-people-leave-snp-trans-rights-row-3115293</w:t>
      </w:r>
    </w:p>
  </w:footnote>
  <w:footnote w:id="108">
    <w:p w14:paraId="37B80434" w14:textId="6F68CB9C" w:rsidR="00E560AF" w:rsidRDefault="00E560AF" w:rsidP="006805E3">
      <w:pPr>
        <w:pStyle w:val="FootnoteText"/>
        <w:ind w:left="426" w:hanging="426"/>
      </w:pPr>
      <w:r>
        <w:rPr>
          <w:rStyle w:val="FootnoteReference"/>
        </w:rPr>
        <w:t>[</w:t>
      </w:r>
      <w:r>
        <w:rPr>
          <w:rStyle w:val="FootnoteReference"/>
        </w:rPr>
        <w:footnoteRef/>
      </w:r>
      <w:r>
        <w:rPr>
          <w:rStyle w:val="FootnoteReference"/>
        </w:rPr>
        <w:t>]</w:t>
      </w:r>
      <w:r>
        <w:t xml:space="preserve"> </w:t>
      </w:r>
      <w:r>
        <w:tab/>
      </w:r>
      <w:r w:rsidRPr="006805E3">
        <w:t>https://www.bbc.co.uk/news/uk-northern-ireland-51086276</w:t>
      </w:r>
    </w:p>
  </w:footnote>
  <w:footnote w:id="109">
    <w:p w14:paraId="1DA8B5B8" w14:textId="676C395F" w:rsidR="00E560AF" w:rsidRDefault="00E560AF" w:rsidP="001F0930">
      <w:pPr>
        <w:pStyle w:val="FootnoteText"/>
        <w:ind w:left="426" w:hanging="426"/>
      </w:pPr>
      <w:r>
        <w:rPr>
          <w:rStyle w:val="FootnoteReference"/>
        </w:rPr>
        <w:t>[</w:t>
      </w:r>
      <w:r>
        <w:rPr>
          <w:rStyle w:val="FootnoteReference"/>
        </w:rPr>
        <w:footnoteRef/>
      </w:r>
      <w:r>
        <w:rPr>
          <w:rStyle w:val="FootnoteReference"/>
        </w:rPr>
        <w:t>]</w:t>
      </w:r>
      <w:r>
        <w:t xml:space="preserve"> </w:t>
      </w:r>
      <w:r>
        <w:tab/>
      </w:r>
      <w:r w:rsidRPr="001F0930">
        <w:t>https://www.galop.org.uk/transphobic-hate-crime-report-2020/</w:t>
      </w:r>
    </w:p>
  </w:footnote>
  <w:footnote w:id="110">
    <w:p w14:paraId="457073FF" w14:textId="4FC9BF41" w:rsidR="00E560AF" w:rsidRDefault="00E560AF" w:rsidP="001F0930">
      <w:pPr>
        <w:pStyle w:val="FootnoteText"/>
        <w:ind w:left="426" w:hanging="426"/>
      </w:pPr>
      <w:r>
        <w:rPr>
          <w:rStyle w:val="FootnoteReference"/>
        </w:rPr>
        <w:t>[</w:t>
      </w:r>
      <w:r>
        <w:rPr>
          <w:rStyle w:val="FootnoteReference"/>
        </w:rPr>
        <w:footnoteRef/>
      </w:r>
      <w:r>
        <w:rPr>
          <w:rStyle w:val="FootnoteReference"/>
        </w:rPr>
        <w:t>]</w:t>
      </w:r>
      <w:r>
        <w:t xml:space="preserve"> </w:t>
      </w:r>
      <w:r>
        <w:tab/>
      </w:r>
      <w:r w:rsidRPr="001F0930">
        <w:t>https://www.bbc.co.uk/news/av/uk-54486122</w:t>
      </w:r>
    </w:p>
  </w:footnote>
  <w:footnote w:id="111">
    <w:p w14:paraId="2A83A89D" w14:textId="1339A7C1" w:rsidR="00E560AF" w:rsidRDefault="00E560AF" w:rsidP="00D36C74">
      <w:pPr>
        <w:pStyle w:val="FootnoteText"/>
        <w:ind w:left="426" w:hanging="426"/>
      </w:pPr>
      <w:r>
        <w:rPr>
          <w:rStyle w:val="FootnoteReference"/>
        </w:rPr>
        <w:t>[</w:t>
      </w:r>
      <w:r>
        <w:rPr>
          <w:rStyle w:val="FootnoteReference"/>
        </w:rPr>
        <w:footnoteRef/>
      </w:r>
      <w:r>
        <w:rPr>
          <w:rStyle w:val="FootnoteReference"/>
        </w:rPr>
        <w:t>]</w:t>
      </w:r>
      <w:r>
        <w:t xml:space="preserve"> </w:t>
      </w:r>
      <w:r>
        <w:tab/>
      </w:r>
      <w:r w:rsidRPr="00D36C74">
        <w:t>https://teau.me/fourth-estate</w:t>
      </w:r>
    </w:p>
  </w:footnote>
  <w:footnote w:id="112">
    <w:p w14:paraId="12BAF811" w14:textId="6E3AB9A9"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r>
      <w:r w:rsidRPr="00E342AF">
        <w:t>https://www.theguardian.com/world/2017/oct/12/british-transgender-woman-given-residency-in-safer-new-zealand</w:t>
      </w:r>
    </w:p>
  </w:footnote>
  <w:footnote w:id="113">
    <w:p w14:paraId="690F497D" w14:textId="30F2A9D9" w:rsidR="00E560AF" w:rsidRDefault="00E560AF" w:rsidP="000C20F8">
      <w:pPr>
        <w:pStyle w:val="FootnoteText"/>
        <w:ind w:left="426" w:hanging="426"/>
      </w:pPr>
      <w:r>
        <w:rPr>
          <w:rStyle w:val="FootnoteReference"/>
        </w:rPr>
        <w:t>[</w:t>
      </w:r>
      <w:r>
        <w:rPr>
          <w:rStyle w:val="FootnoteReference"/>
        </w:rPr>
        <w:footnoteRef/>
      </w:r>
      <w:r>
        <w:rPr>
          <w:rStyle w:val="FootnoteReference"/>
        </w:rPr>
        <w:t>]</w:t>
      </w:r>
      <w:r>
        <w:t xml:space="preserve"> </w:t>
      </w:r>
      <w:r>
        <w:tab/>
      </w:r>
      <w:r w:rsidRPr="00797CC9">
        <w:t>https://www.independent.co.uk/independentpremium/long-reads/transgender-rights-uk-lgbt-hate-crime-transphobia-statistics-a9557216.html</w:t>
      </w:r>
    </w:p>
  </w:footnote>
  <w:footnote w:id="114">
    <w:p w14:paraId="3FBBE5B9" w14:textId="771BD771" w:rsidR="00E560AF" w:rsidRDefault="00E560AF" w:rsidP="00F2746A">
      <w:pPr>
        <w:pStyle w:val="FootnoteText"/>
        <w:ind w:left="426" w:hanging="426"/>
      </w:pPr>
      <w:r>
        <w:rPr>
          <w:rStyle w:val="FootnoteReference"/>
        </w:rPr>
        <w:t>[</w:t>
      </w:r>
      <w:r>
        <w:rPr>
          <w:rStyle w:val="FootnoteReference"/>
        </w:rPr>
        <w:footnoteRef/>
      </w:r>
      <w:r>
        <w:rPr>
          <w:rStyle w:val="FootnoteReference"/>
        </w:rPr>
        <w:t>]</w:t>
      </w:r>
      <w:r>
        <w:t xml:space="preserve"> </w:t>
      </w:r>
      <w:r>
        <w:tab/>
        <w:t xml:space="preserve">Transphobic Hate Crime 2020, Galop - </w:t>
      </w:r>
      <w:r w:rsidRPr="00CE2A5B">
        <w:t>http://www.galop.org.uk/transphobic-hate-crime-report-2020/</w:t>
      </w:r>
    </w:p>
  </w:footnote>
  <w:footnote w:id="115">
    <w:p w14:paraId="25E8F072" w14:textId="4F94679F" w:rsidR="00F7574F" w:rsidRDefault="00F7574F" w:rsidP="00F7574F">
      <w:pPr>
        <w:pStyle w:val="FootnoteText"/>
        <w:ind w:left="426" w:hanging="426"/>
      </w:pPr>
      <w:r w:rsidRPr="00F7574F">
        <w:rPr>
          <w:vertAlign w:val="superscript"/>
        </w:rPr>
        <w:t>[</w:t>
      </w:r>
      <w:r>
        <w:rPr>
          <w:rStyle w:val="FootnoteReference"/>
        </w:rPr>
        <w:footnoteRef/>
      </w:r>
      <w:r w:rsidRPr="00F7574F">
        <w:rPr>
          <w:vertAlign w:val="superscript"/>
        </w:rPr>
        <w:t>]</w:t>
      </w:r>
      <w:r>
        <w:t xml:space="preserve"> </w:t>
      </w:r>
      <w:r>
        <w:tab/>
      </w:r>
      <w:r w:rsidRPr="00F7574F">
        <w:t>https://www.independent.co.uk/news/uk/politics/lgbt-adviser-second-quit-trans-rights-b1815690.html</w:t>
      </w:r>
    </w:p>
  </w:footnote>
  <w:footnote w:id="116">
    <w:p w14:paraId="53E5CA9C" w14:textId="54513366" w:rsidR="00E560AF" w:rsidRDefault="00E560AF" w:rsidP="0010187B">
      <w:pPr>
        <w:pStyle w:val="FootnoteText"/>
        <w:ind w:left="426" w:hanging="426"/>
      </w:pPr>
      <w:r>
        <w:rPr>
          <w:rStyle w:val="FootnoteReference"/>
        </w:rPr>
        <w:t>[</w:t>
      </w:r>
      <w:r>
        <w:rPr>
          <w:rStyle w:val="FootnoteReference"/>
        </w:rPr>
        <w:footnoteRef/>
      </w:r>
      <w:r>
        <w:rPr>
          <w:rStyle w:val="FootnoteReference"/>
        </w:rPr>
        <w:t>]</w:t>
      </w:r>
      <w:r>
        <w:t xml:space="preserve"> </w:t>
      </w:r>
      <w:r>
        <w:tab/>
      </w:r>
      <w:r w:rsidRPr="00F2746A">
        <w:t>https://commonslibrary.parliament.uk/research-briefings/cbp-8537/</w:t>
      </w:r>
    </w:p>
  </w:footnote>
  <w:footnote w:id="117">
    <w:p w14:paraId="39DC29F1" w14:textId="1EF62E60" w:rsidR="00E560AF" w:rsidRDefault="00E560AF" w:rsidP="0010187B">
      <w:pPr>
        <w:pStyle w:val="FootnoteText"/>
        <w:ind w:left="426" w:hanging="426"/>
      </w:pPr>
      <w:r>
        <w:rPr>
          <w:rStyle w:val="FootnoteReference"/>
        </w:rPr>
        <w:t>[</w:t>
      </w:r>
      <w:r>
        <w:rPr>
          <w:rStyle w:val="FootnoteReference"/>
        </w:rPr>
        <w:footnoteRef/>
      </w:r>
      <w:r>
        <w:rPr>
          <w:rStyle w:val="FootnoteReference"/>
        </w:rPr>
        <w:t>]</w:t>
      </w:r>
      <w:r>
        <w:t xml:space="preserve"> </w:t>
      </w:r>
      <w:r>
        <w:tab/>
        <w:t>Transphobic Hate Crime 2020, Galop</w:t>
      </w:r>
    </w:p>
  </w:footnote>
  <w:footnote w:id="118">
    <w:p w14:paraId="6B53A6E0" w14:textId="5F86DD6D" w:rsidR="00E560AF" w:rsidRDefault="00E560AF" w:rsidP="0010187B">
      <w:pPr>
        <w:pStyle w:val="FootnoteText"/>
        <w:ind w:left="426" w:hanging="426"/>
      </w:pPr>
      <w:r>
        <w:rPr>
          <w:rStyle w:val="FootnoteReference"/>
        </w:rPr>
        <w:t>[</w:t>
      </w:r>
      <w:r>
        <w:rPr>
          <w:rStyle w:val="FootnoteReference"/>
        </w:rPr>
        <w:footnoteRef/>
      </w:r>
      <w:r>
        <w:rPr>
          <w:rStyle w:val="FootnoteReference"/>
        </w:rPr>
        <w:t>]</w:t>
      </w:r>
      <w:r>
        <w:t xml:space="preserve"> </w:t>
      </w:r>
      <w:r>
        <w:tab/>
      </w:r>
      <w:r w:rsidRPr="008F3497">
        <w:t>https://www.gov.uk/government/statistics/hate-crime-england-and-wales-2019-to-2020</w:t>
      </w:r>
    </w:p>
  </w:footnote>
  <w:footnote w:id="119">
    <w:p w14:paraId="6F170C12" w14:textId="65ABECB2" w:rsidR="00E560AF" w:rsidRDefault="00E560AF" w:rsidP="0010187B">
      <w:pPr>
        <w:pStyle w:val="FootnoteText"/>
        <w:ind w:left="426" w:hanging="426"/>
      </w:pPr>
      <w:r>
        <w:rPr>
          <w:rStyle w:val="FootnoteReference"/>
        </w:rPr>
        <w:t>[</w:t>
      </w:r>
      <w:r>
        <w:rPr>
          <w:rStyle w:val="FootnoteReference"/>
        </w:rPr>
        <w:footnoteRef/>
      </w:r>
      <w:r>
        <w:rPr>
          <w:rStyle w:val="FootnoteReference"/>
        </w:rPr>
        <w:t>]</w:t>
      </w:r>
      <w:r>
        <w:t xml:space="preserve"> </w:t>
      </w:r>
      <w:r>
        <w:tab/>
      </w:r>
      <w:r w:rsidRPr="0010187B">
        <w:rPr>
          <w:rFonts w:cstheme="minorHAnsi"/>
          <w:color w:val="000000"/>
        </w:rPr>
        <w:t>https://www.gov.uk/government/publications/relationships-education-relationships-and-sex-education-rse-and-health-education</w:t>
      </w:r>
    </w:p>
  </w:footnote>
  <w:footnote w:id="120">
    <w:p w14:paraId="3FE13E3F" w14:textId="070EB25E" w:rsidR="00E560AF" w:rsidRDefault="00E560AF" w:rsidP="0010187B">
      <w:pPr>
        <w:pStyle w:val="FootnoteText"/>
        <w:ind w:left="426" w:hanging="426"/>
      </w:pPr>
      <w:r>
        <w:rPr>
          <w:rStyle w:val="FootnoteReference"/>
        </w:rPr>
        <w:t>[</w:t>
      </w:r>
      <w:r>
        <w:rPr>
          <w:rStyle w:val="FootnoteReference"/>
        </w:rPr>
        <w:footnoteRef/>
      </w:r>
      <w:r>
        <w:rPr>
          <w:rStyle w:val="FootnoteReference"/>
        </w:rPr>
        <w:t>]</w:t>
      </w:r>
      <w:r>
        <w:t xml:space="preserve"> </w:t>
      </w:r>
      <w:r>
        <w:tab/>
      </w:r>
      <w:r w:rsidRPr="0010187B">
        <w:t>https://www.gov.uk/government/publications/education-inspection-framework</w:t>
      </w:r>
    </w:p>
  </w:footnote>
  <w:footnote w:id="121">
    <w:p w14:paraId="0A2CE040" w14:textId="50E434FA" w:rsidR="00E560AF" w:rsidRDefault="00E560AF" w:rsidP="0010187B">
      <w:pPr>
        <w:pStyle w:val="FootnoteText"/>
        <w:ind w:left="426" w:hanging="426"/>
      </w:pPr>
      <w:r>
        <w:rPr>
          <w:rStyle w:val="FootnoteReference"/>
        </w:rPr>
        <w:t>[</w:t>
      </w:r>
      <w:r>
        <w:rPr>
          <w:rStyle w:val="FootnoteReference"/>
        </w:rPr>
        <w:footnoteRef/>
      </w:r>
      <w:r>
        <w:rPr>
          <w:rStyle w:val="FootnoteReference"/>
        </w:rPr>
        <w:t>]</w:t>
      </w:r>
      <w:r>
        <w:t xml:space="preserve"> </w:t>
      </w:r>
      <w:r>
        <w:tab/>
      </w:r>
      <w:r w:rsidRPr="0010187B">
        <w:t>https://www.bbc.co.uk/news/education-54988187</w:t>
      </w:r>
      <w:r>
        <w:t xml:space="preserve"> - the anti-LGBT bullying campaign incorporated an element of teacher training</w:t>
      </w:r>
    </w:p>
  </w:footnote>
  <w:footnote w:id="122">
    <w:p w14:paraId="36FA0A0A" w14:textId="0A8B5765" w:rsidR="00E560AF" w:rsidRDefault="00E560AF" w:rsidP="004B5A22">
      <w:pPr>
        <w:pStyle w:val="FootnoteText"/>
        <w:ind w:left="426" w:hanging="426"/>
      </w:pPr>
      <w:r>
        <w:rPr>
          <w:rStyle w:val="FootnoteReference"/>
        </w:rPr>
        <w:t>[</w:t>
      </w:r>
      <w:r>
        <w:rPr>
          <w:rStyle w:val="FootnoteReference"/>
        </w:rPr>
        <w:footnoteRef/>
      </w:r>
      <w:r>
        <w:rPr>
          <w:rStyle w:val="FootnoteReference"/>
        </w:rPr>
        <w:t>]</w:t>
      </w:r>
      <w:r>
        <w:t xml:space="preserve"> </w:t>
      </w:r>
      <w:r>
        <w:tab/>
      </w:r>
      <w:r w:rsidRPr="004B5A22">
        <w:t>https://www.bbc.co.uk/news/education-54988187</w:t>
      </w:r>
    </w:p>
  </w:footnote>
  <w:footnote w:id="123">
    <w:p w14:paraId="7849B78F" w14:textId="48848A25" w:rsidR="00E560AF" w:rsidRDefault="00E560AF" w:rsidP="0010187B">
      <w:pPr>
        <w:pStyle w:val="FootnoteText"/>
        <w:ind w:left="426" w:hanging="426"/>
      </w:pPr>
      <w:r>
        <w:rPr>
          <w:rStyle w:val="FootnoteReference"/>
        </w:rPr>
        <w:t>[</w:t>
      </w:r>
      <w:r>
        <w:rPr>
          <w:rStyle w:val="FootnoteReference"/>
        </w:rPr>
        <w:footnoteRef/>
      </w:r>
      <w:r>
        <w:rPr>
          <w:rStyle w:val="FootnoteReference"/>
        </w:rPr>
        <w:t>]</w:t>
      </w:r>
      <w:r>
        <w:t xml:space="preserve"> </w:t>
      </w:r>
      <w:r>
        <w:tab/>
      </w:r>
      <w:r w:rsidRPr="0010187B">
        <w:t>https://www.gov.scot/publications/conduct-relationships-sexual-health-parenthood-education-schools/</w:t>
      </w:r>
    </w:p>
  </w:footnote>
  <w:footnote w:id="124">
    <w:p w14:paraId="23AD1323" w14:textId="2D1188E3" w:rsidR="00E560AF" w:rsidRDefault="00E560AF" w:rsidP="0010187B">
      <w:pPr>
        <w:pStyle w:val="FootnoteText"/>
        <w:ind w:left="426" w:hanging="426"/>
      </w:pPr>
      <w:r>
        <w:rPr>
          <w:rStyle w:val="FootnoteReference"/>
        </w:rPr>
        <w:t>[</w:t>
      </w:r>
      <w:r>
        <w:rPr>
          <w:rStyle w:val="FootnoteReference"/>
        </w:rPr>
        <w:footnoteRef/>
      </w:r>
      <w:r>
        <w:rPr>
          <w:rStyle w:val="FootnoteReference"/>
        </w:rPr>
        <w:t>]</w:t>
      </w:r>
      <w:r>
        <w:t xml:space="preserve"> </w:t>
      </w:r>
      <w:r>
        <w:tab/>
      </w:r>
      <w:r w:rsidRPr="0010187B">
        <w:rPr>
          <w:rFonts w:cstheme="minorHAnsi"/>
          <w:color w:val="000000"/>
        </w:rPr>
        <w:t>https://gov.wales/sites/default/files/consultations/2019-02/relationships-and-sexuality-education-in-schools-guidance.pdf</w:t>
      </w:r>
    </w:p>
  </w:footnote>
  <w:footnote w:id="125">
    <w:p w14:paraId="73A19348" w14:textId="7B74E9C1"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A505BF">
        <w:t>https://www.christian.org.uk/resource/the-transgender-craze/</w:t>
      </w:r>
    </w:p>
  </w:footnote>
  <w:footnote w:id="126">
    <w:p w14:paraId="412B8F16" w14:textId="253B19D8"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EA5D3D">
        <w:t>https://metro.co.uk/2017/12/10/teacher-sues-school-sacked-calling-transgender-boy-girl-7147404/</w:t>
      </w:r>
    </w:p>
  </w:footnote>
  <w:footnote w:id="127">
    <w:p w14:paraId="2AEFB889" w14:textId="06F7BE4F"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A505BF">
        <w:t>https://christianconcern.com/ccevents/truth-in-science-11-nov-2020/</w:t>
      </w:r>
    </w:p>
  </w:footnote>
  <w:footnote w:id="128">
    <w:p w14:paraId="14844B71" w14:textId="3624ECD7"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A505BF">
        <w:t>https://www.companydirectorcheck.com/paul-anthony-conrathe-3</w:t>
      </w:r>
    </w:p>
  </w:footnote>
  <w:footnote w:id="129">
    <w:p w14:paraId="45BF4BB6" w14:textId="10E9518A" w:rsidR="00E560AF" w:rsidRDefault="00E560AF" w:rsidP="000A2130">
      <w:pPr>
        <w:pStyle w:val="FootnoteText"/>
        <w:ind w:left="426" w:hanging="426"/>
      </w:pPr>
      <w:r>
        <w:rPr>
          <w:rStyle w:val="FootnoteReference"/>
        </w:rPr>
        <w:t>[</w:t>
      </w:r>
      <w:r>
        <w:rPr>
          <w:rStyle w:val="FootnoteReference"/>
        </w:rPr>
        <w:footnoteRef/>
      </w:r>
      <w:r>
        <w:rPr>
          <w:rStyle w:val="FootnoteReference"/>
        </w:rPr>
        <w:t>]</w:t>
      </w:r>
      <w:r>
        <w:t xml:space="preserve"> </w:t>
      </w:r>
      <w:r>
        <w:tab/>
      </w:r>
      <w:r w:rsidRPr="000A2130">
        <w:t>https://www.sinclairslaw.co.uk/meet-the-team/paul-conrathe</w:t>
      </w:r>
    </w:p>
  </w:footnote>
  <w:footnote w:id="130">
    <w:p w14:paraId="5C0C4F7E" w14:textId="5986AC2F"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A505BF">
        <w:t>https://cnsnews.com/news/article/uk-govt-faces-legal-action-over-homosexual-age-consent</w:t>
      </w:r>
    </w:p>
  </w:footnote>
  <w:footnote w:id="131">
    <w:p w14:paraId="339BCCA4" w14:textId="789FFAEA"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A505BF">
        <w:t>https://www.monckton.com/ian-wise-qc-acts-for-harry-miller-as-judge-rules-polices-orwellian-action-disproportionately-interfered-with-millers-right-of-freedom-of-expression/</w:t>
      </w:r>
    </w:p>
  </w:footnote>
  <w:footnote w:id="132">
    <w:p w14:paraId="3E7A0614" w14:textId="098CFCA2"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A505BF">
        <w:t>https://www.oxfordmail.co.uk/news/18434781.oxfordshire-council-transgender-guide-scrapped-girls-court-case/</w:t>
      </w:r>
    </w:p>
  </w:footnote>
  <w:footnote w:id="133">
    <w:p w14:paraId="2426C2CF" w14:textId="0E16D88D"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A505BF">
        <w:t>https://www.theguardian.com/uk-news/2020/dec/06/keira-bell-lawyer-warns-on-internet-coverage-of-transgender-issues</w:t>
      </w:r>
    </w:p>
  </w:footnote>
  <w:footnote w:id="134">
    <w:p w14:paraId="48AD38A4" w14:textId="1777E99D" w:rsidR="00E560AF" w:rsidRDefault="00E560AF" w:rsidP="00A505BF">
      <w:pPr>
        <w:pStyle w:val="FootnoteText"/>
        <w:ind w:left="426" w:hanging="426"/>
      </w:pPr>
      <w:r>
        <w:rPr>
          <w:rStyle w:val="FootnoteReference"/>
        </w:rPr>
        <w:t>[</w:t>
      </w:r>
      <w:r>
        <w:rPr>
          <w:rStyle w:val="FootnoteReference"/>
        </w:rPr>
        <w:footnoteRef/>
      </w:r>
      <w:r>
        <w:rPr>
          <w:rStyle w:val="FootnoteReference"/>
        </w:rPr>
        <w:t>]</w:t>
      </w:r>
      <w:r>
        <w:t xml:space="preserve"> </w:t>
      </w:r>
      <w:r>
        <w:tab/>
      </w:r>
      <w:r w:rsidRPr="00A505BF">
        <w:t>https://www.theguardian.com/uk-news/2019/nov/26/birmingham-anti-lgbt-school-protests-judge-ban-permanent</w:t>
      </w:r>
    </w:p>
  </w:footnote>
  <w:footnote w:id="135">
    <w:p w14:paraId="3E82A3FE" w14:textId="3ECE1858" w:rsidR="00E560AF" w:rsidRDefault="00E560AF" w:rsidP="00167D08">
      <w:pPr>
        <w:pStyle w:val="FootnoteText"/>
        <w:ind w:left="426" w:hanging="426"/>
      </w:pPr>
      <w:r>
        <w:rPr>
          <w:rStyle w:val="FootnoteReference"/>
        </w:rPr>
        <w:t>[</w:t>
      </w:r>
      <w:r>
        <w:rPr>
          <w:rStyle w:val="FootnoteReference"/>
        </w:rPr>
        <w:footnoteRef/>
      </w:r>
      <w:r>
        <w:rPr>
          <w:rStyle w:val="FootnoteReference"/>
        </w:rPr>
        <w:t>]</w:t>
      </w:r>
      <w:r>
        <w:t xml:space="preserve"> </w:t>
      </w:r>
      <w:r>
        <w:tab/>
      </w:r>
      <w:r w:rsidRPr="00167D08">
        <w:t>https://www.opendemocracy.net/en/5050/christian-right-feminists-uk-trans-rights/</w:t>
      </w:r>
    </w:p>
  </w:footnote>
  <w:footnote w:id="136">
    <w:p w14:paraId="601BB406" w14:textId="1960DCA5" w:rsidR="00E560AF" w:rsidRDefault="00E560AF" w:rsidP="00167D08">
      <w:pPr>
        <w:pStyle w:val="FootnoteText"/>
        <w:ind w:left="426" w:hanging="426"/>
      </w:pPr>
      <w:r>
        <w:rPr>
          <w:rStyle w:val="FootnoteReference"/>
        </w:rPr>
        <w:t>[</w:t>
      </w:r>
      <w:r>
        <w:rPr>
          <w:rStyle w:val="FootnoteReference"/>
        </w:rPr>
        <w:footnoteRef/>
      </w:r>
      <w:r>
        <w:rPr>
          <w:rStyle w:val="FootnoteReference"/>
        </w:rPr>
        <w:t>]</w:t>
      </w:r>
      <w:r>
        <w:t xml:space="preserve"> </w:t>
      </w:r>
      <w:r>
        <w:tab/>
      </w:r>
      <w:r w:rsidRPr="00167D08">
        <w:t>https://adfinternational.org/who-we-are/</w:t>
      </w:r>
    </w:p>
  </w:footnote>
  <w:footnote w:id="137">
    <w:p w14:paraId="4BECD7A3" w14:textId="4F70FAAA" w:rsidR="00E560AF" w:rsidRDefault="00E560AF" w:rsidP="00167D08">
      <w:pPr>
        <w:pStyle w:val="FootnoteText"/>
        <w:ind w:left="426" w:hanging="426"/>
      </w:pPr>
      <w:r>
        <w:rPr>
          <w:rStyle w:val="FootnoteReference"/>
        </w:rPr>
        <w:t>[</w:t>
      </w:r>
      <w:r>
        <w:rPr>
          <w:rStyle w:val="FootnoteReference"/>
        </w:rPr>
        <w:footnoteRef/>
      </w:r>
      <w:r>
        <w:rPr>
          <w:rStyle w:val="FootnoteReference"/>
        </w:rPr>
        <w:t>]</w:t>
      </w:r>
      <w:r>
        <w:t xml:space="preserve"> </w:t>
      </w:r>
      <w:r>
        <w:tab/>
      </w:r>
      <w:r w:rsidRPr="00167D08">
        <w:t>https://blogs.lse.ac.uk/gender/2017/12/11/gender-ideology-tracking-its-origins-and-meanings-in-current-gender-politics/</w:t>
      </w:r>
    </w:p>
  </w:footnote>
  <w:footnote w:id="138">
    <w:p w14:paraId="6B91FC61" w14:textId="1B0AC3F6" w:rsidR="00E560AF" w:rsidRDefault="00E560AF" w:rsidP="00D36C74">
      <w:pPr>
        <w:pStyle w:val="FootnoteText"/>
        <w:ind w:left="426" w:hanging="426"/>
      </w:pPr>
      <w:r>
        <w:rPr>
          <w:rStyle w:val="FootnoteReference"/>
        </w:rPr>
        <w:t>[</w:t>
      </w:r>
      <w:r>
        <w:rPr>
          <w:rStyle w:val="FootnoteReference"/>
        </w:rPr>
        <w:footnoteRef/>
      </w:r>
      <w:r>
        <w:rPr>
          <w:rStyle w:val="FootnoteReference"/>
        </w:rPr>
        <w:t>]</w:t>
      </w:r>
      <w:r>
        <w:t xml:space="preserve"> </w:t>
      </w:r>
      <w:r>
        <w:tab/>
      </w:r>
      <w:r w:rsidRPr="00D36C74">
        <w:t>https://committees.parliament.uk/writtenevidence/17828/html/</w:t>
      </w:r>
      <w:r>
        <w:t xml:space="preserve"> - para 2</w:t>
      </w:r>
    </w:p>
  </w:footnote>
  <w:footnote w:id="139">
    <w:p w14:paraId="190F85C0" w14:textId="5C8BE302" w:rsidR="00E560AF" w:rsidRDefault="00E560AF" w:rsidP="00381ADA">
      <w:pPr>
        <w:pStyle w:val="FootnoteText"/>
        <w:ind w:left="426" w:hanging="426"/>
      </w:pPr>
      <w:r>
        <w:rPr>
          <w:rStyle w:val="FootnoteReference"/>
        </w:rPr>
        <w:t>[</w:t>
      </w:r>
      <w:r>
        <w:rPr>
          <w:rStyle w:val="FootnoteReference"/>
        </w:rPr>
        <w:footnoteRef/>
      </w:r>
      <w:r>
        <w:rPr>
          <w:rStyle w:val="FootnoteReference"/>
        </w:rPr>
        <w:t>]</w:t>
      </w:r>
      <w:r>
        <w:t xml:space="preserve"> </w:t>
      </w:r>
      <w:r>
        <w:tab/>
      </w:r>
      <w:r w:rsidRPr="001B4883">
        <w:t>https://fairplayforwomen.com/equality-act-2010_womens-rights/</w:t>
      </w:r>
    </w:p>
  </w:footnote>
  <w:footnote w:id="140">
    <w:p w14:paraId="33099589" w14:textId="06A769EF" w:rsidR="00E560AF" w:rsidRDefault="00E560AF" w:rsidP="00EB5108">
      <w:pPr>
        <w:pStyle w:val="FootnoteText"/>
        <w:ind w:left="426" w:hanging="426"/>
      </w:pPr>
      <w:r>
        <w:rPr>
          <w:rStyle w:val="FootnoteReference"/>
        </w:rPr>
        <w:t>[</w:t>
      </w:r>
      <w:r>
        <w:rPr>
          <w:rStyle w:val="FootnoteReference"/>
        </w:rPr>
        <w:footnoteRef/>
      </w:r>
      <w:r>
        <w:rPr>
          <w:rStyle w:val="FootnoteReference"/>
        </w:rPr>
        <w:t>]</w:t>
      </w:r>
      <w:r>
        <w:t xml:space="preserve"> </w:t>
      </w:r>
      <w:r>
        <w:tab/>
      </w:r>
      <w:r w:rsidRPr="00EB5108">
        <w:t>https://www.christian.org.uk/wp-content/uploads/BanningconversiontherapyorbanningtheGospel.pdf</w:t>
      </w:r>
    </w:p>
  </w:footnote>
  <w:footnote w:id="141">
    <w:p w14:paraId="36F73A04" w14:textId="29829A50" w:rsidR="00E560AF" w:rsidRDefault="00E560AF" w:rsidP="00EB5108">
      <w:pPr>
        <w:pStyle w:val="FootnoteText"/>
        <w:ind w:left="426" w:hanging="426"/>
      </w:pPr>
      <w:r>
        <w:rPr>
          <w:rStyle w:val="FootnoteReference"/>
        </w:rPr>
        <w:t>[</w:t>
      </w:r>
      <w:r>
        <w:rPr>
          <w:rStyle w:val="FootnoteReference"/>
        </w:rPr>
        <w:footnoteRef/>
      </w:r>
      <w:r>
        <w:rPr>
          <w:rStyle w:val="FootnoteReference"/>
        </w:rPr>
        <w:t>]</w:t>
      </w:r>
      <w:r>
        <w:t xml:space="preserve"> </w:t>
      </w:r>
      <w:r>
        <w:tab/>
      </w:r>
      <w:r w:rsidRPr="00EB5108">
        <w:t>https://twitter.com/ALLIANCELGB/status/1368930028872957957</w:t>
      </w:r>
    </w:p>
  </w:footnote>
  <w:footnote w:id="142">
    <w:p w14:paraId="51EEE790" w14:textId="168BE1EA" w:rsidR="00E560AF" w:rsidRDefault="00E560AF" w:rsidP="00E71A62">
      <w:pPr>
        <w:pStyle w:val="FootnoteText"/>
        <w:ind w:left="426" w:hanging="426"/>
      </w:pPr>
      <w:r>
        <w:rPr>
          <w:rStyle w:val="FootnoteReference"/>
        </w:rPr>
        <w:t>[</w:t>
      </w:r>
      <w:r>
        <w:rPr>
          <w:rStyle w:val="FootnoteReference"/>
        </w:rPr>
        <w:footnoteRef/>
      </w:r>
      <w:r>
        <w:rPr>
          <w:rStyle w:val="FootnoteReference"/>
        </w:rPr>
        <w:t>]</w:t>
      </w:r>
      <w:r>
        <w:t xml:space="preserve"> </w:t>
      </w:r>
      <w:r>
        <w:tab/>
      </w:r>
      <w:r w:rsidRPr="00E71A62">
        <w:t>https://lgballiance.org.uk/2021/02/16/sex-in-the-census-joint-statement/</w:t>
      </w:r>
    </w:p>
  </w:footnote>
  <w:footnote w:id="143">
    <w:p w14:paraId="42954373" w14:textId="05AE8BB5" w:rsidR="00E560AF" w:rsidRDefault="00E560AF" w:rsidP="00381ADA">
      <w:pPr>
        <w:pStyle w:val="FootnoteText"/>
        <w:ind w:left="426" w:hanging="426"/>
      </w:pPr>
      <w:r>
        <w:rPr>
          <w:rStyle w:val="FootnoteReference"/>
        </w:rPr>
        <w:t>[</w:t>
      </w:r>
      <w:r>
        <w:rPr>
          <w:rStyle w:val="FootnoteReference"/>
        </w:rPr>
        <w:footnoteRef/>
      </w:r>
      <w:r>
        <w:rPr>
          <w:rStyle w:val="FootnoteReference"/>
        </w:rPr>
        <w:t>]</w:t>
      </w:r>
      <w:r>
        <w:t xml:space="preserve"> </w:t>
      </w:r>
      <w:r>
        <w:tab/>
      </w:r>
      <w:r w:rsidRPr="00381ADA">
        <w:t>https://www.change.org/p/stop-uncritically-platforming-anti-lgbt-hate-group-lgb-alliance</w:t>
      </w:r>
    </w:p>
  </w:footnote>
  <w:footnote w:id="144">
    <w:p w14:paraId="63267BF3" w14:textId="1D094E46" w:rsidR="00E560AF" w:rsidRDefault="00E560AF" w:rsidP="00D3163E">
      <w:pPr>
        <w:pStyle w:val="FootnoteText"/>
        <w:ind w:left="426" w:hanging="426"/>
      </w:pPr>
      <w:r>
        <w:rPr>
          <w:rStyle w:val="FootnoteReference"/>
        </w:rPr>
        <w:t>[</w:t>
      </w:r>
      <w:r>
        <w:rPr>
          <w:rStyle w:val="FootnoteReference"/>
        </w:rPr>
        <w:footnoteRef/>
      </w:r>
      <w:r>
        <w:rPr>
          <w:rStyle w:val="FootnoteReference"/>
        </w:rPr>
        <w:t>]</w:t>
      </w:r>
      <w:r>
        <w:t xml:space="preserve"> </w:t>
      </w:r>
      <w:r>
        <w:tab/>
      </w:r>
      <w:r w:rsidRPr="00D3163E">
        <w:t>https://www.opendemocracy.net/en/5050/uk-equalities-minister-antitrans-group/</w:t>
      </w:r>
    </w:p>
  </w:footnote>
  <w:footnote w:id="145">
    <w:p w14:paraId="6B546FB6" w14:textId="1EF9BF33" w:rsidR="00E560AF" w:rsidRDefault="00E560AF" w:rsidP="00575BB7">
      <w:pPr>
        <w:pStyle w:val="FootnoteText"/>
        <w:ind w:left="426" w:hanging="426"/>
        <w:rPr>
          <w:rFonts w:cstheme="minorHAnsi"/>
          <w:color w:val="000000"/>
          <w:shd w:val="clear" w:color="auto" w:fill="FFFFFF"/>
        </w:rPr>
      </w:pPr>
      <w:r>
        <w:rPr>
          <w:rStyle w:val="FootnoteReference"/>
        </w:rPr>
        <w:t>[</w:t>
      </w:r>
      <w:r>
        <w:rPr>
          <w:rStyle w:val="FootnoteReference"/>
        </w:rPr>
        <w:footnoteRef/>
      </w:r>
      <w:r>
        <w:rPr>
          <w:rStyle w:val="FootnoteReference"/>
        </w:rPr>
        <w:t>]</w:t>
      </w:r>
      <w:r>
        <w:t xml:space="preserve"> </w:t>
      </w:r>
      <w:r>
        <w:tab/>
      </w:r>
      <w:r w:rsidRPr="00575BB7">
        <w:t xml:space="preserve">This group has several “sister” groups alleged to be operating internationally. However, analysis of Twitter follows shows that these international groups are </w:t>
      </w:r>
      <w:r>
        <w:t xml:space="preserve">followed by most of the same </w:t>
      </w:r>
      <w:r w:rsidRPr="00575BB7">
        <w:t xml:space="preserve">people as </w:t>
      </w:r>
      <w:r>
        <w:t>follow</w:t>
      </w:r>
      <w:r w:rsidRPr="00575BB7">
        <w:t xml:space="preserve"> LGB Alliance.</w:t>
      </w:r>
      <w:r>
        <w:t xml:space="preserve"> The vast majority of their website demonstrates their campaign is directed against inclusion for and equality of trans people, claiming (without any evidence) that lesbians are being “transed” against their will. “</w:t>
      </w:r>
      <w:r w:rsidRPr="00575BB7">
        <w:rPr>
          <w:rFonts w:cstheme="minorHAnsi"/>
          <w:i/>
          <w:iCs/>
          <w:color w:val="000000"/>
          <w:shd w:val="clear" w:color="auto" w:fill="FFFFFF"/>
        </w:rPr>
        <w:t>We believe that this is related to the rise of pseudoscience and increased misinformation about basic biology along with a rise in homophobia and anti-lesbian sentiment and lesbian invisibility</w:t>
      </w:r>
      <w:r w:rsidRPr="00575BB7">
        <w:rPr>
          <w:rFonts w:cstheme="minorHAnsi"/>
          <w:color w:val="000000"/>
          <w:shd w:val="clear" w:color="auto" w:fill="FFFFFF"/>
        </w:rPr>
        <w:t>.” (</w:t>
      </w:r>
      <w:r w:rsidRPr="00244AC5">
        <w:rPr>
          <w:rFonts w:cstheme="minorHAnsi"/>
          <w:color w:val="000000"/>
          <w:shd w:val="clear" w:color="auto" w:fill="FFFFFF"/>
        </w:rPr>
        <w:t>www.lgballiance.org.uk</w:t>
      </w:r>
      <w:r w:rsidRPr="00575BB7">
        <w:rPr>
          <w:rFonts w:cstheme="minorHAnsi"/>
          <w:color w:val="000000"/>
          <w:shd w:val="clear" w:color="auto" w:fill="FFFFFF"/>
        </w:rPr>
        <w:t>)</w:t>
      </w:r>
      <w:r>
        <w:rPr>
          <w:rFonts w:cstheme="minorHAnsi"/>
          <w:color w:val="000000"/>
          <w:shd w:val="clear" w:color="auto" w:fill="FFFFFF"/>
        </w:rPr>
        <w:t>.</w:t>
      </w:r>
    </w:p>
    <w:p w14:paraId="214E91E7" w14:textId="77777777" w:rsidR="00E560AF" w:rsidRPr="00575BB7" w:rsidRDefault="00E560AF" w:rsidP="00CA5509">
      <w:pPr>
        <w:pStyle w:val="FootnoteText"/>
        <w:spacing w:before="60"/>
        <w:ind w:left="425"/>
        <w:rPr>
          <w:rFonts w:cstheme="minorHAnsi"/>
        </w:rPr>
      </w:pPr>
      <w:r>
        <w:rPr>
          <w:rFonts w:cstheme="minorHAnsi"/>
          <w:color w:val="000000"/>
          <w:shd w:val="clear" w:color="auto" w:fill="FFFFFF"/>
        </w:rPr>
        <w:t>The Independent Expert may be interested in a Twitter thread on 10 March 2021 from Claire McGettrick from Cavan in Ireland where she describes the response to an Irish issue, referencing a supposedly Irish group whose supporters are largely UK-based – “</w:t>
      </w:r>
      <w:r w:rsidRPr="00244AC5">
        <w:rPr>
          <w:rFonts w:cstheme="minorHAnsi"/>
          <w:i/>
          <w:iCs/>
          <w:color w:val="0F1419"/>
          <w:shd w:val="clear" w:color="auto" w:fill="FFFFFF"/>
        </w:rPr>
        <w:t>Although the group in question says it's Irish, the evidence appears to suggest that it has significant UK links &amp; that its supporters are largely UK-based. The responses to my tweet confirm this in spades</w:t>
      </w:r>
      <w:r w:rsidRPr="00244AC5">
        <w:rPr>
          <w:rFonts w:cstheme="minorHAnsi"/>
          <w:color w:val="0F1419"/>
          <w:shd w:val="clear" w:color="auto" w:fill="FFFFFF"/>
        </w:rPr>
        <w:t>.</w:t>
      </w:r>
      <w:r w:rsidRPr="00244AC5">
        <w:rPr>
          <w:rFonts w:cstheme="minorHAnsi"/>
          <w:color w:val="000000"/>
          <w:shd w:val="clear" w:color="auto" w:fill="FFFFFF"/>
        </w:rPr>
        <w:t>”</w:t>
      </w:r>
      <w:r>
        <w:rPr>
          <w:rFonts w:cstheme="minorHAnsi"/>
          <w:color w:val="000000"/>
          <w:shd w:val="clear" w:color="auto" w:fill="FFFFFF"/>
        </w:rPr>
        <w:t xml:space="preserve"> (</w:t>
      </w:r>
      <w:r w:rsidRPr="00244AC5">
        <w:rPr>
          <w:rFonts w:cstheme="minorHAnsi"/>
          <w:color w:val="000000"/>
          <w:shd w:val="clear" w:color="auto" w:fill="FFFFFF"/>
        </w:rPr>
        <w:t>https://twitter.com/cmcgettrick/status/1369655883228184578</w:t>
      </w:r>
      <w:r>
        <w:rPr>
          <w:rFonts w:cstheme="minorHAnsi"/>
          <w:color w:val="000000"/>
          <w:shd w:val="clear" w:color="auto" w:fill="FFFFFF"/>
        </w:rPr>
        <w:t>)</w:t>
      </w:r>
    </w:p>
  </w:footnote>
  <w:footnote w:id="146">
    <w:p w14:paraId="1AA32FE6" w14:textId="2A486FA8" w:rsidR="00E560AF" w:rsidRDefault="00E560AF" w:rsidP="001B2698">
      <w:pPr>
        <w:pStyle w:val="FootnoteText"/>
        <w:ind w:left="426" w:hanging="426"/>
      </w:pPr>
      <w:r>
        <w:rPr>
          <w:rStyle w:val="FootnoteReference"/>
        </w:rPr>
        <w:t>[</w:t>
      </w:r>
      <w:r>
        <w:rPr>
          <w:rStyle w:val="FootnoteReference"/>
        </w:rPr>
        <w:footnoteRef/>
      </w:r>
      <w:r>
        <w:rPr>
          <w:rStyle w:val="FootnoteReference"/>
        </w:rPr>
        <w:t>]</w:t>
      </w:r>
      <w:r>
        <w:t xml:space="preserve"> </w:t>
      </w:r>
      <w:r>
        <w:tab/>
      </w:r>
      <w:r w:rsidRPr="001B2698">
        <w:t>https://inews.co.uk/news/uk/butch-lesbian-public-toilet-women-abuse-government-review-gender-neutral-facilities-833787</w:t>
      </w:r>
    </w:p>
  </w:footnote>
  <w:footnote w:id="147">
    <w:p w14:paraId="32741FFC" w14:textId="2B18F4D8" w:rsidR="00E560AF" w:rsidRDefault="00E560AF" w:rsidP="001B2698">
      <w:pPr>
        <w:pStyle w:val="FootnoteText"/>
        <w:ind w:left="426" w:hanging="426"/>
      </w:pPr>
      <w:r>
        <w:rPr>
          <w:rStyle w:val="FootnoteReference"/>
        </w:rPr>
        <w:t>[</w:t>
      </w:r>
      <w:r>
        <w:rPr>
          <w:rStyle w:val="FootnoteReference"/>
        </w:rPr>
        <w:footnoteRef/>
      </w:r>
      <w:r>
        <w:rPr>
          <w:rStyle w:val="FootnoteReference"/>
        </w:rPr>
        <w:t>]</w:t>
      </w:r>
      <w:r>
        <w:t xml:space="preserve"> </w:t>
      </w:r>
      <w:r>
        <w:tab/>
      </w:r>
      <w:r w:rsidRPr="001B2698">
        <w:t>https://www.consortium.lgbt/</w:t>
      </w:r>
    </w:p>
  </w:footnote>
  <w:footnote w:id="148">
    <w:p w14:paraId="68CC8CDE" w14:textId="142E5DA7" w:rsidR="00E560AF" w:rsidRDefault="00E560AF" w:rsidP="001B2698">
      <w:pPr>
        <w:pStyle w:val="FootnoteText"/>
        <w:ind w:left="426" w:hanging="426"/>
      </w:pPr>
      <w:r>
        <w:rPr>
          <w:rStyle w:val="FootnoteReference"/>
        </w:rPr>
        <w:t>[</w:t>
      </w:r>
      <w:r>
        <w:rPr>
          <w:rStyle w:val="FootnoteReference"/>
        </w:rPr>
        <w:footnoteRef/>
      </w:r>
      <w:r>
        <w:rPr>
          <w:rStyle w:val="FootnoteReference"/>
        </w:rPr>
        <w:t>]</w:t>
      </w:r>
      <w:r>
        <w:t xml:space="preserve"> </w:t>
      </w:r>
      <w:r>
        <w:tab/>
      </w:r>
      <w:r w:rsidRPr="001B2698">
        <w:t>https://www.consortium.lgbt/what-we-do/our-networks/</w:t>
      </w:r>
    </w:p>
  </w:footnote>
  <w:footnote w:id="149">
    <w:p w14:paraId="78A2CAB0" w14:textId="49732350" w:rsidR="00E560AF" w:rsidRDefault="00E560AF" w:rsidP="00D36C74">
      <w:pPr>
        <w:pStyle w:val="FootnoteText"/>
        <w:ind w:left="426" w:hanging="426"/>
      </w:pPr>
      <w:r>
        <w:rPr>
          <w:rStyle w:val="FootnoteReference"/>
        </w:rPr>
        <w:t>[</w:t>
      </w:r>
      <w:r>
        <w:rPr>
          <w:rStyle w:val="FootnoteReference"/>
        </w:rPr>
        <w:footnoteRef/>
      </w:r>
      <w:r>
        <w:rPr>
          <w:rStyle w:val="FootnoteReference"/>
        </w:rPr>
        <w:t>]</w:t>
      </w:r>
      <w:r>
        <w:t xml:space="preserve"> </w:t>
      </w:r>
      <w:r>
        <w:tab/>
      </w:r>
      <w:r w:rsidRPr="00D36C74">
        <w:t>https://committees.parliament.uk/writtenevidence/17828/html/</w:t>
      </w:r>
      <w:r>
        <w:t xml:space="preserve"> - para 2</w:t>
      </w:r>
    </w:p>
  </w:footnote>
  <w:footnote w:id="150">
    <w:p w14:paraId="13A798B5" w14:textId="15B152DD" w:rsidR="00E560AF" w:rsidRDefault="00E560AF" w:rsidP="00CA5509">
      <w:pPr>
        <w:pStyle w:val="FootnoteText"/>
        <w:ind w:left="426" w:hanging="426"/>
      </w:pPr>
      <w:r>
        <w:rPr>
          <w:rStyle w:val="FootnoteReference"/>
        </w:rPr>
        <w:t>[</w:t>
      </w:r>
      <w:r>
        <w:rPr>
          <w:rStyle w:val="FootnoteReference"/>
        </w:rPr>
        <w:footnoteRef/>
      </w:r>
      <w:r>
        <w:rPr>
          <w:rStyle w:val="FootnoteReference"/>
        </w:rPr>
        <w:t>]</w:t>
      </w:r>
      <w:r>
        <w:t xml:space="preserve"> </w:t>
      </w:r>
      <w:r>
        <w:tab/>
      </w:r>
      <w:r w:rsidRPr="00CA5509">
        <w:t>https://www.itv.com/news/2021-03-10/exclusive-government-creating-hostile-environment-for-lgbt-people-says-adviser-as-she-quits-over-conversion-therapy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C307E"/>
    <w:multiLevelType w:val="hybridMultilevel"/>
    <w:tmpl w:val="008C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F04E2E"/>
    <w:multiLevelType w:val="hybridMultilevel"/>
    <w:tmpl w:val="0E5C3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5C23FA"/>
    <w:multiLevelType w:val="multilevel"/>
    <w:tmpl w:val="BC9C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7341A6"/>
    <w:multiLevelType w:val="multilevel"/>
    <w:tmpl w:val="9208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AD46B1"/>
    <w:multiLevelType w:val="multilevel"/>
    <w:tmpl w:val="7F740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3F6E4C"/>
    <w:multiLevelType w:val="hybridMultilevel"/>
    <w:tmpl w:val="39DAD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46"/>
    <w:rsid w:val="0000748A"/>
    <w:rsid w:val="0009242A"/>
    <w:rsid w:val="000A2130"/>
    <w:rsid w:val="000B34E0"/>
    <w:rsid w:val="000C20F8"/>
    <w:rsid w:val="0010187B"/>
    <w:rsid w:val="00121F73"/>
    <w:rsid w:val="001359EC"/>
    <w:rsid w:val="00163D9E"/>
    <w:rsid w:val="00167D08"/>
    <w:rsid w:val="001B2698"/>
    <w:rsid w:val="001B4883"/>
    <w:rsid w:val="001F0930"/>
    <w:rsid w:val="00212B62"/>
    <w:rsid w:val="0021788E"/>
    <w:rsid w:val="00234A67"/>
    <w:rsid w:val="00244AC5"/>
    <w:rsid w:val="00260F21"/>
    <w:rsid w:val="0027203A"/>
    <w:rsid w:val="00317F4F"/>
    <w:rsid w:val="00376F48"/>
    <w:rsid w:val="00381ADA"/>
    <w:rsid w:val="003F3C4E"/>
    <w:rsid w:val="0040389D"/>
    <w:rsid w:val="004971BB"/>
    <w:rsid w:val="004B539F"/>
    <w:rsid w:val="004B5A22"/>
    <w:rsid w:val="004B630D"/>
    <w:rsid w:val="004F6516"/>
    <w:rsid w:val="0050188E"/>
    <w:rsid w:val="0051276F"/>
    <w:rsid w:val="005618F4"/>
    <w:rsid w:val="00571BB3"/>
    <w:rsid w:val="00575BB7"/>
    <w:rsid w:val="00580FF3"/>
    <w:rsid w:val="005B2F98"/>
    <w:rsid w:val="005E0101"/>
    <w:rsid w:val="005F4F61"/>
    <w:rsid w:val="006166E8"/>
    <w:rsid w:val="0065686C"/>
    <w:rsid w:val="006805E3"/>
    <w:rsid w:val="006D5A92"/>
    <w:rsid w:val="00705386"/>
    <w:rsid w:val="0071317F"/>
    <w:rsid w:val="00722060"/>
    <w:rsid w:val="0076011A"/>
    <w:rsid w:val="0079060E"/>
    <w:rsid w:val="00797CC9"/>
    <w:rsid w:val="007C256E"/>
    <w:rsid w:val="007F6B96"/>
    <w:rsid w:val="00821967"/>
    <w:rsid w:val="0082361E"/>
    <w:rsid w:val="00827672"/>
    <w:rsid w:val="00832CD1"/>
    <w:rsid w:val="00886A81"/>
    <w:rsid w:val="008A0924"/>
    <w:rsid w:val="008C3C38"/>
    <w:rsid w:val="008D4D95"/>
    <w:rsid w:val="008D4FFA"/>
    <w:rsid w:val="008F3497"/>
    <w:rsid w:val="009254EA"/>
    <w:rsid w:val="00925D5E"/>
    <w:rsid w:val="00926930"/>
    <w:rsid w:val="009D5A46"/>
    <w:rsid w:val="009F625D"/>
    <w:rsid w:val="00A004F1"/>
    <w:rsid w:val="00A07093"/>
    <w:rsid w:val="00A505BF"/>
    <w:rsid w:val="00A70714"/>
    <w:rsid w:val="00A9498D"/>
    <w:rsid w:val="00AA289A"/>
    <w:rsid w:val="00AD2C2B"/>
    <w:rsid w:val="00AE2688"/>
    <w:rsid w:val="00AE5409"/>
    <w:rsid w:val="00AE5A60"/>
    <w:rsid w:val="00B017F8"/>
    <w:rsid w:val="00B16CC5"/>
    <w:rsid w:val="00B31327"/>
    <w:rsid w:val="00B340C9"/>
    <w:rsid w:val="00B66B0F"/>
    <w:rsid w:val="00B775CD"/>
    <w:rsid w:val="00B82E2E"/>
    <w:rsid w:val="00BB76EA"/>
    <w:rsid w:val="00BC4EB2"/>
    <w:rsid w:val="00C0170A"/>
    <w:rsid w:val="00C132ED"/>
    <w:rsid w:val="00C13B2C"/>
    <w:rsid w:val="00C17F8D"/>
    <w:rsid w:val="00C249AB"/>
    <w:rsid w:val="00C30C20"/>
    <w:rsid w:val="00C35040"/>
    <w:rsid w:val="00C54858"/>
    <w:rsid w:val="00C64D78"/>
    <w:rsid w:val="00C74621"/>
    <w:rsid w:val="00C94344"/>
    <w:rsid w:val="00CA5509"/>
    <w:rsid w:val="00CB7B02"/>
    <w:rsid w:val="00CE2A5B"/>
    <w:rsid w:val="00CF046E"/>
    <w:rsid w:val="00CF3BA5"/>
    <w:rsid w:val="00D1252A"/>
    <w:rsid w:val="00D27B98"/>
    <w:rsid w:val="00D3163E"/>
    <w:rsid w:val="00D36C74"/>
    <w:rsid w:val="00D60898"/>
    <w:rsid w:val="00DB385F"/>
    <w:rsid w:val="00DD1E92"/>
    <w:rsid w:val="00DF7920"/>
    <w:rsid w:val="00E14FE0"/>
    <w:rsid w:val="00E342AF"/>
    <w:rsid w:val="00E560AF"/>
    <w:rsid w:val="00E63222"/>
    <w:rsid w:val="00E6798B"/>
    <w:rsid w:val="00E71A62"/>
    <w:rsid w:val="00EA5D3D"/>
    <w:rsid w:val="00EB5108"/>
    <w:rsid w:val="00EC3EA7"/>
    <w:rsid w:val="00EC4595"/>
    <w:rsid w:val="00F1298E"/>
    <w:rsid w:val="00F2746A"/>
    <w:rsid w:val="00F52D24"/>
    <w:rsid w:val="00F7574F"/>
    <w:rsid w:val="00FD0DD8"/>
    <w:rsid w:val="00FE6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77B5D"/>
  <w15:chartTrackingRefBased/>
  <w15:docId w15:val="{841EF0DA-8706-436B-9B17-964A45C0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6516"/>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paragraph" w:styleId="Heading3">
    <w:name w:val="heading 3"/>
    <w:basedOn w:val="Normal"/>
    <w:next w:val="Normal"/>
    <w:link w:val="Heading3Char"/>
    <w:uiPriority w:val="9"/>
    <w:unhideWhenUsed/>
    <w:qFormat/>
    <w:rsid w:val="0010187B"/>
    <w:pPr>
      <w:keepNext/>
      <w:keepLines/>
      <w:spacing w:before="40" w:after="0"/>
      <w:ind w:left="567" w:hanging="567"/>
      <w:outlineLvl w:val="2"/>
    </w:pPr>
    <w:rPr>
      <w:rFonts w:asciiTheme="majorHAnsi" w:eastAsia="Times New Roman" w:hAnsiTheme="majorHAnsi" w:cstheme="majorBidi"/>
      <w:b/>
      <w:bCs/>
      <w:color w:val="1F3763" w:themeColor="accent1" w:themeShade="7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7F8"/>
    <w:pPr>
      <w:ind w:left="720"/>
      <w:contextualSpacing/>
    </w:pPr>
  </w:style>
  <w:style w:type="character" w:customStyle="1" w:styleId="Heading2Char">
    <w:name w:val="Heading 2 Char"/>
    <w:basedOn w:val="DefaultParagraphFont"/>
    <w:link w:val="Heading2"/>
    <w:uiPriority w:val="9"/>
    <w:rsid w:val="004F6516"/>
    <w:rPr>
      <w:rFonts w:asciiTheme="majorHAnsi" w:eastAsiaTheme="majorEastAsia" w:hAnsiTheme="majorHAnsi" w:cstheme="majorBidi"/>
      <w:b/>
      <w:bCs/>
      <w:color w:val="2F5496" w:themeColor="accent1" w:themeShade="BF"/>
      <w:sz w:val="26"/>
      <w:szCs w:val="26"/>
    </w:rPr>
  </w:style>
  <w:style w:type="character" w:customStyle="1" w:styleId="Heading3Char">
    <w:name w:val="Heading 3 Char"/>
    <w:basedOn w:val="DefaultParagraphFont"/>
    <w:link w:val="Heading3"/>
    <w:uiPriority w:val="9"/>
    <w:rsid w:val="0010187B"/>
    <w:rPr>
      <w:rFonts w:asciiTheme="majorHAnsi" w:eastAsia="Times New Roman" w:hAnsiTheme="majorHAnsi" w:cstheme="majorBidi"/>
      <w:b/>
      <w:bCs/>
      <w:color w:val="1F3763" w:themeColor="accent1" w:themeShade="7F"/>
      <w:sz w:val="24"/>
      <w:szCs w:val="24"/>
      <w:lang w:eastAsia="en-GB"/>
    </w:rPr>
  </w:style>
  <w:style w:type="paragraph" w:styleId="FootnoteText">
    <w:name w:val="footnote text"/>
    <w:basedOn w:val="Normal"/>
    <w:link w:val="FootnoteTextChar"/>
    <w:uiPriority w:val="99"/>
    <w:semiHidden/>
    <w:unhideWhenUsed/>
    <w:rsid w:val="0082767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7672"/>
    <w:rPr>
      <w:sz w:val="20"/>
      <w:szCs w:val="20"/>
    </w:rPr>
  </w:style>
  <w:style w:type="character" w:styleId="FootnoteReference">
    <w:name w:val="footnote reference"/>
    <w:basedOn w:val="DefaultParagraphFont"/>
    <w:uiPriority w:val="99"/>
    <w:semiHidden/>
    <w:unhideWhenUsed/>
    <w:rsid w:val="00827672"/>
    <w:rPr>
      <w:vertAlign w:val="superscript"/>
    </w:rPr>
  </w:style>
  <w:style w:type="character" w:styleId="Hyperlink">
    <w:name w:val="Hyperlink"/>
    <w:basedOn w:val="DefaultParagraphFont"/>
    <w:uiPriority w:val="99"/>
    <w:unhideWhenUsed/>
    <w:rsid w:val="008A0924"/>
    <w:rPr>
      <w:color w:val="0563C1" w:themeColor="hyperlink"/>
      <w:u w:val="single"/>
    </w:rPr>
  </w:style>
  <w:style w:type="character" w:styleId="UnresolvedMention">
    <w:name w:val="Unresolved Mention"/>
    <w:basedOn w:val="DefaultParagraphFont"/>
    <w:uiPriority w:val="99"/>
    <w:semiHidden/>
    <w:unhideWhenUsed/>
    <w:rsid w:val="008A0924"/>
    <w:rPr>
      <w:color w:val="605E5C"/>
      <w:shd w:val="clear" w:color="auto" w:fill="E1DFDD"/>
    </w:rPr>
  </w:style>
  <w:style w:type="paragraph" w:styleId="Header">
    <w:name w:val="header"/>
    <w:basedOn w:val="Normal"/>
    <w:link w:val="HeaderChar"/>
    <w:uiPriority w:val="99"/>
    <w:unhideWhenUsed/>
    <w:rsid w:val="001F09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930"/>
  </w:style>
  <w:style w:type="paragraph" w:styleId="Footer">
    <w:name w:val="footer"/>
    <w:basedOn w:val="Normal"/>
    <w:link w:val="FooterChar"/>
    <w:uiPriority w:val="99"/>
    <w:unhideWhenUsed/>
    <w:rsid w:val="001F09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930"/>
  </w:style>
  <w:style w:type="paragraph" w:styleId="NormalWeb">
    <w:name w:val="Normal (Web)"/>
    <w:basedOn w:val="Normal"/>
    <w:uiPriority w:val="99"/>
    <w:semiHidden/>
    <w:unhideWhenUsed/>
    <w:rsid w:val="00A9498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1018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588675">
      <w:bodyDiv w:val="1"/>
      <w:marLeft w:val="0"/>
      <w:marRight w:val="0"/>
      <w:marTop w:val="0"/>
      <w:marBottom w:val="0"/>
      <w:divBdr>
        <w:top w:val="none" w:sz="0" w:space="0" w:color="auto"/>
        <w:left w:val="none" w:sz="0" w:space="0" w:color="auto"/>
        <w:bottom w:val="none" w:sz="0" w:space="0" w:color="auto"/>
        <w:right w:val="none" w:sz="0" w:space="0" w:color="auto"/>
      </w:divBdr>
    </w:div>
    <w:div w:id="741878528">
      <w:bodyDiv w:val="1"/>
      <w:marLeft w:val="0"/>
      <w:marRight w:val="0"/>
      <w:marTop w:val="0"/>
      <w:marBottom w:val="0"/>
      <w:divBdr>
        <w:top w:val="none" w:sz="0" w:space="0" w:color="auto"/>
        <w:left w:val="none" w:sz="0" w:space="0" w:color="auto"/>
        <w:bottom w:val="none" w:sz="0" w:space="0" w:color="auto"/>
        <w:right w:val="none" w:sz="0" w:space="0" w:color="auto"/>
      </w:divBdr>
    </w:div>
    <w:div w:id="1051614838">
      <w:bodyDiv w:val="1"/>
      <w:marLeft w:val="0"/>
      <w:marRight w:val="0"/>
      <w:marTop w:val="0"/>
      <w:marBottom w:val="0"/>
      <w:divBdr>
        <w:top w:val="none" w:sz="0" w:space="0" w:color="auto"/>
        <w:left w:val="none" w:sz="0" w:space="0" w:color="auto"/>
        <w:bottom w:val="none" w:sz="0" w:space="0" w:color="auto"/>
        <w:right w:val="none" w:sz="0" w:space="0" w:color="auto"/>
      </w:divBdr>
    </w:div>
    <w:div w:id="1739210144">
      <w:bodyDiv w:val="1"/>
      <w:marLeft w:val="0"/>
      <w:marRight w:val="0"/>
      <w:marTop w:val="0"/>
      <w:marBottom w:val="0"/>
      <w:divBdr>
        <w:top w:val="none" w:sz="0" w:space="0" w:color="auto"/>
        <w:left w:val="none" w:sz="0" w:space="0" w:color="auto"/>
        <w:bottom w:val="none" w:sz="0" w:space="0" w:color="auto"/>
        <w:right w:val="none" w:sz="0" w:space="0" w:color="auto"/>
      </w:divBdr>
    </w:div>
    <w:div w:id="205280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TransActual CIC et al (UK)</Contributor>
  </documentManagement>
</p:properties>
</file>

<file path=customXml/itemProps1.xml><?xml version="1.0" encoding="utf-8"?>
<ds:datastoreItem xmlns:ds="http://schemas.openxmlformats.org/officeDocument/2006/customXml" ds:itemID="{03E4C446-0F54-4336-ABE5-ADBEF6B91CE0}">
  <ds:schemaRefs>
    <ds:schemaRef ds:uri="http://schemas.openxmlformats.org/officeDocument/2006/bibliography"/>
  </ds:schemaRefs>
</ds:datastoreItem>
</file>

<file path=customXml/itemProps2.xml><?xml version="1.0" encoding="utf-8"?>
<ds:datastoreItem xmlns:ds="http://schemas.openxmlformats.org/officeDocument/2006/customXml" ds:itemID="{D5E97052-71A1-4EAF-B6AC-6A68C7E20485}"/>
</file>

<file path=customXml/itemProps3.xml><?xml version="1.0" encoding="utf-8"?>
<ds:datastoreItem xmlns:ds="http://schemas.openxmlformats.org/officeDocument/2006/customXml" ds:itemID="{EE93DF95-4723-49C5-A32A-FE60AECC71BD}"/>
</file>

<file path=customXml/itemProps4.xml><?xml version="1.0" encoding="utf-8"?>
<ds:datastoreItem xmlns:ds="http://schemas.openxmlformats.org/officeDocument/2006/customXml" ds:itemID="{656A58E6-60CC-4E40-9958-08CC04801ED6}"/>
</file>

<file path=docProps/app.xml><?xml version="1.0" encoding="utf-8"?>
<Properties xmlns="http://schemas.openxmlformats.org/officeDocument/2006/extended-properties" xmlns:vt="http://schemas.openxmlformats.org/officeDocument/2006/docPropsVTypes">
  <Template>Normal.dotm</Template>
  <TotalTime>20</TotalTime>
  <Pages>15</Pages>
  <Words>5376</Words>
  <Characters>30647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Belcher</dc:creator>
  <cp:keywords/>
  <dc:description/>
  <cp:lastModifiedBy>Helen Belcher</cp:lastModifiedBy>
  <cp:revision>5</cp:revision>
  <dcterms:created xsi:type="dcterms:W3CDTF">2021-03-12T12:32:00Z</dcterms:created>
  <dcterms:modified xsi:type="dcterms:W3CDTF">2021-03-12T19:53:00Z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