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702480450"/>
        <w:docPartObj>
          <w:docPartGallery w:val="Cover Pages"/>
          <w:docPartUnique/>
        </w:docPartObj>
      </w:sdtPr>
      <w:sdtEndPr>
        <w:rPr>
          <w:rFonts w:ascii="Sylfaen" w:hAnsi="Sylfaen"/>
        </w:rPr>
      </w:sdtEndPr>
      <w:sdtContent>
        <w:p w14:paraId="7359EC72" w14:textId="29ACF3C7" w:rsidR="00124115" w:rsidRDefault="00124115"/>
        <w:tbl>
          <w:tblPr>
            <w:tblpPr w:leftFromText="187" w:rightFromText="187" w:horzAnchor="margin" w:tblpXSpec="center" w:tblpYSpec="bottom"/>
            <w:tblW w:w="3857" w:type="pct"/>
            <w:tblLook w:val="04A0" w:firstRow="1" w:lastRow="0" w:firstColumn="1" w:lastColumn="0" w:noHBand="0" w:noVBand="1"/>
          </w:tblPr>
          <w:tblGrid>
            <w:gridCol w:w="7776"/>
          </w:tblGrid>
          <w:tr w:rsidR="00124115" w14:paraId="1C9D0A0F" w14:textId="77777777" w:rsidTr="00124115">
            <w:tc>
              <w:tcPr>
                <w:tcW w:w="7776" w:type="dxa"/>
                <w:tcMar>
                  <w:top w:w="216" w:type="dxa"/>
                  <w:left w:w="115" w:type="dxa"/>
                  <w:bottom w:w="216" w:type="dxa"/>
                  <w:right w:w="115" w:type="dxa"/>
                </w:tcMar>
              </w:tcPr>
              <w:p w14:paraId="128D884F" w14:textId="40CCB882" w:rsidR="00124115" w:rsidRDefault="00124115">
                <w:pPr>
                  <w:pStyle w:val="NoSpacing"/>
                  <w:rPr>
                    <w:color w:val="4472C4" w:themeColor="accent1"/>
                    <w:sz w:val="28"/>
                    <w:szCs w:val="28"/>
                  </w:rPr>
                </w:pPr>
              </w:p>
              <w:p w14:paraId="54DFE261" w14:textId="77777777" w:rsidR="00124115" w:rsidRDefault="00124115" w:rsidP="0077520E">
                <w:pPr>
                  <w:pStyle w:val="NoSpacing"/>
                  <w:jc w:val="center"/>
                  <w:rPr>
                    <w:rFonts w:ascii="Sylfaen" w:hAnsi="Sylfaen"/>
                    <w:color w:val="4472C4" w:themeColor="accent1"/>
                    <w:sz w:val="20"/>
                    <w:szCs w:val="20"/>
                  </w:rPr>
                </w:pPr>
              </w:p>
              <w:p w14:paraId="5AB2E8E2" w14:textId="5DB29607" w:rsidR="0077520E" w:rsidRPr="0077520E" w:rsidRDefault="0077520E" w:rsidP="0077520E">
                <w:pPr>
                  <w:pStyle w:val="NoSpacing"/>
                  <w:jc w:val="center"/>
                  <w:rPr>
                    <w:rFonts w:ascii="Sylfaen" w:hAnsi="Sylfaen"/>
                    <w:color w:val="4472C4" w:themeColor="accent1"/>
                    <w:sz w:val="20"/>
                    <w:szCs w:val="20"/>
                  </w:rPr>
                </w:pPr>
                <w:r w:rsidRPr="0077520E">
                  <w:rPr>
                    <w:rFonts w:ascii="Sylfaen" w:hAnsi="Sylfaen"/>
                    <w:sz w:val="20"/>
                    <w:szCs w:val="20"/>
                  </w:rPr>
                  <w:t>March, 2021</w:t>
                </w:r>
              </w:p>
            </w:tc>
          </w:tr>
        </w:tbl>
        <w:p w14:paraId="725A1C33" w14:textId="27326CB3" w:rsidR="00124115" w:rsidRDefault="00124115" w:rsidP="00124115">
          <w:pPr>
            <w:jc w:val="center"/>
            <w:rPr>
              <w:rFonts w:ascii="Sylfaen" w:hAnsi="Sylfaen"/>
              <w:b/>
              <w:bCs/>
              <w:color w:val="000000"/>
              <w:sz w:val="28"/>
              <w:szCs w:val="28"/>
              <w:shd w:val="clear" w:color="auto" w:fill="FFFFFF"/>
            </w:rPr>
          </w:pPr>
        </w:p>
        <w:p w14:paraId="5480E6EB" w14:textId="77777777" w:rsidR="0077520E" w:rsidRDefault="0077520E" w:rsidP="00124115">
          <w:pPr>
            <w:jc w:val="center"/>
            <w:rPr>
              <w:rFonts w:ascii="Sylfaen" w:hAnsi="Sylfaen"/>
              <w:b/>
              <w:bCs/>
              <w:color w:val="000000"/>
              <w:sz w:val="28"/>
              <w:szCs w:val="28"/>
              <w:shd w:val="clear" w:color="auto" w:fill="FFFFFF"/>
            </w:rPr>
          </w:pPr>
        </w:p>
        <w:p w14:paraId="344CF49D" w14:textId="77777777" w:rsidR="00124115" w:rsidRDefault="00124115" w:rsidP="00124115">
          <w:pPr>
            <w:jc w:val="center"/>
            <w:rPr>
              <w:rFonts w:ascii="Sylfaen" w:hAnsi="Sylfaen"/>
              <w:b/>
              <w:bCs/>
              <w:color w:val="000000"/>
              <w:sz w:val="28"/>
              <w:szCs w:val="28"/>
              <w:shd w:val="clear" w:color="auto" w:fill="FFFFFF"/>
            </w:rPr>
          </w:pPr>
        </w:p>
        <w:p w14:paraId="22BB296C" w14:textId="05F8C93E" w:rsidR="00124115" w:rsidRPr="00124115" w:rsidRDefault="00124115" w:rsidP="00124115">
          <w:pPr>
            <w:jc w:val="center"/>
            <w:rPr>
              <w:rFonts w:ascii="Sylfaen" w:hAnsi="Sylfaen"/>
              <w:b/>
              <w:bCs/>
              <w:sz w:val="28"/>
              <w:szCs w:val="28"/>
            </w:rPr>
          </w:pPr>
          <w:r w:rsidRPr="00124115">
            <w:rPr>
              <w:rFonts w:ascii="Sylfaen" w:hAnsi="Sylfaen"/>
              <w:b/>
              <w:bCs/>
              <w:color w:val="000000"/>
              <w:sz w:val="28"/>
              <w:szCs w:val="28"/>
              <w:shd w:val="clear" w:color="auto" w:fill="FFFFFF"/>
            </w:rPr>
            <w:t>Report on Gender, Sexual Orientation and Gender Identity</w:t>
          </w:r>
        </w:p>
        <w:p w14:paraId="0130CDB5" w14:textId="77777777" w:rsidR="00124115" w:rsidRDefault="00124115" w:rsidP="00124115">
          <w:pPr>
            <w:jc w:val="both"/>
            <w:rPr>
              <w:rFonts w:ascii="Sylfaen" w:hAnsi="Sylfaen"/>
            </w:rPr>
          </w:pPr>
        </w:p>
        <w:p w14:paraId="48505871" w14:textId="77777777" w:rsidR="00124115" w:rsidRDefault="00124115" w:rsidP="00124115">
          <w:pPr>
            <w:jc w:val="both"/>
            <w:rPr>
              <w:rFonts w:ascii="Sylfaen" w:hAnsi="Sylfaen"/>
            </w:rPr>
          </w:pPr>
        </w:p>
        <w:p w14:paraId="4D5DD007" w14:textId="77777777" w:rsidR="00124115" w:rsidRPr="00124115" w:rsidRDefault="00124115" w:rsidP="00124115">
          <w:pPr>
            <w:jc w:val="both"/>
            <w:rPr>
              <w:rFonts w:ascii="Sylfaen" w:hAnsi="Sylfaen"/>
            </w:rPr>
          </w:pPr>
        </w:p>
        <w:p w14:paraId="23026DD8" w14:textId="77777777" w:rsidR="00124115" w:rsidRPr="00124115" w:rsidRDefault="00124115" w:rsidP="00124115">
          <w:pPr>
            <w:jc w:val="center"/>
            <w:rPr>
              <w:rFonts w:ascii="Sylfaen" w:hAnsi="Sylfaen"/>
              <w:shd w:val="clear" w:color="auto" w:fill="FFFFFF"/>
            </w:rPr>
          </w:pPr>
          <w:r w:rsidRPr="00124115">
            <w:rPr>
              <w:rFonts w:ascii="Sylfaen" w:hAnsi="Sylfaen"/>
              <w:shd w:val="clear" w:color="auto" w:fill="FFFFFF"/>
            </w:rPr>
            <w:t>Independent Expert on protection against violence and discrimination based on sexual orientation and gender identity</w:t>
          </w:r>
        </w:p>
        <w:p w14:paraId="2F3CAE05" w14:textId="77777777" w:rsidR="00124115" w:rsidRPr="00124115" w:rsidRDefault="00124115" w:rsidP="00124115">
          <w:pPr>
            <w:jc w:val="center"/>
            <w:rPr>
              <w:rFonts w:ascii="Sylfaen" w:hAnsi="Sylfaen"/>
              <w:shd w:val="clear" w:color="auto" w:fill="FFFFFF"/>
            </w:rPr>
          </w:pPr>
        </w:p>
        <w:p w14:paraId="45ECB249" w14:textId="77777777" w:rsidR="00124115" w:rsidRPr="00124115" w:rsidRDefault="00124115" w:rsidP="00124115">
          <w:pPr>
            <w:jc w:val="center"/>
            <w:rPr>
              <w:rFonts w:ascii="Sylfaen" w:hAnsi="Sylfaen"/>
            </w:rPr>
          </w:pPr>
          <w:r w:rsidRPr="00124115">
            <w:rPr>
              <w:rFonts w:ascii="Sylfaen" w:hAnsi="Sylfaen"/>
              <w:shd w:val="clear" w:color="auto" w:fill="FFFFFF"/>
            </w:rPr>
            <w:t>47</w:t>
          </w:r>
          <w:r w:rsidRPr="00124115">
            <w:rPr>
              <w:rFonts w:ascii="Sylfaen" w:hAnsi="Sylfaen"/>
              <w:shd w:val="clear" w:color="auto" w:fill="FFFFFF"/>
              <w:vertAlign w:val="superscript"/>
            </w:rPr>
            <w:t>th</w:t>
          </w:r>
          <w:r w:rsidRPr="00124115">
            <w:rPr>
              <w:rFonts w:ascii="Sylfaen" w:hAnsi="Sylfaen"/>
              <w:shd w:val="clear" w:color="auto" w:fill="FFFFFF"/>
            </w:rPr>
            <w:t xml:space="preserve"> Session of The Human Rights Council </w:t>
          </w:r>
        </w:p>
        <w:p w14:paraId="24806467" w14:textId="25D50070" w:rsidR="00124115" w:rsidRDefault="00124115" w:rsidP="00124115">
          <w:pPr>
            <w:jc w:val="both"/>
            <w:rPr>
              <w:rFonts w:ascii="Sylfaen" w:hAnsi="Sylfaen"/>
            </w:rPr>
          </w:pPr>
        </w:p>
        <w:p w14:paraId="6C987AA3" w14:textId="777EA166" w:rsidR="00124115" w:rsidRDefault="0077520E" w:rsidP="00124115">
          <w:pPr>
            <w:jc w:val="both"/>
            <w:rPr>
              <w:rFonts w:ascii="Sylfaen" w:hAnsi="Sylfaen"/>
            </w:rPr>
          </w:pPr>
          <w:r>
            <w:rPr>
              <w:noProof/>
            </w:rPr>
            <w:drawing>
              <wp:anchor distT="0" distB="0" distL="114300" distR="114300" simplePos="0" relativeHeight="251658240" behindDoc="1" locked="0" layoutInCell="1" allowOverlap="1" wp14:anchorId="36B87C2D" wp14:editId="6097926C">
                <wp:simplePos x="0" y="0"/>
                <wp:positionH relativeFrom="margin">
                  <wp:align>center</wp:align>
                </wp:positionH>
                <wp:positionV relativeFrom="paragraph">
                  <wp:posOffset>95250</wp:posOffset>
                </wp:positionV>
                <wp:extent cx="1952625" cy="1876425"/>
                <wp:effectExtent l="0" t="0" r="9525" b="9525"/>
                <wp:wrapTight wrapText="bothSides">
                  <wp:wrapPolygon edited="0">
                    <wp:start x="0" y="0"/>
                    <wp:lineTo x="0" y="21490"/>
                    <wp:lineTo x="21495" y="21490"/>
                    <wp:lineTo x="2149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1876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5BA66" w14:textId="77777777" w:rsidR="00124115" w:rsidRDefault="00124115" w:rsidP="00124115">
          <w:pPr>
            <w:jc w:val="both"/>
            <w:rPr>
              <w:rFonts w:ascii="Sylfaen" w:hAnsi="Sylfaen"/>
            </w:rPr>
          </w:pPr>
        </w:p>
        <w:p w14:paraId="60ECA635" w14:textId="77777777" w:rsidR="00124115" w:rsidRDefault="00124115" w:rsidP="00124115">
          <w:pPr>
            <w:jc w:val="both"/>
            <w:rPr>
              <w:rFonts w:ascii="Sylfaen" w:hAnsi="Sylfaen"/>
            </w:rPr>
          </w:pPr>
        </w:p>
        <w:p w14:paraId="71B12035" w14:textId="77777777" w:rsidR="00124115" w:rsidRDefault="00124115" w:rsidP="00124115">
          <w:pPr>
            <w:jc w:val="both"/>
            <w:rPr>
              <w:rFonts w:ascii="Sylfaen" w:hAnsi="Sylfaen"/>
            </w:rPr>
          </w:pPr>
        </w:p>
        <w:p w14:paraId="3A9F8AF9" w14:textId="2BDBC8A4" w:rsidR="00124115" w:rsidRDefault="001F1AF0">
          <w:pPr>
            <w:rPr>
              <w:rFonts w:ascii="Sylfaen" w:hAnsi="Sylfaen"/>
            </w:rPr>
          </w:pPr>
        </w:p>
      </w:sdtContent>
    </w:sdt>
    <w:p w14:paraId="4E5D7B8F" w14:textId="77777777" w:rsidR="00124115" w:rsidRDefault="00124115" w:rsidP="00124115">
      <w:pPr>
        <w:jc w:val="both"/>
        <w:rPr>
          <w:rFonts w:ascii="Verdana" w:hAnsi="Verdana"/>
          <w:color w:val="000000"/>
          <w:sz w:val="19"/>
          <w:szCs w:val="19"/>
          <w:shd w:val="clear" w:color="auto" w:fill="FFFFFF"/>
        </w:rPr>
      </w:pPr>
    </w:p>
    <w:p w14:paraId="6B9FE523" w14:textId="7026517E" w:rsidR="00124115" w:rsidRDefault="00124115" w:rsidP="00124115">
      <w:pPr>
        <w:jc w:val="both"/>
        <w:rPr>
          <w:rFonts w:ascii="Verdana" w:hAnsi="Verdana"/>
          <w:color w:val="000000"/>
          <w:sz w:val="19"/>
          <w:szCs w:val="19"/>
          <w:shd w:val="clear" w:color="auto" w:fill="FFFFFF"/>
        </w:rPr>
      </w:pPr>
    </w:p>
    <w:p w14:paraId="091150A1" w14:textId="09F484DD" w:rsidR="00124115" w:rsidRDefault="00124115" w:rsidP="00124115">
      <w:pPr>
        <w:jc w:val="both"/>
        <w:rPr>
          <w:rFonts w:ascii="Verdana" w:hAnsi="Verdana"/>
          <w:color w:val="000000"/>
          <w:sz w:val="19"/>
          <w:szCs w:val="19"/>
          <w:shd w:val="clear" w:color="auto" w:fill="FFFFFF"/>
        </w:rPr>
      </w:pPr>
    </w:p>
    <w:p w14:paraId="0499CE88" w14:textId="1B94EC62" w:rsidR="00124115" w:rsidRDefault="00124115" w:rsidP="00124115">
      <w:pPr>
        <w:jc w:val="both"/>
        <w:rPr>
          <w:rFonts w:ascii="Verdana" w:hAnsi="Verdana"/>
          <w:color w:val="000000"/>
          <w:sz w:val="19"/>
          <w:szCs w:val="19"/>
          <w:shd w:val="clear" w:color="auto" w:fill="FFFFFF"/>
        </w:rPr>
      </w:pPr>
    </w:p>
    <w:p w14:paraId="30E6AFC2" w14:textId="77777777" w:rsidR="00124115" w:rsidRDefault="00124115" w:rsidP="00124115">
      <w:pPr>
        <w:jc w:val="both"/>
        <w:rPr>
          <w:rFonts w:ascii="Sylfaen" w:hAnsi="Sylfaen"/>
        </w:rPr>
      </w:pPr>
    </w:p>
    <w:p w14:paraId="76DF2168" w14:textId="77777777" w:rsidR="00124115" w:rsidRPr="00124115" w:rsidRDefault="00124115" w:rsidP="00124115">
      <w:pPr>
        <w:jc w:val="both"/>
        <w:rPr>
          <w:rFonts w:ascii="Sylfaen" w:hAnsi="Sylfaen"/>
        </w:rPr>
      </w:pPr>
    </w:p>
    <w:p w14:paraId="2DFFE79F" w14:textId="77777777" w:rsidR="00124115" w:rsidRDefault="00124115" w:rsidP="00124115">
      <w:pPr>
        <w:jc w:val="both"/>
        <w:rPr>
          <w:rFonts w:ascii="Sylfaen" w:hAnsi="Sylfaen"/>
        </w:rPr>
      </w:pPr>
    </w:p>
    <w:p w14:paraId="4BC1D2F5" w14:textId="77777777" w:rsidR="00124115" w:rsidRDefault="00124115" w:rsidP="00124115">
      <w:pPr>
        <w:jc w:val="both"/>
        <w:rPr>
          <w:rFonts w:ascii="Sylfaen" w:hAnsi="Sylfaen"/>
        </w:rPr>
      </w:pPr>
    </w:p>
    <w:p w14:paraId="171FD528" w14:textId="77777777" w:rsidR="00124115" w:rsidRDefault="00124115" w:rsidP="00124115">
      <w:pPr>
        <w:jc w:val="both"/>
        <w:rPr>
          <w:rFonts w:ascii="Sylfaen" w:hAnsi="Sylfaen"/>
        </w:rPr>
      </w:pPr>
    </w:p>
    <w:p w14:paraId="493E3403" w14:textId="77777777" w:rsidR="00124115" w:rsidRDefault="00124115" w:rsidP="00124115">
      <w:pPr>
        <w:jc w:val="both"/>
        <w:rPr>
          <w:rFonts w:ascii="Sylfaen" w:hAnsi="Sylfaen"/>
        </w:rPr>
      </w:pPr>
    </w:p>
    <w:p w14:paraId="2342C3BB" w14:textId="088BDCA9" w:rsidR="00124115" w:rsidRPr="00A62E88" w:rsidRDefault="007D7092" w:rsidP="00124115">
      <w:pPr>
        <w:jc w:val="both"/>
        <w:rPr>
          <w:rFonts w:ascii="Sylfaen" w:hAnsi="Sylfaen"/>
          <w:sz w:val="24"/>
          <w:szCs w:val="24"/>
        </w:rPr>
      </w:pPr>
      <w:r w:rsidRPr="00A62E88">
        <w:rPr>
          <w:rFonts w:ascii="Sylfaen" w:hAnsi="Sylfaen"/>
          <w:sz w:val="24"/>
          <w:szCs w:val="24"/>
        </w:rPr>
        <w:lastRenderedPageBreak/>
        <w:t>Equality Movement is a non-profit non-governmental organization that aims at creating equal rights and opportunities for lesbian, gay, bisexual, transgender, queer and intersex persons and women in Georgia; fostering their integration into society by the means of empowering LGBTQI</w:t>
      </w:r>
      <w:r w:rsidR="00A62E88">
        <w:rPr>
          <w:rFonts w:ascii="Sylfaen" w:hAnsi="Sylfaen"/>
          <w:sz w:val="24"/>
          <w:szCs w:val="24"/>
        </w:rPr>
        <w:t>+</w:t>
      </w:r>
      <w:r w:rsidRPr="00A62E88">
        <w:rPr>
          <w:rFonts w:ascii="Sylfaen" w:hAnsi="Sylfaen"/>
          <w:sz w:val="24"/>
          <w:szCs w:val="24"/>
        </w:rPr>
        <w:t xml:space="preserve"> community and women, carrying out awareness activities on LGBTQI</w:t>
      </w:r>
      <w:r w:rsidR="00A62E88">
        <w:rPr>
          <w:rFonts w:ascii="Sylfaen" w:hAnsi="Sylfaen"/>
          <w:sz w:val="24"/>
          <w:szCs w:val="24"/>
        </w:rPr>
        <w:t>+</w:t>
      </w:r>
      <w:r w:rsidRPr="00A62E88">
        <w:rPr>
          <w:rFonts w:ascii="Sylfaen" w:hAnsi="Sylfaen"/>
          <w:sz w:val="24"/>
          <w:szCs w:val="24"/>
        </w:rPr>
        <w:t xml:space="preserve"> and women rights issues, and advocating their interests. Equality Movement provides social</w:t>
      </w:r>
      <w:r w:rsidR="00A62E88">
        <w:rPr>
          <w:rFonts w:ascii="Sylfaen" w:hAnsi="Sylfaen"/>
          <w:sz w:val="24"/>
          <w:szCs w:val="24"/>
        </w:rPr>
        <w:t>, medical</w:t>
      </w:r>
      <w:r w:rsidRPr="00A62E88">
        <w:rPr>
          <w:rFonts w:ascii="Sylfaen" w:hAnsi="Sylfaen"/>
          <w:sz w:val="24"/>
          <w:szCs w:val="24"/>
        </w:rPr>
        <w:t xml:space="preserve"> and legal services to empower and mobilize LGBTQ</w:t>
      </w:r>
      <w:r w:rsidR="00A62E88">
        <w:rPr>
          <w:rFonts w:ascii="Sylfaen" w:hAnsi="Sylfaen"/>
          <w:sz w:val="24"/>
          <w:szCs w:val="24"/>
        </w:rPr>
        <w:t>+</w:t>
      </w:r>
      <w:r w:rsidRPr="00A62E88">
        <w:rPr>
          <w:rFonts w:ascii="Sylfaen" w:hAnsi="Sylfaen"/>
          <w:sz w:val="24"/>
          <w:szCs w:val="24"/>
        </w:rPr>
        <w:t xml:space="preserve"> community and women, as well as public awareness rising and policy advocacy interventions.</w:t>
      </w:r>
    </w:p>
    <w:p w14:paraId="7ACB5D4C" w14:textId="77777777" w:rsidR="00124115" w:rsidRDefault="00124115" w:rsidP="00124115">
      <w:pPr>
        <w:jc w:val="both"/>
        <w:rPr>
          <w:rFonts w:ascii="Sylfaen" w:hAnsi="Sylfaen"/>
        </w:rPr>
      </w:pPr>
    </w:p>
    <w:p w14:paraId="7F855689" w14:textId="33CB1F37" w:rsidR="00124115" w:rsidRDefault="001F1AF0" w:rsidP="00124115">
      <w:pPr>
        <w:jc w:val="both"/>
        <w:rPr>
          <w:rFonts w:ascii="Sylfaen" w:hAnsi="Sylfaen"/>
        </w:rPr>
      </w:pPr>
      <w:hyperlink r:id="rId9" w:history="1">
        <w:r w:rsidR="00A62E88" w:rsidRPr="00135194">
          <w:rPr>
            <w:rStyle w:val="Hyperlink"/>
            <w:rFonts w:ascii="Sylfaen" w:hAnsi="Sylfaen"/>
          </w:rPr>
          <w:t>www.equality.ge</w:t>
        </w:r>
      </w:hyperlink>
    </w:p>
    <w:p w14:paraId="4E533F43" w14:textId="3E917ABA" w:rsidR="00A62E88" w:rsidRDefault="001F1AF0" w:rsidP="00124115">
      <w:pPr>
        <w:jc w:val="both"/>
        <w:rPr>
          <w:rFonts w:ascii="Sylfaen" w:hAnsi="Sylfaen"/>
        </w:rPr>
      </w:pPr>
      <w:hyperlink r:id="rId10" w:history="1">
        <w:r w:rsidR="00A62E88" w:rsidRPr="00135194">
          <w:rPr>
            <w:rStyle w:val="Hyperlink"/>
            <w:rFonts w:ascii="Sylfaen" w:hAnsi="Sylfaen"/>
          </w:rPr>
          <w:t>info@equality.ge</w:t>
        </w:r>
      </w:hyperlink>
      <w:r w:rsidR="00A62E88">
        <w:rPr>
          <w:rFonts w:ascii="Sylfaen" w:hAnsi="Sylfaen"/>
        </w:rPr>
        <w:t xml:space="preserve"> </w:t>
      </w:r>
    </w:p>
    <w:p w14:paraId="1753841C" w14:textId="77777777" w:rsidR="00A62E88" w:rsidRDefault="00A62E88" w:rsidP="00124115">
      <w:pPr>
        <w:jc w:val="both"/>
        <w:rPr>
          <w:rFonts w:ascii="Sylfaen" w:hAnsi="Sylfaen"/>
        </w:rPr>
      </w:pPr>
    </w:p>
    <w:p w14:paraId="276B37BB" w14:textId="77777777" w:rsidR="00124115" w:rsidRDefault="00124115" w:rsidP="00124115">
      <w:pPr>
        <w:jc w:val="both"/>
        <w:rPr>
          <w:rFonts w:ascii="Sylfaen" w:hAnsi="Sylfaen"/>
        </w:rPr>
      </w:pPr>
    </w:p>
    <w:p w14:paraId="2A62F815" w14:textId="77777777" w:rsidR="00124115" w:rsidRDefault="00124115" w:rsidP="00124115">
      <w:pPr>
        <w:jc w:val="both"/>
        <w:rPr>
          <w:rFonts w:ascii="Sylfaen" w:hAnsi="Sylfaen"/>
        </w:rPr>
      </w:pPr>
    </w:p>
    <w:p w14:paraId="2E592201" w14:textId="77777777" w:rsidR="00124115" w:rsidRDefault="00124115" w:rsidP="00124115">
      <w:pPr>
        <w:jc w:val="both"/>
        <w:rPr>
          <w:rFonts w:ascii="Sylfaen" w:hAnsi="Sylfaen"/>
        </w:rPr>
      </w:pPr>
    </w:p>
    <w:p w14:paraId="693D1897" w14:textId="77777777" w:rsidR="00124115" w:rsidRDefault="00124115" w:rsidP="00124115">
      <w:pPr>
        <w:jc w:val="both"/>
        <w:rPr>
          <w:rFonts w:ascii="Sylfaen" w:hAnsi="Sylfaen"/>
        </w:rPr>
      </w:pPr>
    </w:p>
    <w:p w14:paraId="6403CCB7" w14:textId="77777777" w:rsidR="00124115" w:rsidRDefault="00124115" w:rsidP="00124115">
      <w:pPr>
        <w:jc w:val="both"/>
        <w:rPr>
          <w:rFonts w:ascii="Sylfaen" w:hAnsi="Sylfaen"/>
        </w:rPr>
      </w:pPr>
    </w:p>
    <w:p w14:paraId="7E64B68C" w14:textId="77777777" w:rsidR="00124115" w:rsidRDefault="00124115" w:rsidP="00124115">
      <w:pPr>
        <w:jc w:val="both"/>
        <w:rPr>
          <w:rFonts w:ascii="Sylfaen" w:hAnsi="Sylfaen"/>
        </w:rPr>
      </w:pPr>
    </w:p>
    <w:p w14:paraId="64E92333" w14:textId="77777777" w:rsidR="00124115" w:rsidRDefault="00124115" w:rsidP="00124115">
      <w:pPr>
        <w:jc w:val="both"/>
        <w:rPr>
          <w:rFonts w:ascii="Sylfaen" w:hAnsi="Sylfaen"/>
        </w:rPr>
      </w:pPr>
    </w:p>
    <w:p w14:paraId="76FB3C96" w14:textId="77777777" w:rsidR="00124115" w:rsidRDefault="00124115" w:rsidP="00124115">
      <w:pPr>
        <w:jc w:val="both"/>
        <w:rPr>
          <w:rFonts w:ascii="Sylfaen" w:hAnsi="Sylfaen"/>
        </w:rPr>
      </w:pPr>
    </w:p>
    <w:p w14:paraId="6724DBDB" w14:textId="77777777" w:rsidR="00124115" w:rsidRDefault="00124115" w:rsidP="00124115">
      <w:pPr>
        <w:jc w:val="both"/>
        <w:rPr>
          <w:rFonts w:ascii="Sylfaen" w:hAnsi="Sylfaen"/>
        </w:rPr>
      </w:pPr>
    </w:p>
    <w:p w14:paraId="5B1E30EC" w14:textId="77777777" w:rsidR="00124115" w:rsidRDefault="00124115" w:rsidP="00124115">
      <w:pPr>
        <w:jc w:val="both"/>
        <w:rPr>
          <w:rFonts w:ascii="Sylfaen" w:hAnsi="Sylfaen"/>
        </w:rPr>
      </w:pPr>
    </w:p>
    <w:p w14:paraId="47566B30" w14:textId="77777777" w:rsidR="00124115" w:rsidRDefault="00124115" w:rsidP="00124115">
      <w:pPr>
        <w:jc w:val="both"/>
        <w:rPr>
          <w:rFonts w:ascii="Sylfaen" w:hAnsi="Sylfaen"/>
        </w:rPr>
      </w:pPr>
    </w:p>
    <w:p w14:paraId="20AC0291" w14:textId="127953EE" w:rsidR="00124115" w:rsidRDefault="00124115" w:rsidP="00124115">
      <w:pPr>
        <w:jc w:val="both"/>
        <w:rPr>
          <w:rFonts w:ascii="Sylfaen" w:hAnsi="Sylfaen"/>
        </w:rPr>
      </w:pPr>
    </w:p>
    <w:p w14:paraId="05293F0D" w14:textId="67A229B7" w:rsidR="00A62E88" w:rsidRPr="00A62E88" w:rsidRDefault="00A62E88" w:rsidP="00124115">
      <w:pPr>
        <w:jc w:val="both"/>
        <w:rPr>
          <w:rFonts w:ascii="Sylfaen" w:hAnsi="Sylfaen"/>
          <w:b/>
          <w:bCs/>
        </w:rPr>
      </w:pPr>
      <w:r w:rsidRPr="00A62E88">
        <w:rPr>
          <w:rFonts w:ascii="Sylfaen" w:hAnsi="Sylfaen"/>
          <w:b/>
          <w:bCs/>
        </w:rPr>
        <w:t>Contact person:</w:t>
      </w:r>
    </w:p>
    <w:p w14:paraId="532730F0" w14:textId="3D9BDF75" w:rsidR="00A62E88" w:rsidRDefault="00A62E88" w:rsidP="00124115">
      <w:pPr>
        <w:jc w:val="both"/>
        <w:rPr>
          <w:rFonts w:ascii="Sylfaen" w:hAnsi="Sylfaen"/>
        </w:rPr>
      </w:pPr>
      <w:r>
        <w:rPr>
          <w:rFonts w:ascii="Sylfaen" w:hAnsi="Sylfaen"/>
        </w:rPr>
        <w:t xml:space="preserve">David </w:t>
      </w:r>
      <w:proofErr w:type="spellStart"/>
      <w:r>
        <w:rPr>
          <w:rFonts w:ascii="Sylfaen" w:hAnsi="Sylfaen"/>
        </w:rPr>
        <w:t>Kakhaberi</w:t>
      </w:r>
      <w:proofErr w:type="spellEnd"/>
      <w:r>
        <w:rPr>
          <w:rFonts w:ascii="Sylfaen" w:hAnsi="Sylfaen"/>
        </w:rPr>
        <w:t>, Executive Director</w:t>
      </w:r>
    </w:p>
    <w:p w14:paraId="1FD86F89" w14:textId="2D476D84" w:rsidR="00A62E88" w:rsidRDefault="00A62E88" w:rsidP="00124115">
      <w:pPr>
        <w:jc w:val="both"/>
        <w:rPr>
          <w:rFonts w:ascii="Sylfaen" w:hAnsi="Sylfaen"/>
        </w:rPr>
      </w:pPr>
      <w:r>
        <w:rPr>
          <w:rFonts w:ascii="Sylfaen" w:hAnsi="Sylfaen"/>
        </w:rPr>
        <w:t xml:space="preserve">Address: </w:t>
      </w:r>
      <w:proofErr w:type="spellStart"/>
      <w:r>
        <w:rPr>
          <w:rFonts w:ascii="Sylfaen" w:hAnsi="Sylfaen"/>
        </w:rPr>
        <w:t>Ushangi</w:t>
      </w:r>
      <w:proofErr w:type="spellEnd"/>
      <w:r>
        <w:rPr>
          <w:rFonts w:ascii="Sylfaen" w:hAnsi="Sylfaen"/>
        </w:rPr>
        <w:t xml:space="preserve"> </w:t>
      </w:r>
      <w:proofErr w:type="spellStart"/>
      <w:r>
        <w:rPr>
          <w:rFonts w:ascii="Sylfaen" w:hAnsi="Sylfaen"/>
        </w:rPr>
        <w:t>Chkheidze</w:t>
      </w:r>
      <w:proofErr w:type="spellEnd"/>
      <w:r>
        <w:rPr>
          <w:rFonts w:ascii="Sylfaen" w:hAnsi="Sylfaen"/>
        </w:rPr>
        <w:t xml:space="preserve"> Street, 19, Tbilisi, Georgia</w:t>
      </w:r>
    </w:p>
    <w:p w14:paraId="724FB262" w14:textId="3520D799" w:rsidR="00A62E88" w:rsidRDefault="00A62E88" w:rsidP="00124115">
      <w:pPr>
        <w:jc w:val="both"/>
        <w:rPr>
          <w:rFonts w:ascii="Sylfaen" w:hAnsi="Sylfaen"/>
        </w:rPr>
      </w:pPr>
      <w:r>
        <w:rPr>
          <w:rFonts w:ascii="Sylfaen" w:hAnsi="Sylfaen"/>
        </w:rPr>
        <w:t xml:space="preserve">Email: </w:t>
      </w:r>
      <w:hyperlink r:id="rId11" w:history="1">
        <w:r w:rsidRPr="00135194">
          <w:rPr>
            <w:rStyle w:val="Hyperlink"/>
            <w:rFonts w:ascii="Sylfaen" w:hAnsi="Sylfaen"/>
          </w:rPr>
          <w:t>kakhaberi@equality.ge</w:t>
        </w:r>
      </w:hyperlink>
    </w:p>
    <w:p w14:paraId="57C2B22A" w14:textId="77777777" w:rsidR="00A62E88" w:rsidRPr="00A62E88" w:rsidRDefault="00A62E88" w:rsidP="00124115">
      <w:pPr>
        <w:jc w:val="both"/>
        <w:rPr>
          <w:rFonts w:ascii="Sylfaen" w:hAnsi="Sylfaen"/>
        </w:rPr>
      </w:pPr>
    </w:p>
    <w:p w14:paraId="16109926" w14:textId="77777777" w:rsidR="000B2854" w:rsidRDefault="000B2854" w:rsidP="00124115">
      <w:pPr>
        <w:jc w:val="both"/>
        <w:rPr>
          <w:rFonts w:ascii="Sylfaen" w:hAnsi="Sylfaen"/>
          <w:sz w:val="24"/>
          <w:szCs w:val="24"/>
        </w:rPr>
      </w:pPr>
    </w:p>
    <w:p w14:paraId="1900E020" w14:textId="77777777" w:rsidR="000B2854" w:rsidRPr="000B2854" w:rsidRDefault="000B2854" w:rsidP="000B2854">
      <w:pPr>
        <w:numPr>
          <w:ilvl w:val="0"/>
          <w:numId w:val="1"/>
        </w:numPr>
        <w:pBdr>
          <w:top w:val="nil"/>
          <w:left w:val="nil"/>
          <w:bottom w:val="nil"/>
          <w:right w:val="nil"/>
          <w:between w:val="nil"/>
        </w:pBdr>
        <w:spacing w:after="0" w:line="240" w:lineRule="auto"/>
        <w:jc w:val="both"/>
        <w:rPr>
          <w:rFonts w:ascii="Sylfaen" w:eastAsia="Times New Roman" w:hAnsi="Sylfaen" w:cs="Times New Roman"/>
          <w:b/>
          <w:bCs/>
          <w:color w:val="000000"/>
          <w:sz w:val="24"/>
          <w:szCs w:val="24"/>
          <w:lang w:eastAsia="en-GB"/>
        </w:rPr>
      </w:pPr>
      <w:r w:rsidRPr="000B2854">
        <w:rPr>
          <w:rFonts w:ascii="Sylfaen" w:eastAsia="Times New Roman" w:hAnsi="Sylfaen" w:cs="Times New Roman"/>
          <w:b/>
          <w:bCs/>
          <w:color w:val="000000"/>
          <w:sz w:val="24"/>
          <w:szCs w:val="24"/>
          <w:lang w:eastAsia="en-GB"/>
        </w:rPr>
        <w:lastRenderedPageBreak/>
        <w:t xml:space="preserve">Has the State adopted, in public policy, legislation or jurisprudence, working definitions of gender and related concepts (for example gender theory, gender-based approaches, gender perspective, gender mainstreaming) aiming to address violence and discrimination based on sexual orientation and gender identity? If so, please give examples, with commentary as needed to explain context, scope and application. </w:t>
      </w:r>
    </w:p>
    <w:p w14:paraId="5850F1B1" w14:textId="3454FADA" w:rsidR="000B2854" w:rsidRDefault="000B2854" w:rsidP="004E05CC">
      <w:pPr>
        <w:pBdr>
          <w:top w:val="nil"/>
          <w:left w:val="nil"/>
          <w:bottom w:val="nil"/>
          <w:right w:val="nil"/>
          <w:between w:val="nil"/>
        </w:pBdr>
        <w:spacing w:after="0" w:line="240" w:lineRule="auto"/>
        <w:jc w:val="both"/>
        <w:rPr>
          <w:rFonts w:ascii="Sylfaen" w:eastAsia="Times New Roman" w:hAnsi="Sylfaen" w:cs="Times New Roman"/>
          <w:color w:val="000000"/>
          <w:sz w:val="24"/>
          <w:szCs w:val="24"/>
          <w:lang w:eastAsia="en-GB"/>
        </w:rPr>
      </w:pPr>
    </w:p>
    <w:p w14:paraId="505C7B15" w14:textId="77777777" w:rsidR="000A4CD8" w:rsidRDefault="000B2854" w:rsidP="000A4CD8">
      <w:pPr>
        <w:pBdr>
          <w:top w:val="nil"/>
          <w:left w:val="nil"/>
          <w:bottom w:val="nil"/>
          <w:right w:val="nil"/>
          <w:between w:val="nil"/>
        </w:pBdr>
        <w:spacing w:after="0" w:line="240" w:lineRule="auto"/>
        <w:jc w:val="both"/>
        <w:rPr>
          <w:rFonts w:ascii="Sylfaen" w:eastAsia="Times New Roman" w:hAnsi="Sylfaen" w:cs="Times New Roman"/>
          <w:color w:val="000000"/>
          <w:sz w:val="24"/>
          <w:szCs w:val="24"/>
          <w:lang w:eastAsia="en-GB"/>
        </w:rPr>
      </w:pPr>
      <w:r>
        <w:rPr>
          <w:rFonts w:ascii="Sylfaen" w:eastAsia="Times New Roman" w:hAnsi="Sylfaen" w:cs="Times New Roman"/>
          <w:color w:val="000000"/>
          <w:sz w:val="24"/>
          <w:szCs w:val="24"/>
          <w:lang w:eastAsia="en-GB"/>
        </w:rPr>
        <w:t xml:space="preserve">In </w:t>
      </w:r>
      <w:r w:rsidR="004E05CC">
        <w:rPr>
          <w:rFonts w:ascii="Sylfaen" w:eastAsia="Times New Roman" w:hAnsi="Sylfaen" w:cs="Times New Roman"/>
          <w:color w:val="000000"/>
          <w:sz w:val="24"/>
          <w:szCs w:val="24"/>
          <w:lang w:eastAsia="en-GB"/>
        </w:rPr>
        <w:t>2014, Georgia adopted the law of Georgia on Gender Equality. Article 3 of the law, goes as follows: “Gender is a social aspect of relations between sexes which expressed in all spheres of public life and implies opinions formed about different sexes through socialization”.</w:t>
      </w:r>
      <w:r w:rsidR="004E05CC">
        <w:rPr>
          <w:rStyle w:val="FootnoteReference"/>
          <w:rFonts w:ascii="Sylfaen" w:eastAsia="Times New Roman" w:hAnsi="Sylfaen" w:cs="Times New Roman"/>
          <w:color w:val="000000"/>
          <w:sz w:val="24"/>
          <w:szCs w:val="24"/>
          <w:lang w:eastAsia="en-GB"/>
        </w:rPr>
        <w:footnoteReference w:id="1"/>
      </w:r>
      <w:r w:rsidR="004E05CC">
        <w:rPr>
          <w:rFonts w:ascii="Sylfaen" w:eastAsia="Times New Roman" w:hAnsi="Sylfaen" w:cs="Times New Roman"/>
          <w:color w:val="000000"/>
          <w:sz w:val="24"/>
          <w:szCs w:val="24"/>
          <w:lang w:eastAsia="en-GB"/>
        </w:rPr>
        <w:t xml:space="preserve"> </w:t>
      </w:r>
      <w:r w:rsidR="00887B44">
        <w:rPr>
          <w:rFonts w:ascii="Sylfaen" w:eastAsia="Times New Roman" w:hAnsi="Sylfaen" w:cs="Times New Roman"/>
          <w:color w:val="000000"/>
          <w:sz w:val="24"/>
          <w:szCs w:val="24"/>
          <w:lang w:eastAsia="en-GB"/>
        </w:rPr>
        <w:t xml:space="preserve">The law defines few terms, such as gender equality, discrimination, equal opportunities, equal treatment. </w:t>
      </w:r>
    </w:p>
    <w:p w14:paraId="5BFAF393" w14:textId="5F36F108" w:rsidR="004E05CC" w:rsidRDefault="004E05CC" w:rsidP="004E05CC">
      <w:pPr>
        <w:pBdr>
          <w:top w:val="nil"/>
          <w:left w:val="nil"/>
          <w:bottom w:val="nil"/>
          <w:right w:val="nil"/>
          <w:between w:val="nil"/>
        </w:pBdr>
        <w:spacing w:after="0" w:line="240" w:lineRule="auto"/>
        <w:jc w:val="both"/>
        <w:rPr>
          <w:rFonts w:ascii="Sylfaen" w:eastAsia="Times New Roman" w:hAnsi="Sylfaen" w:cs="Times New Roman"/>
          <w:color w:val="000000"/>
          <w:sz w:val="24"/>
          <w:szCs w:val="24"/>
          <w:lang w:eastAsia="en-GB"/>
        </w:rPr>
      </w:pPr>
    </w:p>
    <w:p w14:paraId="59C9A429" w14:textId="466F7B46" w:rsidR="000A4CD8" w:rsidRPr="00C648AB" w:rsidRDefault="000A4CD8" w:rsidP="004E05CC">
      <w:pPr>
        <w:pBdr>
          <w:top w:val="nil"/>
          <w:left w:val="nil"/>
          <w:bottom w:val="nil"/>
          <w:right w:val="nil"/>
          <w:between w:val="nil"/>
        </w:pBdr>
        <w:spacing w:after="0" w:line="240" w:lineRule="auto"/>
        <w:jc w:val="both"/>
        <w:rPr>
          <w:rFonts w:ascii="Sylfaen" w:eastAsia="Times New Roman" w:hAnsi="Sylfaen" w:cs="Times New Roman"/>
          <w:color w:val="000000"/>
          <w:sz w:val="24"/>
          <w:szCs w:val="24"/>
          <w:lang w:eastAsia="en-GB"/>
        </w:rPr>
      </w:pPr>
      <w:r>
        <w:rPr>
          <w:rFonts w:ascii="Sylfaen" w:eastAsia="Times New Roman" w:hAnsi="Sylfaen" w:cs="Times New Roman"/>
          <w:color w:val="000000"/>
          <w:sz w:val="24"/>
          <w:szCs w:val="24"/>
          <w:lang w:eastAsia="en-GB"/>
        </w:rPr>
        <w:t xml:space="preserve">What’s more, the law of Georgia </w:t>
      </w:r>
      <w:bookmarkStart w:id="0" w:name="_Hlk66363758"/>
      <w:r>
        <w:rPr>
          <w:rFonts w:ascii="Sylfaen" w:eastAsia="Times New Roman" w:hAnsi="Sylfaen" w:cs="Times New Roman"/>
          <w:color w:val="000000"/>
          <w:sz w:val="24"/>
          <w:szCs w:val="24"/>
          <w:lang w:eastAsia="en-GB"/>
        </w:rPr>
        <w:t xml:space="preserve">On the Elimination of All forms of Discrimination </w:t>
      </w:r>
      <w:bookmarkEnd w:id="0"/>
      <w:r>
        <w:rPr>
          <w:rFonts w:ascii="Sylfaen" w:eastAsia="Times New Roman" w:hAnsi="Sylfaen" w:cs="Times New Roman"/>
          <w:color w:val="000000"/>
          <w:sz w:val="24"/>
          <w:szCs w:val="24"/>
          <w:lang w:eastAsia="en-GB"/>
        </w:rPr>
        <w:t>(anti-discrimination act), which was adopted in 2014, among other groups, prohibits discrimination based on gender, sexual orientation, gender identity and gender expression.</w:t>
      </w:r>
      <w:r>
        <w:rPr>
          <w:rStyle w:val="FootnoteReference"/>
          <w:rFonts w:ascii="Sylfaen" w:eastAsia="Times New Roman" w:hAnsi="Sylfaen" w:cs="Times New Roman"/>
          <w:color w:val="000000"/>
          <w:sz w:val="24"/>
          <w:szCs w:val="24"/>
          <w:lang w:eastAsia="en-GB"/>
        </w:rPr>
        <w:footnoteReference w:id="2"/>
      </w:r>
      <w:r>
        <w:rPr>
          <w:rFonts w:ascii="Sylfaen" w:eastAsia="Times New Roman" w:hAnsi="Sylfaen" w:cs="Times New Roman"/>
          <w:color w:val="000000"/>
          <w:sz w:val="24"/>
          <w:szCs w:val="24"/>
          <w:lang w:eastAsia="en-GB"/>
        </w:rPr>
        <w:t xml:space="preserve"> </w:t>
      </w:r>
      <w:r w:rsidR="00C648AB">
        <w:rPr>
          <w:rFonts w:ascii="Sylfaen" w:eastAsia="Times New Roman" w:hAnsi="Sylfaen" w:cs="Times New Roman"/>
          <w:color w:val="000000"/>
          <w:sz w:val="24"/>
          <w:szCs w:val="24"/>
          <w:lang w:eastAsia="en-GB"/>
        </w:rPr>
        <w:t>Gender, sexual orientation, gender identity and gender expression were included as protected grounds that serve as aggravating circumstances in case they are motives for committing a crime (Criminal Code of Georgia, article 53</w:t>
      </w:r>
      <w:r w:rsidR="00C648AB">
        <w:rPr>
          <w:rFonts w:ascii="Sylfaen" w:eastAsia="Times New Roman" w:hAnsi="Sylfaen" w:cs="Times New Roman"/>
          <w:color w:val="000000"/>
          <w:sz w:val="24"/>
          <w:szCs w:val="24"/>
          <w:vertAlign w:val="superscript"/>
          <w:lang w:eastAsia="en-GB"/>
        </w:rPr>
        <w:t>1</w:t>
      </w:r>
      <w:r w:rsidR="00C648AB">
        <w:rPr>
          <w:rFonts w:ascii="Sylfaen" w:eastAsia="Times New Roman" w:hAnsi="Sylfaen" w:cs="Times New Roman"/>
          <w:color w:val="000000"/>
          <w:sz w:val="24"/>
          <w:szCs w:val="24"/>
          <w:lang w:eastAsia="en-GB"/>
        </w:rPr>
        <w:t>). Gender, sexual orientation, gender identity and gender expression are also included as protected ground in the crime protects human rights equality (Criminal Code of Georgia, article 142).</w:t>
      </w:r>
      <w:r w:rsidR="00C648AB">
        <w:rPr>
          <w:rStyle w:val="FootnoteReference"/>
          <w:rFonts w:ascii="Sylfaen" w:eastAsia="Times New Roman" w:hAnsi="Sylfaen" w:cs="Times New Roman"/>
          <w:color w:val="000000"/>
          <w:sz w:val="24"/>
          <w:szCs w:val="24"/>
          <w:lang w:eastAsia="en-GB"/>
        </w:rPr>
        <w:footnoteReference w:id="3"/>
      </w:r>
    </w:p>
    <w:p w14:paraId="6FA5D809" w14:textId="3338A22F" w:rsidR="004E05CC" w:rsidRDefault="004E05CC" w:rsidP="004E05CC">
      <w:pPr>
        <w:pBdr>
          <w:top w:val="nil"/>
          <w:left w:val="nil"/>
          <w:bottom w:val="nil"/>
          <w:right w:val="nil"/>
          <w:between w:val="nil"/>
        </w:pBdr>
        <w:spacing w:after="0" w:line="240" w:lineRule="auto"/>
        <w:jc w:val="both"/>
        <w:rPr>
          <w:rFonts w:ascii="Sylfaen" w:eastAsia="Times New Roman" w:hAnsi="Sylfaen" w:cs="Times New Roman"/>
          <w:color w:val="000000"/>
          <w:sz w:val="24"/>
          <w:szCs w:val="24"/>
          <w:lang w:eastAsia="en-GB"/>
        </w:rPr>
      </w:pPr>
    </w:p>
    <w:p w14:paraId="1EB2B121" w14:textId="4842007A" w:rsidR="000A4CD8" w:rsidRDefault="000A4CD8" w:rsidP="004E05CC">
      <w:pPr>
        <w:pBdr>
          <w:top w:val="nil"/>
          <w:left w:val="nil"/>
          <w:bottom w:val="nil"/>
          <w:right w:val="nil"/>
          <w:between w:val="nil"/>
        </w:pBdr>
        <w:spacing w:after="0" w:line="240" w:lineRule="auto"/>
        <w:jc w:val="both"/>
        <w:rPr>
          <w:rFonts w:ascii="Sylfaen" w:eastAsia="Times New Roman" w:hAnsi="Sylfaen" w:cs="Times New Roman"/>
          <w:color w:val="000000"/>
          <w:sz w:val="24"/>
          <w:szCs w:val="24"/>
          <w:lang w:eastAsia="en-GB"/>
        </w:rPr>
      </w:pPr>
    </w:p>
    <w:p w14:paraId="41B3C336" w14:textId="77777777" w:rsidR="000B2854" w:rsidRPr="000B2854" w:rsidRDefault="000B2854" w:rsidP="004E05CC">
      <w:pPr>
        <w:pBdr>
          <w:top w:val="nil"/>
          <w:left w:val="nil"/>
          <w:bottom w:val="nil"/>
          <w:right w:val="nil"/>
          <w:between w:val="nil"/>
        </w:pBdr>
        <w:spacing w:after="0" w:line="240" w:lineRule="auto"/>
        <w:jc w:val="both"/>
        <w:rPr>
          <w:rFonts w:ascii="Sylfaen" w:eastAsia="Times New Roman" w:hAnsi="Sylfaen" w:cs="Times New Roman"/>
          <w:color w:val="000000"/>
          <w:sz w:val="24"/>
          <w:szCs w:val="24"/>
          <w:lang w:eastAsia="en-GB"/>
        </w:rPr>
      </w:pPr>
    </w:p>
    <w:p w14:paraId="6C72907D" w14:textId="77777777" w:rsidR="000B2854" w:rsidRPr="000B2854" w:rsidRDefault="000B2854" w:rsidP="000B2854">
      <w:pPr>
        <w:pBdr>
          <w:top w:val="nil"/>
          <w:left w:val="nil"/>
          <w:bottom w:val="nil"/>
          <w:right w:val="nil"/>
          <w:between w:val="nil"/>
        </w:pBdr>
        <w:spacing w:after="0" w:line="240" w:lineRule="auto"/>
        <w:ind w:left="360"/>
        <w:jc w:val="both"/>
        <w:rPr>
          <w:rFonts w:ascii="Sylfaen" w:eastAsia="Times New Roman" w:hAnsi="Sylfaen" w:cs="Times New Roman"/>
          <w:b/>
          <w:bCs/>
          <w:color w:val="000000"/>
          <w:sz w:val="24"/>
          <w:szCs w:val="24"/>
          <w:lang w:eastAsia="en-GB"/>
        </w:rPr>
      </w:pPr>
    </w:p>
    <w:p w14:paraId="021DFE5B" w14:textId="77777777" w:rsidR="000B2854" w:rsidRPr="000B2854" w:rsidRDefault="000B2854" w:rsidP="000B2854">
      <w:pPr>
        <w:numPr>
          <w:ilvl w:val="0"/>
          <w:numId w:val="1"/>
        </w:numPr>
        <w:pBdr>
          <w:top w:val="nil"/>
          <w:left w:val="nil"/>
          <w:bottom w:val="nil"/>
          <w:right w:val="nil"/>
          <w:between w:val="nil"/>
        </w:pBdr>
        <w:spacing w:after="0" w:line="240" w:lineRule="auto"/>
        <w:jc w:val="both"/>
        <w:rPr>
          <w:rFonts w:ascii="Sylfaen" w:eastAsia="Times New Roman" w:hAnsi="Sylfaen" w:cs="Times New Roman"/>
          <w:b/>
          <w:bCs/>
          <w:color w:val="000000"/>
          <w:sz w:val="24"/>
          <w:szCs w:val="24"/>
          <w:lang w:eastAsia="en-GB"/>
        </w:rPr>
      </w:pPr>
      <w:r w:rsidRPr="000B2854">
        <w:rPr>
          <w:rFonts w:ascii="Sylfaen" w:eastAsia="Times New Roman" w:hAnsi="Sylfaen" w:cs="Times New Roman"/>
          <w:b/>
          <w:bCs/>
          <w:color w:val="000000"/>
          <w:sz w:val="24"/>
          <w:szCs w:val="24"/>
          <w:lang w:eastAsia="en-GB"/>
        </w:rPr>
        <w:t>Has the State ratified, signed, or adhered regional or international human rights treaties, declarations, programs or policies or any other international instruments aiming to address violence and discrimination based on sexual orientation and gender identity that involve the implementation of a gender framework (for example gender theory, gender-based approaches, gender perspective, gender mainstreaming)?</w:t>
      </w:r>
    </w:p>
    <w:p w14:paraId="33BF5B56" w14:textId="77777777" w:rsidR="00FD2F68" w:rsidRDefault="00FD2F68" w:rsidP="00FD2F68">
      <w:pPr>
        <w:pBdr>
          <w:top w:val="nil"/>
          <w:left w:val="nil"/>
          <w:bottom w:val="nil"/>
          <w:right w:val="nil"/>
          <w:between w:val="nil"/>
        </w:pBdr>
        <w:spacing w:after="0" w:line="240" w:lineRule="auto"/>
        <w:jc w:val="both"/>
        <w:rPr>
          <w:rFonts w:ascii="Sylfaen" w:eastAsia="Times New Roman" w:hAnsi="Sylfaen" w:cs="Times New Roman"/>
          <w:color w:val="000000"/>
          <w:sz w:val="24"/>
          <w:szCs w:val="24"/>
          <w:lang w:eastAsia="en-GB"/>
        </w:rPr>
      </w:pPr>
    </w:p>
    <w:p w14:paraId="4F1FB753" w14:textId="77777777" w:rsidR="00FD2F68" w:rsidRPr="000A4CD8" w:rsidRDefault="00FD2F68" w:rsidP="00FD2F68">
      <w:pPr>
        <w:pBdr>
          <w:top w:val="nil"/>
          <w:left w:val="nil"/>
          <w:bottom w:val="nil"/>
          <w:right w:val="nil"/>
          <w:between w:val="nil"/>
        </w:pBdr>
        <w:spacing w:after="0" w:line="240" w:lineRule="auto"/>
        <w:jc w:val="both"/>
        <w:rPr>
          <w:rFonts w:ascii="Sylfaen" w:eastAsia="Times New Roman" w:hAnsi="Sylfaen" w:cs="Times New Roman"/>
          <w:color w:val="000000"/>
          <w:sz w:val="24"/>
          <w:szCs w:val="24"/>
          <w:lang w:eastAsia="en-GB"/>
        </w:rPr>
      </w:pPr>
      <w:r>
        <w:rPr>
          <w:rFonts w:ascii="Sylfaen" w:eastAsia="Times New Roman" w:hAnsi="Sylfaen" w:cs="Times New Roman"/>
          <w:color w:val="000000"/>
          <w:sz w:val="24"/>
          <w:szCs w:val="24"/>
          <w:lang w:eastAsia="en-GB"/>
        </w:rPr>
        <w:t>In 2017, Georgia ratified the Council of Europe Convention on Preventing and Combating Violence against Women and Domestic Violence (Istanbul Convention). As a result of the ratification, the state adopted a package of legislative amendments in order to harmonize national legislation with the Convention.</w:t>
      </w:r>
      <w:r>
        <w:rPr>
          <w:rFonts w:ascii="Sylfaen" w:eastAsia="Times New Roman" w:hAnsi="Sylfaen" w:cs="Times New Roman"/>
          <w:color w:val="000000"/>
          <w:sz w:val="24"/>
          <w:szCs w:val="24"/>
          <w:lang w:val="ka-GE" w:eastAsia="en-GB"/>
        </w:rPr>
        <w:t xml:space="preserve"> </w:t>
      </w:r>
      <w:r>
        <w:rPr>
          <w:rFonts w:ascii="Sylfaen" w:eastAsia="Times New Roman" w:hAnsi="Sylfaen" w:cs="Times New Roman"/>
          <w:color w:val="000000"/>
          <w:sz w:val="24"/>
          <w:szCs w:val="24"/>
          <w:lang w:eastAsia="en-GB"/>
        </w:rPr>
        <w:t xml:space="preserve">However, current legislation doesn’t cover every aspect of gender and related concepts (for example, gender mainstreaming). </w:t>
      </w:r>
    </w:p>
    <w:p w14:paraId="5D06948F" w14:textId="6137659C" w:rsidR="000B2854" w:rsidRPr="000B2854" w:rsidRDefault="000B2854" w:rsidP="00FD2F68">
      <w:pPr>
        <w:pBdr>
          <w:top w:val="nil"/>
          <w:left w:val="nil"/>
          <w:bottom w:val="nil"/>
          <w:right w:val="nil"/>
          <w:between w:val="nil"/>
        </w:pBdr>
        <w:spacing w:after="0" w:line="240" w:lineRule="auto"/>
        <w:jc w:val="both"/>
        <w:rPr>
          <w:rFonts w:ascii="Sylfaen" w:eastAsia="Times New Roman" w:hAnsi="Sylfaen" w:cs="Times New Roman"/>
          <w:color w:val="000000"/>
          <w:sz w:val="24"/>
          <w:szCs w:val="24"/>
          <w:lang w:eastAsia="en-GB"/>
        </w:rPr>
      </w:pPr>
    </w:p>
    <w:p w14:paraId="607E2543" w14:textId="77777777" w:rsidR="000B2854" w:rsidRPr="000B2854" w:rsidRDefault="000B2854" w:rsidP="000B2854">
      <w:pPr>
        <w:pBdr>
          <w:top w:val="nil"/>
          <w:left w:val="nil"/>
          <w:bottom w:val="nil"/>
          <w:right w:val="nil"/>
          <w:between w:val="nil"/>
        </w:pBdr>
        <w:spacing w:after="0" w:line="240" w:lineRule="auto"/>
        <w:ind w:left="360"/>
        <w:jc w:val="both"/>
        <w:rPr>
          <w:rFonts w:ascii="Sylfaen" w:eastAsia="Times New Roman" w:hAnsi="Sylfaen" w:cs="Times New Roman"/>
          <w:color w:val="000000"/>
          <w:sz w:val="24"/>
          <w:szCs w:val="24"/>
          <w:lang w:eastAsia="en-GB"/>
        </w:rPr>
      </w:pPr>
    </w:p>
    <w:p w14:paraId="62686A15" w14:textId="77777777" w:rsidR="000B2854" w:rsidRPr="000B2854" w:rsidRDefault="000B2854" w:rsidP="000B2854">
      <w:pPr>
        <w:numPr>
          <w:ilvl w:val="0"/>
          <w:numId w:val="1"/>
        </w:numPr>
        <w:pBdr>
          <w:top w:val="nil"/>
          <w:left w:val="nil"/>
          <w:bottom w:val="nil"/>
          <w:right w:val="nil"/>
          <w:between w:val="nil"/>
        </w:pBdr>
        <w:spacing w:after="0" w:line="240" w:lineRule="auto"/>
        <w:jc w:val="both"/>
        <w:rPr>
          <w:rFonts w:ascii="Sylfaen" w:eastAsia="Times New Roman" w:hAnsi="Sylfaen" w:cs="Times New Roman"/>
          <w:b/>
          <w:bCs/>
          <w:color w:val="000000"/>
          <w:sz w:val="24"/>
          <w:szCs w:val="24"/>
          <w:lang w:eastAsia="en-GB"/>
        </w:rPr>
      </w:pPr>
      <w:r w:rsidRPr="000B2854">
        <w:rPr>
          <w:rFonts w:ascii="Sylfaen" w:eastAsia="Times New Roman" w:hAnsi="Sylfaen" w:cs="Times New Roman"/>
          <w:b/>
          <w:bCs/>
          <w:color w:val="000000"/>
          <w:sz w:val="24"/>
          <w:szCs w:val="24"/>
          <w:lang w:eastAsia="en-GB"/>
        </w:rPr>
        <w:lastRenderedPageBreak/>
        <w:t xml:space="preserve">What kinds of information and data are collected by States to identify forms of violence and discrimination faced by people based on sexual orientation and gender identity? Is the data designed to capture causes and patterns of violence and discrimination against lesbians, gay men, bisexual women, bisexual men, trans women, trans men, and gender diverse persons? </w:t>
      </w:r>
    </w:p>
    <w:p w14:paraId="5D7D55A1" w14:textId="2C4AEB5D" w:rsidR="00FD2F68" w:rsidRDefault="00FD2F68" w:rsidP="00FD2F68">
      <w:pPr>
        <w:pBdr>
          <w:top w:val="nil"/>
          <w:left w:val="nil"/>
          <w:bottom w:val="nil"/>
          <w:right w:val="nil"/>
          <w:between w:val="nil"/>
        </w:pBdr>
        <w:spacing w:after="0" w:line="240" w:lineRule="auto"/>
        <w:jc w:val="both"/>
        <w:rPr>
          <w:rFonts w:ascii="Sylfaen" w:eastAsia="Times New Roman" w:hAnsi="Sylfaen" w:cs="Times New Roman"/>
          <w:color w:val="000000"/>
          <w:sz w:val="24"/>
          <w:szCs w:val="24"/>
          <w:lang w:eastAsia="en-GB"/>
        </w:rPr>
      </w:pPr>
    </w:p>
    <w:p w14:paraId="7B90817E" w14:textId="739BECA2" w:rsidR="00D1453F" w:rsidRDefault="00D1453F" w:rsidP="00FD2F68">
      <w:pPr>
        <w:pBdr>
          <w:top w:val="nil"/>
          <w:left w:val="nil"/>
          <w:bottom w:val="nil"/>
          <w:right w:val="nil"/>
          <w:between w:val="nil"/>
        </w:pBdr>
        <w:spacing w:after="0" w:line="240" w:lineRule="auto"/>
        <w:jc w:val="both"/>
        <w:rPr>
          <w:rFonts w:ascii="Sylfaen" w:eastAsia="Times New Roman" w:hAnsi="Sylfaen" w:cs="Times New Roman"/>
          <w:color w:val="000000"/>
          <w:sz w:val="24"/>
          <w:szCs w:val="24"/>
          <w:lang w:val="ka-GE" w:eastAsia="en-GB"/>
        </w:rPr>
      </w:pPr>
      <w:r>
        <w:rPr>
          <w:rFonts w:ascii="Sylfaen" w:eastAsia="Times New Roman" w:hAnsi="Sylfaen" w:cs="Times New Roman"/>
          <w:color w:val="000000"/>
          <w:sz w:val="24"/>
          <w:szCs w:val="24"/>
          <w:lang w:eastAsia="en-GB"/>
        </w:rPr>
        <w:t xml:space="preserve">The state collected information and data of hate crimes against LGBTQ+ people. However, as a result of non-existence of the high quality, timely and unified statistical data on hate crimes against LGBTQ+, it’s impossible to determine the real number of the sexual orientation, gender identity or gender expression-based hate crimes.  </w:t>
      </w:r>
    </w:p>
    <w:p w14:paraId="702E8D91" w14:textId="44F9E318" w:rsidR="00D1453F" w:rsidRDefault="00D1453F" w:rsidP="00FD2F68">
      <w:pPr>
        <w:pBdr>
          <w:top w:val="nil"/>
          <w:left w:val="nil"/>
          <w:bottom w:val="nil"/>
          <w:right w:val="nil"/>
          <w:between w:val="nil"/>
        </w:pBdr>
        <w:spacing w:after="0" w:line="240" w:lineRule="auto"/>
        <w:jc w:val="both"/>
        <w:rPr>
          <w:rFonts w:ascii="Sylfaen" w:eastAsia="Times New Roman" w:hAnsi="Sylfaen" w:cs="Times New Roman"/>
          <w:color w:val="000000"/>
          <w:sz w:val="24"/>
          <w:szCs w:val="24"/>
          <w:lang w:val="ka-GE" w:eastAsia="en-GB"/>
        </w:rPr>
      </w:pPr>
    </w:p>
    <w:p w14:paraId="4189ED74" w14:textId="210B52E5" w:rsidR="00D1453F" w:rsidRPr="00D1453F" w:rsidRDefault="00D1453F" w:rsidP="00FD2F68">
      <w:pPr>
        <w:pBdr>
          <w:top w:val="nil"/>
          <w:left w:val="nil"/>
          <w:bottom w:val="nil"/>
          <w:right w:val="nil"/>
          <w:between w:val="nil"/>
        </w:pBdr>
        <w:spacing w:after="0" w:line="240" w:lineRule="auto"/>
        <w:jc w:val="both"/>
        <w:rPr>
          <w:rFonts w:ascii="Sylfaen" w:eastAsia="Times New Roman" w:hAnsi="Sylfaen" w:cs="Times New Roman"/>
          <w:color w:val="000000"/>
          <w:sz w:val="24"/>
          <w:szCs w:val="24"/>
          <w:lang w:eastAsia="en-GB"/>
        </w:rPr>
      </w:pPr>
      <w:r>
        <w:rPr>
          <w:rFonts w:ascii="Sylfaen" w:eastAsia="Times New Roman" w:hAnsi="Sylfaen" w:cs="Times New Roman"/>
          <w:color w:val="000000"/>
          <w:sz w:val="24"/>
          <w:szCs w:val="24"/>
          <w:lang w:eastAsia="en-GB"/>
        </w:rPr>
        <w:t>The official statistical data</w:t>
      </w:r>
      <w:r>
        <w:rPr>
          <w:rStyle w:val="FootnoteReference"/>
          <w:rFonts w:ascii="Sylfaen" w:eastAsia="Times New Roman" w:hAnsi="Sylfaen" w:cs="Times New Roman"/>
          <w:color w:val="000000"/>
          <w:sz w:val="24"/>
          <w:szCs w:val="24"/>
          <w:lang w:eastAsia="en-GB"/>
        </w:rPr>
        <w:footnoteReference w:id="4"/>
      </w:r>
      <w:r>
        <w:rPr>
          <w:rFonts w:ascii="Sylfaen" w:eastAsia="Times New Roman" w:hAnsi="Sylfaen" w:cs="Times New Roman"/>
          <w:color w:val="000000"/>
          <w:sz w:val="24"/>
          <w:szCs w:val="24"/>
          <w:lang w:eastAsia="en-GB"/>
        </w:rPr>
        <w:t xml:space="preserve"> doesn’t take an intersectional approach or include information on the relationship between victims and perpetrators.</w:t>
      </w:r>
    </w:p>
    <w:p w14:paraId="13649229" w14:textId="1447DEB4" w:rsidR="00D1453F" w:rsidRDefault="00D1453F" w:rsidP="00FD2F68">
      <w:pPr>
        <w:pBdr>
          <w:top w:val="nil"/>
          <w:left w:val="nil"/>
          <w:bottom w:val="nil"/>
          <w:right w:val="nil"/>
          <w:between w:val="nil"/>
        </w:pBdr>
        <w:spacing w:after="0" w:line="240" w:lineRule="auto"/>
        <w:jc w:val="both"/>
        <w:rPr>
          <w:rFonts w:ascii="Sylfaen" w:eastAsia="Times New Roman" w:hAnsi="Sylfaen" w:cs="Times New Roman"/>
          <w:color w:val="000000"/>
          <w:sz w:val="24"/>
          <w:szCs w:val="24"/>
          <w:lang w:eastAsia="en-GB"/>
        </w:rPr>
      </w:pPr>
    </w:p>
    <w:p w14:paraId="37D21334" w14:textId="76961DA6" w:rsidR="000B2854" w:rsidRDefault="000B2854" w:rsidP="000B2854">
      <w:pPr>
        <w:pBdr>
          <w:top w:val="nil"/>
          <w:left w:val="nil"/>
          <w:bottom w:val="nil"/>
          <w:right w:val="nil"/>
          <w:between w:val="nil"/>
        </w:pBdr>
        <w:spacing w:after="0" w:line="240" w:lineRule="auto"/>
        <w:rPr>
          <w:rFonts w:ascii="Sylfaen" w:eastAsia="Times New Roman" w:hAnsi="Sylfaen" w:cs="Times New Roman"/>
          <w:color w:val="000000"/>
          <w:sz w:val="24"/>
          <w:szCs w:val="24"/>
          <w:lang w:eastAsia="en-GB"/>
        </w:rPr>
      </w:pPr>
    </w:p>
    <w:p w14:paraId="77FC5054" w14:textId="77777777" w:rsidR="002176E3" w:rsidRPr="000B2854" w:rsidRDefault="002176E3" w:rsidP="000B2854">
      <w:pPr>
        <w:pBdr>
          <w:top w:val="nil"/>
          <w:left w:val="nil"/>
          <w:bottom w:val="nil"/>
          <w:right w:val="nil"/>
          <w:between w:val="nil"/>
        </w:pBdr>
        <w:spacing w:after="0" w:line="240" w:lineRule="auto"/>
        <w:rPr>
          <w:rFonts w:ascii="Sylfaen" w:eastAsia="Times New Roman" w:hAnsi="Sylfaen" w:cs="Times New Roman"/>
          <w:color w:val="000000"/>
          <w:sz w:val="24"/>
          <w:szCs w:val="24"/>
          <w:lang w:eastAsia="en-GB"/>
        </w:rPr>
      </w:pPr>
    </w:p>
    <w:p w14:paraId="1137837E" w14:textId="77777777" w:rsidR="000B2854" w:rsidRPr="000B2854" w:rsidRDefault="000B2854" w:rsidP="000B2854">
      <w:pPr>
        <w:numPr>
          <w:ilvl w:val="0"/>
          <w:numId w:val="1"/>
        </w:numPr>
        <w:pBdr>
          <w:top w:val="nil"/>
          <w:left w:val="nil"/>
          <w:bottom w:val="nil"/>
          <w:right w:val="nil"/>
          <w:between w:val="nil"/>
        </w:pBdr>
        <w:spacing w:after="0" w:line="240" w:lineRule="auto"/>
        <w:jc w:val="both"/>
        <w:rPr>
          <w:rFonts w:ascii="Sylfaen" w:eastAsia="Times New Roman" w:hAnsi="Sylfaen" w:cs="Times New Roman"/>
          <w:b/>
          <w:bCs/>
          <w:color w:val="000000"/>
          <w:sz w:val="24"/>
          <w:szCs w:val="24"/>
          <w:lang w:eastAsia="en-GB"/>
        </w:rPr>
      </w:pPr>
      <w:r w:rsidRPr="000B2854">
        <w:rPr>
          <w:rFonts w:ascii="Sylfaen" w:eastAsia="Times New Roman" w:hAnsi="Sylfaen" w:cs="Times New Roman"/>
          <w:b/>
          <w:bCs/>
          <w:color w:val="000000"/>
          <w:sz w:val="24"/>
          <w:szCs w:val="24"/>
          <w:lang w:eastAsia="en-GB"/>
        </w:rPr>
        <w:t xml:space="preserve">Is comprehensive sexuality education taught in schools? </w:t>
      </w:r>
    </w:p>
    <w:p w14:paraId="48A6FC89" w14:textId="64035F71" w:rsidR="00D1453F" w:rsidRDefault="00D1453F" w:rsidP="00D1453F">
      <w:pPr>
        <w:pBdr>
          <w:top w:val="nil"/>
          <w:left w:val="nil"/>
          <w:bottom w:val="nil"/>
          <w:right w:val="nil"/>
          <w:between w:val="nil"/>
        </w:pBdr>
        <w:spacing w:after="0" w:line="240" w:lineRule="auto"/>
        <w:jc w:val="both"/>
        <w:rPr>
          <w:rFonts w:ascii="Sylfaen" w:eastAsia="Times New Roman" w:hAnsi="Sylfaen" w:cs="Times New Roman"/>
          <w:color w:val="000000"/>
          <w:sz w:val="24"/>
          <w:szCs w:val="24"/>
          <w:lang w:eastAsia="en-GB"/>
        </w:rPr>
      </w:pPr>
    </w:p>
    <w:p w14:paraId="70716763" w14:textId="25A29D6E" w:rsidR="00D1453F" w:rsidRDefault="00D1453F" w:rsidP="00D1453F">
      <w:pPr>
        <w:pBdr>
          <w:top w:val="nil"/>
          <w:left w:val="nil"/>
          <w:bottom w:val="nil"/>
          <w:right w:val="nil"/>
          <w:between w:val="nil"/>
        </w:pBdr>
        <w:spacing w:after="0" w:line="240" w:lineRule="auto"/>
        <w:jc w:val="both"/>
        <w:rPr>
          <w:rFonts w:ascii="Sylfaen" w:eastAsia="Times New Roman" w:hAnsi="Sylfaen" w:cs="Times New Roman"/>
          <w:color w:val="000000"/>
          <w:sz w:val="24"/>
          <w:szCs w:val="24"/>
          <w:lang w:eastAsia="en-GB"/>
        </w:rPr>
      </w:pPr>
      <w:r>
        <w:rPr>
          <w:rFonts w:ascii="Sylfaen" w:eastAsia="Times New Roman" w:hAnsi="Sylfaen" w:cs="Times New Roman"/>
          <w:color w:val="000000"/>
          <w:sz w:val="24"/>
          <w:szCs w:val="24"/>
          <w:lang w:eastAsia="en-GB"/>
        </w:rPr>
        <w:t xml:space="preserve">Comprehensive sexuality education isn’t tough in public or private schools in Georgia. School curriculums don’t include any information about </w:t>
      </w:r>
      <w:r w:rsidR="002176E3">
        <w:rPr>
          <w:rFonts w:ascii="Sylfaen" w:eastAsia="Times New Roman" w:hAnsi="Sylfaen" w:cs="Times New Roman"/>
          <w:color w:val="000000"/>
          <w:sz w:val="24"/>
          <w:szCs w:val="24"/>
          <w:lang w:eastAsia="en-GB"/>
        </w:rPr>
        <w:t xml:space="preserve">sexual orientation and gender identity perspectives. </w:t>
      </w:r>
    </w:p>
    <w:p w14:paraId="6A7E42A0" w14:textId="08CEE0C6" w:rsidR="002176E3" w:rsidRDefault="002176E3" w:rsidP="00D1453F">
      <w:pPr>
        <w:pBdr>
          <w:top w:val="nil"/>
          <w:left w:val="nil"/>
          <w:bottom w:val="nil"/>
          <w:right w:val="nil"/>
          <w:between w:val="nil"/>
        </w:pBdr>
        <w:spacing w:after="0" w:line="240" w:lineRule="auto"/>
        <w:jc w:val="both"/>
        <w:rPr>
          <w:rFonts w:ascii="Sylfaen" w:eastAsia="Times New Roman" w:hAnsi="Sylfaen" w:cs="Times New Roman"/>
          <w:color w:val="000000"/>
          <w:sz w:val="24"/>
          <w:szCs w:val="24"/>
          <w:lang w:eastAsia="en-GB"/>
        </w:rPr>
      </w:pPr>
    </w:p>
    <w:p w14:paraId="0391CDF2" w14:textId="77777777" w:rsidR="002176E3" w:rsidRPr="000B2854" w:rsidRDefault="002176E3" w:rsidP="00D1453F">
      <w:pPr>
        <w:pBdr>
          <w:top w:val="nil"/>
          <w:left w:val="nil"/>
          <w:bottom w:val="nil"/>
          <w:right w:val="nil"/>
          <w:between w:val="nil"/>
        </w:pBdr>
        <w:spacing w:after="0" w:line="240" w:lineRule="auto"/>
        <w:jc w:val="both"/>
        <w:rPr>
          <w:rFonts w:ascii="Sylfaen" w:eastAsia="Times New Roman" w:hAnsi="Sylfaen" w:cs="Times New Roman"/>
          <w:color w:val="000000"/>
          <w:sz w:val="24"/>
          <w:szCs w:val="24"/>
          <w:lang w:eastAsia="en-GB"/>
        </w:rPr>
      </w:pPr>
    </w:p>
    <w:p w14:paraId="0BA914C8" w14:textId="77777777" w:rsidR="000B2854" w:rsidRPr="000B2854" w:rsidRDefault="000B2854" w:rsidP="000B2854">
      <w:pPr>
        <w:pBdr>
          <w:top w:val="nil"/>
          <w:left w:val="nil"/>
          <w:bottom w:val="nil"/>
          <w:right w:val="nil"/>
          <w:between w:val="nil"/>
        </w:pBdr>
        <w:spacing w:after="0" w:line="240" w:lineRule="auto"/>
        <w:ind w:left="1134"/>
        <w:rPr>
          <w:rFonts w:ascii="Sylfaen" w:eastAsia="Times New Roman" w:hAnsi="Sylfaen" w:cs="Times New Roman"/>
          <w:color w:val="000000"/>
          <w:sz w:val="24"/>
          <w:szCs w:val="24"/>
          <w:lang w:eastAsia="en-GB"/>
        </w:rPr>
      </w:pPr>
    </w:p>
    <w:p w14:paraId="708EE56A" w14:textId="77777777" w:rsidR="000B2854" w:rsidRPr="000B2854" w:rsidRDefault="000B2854" w:rsidP="000B2854">
      <w:pPr>
        <w:numPr>
          <w:ilvl w:val="0"/>
          <w:numId w:val="1"/>
        </w:numPr>
        <w:pBdr>
          <w:top w:val="nil"/>
          <w:left w:val="nil"/>
          <w:bottom w:val="nil"/>
          <w:right w:val="nil"/>
          <w:between w:val="nil"/>
        </w:pBdr>
        <w:spacing w:after="0" w:line="240" w:lineRule="auto"/>
        <w:jc w:val="both"/>
        <w:rPr>
          <w:rFonts w:ascii="Sylfaen" w:eastAsia="Times New Roman" w:hAnsi="Sylfaen" w:cs="Times New Roman"/>
          <w:b/>
          <w:bCs/>
          <w:color w:val="000000"/>
          <w:sz w:val="24"/>
          <w:szCs w:val="24"/>
          <w:lang w:eastAsia="en-GB"/>
        </w:rPr>
      </w:pPr>
      <w:r w:rsidRPr="000B2854">
        <w:rPr>
          <w:rFonts w:ascii="Sylfaen" w:eastAsia="Times New Roman" w:hAnsi="Sylfaen" w:cs="Times New Roman"/>
          <w:b/>
          <w:bCs/>
          <w:color w:val="000000"/>
          <w:sz w:val="24"/>
          <w:szCs w:val="24"/>
          <w:lang w:eastAsia="en-GB"/>
        </w:rPr>
        <w:t xml:space="preserve">Are there examples where the concept of gender has been used in religious narratives or narratives of tradition, traditional values or protection of the family to hinder the adoption of legislative or policy measures aimed at addressing or eradicating violence and discrimination based on sex, gender, sexual orientation and gender identity? </w:t>
      </w:r>
    </w:p>
    <w:p w14:paraId="35040C85" w14:textId="331B6F11" w:rsidR="000B2854" w:rsidRDefault="000B2854" w:rsidP="002176E3">
      <w:pPr>
        <w:spacing w:after="0" w:line="240" w:lineRule="auto"/>
        <w:contextualSpacing/>
        <w:rPr>
          <w:rFonts w:ascii="Sylfaen" w:eastAsia="Times New Roman" w:hAnsi="Sylfaen" w:cs="Times New Roman"/>
          <w:b/>
          <w:bCs/>
          <w:color w:val="000000"/>
          <w:sz w:val="24"/>
          <w:szCs w:val="24"/>
          <w:lang w:eastAsia="en-GB"/>
        </w:rPr>
      </w:pPr>
    </w:p>
    <w:p w14:paraId="12A1CE6E" w14:textId="544265DE" w:rsidR="005C2DB7" w:rsidRDefault="002176E3" w:rsidP="005C2DB7">
      <w:pPr>
        <w:spacing w:after="0" w:line="240" w:lineRule="auto"/>
        <w:contextualSpacing/>
        <w:jc w:val="both"/>
        <w:rPr>
          <w:rFonts w:ascii="Sylfaen" w:eastAsia="Times New Roman" w:hAnsi="Sylfaen" w:cs="Times New Roman"/>
          <w:color w:val="000000"/>
          <w:sz w:val="24"/>
          <w:szCs w:val="24"/>
          <w:lang w:eastAsia="en-GB"/>
        </w:rPr>
      </w:pPr>
      <w:r>
        <w:rPr>
          <w:rFonts w:ascii="Sylfaen" w:eastAsia="Times New Roman" w:hAnsi="Sylfaen" w:cs="Times New Roman"/>
          <w:color w:val="000000"/>
          <w:sz w:val="24"/>
          <w:szCs w:val="24"/>
          <w:lang w:eastAsia="en-GB"/>
        </w:rPr>
        <w:t xml:space="preserve">The Georgian Orthodox Church is the largest religious institution in the countries, which has a huge political and </w:t>
      </w:r>
      <w:r w:rsidR="005C2DB7">
        <w:rPr>
          <w:rFonts w:ascii="Sylfaen" w:eastAsia="Times New Roman" w:hAnsi="Sylfaen" w:cs="Times New Roman"/>
          <w:color w:val="000000"/>
          <w:sz w:val="24"/>
          <w:szCs w:val="24"/>
          <w:lang w:eastAsia="en-GB"/>
        </w:rPr>
        <w:t>public</w:t>
      </w:r>
      <w:r>
        <w:rPr>
          <w:rFonts w:ascii="Sylfaen" w:eastAsia="Times New Roman" w:hAnsi="Sylfaen" w:cs="Times New Roman"/>
          <w:color w:val="000000"/>
          <w:sz w:val="24"/>
          <w:szCs w:val="24"/>
          <w:lang w:eastAsia="en-GB"/>
        </w:rPr>
        <w:t xml:space="preserve"> influence. On May 17, 2013, the members of the Church led </w:t>
      </w:r>
      <w:r w:rsidR="005C2DB7">
        <w:rPr>
          <w:rFonts w:ascii="Sylfaen" w:eastAsia="Times New Roman" w:hAnsi="Sylfaen" w:cs="Times New Roman"/>
          <w:color w:val="000000"/>
          <w:sz w:val="24"/>
          <w:szCs w:val="24"/>
          <w:lang w:eastAsia="en-GB"/>
        </w:rPr>
        <w:t>the violence against anti-homophobic rally.</w:t>
      </w:r>
      <w:r w:rsidR="005C2DB7">
        <w:rPr>
          <w:rStyle w:val="FootnoteReference"/>
          <w:rFonts w:ascii="Sylfaen" w:eastAsia="Times New Roman" w:hAnsi="Sylfaen" w:cs="Times New Roman"/>
          <w:color w:val="000000"/>
          <w:sz w:val="24"/>
          <w:szCs w:val="24"/>
          <w:lang w:eastAsia="en-GB"/>
        </w:rPr>
        <w:footnoteReference w:id="5"/>
      </w:r>
      <w:r w:rsidR="005C2DB7">
        <w:rPr>
          <w:rFonts w:ascii="Sylfaen" w:eastAsia="Times New Roman" w:hAnsi="Sylfaen" w:cs="Times New Roman"/>
          <w:color w:val="000000"/>
          <w:sz w:val="24"/>
          <w:szCs w:val="24"/>
          <w:lang w:eastAsia="en-GB"/>
        </w:rPr>
        <w:t xml:space="preserve"> Also, in 2014, during the adoption process of the law </w:t>
      </w:r>
      <w:r w:rsidR="005C2DB7">
        <w:rPr>
          <w:rFonts w:ascii="Sylfaen" w:eastAsia="Times New Roman" w:hAnsi="Sylfaen" w:cs="Times New Roman"/>
          <w:color w:val="000000"/>
          <w:sz w:val="24"/>
          <w:szCs w:val="24"/>
          <w:lang w:eastAsia="en-GB"/>
        </w:rPr>
        <w:t>On the Elimination of All forms of Discrimination</w:t>
      </w:r>
      <w:r w:rsidR="005C2DB7">
        <w:rPr>
          <w:rFonts w:ascii="Sylfaen" w:eastAsia="Times New Roman" w:hAnsi="Sylfaen" w:cs="Times New Roman"/>
          <w:color w:val="000000"/>
          <w:sz w:val="24"/>
          <w:szCs w:val="24"/>
          <w:lang w:eastAsia="en-GB"/>
        </w:rPr>
        <w:t>, the Patriarch Ilia the second urged the parliament to delay the adoption of the law,</w:t>
      </w:r>
      <w:r w:rsidR="005C2DB7">
        <w:rPr>
          <w:rStyle w:val="FootnoteReference"/>
          <w:rFonts w:ascii="Sylfaen" w:eastAsia="Times New Roman" w:hAnsi="Sylfaen" w:cs="Times New Roman"/>
          <w:color w:val="000000"/>
          <w:sz w:val="24"/>
          <w:szCs w:val="24"/>
          <w:lang w:eastAsia="en-GB"/>
        </w:rPr>
        <w:footnoteReference w:id="6"/>
      </w:r>
      <w:r w:rsidR="005C2DB7">
        <w:rPr>
          <w:rFonts w:ascii="Sylfaen" w:eastAsia="Times New Roman" w:hAnsi="Sylfaen" w:cs="Times New Roman"/>
          <w:color w:val="000000"/>
          <w:sz w:val="24"/>
          <w:szCs w:val="24"/>
          <w:lang w:eastAsia="en-GB"/>
        </w:rPr>
        <w:t xml:space="preserve">  because it was the spreading of  “gay propaganda”</w:t>
      </w:r>
    </w:p>
    <w:p w14:paraId="71431B03" w14:textId="3DD1D8E3" w:rsidR="005C2DB7" w:rsidRPr="002176E3" w:rsidRDefault="005C2DB7" w:rsidP="002176E3">
      <w:pPr>
        <w:spacing w:after="0" w:line="240" w:lineRule="auto"/>
        <w:contextualSpacing/>
        <w:rPr>
          <w:rFonts w:ascii="Sylfaen" w:eastAsia="Times New Roman" w:hAnsi="Sylfaen" w:cs="Times New Roman"/>
          <w:color w:val="000000"/>
          <w:sz w:val="24"/>
          <w:szCs w:val="24"/>
          <w:lang w:eastAsia="en-GB"/>
        </w:rPr>
      </w:pPr>
    </w:p>
    <w:p w14:paraId="3FC2099C" w14:textId="11F77EB1" w:rsidR="002176E3" w:rsidRDefault="002176E3" w:rsidP="002176E3">
      <w:pPr>
        <w:spacing w:after="0" w:line="240" w:lineRule="auto"/>
        <w:contextualSpacing/>
        <w:rPr>
          <w:rFonts w:ascii="Sylfaen" w:eastAsia="Times New Roman" w:hAnsi="Sylfaen" w:cs="Times New Roman"/>
          <w:b/>
          <w:bCs/>
          <w:color w:val="000000"/>
          <w:sz w:val="24"/>
          <w:szCs w:val="24"/>
          <w:lang w:eastAsia="en-GB"/>
        </w:rPr>
      </w:pPr>
    </w:p>
    <w:p w14:paraId="5EC3F7AF" w14:textId="1F01D4EF" w:rsidR="002176E3" w:rsidRDefault="002176E3" w:rsidP="002176E3">
      <w:pPr>
        <w:spacing w:after="0" w:line="240" w:lineRule="auto"/>
        <w:contextualSpacing/>
        <w:rPr>
          <w:rFonts w:ascii="Sylfaen" w:eastAsia="Times New Roman" w:hAnsi="Sylfaen" w:cs="Times New Roman"/>
          <w:b/>
          <w:bCs/>
          <w:color w:val="000000"/>
          <w:sz w:val="24"/>
          <w:szCs w:val="24"/>
          <w:lang w:eastAsia="en-GB"/>
        </w:rPr>
      </w:pPr>
    </w:p>
    <w:p w14:paraId="1537A031" w14:textId="12093C23" w:rsidR="002176E3" w:rsidRDefault="002176E3" w:rsidP="005C2DB7">
      <w:pPr>
        <w:spacing w:after="0" w:line="240" w:lineRule="auto"/>
        <w:contextualSpacing/>
        <w:rPr>
          <w:rFonts w:ascii="Sylfaen" w:eastAsia="Times New Roman" w:hAnsi="Sylfaen" w:cs="Times New Roman"/>
          <w:b/>
          <w:bCs/>
          <w:color w:val="000000"/>
          <w:sz w:val="24"/>
          <w:szCs w:val="24"/>
          <w:lang w:eastAsia="en-GB"/>
        </w:rPr>
      </w:pPr>
    </w:p>
    <w:p w14:paraId="0754D75F" w14:textId="77777777" w:rsidR="002176E3" w:rsidRPr="000B2854" w:rsidRDefault="002176E3" w:rsidP="000B2854">
      <w:pPr>
        <w:spacing w:after="0" w:line="240" w:lineRule="auto"/>
        <w:ind w:left="720"/>
        <w:contextualSpacing/>
        <w:rPr>
          <w:rFonts w:ascii="Sylfaen" w:eastAsia="Times New Roman" w:hAnsi="Sylfaen" w:cs="Times New Roman"/>
          <w:b/>
          <w:bCs/>
          <w:color w:val="000000"/>
          <w:sz w:val="24"/>
          <w:szCs w:val="24"/>
          <w:lang w:eastAsia="en-GB"/>
        </w:rPr>
      </w:pPr>
    </w:p>
    <w:p w14:paraId="77610B47" w14:textId="78E370C0" w:rsidR="000B2854" w:rsidRPr="005A0C3F" w:rsidRDefault="000B2854" w:rsidP="000B2854">
      <w:pPr>
        <w:numPr>
          <w:ilvl w:val="0"/>
          <w:numId w:val="1"/>
        </w:numPr>
        <w:pBdr>
          <w:top w:val="nil"/>
          <w:left w:val="nil"/>
          <w:bottom w:val="nil"/>
          <w:right w:val="nil"/>
          <w:between w:val="nil"/>
        </w:pBdr>
        <w:spacing w:after="0" w:line="240" w:lineRule="auto"/>
        <w:jc w:val="both"/>
        <w:rPr>
          <w:rFonts w:ascii="Sylfaen" w:eastAsia="Times New Roman" w:hAnsi="Sylfaen" w:cs="Times New Roman"/>
          <w:b/>
          <w:bCs/>
          <w:sz w:val="24"/>
          <w:szCs w:val="24"/>
          <w:lang w:eastAsia="en-GB"/>
        </w:rPr>
      </w:pPr>
      <w:r w:rsidRPr="000B2854">
        <w:rPr>
          <w:rFonts w:ascii="Sylfaen" w:eastAsia="Times New Roman" w:hAnsi="Sylfaen" w:cs="Times New Roman"/>
          <w:b/>
          <w:bCs/>
          <w:color w:val="000000"/>
          <w:sz w:val="24"/>
          <w:szCs w:val="24"/>
          <w:lang w:eastAsia="en-GB"/>
        </w:rPr>
        <w:t>Are there examples where a concept of gender has been used in religious, traditional, or indigenous narratives or values in a manner which promotes the acceptance of persons with diverse sexual orientations or gender identity, or protects LGBT individuals from violence and discrimination as well as covering a wider range of persons?</w:t>
      </w:r>
      <w:r w:rsidRPr="000B2854">
        <w:rPr>
          <w:rFonts w:ascii="Sylfaen" w:eastAsia="Times New Roman" w:hAnsi="Sylfaen" w:cs="Times New Roman"/>
          <w:b/>
          <w:bCs/>
          <w:color w:val="000000"/>
          <w:sz w:val="24"/>
          <w:szCs w:val="24"/>
          <w:vertAlign w:val="superscript"/>
          <w:lang w:eastAsia="en-GB"/>
        </w:rPr>
        <w:footnoteReference w:id="7"/>
      </w:r>
    </w:p>
    <w:p w14:paraId="48696252" w14:textId="0DEDC546" w:rsidR="005A0C3F" w:rsidRDefault="005A0C3F" w:rsidP="005A0C3F">
      <w:pPr>
        <w:pBdr>
          <w:top w:val="nil"/>
          <w:left w:val="nil"/>
          <w:bottom w:val="nil"/>
          <w:right w:val="nil"/>
          <w:between w:val="nil"/>
        </w:pBdr>
        <w:spacing w:after="0" w:line="240" w:lineRule="auto"/>
        <w:jc w:val="both"/>
        <w:rPr>
          <w:rFonts w:ascii="Sylfaen" w:eastAsia="Times New Roman" w:hAnsi="Sylfaen" w:cs="Times New Roman"/>
          <w:b/>
          <w:bCs/>
          <w:color w:val="000000"/>
          <w:sz w:val="24"/>
          <w:szCs w:val="24"/>
          <w:lang w:eastAsia="en-GB"/>
        </w:rPr>
      </w:pPr>
    </w:p>
    <w:p w14:paraId="75B5CDF7" w14:textId="780A221F" w:rsidR="005A0C3F" w:rsidRPr="005A0C3F" w:rsidRDefault="005A0C3F" w:rsidP="005A0C3F">
      <w:pPr>
        <w:pBdr>
          <w:top w:val="nil"/>
          <w:left w:val="nil"/>
          <w:bottom w:val="nil"/>
          <w:right w:val="nil"/>
          <w:between w:val="nil"/>
        </w:pBdr>
        <w:spacing w:after="0" w:line="240" w:lineRule="auto"/>
        <w:jc w:val="both"/>
        <w:rPr>
          <w:rFonts w:ascii="Sylfaen" w:eastAsia="Times New Roman" w:hAnsi="Sylfaen" w:cs="Times New Roman"/>
          <w:sz w:val="24"/>
          <w:szCs w:val="24"/>
          <w:lang w:eastAsia="en-GB"/>
        </w:rPr>
      </w:pPr>
      <w:r w:rsidRPr="005A0C3F">
        <w:rPr>
          <w:rFonts w:ascii="Sylfaen" w:eastAsia="Times New Roman" w:hAnsi="Sylfaen" w:cs="Times New Roman"/>
          <w:color w:val="000000"/>
          <w:sz w:val="24"/>
          <w:szCs w:val="24"/>
          <w:lang w:eastAsia="en-GB"/>
        </w:rPr>
        <w:t>There</w:t>
      </w:r>
      <w:r>
        <w:rPr>
          <w:rFonts w:ascii="Sylfaen" w:eastAsia="Times New Roman" w:hAnsi="Sylfaen" w:cs="Times New Roman"/>
          <w:color w:val="000000"/>
          <w:sz w:val="24"/>
          <w:szCs w:val="24"/>
          <w:lang w:eastAsia="en-GB"/>
        </w:rPr>
        <w:t xml:space="preserve"> is</w:t>
      </w:r>
      <w:r w:rsidRPr="005A0C3F">
        <w:rPr>
          <w:rFonts w:ascii="Sylfaen" w:eastAsia="Times New Roman" w:hAnsi="Sylfaen" w:cs="Times New Roman"/>
          <w:color w:val="000000"/>
          <w:sz w:val="24"/>
          <w:szCs w:val="24"/>
          <w:lang w:eastAsia="en-GB"/>
        </w:rPr>
        <w:t xml:space="preserve"> no any relevant example.</w:t>
      </w:r>
    </w:p>
    <w:p w14:paraId="60FA8F23" w14:textId="26C87E85" w:rsidR="000B2854" w:rsidRDefault="000B2854" w:rsidP="000B2854">
      <w:pPr>
        <w:pBdr>
          <w:top w:val="nil"/>
          <w:left w:val="nil"/>
          <w:bottom w:val="nil"/>
          <w:right w:val="nil"/>
          <w:between w:val="nil"/>
        </w:pBdr>
        <w:spacing w:after="0" w:line="240" w:lineRule="auto"/>
        <w:ind w:left="360"/>
        <w:jc w:val="both"/>
        <w:rPr>
          <w:rFonts w:ascii="Sylfaen" w:eastAsia="Times New Roman" w:hAnsi="Sylfaen" w:cs="Times New Roman"/>
          <w:b/>
          <w:bCs/>
          <w:color w:val="000000"/>
          <w:sz w:val="24"/>
          <w:szCs w:val="24"/>
          <w:lang w:eastAsia="en-GB"/>
        </w:rPr>
      </w:pPr>
    </w:p>
    <w:p w14:paraId="74AA7247" w14:textId="77777777" w:rsidR="005A0C3F" w:rsidRPr="000B2854" w:rsidRDefault="005A0C3F" w:rsidP="000B2854">
      <w:pPr>
        <w:pBdr>
          <w:top w:val="nil"/>
          <w:left w:val="nil"/>
          <w:bottom w:val="nil"/>
          <w:right w:val="nil"/>
          <w:between w:val="nil"/>
        </w:pBdr>
        <w:spacing w:after="0" w:line="240" w:lineRule="auto"/>
        <w:ind w:left="360"/>
        <w:jc w:val="both"/>
        <w:rPr>
          <w:rFonts w:ascii="Sylfaen" w:eastAsia="Times New Roman" w:hAnsi="Sylfaen" w:cs="Times New Roman"/>
          <w:b/>
          <w:bCs/>
          <w:color w:val="000000"/>
          <w:sz w:val="24"/>
          <w:szCs w:val="24"/>
          <w:lang w:eastAsia="en-GB"/>
        </w:rPr>
      </w:pPr>
    </w:p>
    <w:p w14:paraId="075224BC" w14:textId="49EF1650" w:rsidR="000B2854" w:rsidRDefault="000B2854" w:rsidP="000B2854">
      <w:pPr>
        <w:numPr>
          <w:ilvl w:val="0"/>
          <w:numId w:val="1"/>
        </w:numPr>
        <w:pBdr>
          <w:top w:val="nil"/>
          <w:left w:val="nil"/>
          <w:bottom w:val="nil"/>
          <w:right w:val="nil"/>
          <w:between w:val="nil"/>
        </w:pBdr>
        <w:spacing w:after="0" w:line="240" w:lineRule="auto"/>
        <w:jc w:val="both"/>
        <w:rPr>
          <w:rFonts w:ascii="Sylfaen" w:eastAsia="Times New Roman" w:hAnsi="Sylfaen" w:cs="Times New Roman"/>
          <w:b/>
          <w:bCs/>
          <w:color w:val="000000"/>
          <w:sz w:val="24"/>
          <w:szCs w:val="24"/>
          <w:lang w:eastAsia="en-GB"/>
        </w:rPr>
      </w:pPr>
      <w:r w:rsidRPr="000B2854">
        <w:rPr>
          <w:rFonts w:ascii="Sylfaen" w:eastAsia="Times New Roman" w:hAnsi="Sylfaen" w:cs="Times New Roman"/>
          <w:b/>
          <w:bCs/>
          <w:color w:val="000000"/>
          <w:sz w:val="24"/>
          <w:szCs w:val="24"/>
          <w:lang w:eastAsia="en-GB"/>
        </w:rPr>
        <w:t>Are there examples in which narratives or “gender ideology,” “genderism” or other gender-related concepts have been used to introduce regressive measures, in particular but not limited to LGBT persons or communities?</w:t>
      </w:r>
    </w:p>
    <w:p w14:paraId="7437D31A" w14:textId="1CAA76B2" w:rsidR="005A0C3F" w:rsidRDefault="005A0C3F" w:rsidP="005A0C3F">
      <w:pPr>
        <w:pBdr>
          <w:top w:val="nil"/>
          <w:left w:val="nil"/>
          <w:bottom w:val="nil"/>
          <w:right w:val="nil"/>
          <w:between w:val="nil"/>
        </w:pBdr>
        <w:spacing w:after="0" w:line="240" w:lineRule="auto"/>
        <w:jc w:val="both"/>
        <w:rPr>
          <w:rFonts w:ascii="Sylfaen" w:eastAsia="Times New Roman" w:hAnsi="Sylfaen" w:cs="Times New Roman"/>
          <w:b/>
          <w:bCs/>
          <w:color w:val="000000"/>
          <w:sz w:val="24"/>
          <w:szCs w:val="24"/>
          <w:lang w:eastAsia="en-GB"/>
        </w:rPr>
      </w:pPr>
    </w:p>
    <w:p w14:paraId="52985405" w14:textId="0BC3F7E7" w:rsidR="005A0C3F" w:rsidRPr="005A0C3F" w:rsidRDefault="005A0C3F" w:rsidP="005A0C3F">
      <w:pPr>
        <w:pBdr>
          <w:top w:val="nil"/>
          <w:left w:val="nil"/>
          <w:bottom w:val="nil"/>
          <w:right w:val="nil"/>
          <w:between w:val="nil"/>
        </w:pBdr>
        <w:spacing w:after="0" w:line="240" w:lineRule="auto"/>
        <w:jc w:val="both"/>
        <w:rPr>
          <w:rFonts w:ascii="Sylfaen" w:eastAsia="Times New Roman" w:hAnsi="Sylfaen" w:cs="Times New Roman"/>
          <w:color w:val="000000"/>
          <w:sz w:val="24"/>
          <w:szCs w:val="24"/>
          <w:lang w:eastAsia="en-GB"/>
        </w:rPr>
      </w:pPr>
      <w:r>
        <w:rPr>
          <w:rFonts w:ascii="Sylfaen" w:eastAsia="Times New Roman" w:hAnsi="Sylfaen" w:cs="Times New Roman"/>
          <w:color w:val="000000"/>
          <w:sz w:val="24"/>
          <w:szCs w:val="24"/>
          <w:lang w:eastAsia="en-GB"/>
        </w:rPr>
        <w:t xml:space="preserve">There is no any relevant example. </w:t>
      </w:r>
    </w:p>
    <w:p w14:paraId="6E6AB336" w14:textId="0E6A0D84" w:rsidR="005A0C3F" w:rsidRDefault="005A0C3F" w:rsidP="005A0C3F">
      <w:pPr>
        <w:pBdr>
          <w:top w:val="nil"/>
          <w:left w:val="nil"/>
          <w:bottom w:val="nil"/>
          <w:right w:val="nil"/>
          <w:between w:val="nil"/>
        </w:pBdr>
        <w:spacing w:after="0" w:line="240" w:lineRule="auto"/>
        <w:jc w:val="both"/>
        <w:rPr>
          <w:rFonts w:ascii="Sylfaen" w:eastAsia="Times New Roman" w:hAnsi="Sylfaen" w:cs="Times New Roman"/>
          <w:b/>
          <w:bCs/>
          <w:color w:val="000000"/>
          <w:sz w:val="24"/>
          <w:szCs w:val="24"/>
          <w:lang w:eastAsia="en-GB"/>
        </w:rPr>
      </w:pPr>
    </w:p>
    <w:p w14:paraId="15952DD7" w14:textId="77777777" w:rsidR="005A0C3F" w:rsidRPr="000B2854" w:rsidRDefault="005A0C3F" w:rsidP="005A0C3F">
      <w:pPr>
        <w:pBdr>
          <w:top w:val="nil"/>
          <w:left w:val="nil"/>
          <w:bottom w:val="nil"/>
          <w:right w:val="nil"/>
          <w:between w:val="nil"/>
        </w:pBdr>
        <w:spacing w:after="0" w:line="240" w:lineRule="auto"/>
        <w:jc w:val="both"/>
        <w:rPr>
          <w:rFonts w:ascii="Sylfaen" w:eastAsia="Times New Roman" w:hAnsi="Sylfaen" w:cs="Times New Roman"/>
          <w:b/>
          <w:bCs/>
          <w:color w:val="000000"/>
          <w:sz w:val="24"/>
          <w:szCs w:val="24"/>
          <w:lang w:eastAsia="en-GB"/>
        </w:rPr>
      </w:pPr>
    </w:p>
    <w:p w14:paraId="7557ECCD" w14:textId="77777777" w:rsidR="000B2854" w:rsidRPr="000B2854" w:rsidRDefault="000B2854" w:rsidP="000B2854">
      <w:pPr>
        <w:pBdr>
          <w:top w:val="nil"/>
          <w:left w:val="nil"/>
          <w:bottom w:val="nil"/>
          <w:right w:val="nil"/>
          <w:between w:val="nil"/>
        </w:pBdr>
        <w:spacing w:after="0" w:line="240" w:lineRule="auto"/>
        <w:ind w:left="360"/>
        <w:rPr>
          <w:rFonts w:ascii="Sylfaen" w:eastAsia="Times New Roman" w:hAnsi="Sylfaen" w:cs="Times New Roman"/>
          <w:color w:val="000000"/>
          <w:sz w:val="24"/>
          <w:szCs w:val="24"/>
          <w:lang w:eastAsia="en-GB"/>
        </w:rPr>
      </w:pPr>
      <w:r w:rsidRPr="000B2854">
        <w:rPr>
          <w:rFonts w:ascii="Sylfaen" w:eastAsia="Times New Roman" w:hAnsi="Sylfaen" w:cs="Times New Roman"/>
          <w:color w:val="000000"/>
          <w:sz w:val="24"/>
          <w:szCs w:val="24"/>
          <w:lang w:eastAsia="en-GB"/>
        </w:rPr>
        <w:t xml:space="preserve"> </w:t>
      </w:r>
    </w:p>
    <w:p w14:paraId="492470A1" w14:textId="77777777" w:rsidR="000B2854" w:rsidRPr="00FD2F68" w:rsidRDefault="000B2854" w:rsidP="000B2854">
      <w:pPr>
        <w:numPr>
          <w:ilvl w:val="0"/>
          <w:numId w:val="1"/>
        </w:numPr>
        <w:pBdr>
          <w:top w:val="nil"/>
          <w:left w:val="nil"/>
          <w:bottom w:val="nil"/>
          <w:right w:val="nil"/>
          <w:between w:val="nil"/>
        </w:pBdr>
        <w:spacing w:after="0" w:line="240" w:lineRule="auto"/>
        <w:jc w:val="both"/>
        <w:rPr>
          <w:rFonts w:ascii="Sylfaen" w:eastAsia="Times New Roman" w:hAnsi="Sylfaen" w:cs="Times New Roman"/>
          <w:b/>
          <w:bCs/>
          <w:color w:val="000000"/>
          <w:sz w:val="24"/>
          <w:szCs w:val="24"/>
          <w:lang w:eastAsia="en-GB"/>
        </w:rPr>
      </w:pPr>
      <w:r w:rsidRPr="00FD2F68">
        <w:rPr>
          <w:rFonts w:ascii="Sylfaen" w:eastAsia="Times New Roman" w:hAnsi="Sylfaen" w:cs="Times New Roman"/>
          <w:b/>
          <w:bCs/>
          <w:color w:val="000000"/>
          <w:sz w:val="24"/>
          <w:szCs w:val="24"/>
          <w:lang w:eastAsia="en-GB"/>
        </w:rPr>
        <w:t xml:space="preserve">Are there initiatives taken by States in connection with the right to freedom of religion, belief or conscience (including the figure of conscientious objection) that have had the practical impact of limiting the enjoyment of human rights (including sexual and reproductive rights) of LGBT persons? </w:t>
      </w:r>
    </w:p>
    <w:p w14:paraId="1601A995" w14:textId="37CBEADC" w:rsidR="000B2854" w:rsidRDefault="000B2854" w:rsidP="000B2854">
      <w:pPr>
        <w:pBdr>
          <w:top w:val="nil"/>
          <w:left w:val="nil"/>
          <w:bottom w:val="nil"/>
          <w:right w:val="nil"/>
          <w:between w:val="nil"/>
        </w:pBdr>
        <w:spacing w:after="0" w:line="240" w:lineRule="auto"/>
        <w:jc w:val="both"/>
        <w:rPr>
          <w:rFonts w:ascii="Sylfaen" w:eastAsia="Times New Roman" w:hAnsi="Sylfaen" w:cs="Times New Roman"/>
          <w:color w:val="000000"/>
          <w:sz w:val="24"/>
          <w:szCs w:val="24"/>
          <w:lang w:eastAsia="en-GB"/>
        </w:rPr>
      </w:pPr>
    </w:p>
    <w:p w14:paraId="24FDCD78" w14:textId="7F9B8AF7" w:rsidR="005A0C3F" w:rsidRDefault="005A0C3F" w:rsidP="000B2854">
      <w:pPr>
        <w:pBdr>
          <w:top w:val="nil"/>
          <w:left w:val="nil"/>
          <w:bottom w:val="nil"/>
          <w:right w:val="nil"/>
          <w:between w:val="nil"/>
        </w:pBdr>
        <w:spacing w:after="0" w:line="240" w:lineRule="auto"/>
        <w:jc w:val="both"/>
        <w:rPr>
          <w:rFonts w:ascii="Sylfaen" w:eastAsia="Times New Roman" w:hAnsi="Sylfaen" w:cs="Times New Roman"/>
          <w:color w:val="000000"/>
          <w:sz w:val="24"/>
          <w:szCs w:val="24"/>
          <w:lang w:eastAsia="en-GB"/>
        </w:rPr>
      </w:pPr>
      <w:r>
        <w:rPr>
          <w:rFonts w:ascii="Sylfaen" w:eastAsia="Times New Roman" w:hAnsi="Sylfaen" w:cs="Times New Roman"/>
          <w:color w:val="000000"/>
          <w:sz w:val="24"/>
          <w:szCs w:val="24"/>
          <w:lang w:eastAsia="en-GB"/>
        </w:rPr>
        <w:t xml:space="preserve">There are not such initiatives. </w:t>
      </w:r>
    </w:p>
    <w:p w14:paraId="64D90929" w14:textId="75416560" w:rsidR="005A0C3F" w:rsidRDefault="005A0C3F" w:rsidP="000B2854">
      <w:pPr>
        <w:pBdr>
          <w:top w:val="nil"/>
          <w:left w:val="nil"/>
          <w:bottom w:val="nil"/>
          <w:right w:val="nil"/>
          <w:between w:val="nil"/>
        </w:pBdr>
        <w:spacing w:after="0" w:line="240" w:lineRule="auto"/>
        <w:jc w:val="both"/>
        <w:rPr>
          <w:rFonts w:ascii="Sylfaen" w:eastAsia="Times New Roman" w:hAnsi="Sylfaen" w:cs="Times New Roman"/>
          <w:color w:val="000000"/>
          <w:sz w:val="24"/>
          <w:szCs w:val="24"/>
          <w:lang w:eastAsia="en-GB"/>
        </w:rPr>
      </w:pPr>
    </w:p>
    <w:p w14:paraId="68DAFAE6" w14:textId="33D84078" w:rsidR="005A0C3F" w:rsidRDefault="005A0C3F" w:rsidP="000B2854">
      <w:pPr>
        <w:pBdr>
          <w:top w:val="nil"/>
          <w:left w:val="nil"/>
          <w:bottom w:val="nil"/>
          <w:right w:val="nil"/>
          <w:between w:val="nil"/>
        </w:pBdr>
        <w:spacing w:after="0" w:line="240" w:lineRule="auto"/>
        <w:jc w:val="both"/>
        <w:rPr>
          <w:rFonts w:ascii="Sylfaen" w:eastAsia="Times New Roman" w:hAnsi="Sylfaen" w:cs="Times New Roman"/>
          <w:color w:val="000000"/>
          <w:sz w:val="24"/>
          <w:szCs w:val="24"/>
          <w:lang w:eastAsia="en-GB"/>
        </w:rPr>
      </w:pPr>
    </w:p>
    <w:p w14:paraId="0A2DF930" w14:textId="77777777" w:rsidR="005A0C3F" w:rsidRPr="000B2854" w:rsidRDefault="005A0C3F" w:rsidP="000B2854">
      <w:pPr>
        <w:pBdr>
          <w:top w:val="nil"/>
          <w:left w:val="nil"/>
          <w:bottom w:val="nil"/>
          <w:right w:val="nil"/>
          <w:between w:val="nil"/>
        </w:pBdr>
        <w:spacing w:after="0" w:line="240" w:lineRule="auto"/>
        <w:jc w:val="both"/>
        <w:rPr>
          <w:rFonts w:ascii="Sylfaen" w:eastAsia="Times New Roman" w:hAnsi="Sylfaen" w:cs="Times New Roman"/>
          <w:color w:val="000000"/>
          <w:sz w:val="24"/>
          <w:szCs w:val="24"/>
          <w:lang w:eastAsia="en-GB"/>
        </w:rPr>
      </w:pPr>
    </w:p>
    <w:p w14:paraId="58D36B7B" w14:textId="0D2F16BA" w:rsidR="000B2854" w:rsidRDefault="000B2854" w:rsidP="000B2854">
      <w:pPr>
        <w:numPr>
          <w:ilvl w:val="0"/>
          <w:numId w:val="1"/>
        </w:numPr>
        <w:pBdr>
          <w:top w:val="nil"/>
          <w:left w:val="nil"/>
          <w:bottom w:val="nil"/>
          <w:right w:val="nil"/>
          <w:between w:val="nil"/>
        </w:pBdr>
        <w:spacing w:after="0" w:line="240" w:lineRule="auto"/>
        <w:jc w:val="both"/>
        <w:rPr>
          <w:rFonts w:ascii="Sylfaen" w:eastAsia="Times New Roman" w:hAnsi="Sylfaen" w:cs="Times New Roman"/>
          <w:b/>
          <w:bCs/>
          <w:color w:val="000000"/>
          <w:sz w:val="24"/>
          <w:szCs w:val="24"/>
          <w:lang w:eastAsia="en-GB"/>
        </w:rPr>
      </w:pPr>
      <w:r w:rsidRPr="00FD2F68">
        <w:rPr>
          <w:rFonts w:ascii="Sylfaen" w:eastAsia="Times New Roman" w:hAnsi="Sylfaen" w:cs="Times New Roman"/>
          <w:b/>
          <w:bCs/>
          <w:color w:val="000000"/>
          <w:sz w:val="24"/>
          <w:szCs w:val="24"/>
          <w:lang w:eastAsia="en-GB"/>
        </w:rPr>
        <w:t>Have there been public expressions or statements by political and/or religious leaders that have led to indefinite extension, modification or suppression of actions, activities, projects, public policies or application of gender frameworks?</w:t>
      </w:r>
    </w:p>
    <w:p w14:paraId="62878DBF" w14:textId="0555D0BA" w:rsidR="005A0C3F" w:rsidRDefault="005A0C3F" w:rsidP="005A0C3F">
      <w:pPr>
        <w:pBdr>
          <w:top w:val="nil"/>
          <w:left w:val="nil"/>
          <w:bottom w:val="nil"/>
          <w:right w:val="nil"/>
          <w:between w:val="nil"/>
        </w:pBdr>
        <w:spacing w:after="0" w:line="240" w:lineRule="auto"/>
        <w:jc w:val="both"/>
        <w:rPr>
          <w:rFonts w:ascii="Sylfaen" w:eastAsia="Times New Roman" w:hAnsi="Sylfaen" w:cs="Times New Roman"/>
          <w:b/>
          <w:bCs/>
          <w:color w:val="000000"/>
          <w:sz w:val="24"/>
          <w:szCs w:val="24"/>
          <w:lang w:eastAsia="en-GB"/>
        </w:rPr>
      </w:pPr>
    </w:p>
    <w:p w14:paraId="4835181B" w14:textId="06FED7F1" w:rsidR="005A0C3F" w:rsidRPr="005A0C3F" w:rsidRDefault="005A0C3F" w:rsidP="005A0C3F">
      <w:pPr>
        <w:pBdr>
          <w:top w:val="nil"/>
          <w:left w:val="nil"/>
          <w:bottom w:val="nil"/>
          <w:right w:val="nil"/>
          <w:between w:val="nil"/>
        </w:pBdr>
        <w:spacing w:after="0" w:line="240" w:lineRule="auto"/>
        <w:jc w:val="both"/>
        <w:rPr>
          <w:rFonts w:ascii="Sylfaen" w:eastAsia="Times New Roman" w:hAnsi="Sylfaen" w:cs="Times New Roman"/>
          <w:color w:val="000000"/>
          <w:sz w:val="24"/>
          <w:szCs w:val="24"/>
          <w:lang w:eastAsia="en-GB"/>
        </w:rPr>
      </w:pPr>
      <w:r>
        <w:rPr>
          <w:rFonts w:ascii="Sylfaen" w:eastAsia="Times New Roman" w:hAnsi="Sylfaen" w:cs="Times New Roman"/>
          <w:color w:val="000000"/>
          <w:sz w:val="24"/>
          <w:szCs w:val="24"/>
          <w:lang w:eastAsia="en-GB"/>
        </w:rPr>
        <w:t>There is no relevant example.</w:t>
      </w:r>
    </w:p>
    <w:p w14:paraId="40388942" w14:textId="53F68D3B" w:rsidR="005A0C3F" w:rsidRDefault="005A0C3F" w:rsidP="005A0C3F">
      <w:pPr>
        <w:pBdr>
          <w:top w:val="nil"/>
          <w:left w:val="nil"/>
          <w:bottom w:val="nil"/>
          <w:right w:val="nil"/>
          <w:between w:val="nil"/>
        </w:pBdr>
        <w:spacing w:after="0" w:line="240" w:lineRule="auto"/>
        <w:jc w:val="both"/>
        <w:rPr>
          <w:rFonts w:ascii="Sylfaen" w:eastAsia="Times New Roman" w:hAnsi="Sylfaen" w:cs="Times New Roman"/>
          <w:b/>
          <w:bCs/>
          <w:color w:val="000000"/>
          <w:sz w:val="24"/>
          <w:szCs w:val="24"/>
          <w:lang w:eastAsia="en-GB"/>
        </w:rPr>
      </w:pPr>
    </w:p>
    <w:p w14:paraId="3494EB9F" w14:textId="50200EC6" w:rsidR="005A0C3F" w:rsidRDefault="005A0C3F" w:rsidP="005A0C3F">
      <w:pPr>
        <w:pBdr>
          <w:top w:val="nil"/>
          <w:left w:val="nil"/>
          <w:bottom w:val="nil"/>
          <w:right w:val="nil"/>
          <w:between w:val="nil"/>
        </w:pBdr>
        <w:spacing w:after="0" w:line="240" w:lineRule="auto"/>
        <w:jc w:val="both"/>
        <w:rPr>
          <w:rFonts w:ascii="Sylfaen" w:eastAsia="Times New Roman" w:hAnsi="Sylfaen" w:cs="Times New Roman"/>
          <w:b/>
          <w:bCs/>
          <w:color w:val="000000"/>
          <w:sz w:val="24"/>
          <w:szCs w:val="24"/>
          <w:lang w:eastAsia="en-GB"/>
        </w:rPr>
      </w:pPr>
    </w:p>
    <w:p w14:paraId="41CF29EC" w14:textId="77777777" w:rsidR="000B2854" w:rsidRPr="00FD2F68" w:rsidRDefault="000B2854" w:rsidP="000B2854">
      <w:pPr>
        <w:pBdr>
          <w:top w:val="nil"/>
          <w:left w:val="nil"/>
          <w:bottom w:val="nil"/>
          <w:right w:val="nil"/>
          <w:between w:val="nil"/>
        </w:pBdr>
        <w:spacing w:after="0" w:line="240" w:lineRule="auto"/>
        <w:jc w:val="both"/>
        <w:rPr>
          <w:rFonts w:ascii="Sylfaen" w:eastAsia="Times New Roman" w:hAnsi="Sylfaen" w:cs="Times New Roman"/>
          <w:b/>
          <w:bCs/>
          <w:color w:val="000000"/>
          <w:sz w:val="24"/>
          <w:szCs w:val="24"/>
          <w:lang w:eastAsia="en-GB"/>
        </w:rPr>
      </w:pPr>
    </w:p>
    <w:p w14:paraId="43880D37" w14:textId="588AC4D1" w:rsidR="000B2854" w:rsidRPr="005A0C3F" w:rsidRDefault="000B2854" w:rsidP="000B2854">
      <w:pPr>
        <w:numPr>
          <w:ilvl w:val="0"/>
          <w:numId w:val="1"/>
        </w:numPr>
        <w:pBdr>
          <w:top w:val="nil"/>
          <w:left w:val="nil"/>
          <w:bottom w:val="nil"/>
          <w:right w:val="nil"/>
          <w:between w:val="nil"/>
        </w:pBdr>
        <w:spacing w:after="0" w:line="240" w:lineRule="auto"/>
        <w:jc w:val="both"/>
        <w:rPr>
          <w:rFonts w:ascii="Sylfaen" w:eastAsia="Times New Roman" w:hAnsi="Sylfaen" w:cs="Times New Roman"/>
          <w:b/>
          <w:bCs/>
          <w:color w:val="000000"/>
          <w:sz w:val="24"/>
          <w:szCs w:val="24"/>
          <w:lang w:eastAsia="en-GB"/>
        </w:rPr>
      </w:pPr>
      <w:r w:rsidRPr="00FD2F68">
        <w:rPr>
          <w:rFonts w:ascii="Sylfaen" w:eastAsia="Times New Roman" w:hAnsi="Sylfaen" w:cs="Times New Roman"/>
          <w:b/>
          <w:bCs/>
          <w:color w:val="000000"/>
          <w:sz w:val="24"/>
          <w:szCs w:val="24"/>
          <w:lang w:eastAsia="en-GB"/>
        </w:rPr>
        <w:t>Who are main actors who argue that the defenders of human rights of LGBT individuals are furthering a so-called “gender ideology”? What are their main arguments? Have they been effective in regressing the human rights of LGBT individuals? Have their strategies directly or indirectly also impacted on the human rights of women and girls?</w:t>
      </w:r>
      <w:r w:rsidRPr="00FD2F68">
        <w:rPr>
          <w:rFonts w:ascii="Sylfaen" w:eastAsia="Calibri" w:hAnsi="Sylfaen" w:cs="Times New Roman"/>
          <w:b/>
          <w:bCs/>
          <w:sz w:val="24"/>
          <w:szCs w:val="24"/>
          <w:lang w:eastAsia="en-GB"/>
        </w:rPr>
        <w:t xml:space="preserve">     </w:t>
      </w:r>
    </w:p>
    <w:p w14:paraId="5EAD5C77" w14:textId="31C38697" w:rsidR="005A0C3F" w:rsidRDefault="005A0C3F" w:rsidP="005A0C3F">
      <w:pPr>
        <w:pBdr>
          <w:top w:val="nil"/>
          <w:left w:val="nil"/>
          <w:bottom w:val="nil"/>
          <w:right w:val="nil"/>
          <w:between w:val="nil"/>
        </w:pBdr>
        <w:spacing w:after="0" w:line="240" w:lineRule="auto"/>
        <w:jc w:val="both"/>
        <w:rPr>
          <w:rFonts w:ascii="Sylfaen" w:eastAsia="Calibri" w:hAnsi="Sylfaen" w:cs="Times New Roman"/>
          <w:bCs/>
          <w:sz w:val="24"/>
          <w:szCs w:val="24"/>
          <w:lang w:eastAsia="en-GB"/>
        </w:rPr>
      </w:pPr>
      <w:r>
        <w:rPr>
          <w:rFonts w:ascii="Sylfaen" w:eastAsia="Calibri" w:hAnsi="Sylfaen" w:cs="Times New Roman"/>
          <w:bCs/>
          <w:sz w:val="24"/>
          <w:szCs w:val="24"/>
          <w:lang w:eastAsia="en-GB"/>
        </w:rPr>
        <w:lastRenderedPageBreak/>
        <w:t xml:space="preserve">As it has already mentioned, the Orthodox Church is the most powerful institution, which argues the human rights defenders, especially when it comes to LGBTQ+ or women’s rights, or feminism. The leaders of the Church are known for their homophobic, sexist and hate-speeches. </w:t>
      </w:r>
    </w:p>
    <w:p w14:paraId="350F1BA8" w14:textId="1FA4DCD7" w:rsidR="005A0C3F" w:rsidRDefault="005A0C3F" w:rsidP="005A0C3F">
      <w:pPr>
        <w:pBdr>
          <w:top w:val="nil"/>
          <w:left w:val="nil"/>
          <w:bottom w:val="nil"/>
          <w:right w:val="nil"/>
          <w:between w:val="nil"/>
        </w:pBdr>
        <w:spacing w:after="0" w:line="240" w:lineRule="auto"/>
        <w:jc w:val="both"/>
        <w:rPr>
          <w:rFonts w:ascii="Sylfaen" w:eastAsia="Calibri" w:hAnsi="Sylfaen" w:cs="Times New Roman"/>
          <w:bCs/>
          <w:sz w:val="24"/>
          <w:szCs w:val="24"/>
          <w:lang w:eastAsia="en-GB"/>
        </w:rPr>
      </w:pPr>
    </w:p>
    <w:p w14:paraId="12B8F1A9" w14:textId="77777777" w:rsidR="005A0C3F" w:rsidRPr="005A0C3F" w:rsidRDefault="005A0C3F" w:rsidP="005A0C3F">
      <w:pPr>
        <w:pBdr>
          <w:top w:val="nil"/>
          <w:left w:val="nil"/>
          <w:bottom w:val="nil"/>
          <w:right w:val="nil"/>
          <w:between w:val="nil"/>
        </w:pBdr>
        <w:spacing w:after="0" w:line="240" w:lineRule="auto"/>
        <w:jc w:val="both"/>
        <w:rPr>
          <w:rFonts w:ascii="Sylfaen" w:eastAsia="Times New Roman" w:hAnsi="Sylfaen" w:cs="Times New Roman"/>
          <w:bCs/>
          <w:color w:val="000000"/>
          <w:sz w:val="24"/>
          <w:szCs w:val="24"/>
          <w:lang w:eastAsia="en-GB"/>
        </w:rPr>
      </w:pPr>
    </w:p>
    <w:p w14:paraId="556FBF96" w14:textId="77777777" w:rsidR="000B2854" w:rsidRPr="00FD2F68" w:rsidRDefault="000B2854" w:rsidP="000B2854">
      <w:pPr>
        <w:spacing w:after="0" w:line="240" w:lineRule="auto"/>
        <w:ind w:left="720"/>
        <w:contextualSpacing/>
        <w:rPr>
          <w:rFonts w:ascii="Sylfaen" w:eastAsia="Times New Roman" w:hAnsi="Sylfaen" w:cs="Times New Roman"/>
          <w:b/>
          <w:bCs/>
          <w:color w:val="000000"/>
          <w:sz w:val="24"/>
          <w:szCs w:val="24"/>
          <w:lang w:eastAsia="en-GB"/>
        </w:rPr>
      </w:pPr>
    </w:p>
    <w:p w14:paraId="2FF4E60C" w14:textId="77777777" w:rsidR="005A0C3F" w:rsidRDefault="000B2854" w:rsidP="005A0C3F">
      <w:pPr>
        <w:numPr>
          <w:ilvl w:val="0"/>
          <w:numId w:val="1"/>
        </w:numPr>
        <w:pBdr>
          <w:top w:val="nil"/>
          <w:left w:val="nil"/>
          <w:bottom w:val="nil"/>
          <w:right w:val="nil"/>
          <w:between w:val="nil"/>
        </w:pBdr>
        <w:spacing w:after="0" w:line="240" w:lineRule="auto"/>
        <w:jc w:val="both"/>
        <w:rPr>
          <w:rFonts w:ascii="Sylfaen" w:eastAsia="Times New Roman" w:hAnsi="Sylfaen" w:cs="Times New Roman"/>
          <w:b/>
          <w:bCs/>
          <w:color w:val="000000"/>
          <w:sz w:val="24"/>
          <w:szCs w:val="24"/>
          <w:lang w:eastAsia="en-GB"/>
        </w:rPr>
      </w:pPr>
      <w:r w:rsidRPr="00FD2F68">
        <w:rPr>
          <w:rFonts w:ascii="Sylfaen" w:eastAsia="Times New Roman" w:hAnsi="Sylfaen" w:cs="Times New Roman"/>
          <w:b/>
          <w:bCs/>
          <w:color w:val="000000"/>
          <w:sz w:val="24"/>
          <w:szCs w:val="24"/>
          <w:lang w:eastAsia="en-GB"/>
        </w:rPr>
        <w:t xml:space="preserve">Can you provide examples of coalitions working together on resisting attacks on gender ideology? Please share examples of feminist and LGBT and other groups working together and with what kinds of frameworks, arguments and results? </w:t>
      </w:r>
    </w:p>
    <w:p w14:paraId="4B3568E7" w14:textId="5A9C1725" w:rsidR="000B2854" w:rsidRDefault="000B2854" w:rsidP="005A0C3F">
      <w:pPr>
        <w:pBdr>
          <w:top w:val="nil"/>
          <w:left w:val="nil"/>
          <w:bottom w:val="nil"/>
          <w:right w:val="nil"/>
          <w:between w:val="nil"/>
        </w:pBdr>
        <w:spacing w:after="0" w:line="240" w:lineRule="auto"/>
        <w:jc w:val="both"/>
        <w:rPr>
          <w:rFonts w:ascii="Sylfaen" w:eastAsia="Times New Roman" w:hAnsi="Sylfaen" w:cs="Times New Roman"/>
          <w:b/>
          <w:bCs/>
          <w:color w:val="000000"/>
          <w:sz w:val="24"/>
          <w:szCs w:val="24"/>
          <w:lang w:eastAsia="en-GB"/>
        </w:rPr>
      </w:pPr>
    </w:p>
    <w:p w14:paraId="3130D257" w14:textId="20493606" w:rsidR="005A0C3F" w:rsidRDefault="005A0C3F" w:rsidP="005A0C3F">
      <w:pPr>
        <w:pBdr>
          <w:top w:val="nil"/>
          <w:left w:val="nil"/>
          <w:bottom w:val="nil"/>
          <w:right w:val="nil"/>
          <w:between w:val="nil"/>
        </w:pBdr>
        <w:spacing w:after="0" w:line="240" w:lineRule="auto"/>
        <w:jc w:val="both"/>
        <w:rPr>
          <w:rFonts w:ascii="Sylfaen" w:eastAsia="Times New Roman" w:hAnsi="Sylfaen" w:cs="Times New Roman"/>
          <w:color w:val="000000"/>
          <w:sz w:val="24"/>
          <w:szCs w:val="24"/>
          <w:lang w:eastAsia="en-GB"/>
        </w:rPr>
      </w:pPr>
      <w:r>
        <w:rPr>
          <w:rFonts w:ascii="Sylfaen" w:eastAsia="Times New Roman" w:hAnsi="Sylfaen" w:cs="Times New Roman"/>
          <w:color w:val="000000"/>
          <w:sz w:val="24"/>
          <w:szCs w:val="24"/>
          <w:lang w:eastAsia="en-GB"/>
        </w:rPr>
        <w:t>Equality Movement is the members of the Coalition for Equality. The coalition was established in 2014 in order to enhance the mandate and competences of anti-discrimination mechanisms and to sup-port the effective fight against all forms of discrimination.</w:t>
      </w:r>
      <w:r>
        <w:rPr>
          <w:rStyle w:val="FootnoteReference"/>
          <w:rFonts w:ascii="Sylfaen" w:eastAsia="Times New Roman" w:hAnsi="Sylfaen" w:cs="Times New Roman"/>
          <w:color w:val="000000"/>
          <w:sz w:val="24"/>
          <w:szCs w:val="24"/>
          <w:lang w:eastAsia="en-GB"/>
        </w:rPr>
        <w:footnoteReference w:id="8"/>
      </w:r>
    </w:p>
    <w:p w14:paraId="54775A70" w14:textId="01D56218" w:rsidR="005A0C3F" w:rsidRDefault="005A0C3F" w:rsidP="005A0C3F">
      <w:pPr>
        <w:pBdr>
          <w:top w:val="nil"/>
          <w:left w:val="nil"/>
          <w:bottom w:val="nil"/>
          <w:right w:val="nil"/>
          <w:between w:val="nil"/>
        </w:pBdr>
        <w:spacing w:after="0" w:line="240" w:lineRule="auto"/>
        <w:jc w:val="both"/>
        <w:rPr>
          <w:rFonts w:ascii="Sylfaen" w:eastAsia="Times New Roman" w:hAnsi="Sylfaen" w:cs="Times New Roman"/>
          <w:color w:val="000000"/>
          <w:sz w:val="24"/>
          <w:szCs w:val="24"/>
          <w:lang w:eastAsia="en-GB"/>
        </w:rPr>
      </w:pPr>
    </w:p>
    <w:p w14:paraId="7FBE06C0" w14:textId="3815E963" w:rsidR="005A0C3F" w:rsidRDefault="005A0C3F" w:rsidP="000B2854">
      <w:pPr>
        <w:pBdr>
          <w:top w:val="nil"/>
          <w:left w:val="nil"/>
          <w:bottom w:val="nil"/>
          <w:right w:val="nil"/>
          <w:between w:val="nil"/>
        </w:pBdr>
        <w:spacing w:after="0" w:line="240" w:lineRule="auto"/>
        <w:ind w:left="360"/>
        <w:jc w:val="both"/>
        <w:rPr>
          <w:rFonts w:ascii="Sylfaen" w:eastAsia="Calibri" w:hAnsi="Sylfaen" w:cs="Times New Roman"/>
          <w:b/>
          <w:bCs/>
          <w:sz w:val="24"/>
          <w:szCs w:val="24"/>
          <w:lang w:eastAsia="en-GB"/>
        </w:rPr>
      </w:pPr>
    </w:p>
    <w:p w14:paraId="3BA75BB3" w14:textId="1E75A89D" w:rsidR="005A0C3F" w:rsidRDefault="005A0C3F" w:rsidP="000B2854">
      <w:pPr>
        <w:pBdr>
          <w:top w:val="nil"/>
          <w:left w:val="nil"/>
          <w:bottom w:val="nil"/>
          <w:right w:val="nil"/>
          <w:between w:val="nil"/>
        </w:pBdr>
        <w:spacing w:after="0" w:line="240" w:lineRule="auto"/>
        <w:ind w:left="360"/>
        <w:jc w:val="both"/>
        <w:rPr>
          <w:rFonts w:ascii="Sylfaen" w:eastAsia="Calibri" w:hAnsi="Sylfaen" w:cs="Times New Roman"/>
          <w:b/>
          <w:bCs/>
          <w:sz w:val="24"/>
          <w:szCs w:val="24"/>
          <w:lang w:eastAsia="en-GB"/>
        </w:rPr>
      </w:pPr>
    </w:p>
    <w:p w14:paraId="22D2468F" w14:textId="77777777" w:rsidR="005A0C3F" w:rsidRPr="00FD2F68" w:rsidRDefault="005A0C3F" w:rsidP="000B2854">
      <w:pPr>
        <w:pBdr>
          <w:top w:val="nil"/>
          <w:left w:val="nil"/>
          <w:bottom w:val="nil"/>
          <w:right w:val="nil"/>
          <w:between w:val="nil"/>
        </w:pBdr>
        <w:spacing w:after="0" w:line="240" w:lineRule="auto"/>
        <w:ind w:left="360"/>
        <w:jc w:val="both"/>
        <w:rPr>
          <w:rFonts w:ascii="Sylfaen" w:eastAsia="Times New Roman" w:hAnsi="Sylfaen" w:cs="Times New Roman"/>
          <w:b/>
          <w:bCs/>
          <w:color w:val="000000"/>
          <w:sz w:val="24"/>
          <w:szCs w:val="24"/>
          <w:lang w:eastAsia="en-GB"/>
        </w:rPr>
      </w:pPr>
    </w:p>
    <w:p w14:paraId="5B065110" w14:textId="77777777" w:rsidR="000B2854" w:rsidRPr="00FD2F68" w:rsidRDefault="000B2854" w:rsidP="000B2854">
      <w:pPr>
        <w:numPr>
          <w:ilvl w:val="0"/>
          <w:numId w:val="1"/>
        </w:numPr>
        <w:pBdr>
          <w:top w:val="nil"/>
          <w:left w:val="nil"/>
          <w:bottom w:val="nil"/>
          <w:right w:val="nil"/>
          <w:between w:val="nil"/>
        </w:pBdr>
        <w:spacing w:after="0" w:line="240" w:lineRule="auto"/>
        <w:jc w:val="both"/>
        <w:rPr>
          <w:rFonts w:ascii="Sylfaen" w:eastAsia="Times New Roman" w:hAnsi="Sylfaen" w:cs="Times New Roman"/>
          <w:b/>
          <w:bCs/>
          <w:sz w:val="24"/>
          <w:szCs w:val="24"/>
          <w:lang w:eastAsia="en-GB"/>
        </w:rPr>
      </w:pPr>
      <w:r w:rsidRPr="00FD2F68">
        <w:rPr>
          <w:rFonts w:ascii="Sylfaen" w:eastAsia="Calibri" w:hAnsi="Sylfaen" w:cs="Times New Roman"/>
          <w:b/>
          <w:bCs/>
          <w:sz w:val="24"/>
          <w:szCs w:val="24"/>
          <w:lang w:eastAsia="en-GB"/>
        </w:rPr>
        <w:t>What policies, programs and/or practices has the State adopted to meet Sustainable Development Goals 5 (gender equality) and 10 (reduced inequalities)? Do these rely on gender frameworks</w:t>
      </w:r>
      <w:r w:rsidRPr="00FD2F68">
        <w:rPr>
          <w:rFonts w:ascii="Sylfaen" w:eastAsia="Times New Roman" w:hAnsi="Sylfaen" w:cs="Times New Roman"/>
          <w:b/>
          <w:bCs/>
          <w:color w:val="000000"/>
          <w:sz w:val="24"/>
          <w:szCs w:val="24"/>
          <w:lang w:eastAsia="en-GB"/>
        </w:rPr>
        <w:t xml:space="preserve"> inclusive to diverse sexual orientations and gender identities and/or aiming to address violence and discrimination based on sexual orientation and gender identity? Please identify relevant examples.</w:t>
      </w:r>
    </w:p>
    <w:p w14:paraId="24B1EABD" w14:textId="17F5F8B3" w:rsidR="00246E22" w:rsidRDefault="00246E22" w:rsidP="00124115">
      <w:pPr>
        <w:jc w:val="both"/>
        <w:rPr>
          <w:rFonts w:ascii="Sylfaen" w:hAnsi="Sylfaen"/>
          <w:b/>
          <w:bCs/>
          <w:sz w:val="24"/>
          <w:szCs w:val="24"/>
        </w:rPr>
      </w:pPr>
    </w:p>
    <w:p w14:paraId="5252BCA0" w14:textId="13D7125E" w:rsidR="001F1AF0" w:rsidRPr="001F1AF0" w:rsidRDefault="001F1AF0" w:rsidP="00124115">
      <w:pPr>
        <w:jc w:val="both"/>
        <w:rPr>
          <w:rFonts w:ascii="Sylfaen" w:hAnsi="Sylfaen"/>
          <w:sz w:val="24"/>
          <w:szCs w:val="24"/>
        </w:rPr>
      </w:pPr>
      <w:r>
        <w:rPr>
          <w:rFonts w:ascii="Sylfaen" w:hAnsi="Sylfaen"/>
          <w:sz w:val="24"/>
          <w:szCs w:val="24"/>
        </w:rPr>
        <w:t>In February, 2020, the Government of Georgia has adopted chapter 15 of the National Human Rights Action Plan 2018-2020.</w:t>
      </w:r>
      <w:r>
        <w:rPr>
          <w:rStyle w:val="FootnoteReference"/>
          <w:rFonts w:ascii="Sylfaen" w:hAnsi="Sylfaen"/>
          <w:sz w:val="24"/>
          <w:szCs w:val="24"/>
        </w:rPr>
        <w:footnoteReference w:id="9"/>
      </w:r>
      <w:r>
        <w:rPr>
          <w:rFonts w:ascii="Sylfaen" w:hAnsi="Sylfaen"/>
          <w:sz w:val="24"/>
          <w:szCs w:val="24"/>
        </w:rPr>
        <w:t xml:space="preserve"> This chaplet aims to combat hate-motivated crimes against LGBTQ+ people, raising awareness on sexual orientation and gender identity and the improvement of SOGI-specific social and healthcare services. However, because of the pandemic and political crisis in Georgia, the goals and activities of the chapter are not fulfilled. </w:t>
      </w:r>
    </w:p>
    <w:p w14:paraId="52861366" w14:textId="7CA31415" w:rsidR="00246E22" w:rsidRPr="000B2854" w:rsidRDefault="00246E22" w:rsidP="00124115">
      <w:pPr>
        <w:jc w:val="both"/>
        <w:rPr>
          <w:rFonts w:ascii="Sylfaen" w:hAnsi="Sylfaen"/>
          <w:b/>
          <w:bCs/>
          <w:sz w:val="24"/>
          <w:szCs w:val="24"/>
        </w:rPr>
      </w:pPr>
    </w:p>
    <w:p w14:paraId="50B5EFDC" w14:textId="486ED493" w:rsidR="00124115" w:rsidRPr="000B2854" w:rsidRDefault="00124115" w:rsidP="001F1AF0">
      <w:pPr>
        <w:jc w:val="both"/>
        <w:rPr>
          <w:rFonts w:ascii="Sylfaen" w:hAnsi="Sylfaen"/>
          <w:sz w:val="24"/>
          <w:szCs w:val="24"/>
        </w:rPr>
      </w:pPr>
      <w:bookmarkStart w:id="1" w:name="_GoBack"/>
      <w:bookmarkEnd w:id="1"/>
    </w:p>
    <w:sectPr w:rsidR="00124115" w:rsidRPr="000B2854" w:rsidSect="00124115">
      <w:footerReference w:type="default" r:id="rId12"/>
      <w:pgSz w:w="12240" w:h="15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E49D8" w14:textId="77777777" w:rsidR="00A62E88" w:rsidRDefault="00A62E88" w:rsidP="00A62E88">
      <w:pPr>
        <w:spacing w:after="0" w:line="240" w:lineRule="auto"/>
      </w:pPr>
      <w:r>
        <w:separator/>
      </w:r>
    </w:p>
  </w:endnote>
  <w:endnote w:type="continuationSeparator" w:id="0">
    <w:p w14:paraId="4C8C222E" w14:textId="77777777" w:rsidR="00A62E88" w:rsidRDefault="00A62E88" w:rsidP="00A62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705545"/>
      <w:docPartObj>
        <w:docPartGallery w:val="Page Numbers (Bottom of Page)"/>
        <w:docPartUnique/>
      </w:docPartObj>
    </w:sdtPr>
    <w:sdtEndPr>
      <w:rPr>
        <w:noProof/>
      </w:rPr>
    </w:sdtEndPr>
    <w:sdtContent>
      <w:p w14:paraId="09B751B1" w14:textId="2F238E6B" w:rsidR="00A62E88" w:rsidRDefault="00A62E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C7CE86" w14:textId="77777777" w:rsidR="00A62E88" w:rsidRDefault="00A62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57B18" w14:textId="77777777" w:rsidR="00A62E88" w:rsidRDefault="00A62E88" w:rsidP="00A62E88">
      <w:pPr>
        <w:spacing w:after="0" w:line="240" w:lineRule="auto"/>
      </w:pPr>
      <w:r>
        <w:separator/>
      </w:r>
    </w:p>
  </w:footnote>
  <w:footnote w:type="continuationSeparator" w:id="0">
    <w:p w14:paraId="7B0076F3" w14:textId="77777777" w:rsidR="00A62E88" w:rsidRDefault="00A62E88" w:rsidP="00A62E88">
      <w:pPr>
        <w:spacing w:after="0" w:line="240" w:lineRule="auto"/>
      </w:pPr>
      <w:r>
        <w:continuationSeparator/>
      </w:r>
    </w:p>
  </w:footnote>
  <w:footnote w:id="1">
    <w:p w14:paraId="163F4B09" w14:textId="0799C11E" w:rsidR="004E05CC" w:rsidRPr="004E05CC" w:rsidRDefault="004E05CC" w:rsidP="004E05CC">
      <w:pPr>
        <w:pStyle w:val="FootnoteText"/>
        <w:jc w:val="both"/>
        <w:rPr>
          <w:rFonts w:ascii="Sylfaen" w:hAnsi="Sylfaen"/>
        </w:rPr>
      </w:pPr>
      <w:r>
        <w:rPr>
          <w:rStyle w:val="FootnoteReference"/>
        </w:rPr>
        <w:footnoteRef/>
      </w:r>
      <w:r>
        <w:t xml:space="preserve">. </w:t>
      </w:r>
      <w:r>
        <w:rPr>
          <w:rFonts w:ascii="Sylfaen" w:hAnsi="Sylfaen"/>
        </w:rPr>
        <w:t xml:space="preserve">The Law of Georgia on Gender Equality, </w:t>
      </w:r>
      <w:hyperlink r:id="rId1" w:history="1">
        <w:r w:rsidRPr="00CB733F">
          <w:rPr>
            <w:rStyle w:val="Hyperlink"/>
            <w:rFonts w:ascii="Sylfaen" w:hAnsi="Sylfaen"/>
          </w:rPr>
          <w:t>https://matsne.gov.ge/en/document/view/91624?publication=9</w:t>
        </w:r>
      </w:hyperlink>
    </w:p>
  </w:footnote>
  <w:footnote w:id="2">
    <w:p w14:paraId="7C8F754C" w14:textId="77777777" w:rsidR="000A4CD8" w:rsidRDefault="000A4CD8" w:rsidP="000A4CD8">
      <w:pPr>
        <w:pStyle w:val="FootnoteText"/>
        <w:jc w:val="both"/>
        <w:rPr>
          <w:rFonts w:ascii="Sylfaen" w:hAnsi="Sylfaen"/>
        </w:rPr>
      </w:pPr>
      <w:r>
        <w:rPr>
          <w:rStyle w:val="FootnoteReference"/>
        </w:rPr>
        <w:footnoteRef/>
      </w:r>
      <w:r>
        <w:t xml:space="preserve">. </w:t>
      </w:r>
      <w:r>
        <w:rPr>
          <w:rFonts w:ascii="Sylfaen" w:hAnsi="Sylfaen"/>
        </w:rPr>
        <w:t xml:space="preserve">The Law of Georgia on the Elimination of All forms of Discrimination, </w:t>
      </w:r>
    </w:p>
    <w:p w14:paraId="113DCBB0" w14:textId="002B0BC0" w:rsidR="000A4CD8" w:rsidRPr="000A4CD8" w:rsidRDefault="001F1AF0" w:rsidP="000A4CD8">
      <w:pPr>
        <w:pStyle w:val="FootnoteText"/>
        <w:jc w:val="both"/>
        <w:rPr>
          <w:rFonts w:ascii="Sylfaen" w:hAnsi="Sylfaen"/>
        </w:rPr>
      </w:pPr>
      <w:hyperlink r:id="rId2" w:history="1">
        <w:r w:rsidR="000A4CD8" w:rsidRPr="00CB733F">
          <w:rPr>
            <w:rStyle w:val="Hyperlink"/>
            <w:rFonts w:ascii="Sylfaen" w:hAnsi="Sylfaen"/>
          </w:rPr>
          <w:t>https://matsne.gov.ge/en/document/view/2339687?publication=0</w:t>
        </w:r>
      </w:hyperlink>
    </w:p>
  </w:footnote>
  <w:footnote w:id="3">
    <w:p w14:paraId="3A98CBC8" w14:textId="75F48AE4" w:rsidR="00C648AB" w:rsidRPr="00C648AB" w:rsidRDefault="00C648AB">
      <w:pPr>
        <w:pStyle w:val="FootnoteText"/>
        <w:rPr>
          <w:rFonts w:ascii="Sylfaen" w:hAnsi="Sylfaen"/>
        </w:rPr>
      </w:pPr>
      <w:r w:rsidRPr="00C648AB">
        <w:rPr>
          <w:rStyle w:val="FootnoteReference"/>
          <w:rFonts w:ascii="Sylfaen" w:hAnsi="Sylfaen"/>
        </w:rPr>
        <w:footnoteRef/>
      </w:r>
      <w:r w:rsidRPr="00C648AB">
        <w:rPr>
          <w:rFonts w:ascii="Sylfaen" w:hAnsi="Sylfaen"/>
        </w:rPr>
        <w:t xml:space="preserve">. Criminal Code of Georgia, </w:t>
      </w:r>
      <w:hyperlink r:id="rId3" w:history="1">
        <w:r w:rsidRPr="00C648AB">
          <w:rPr>
            <w:rStyle w:val="Hyperlink"/>
            <w:rFonts w:ascii="Sylfaen" w:hAnsi="Sylfaen"/>
          </w:rPr>
          <w:t>https://matsne.gov.ge/en/document/view/16426?publication=209</w:t>
        </w:r>
      </w:hyperlink>
    </w:p>
  </w:footnote>
  <w:footnote w:id="4">
    <w:p w14:paraId="308972AF" w14:textId="0E2D0AED" w:rsidR="00D1453F" w:rsidRPr="00D1453F" w:rsidRDefault="00D1453F" w:rsidP="00D1453F">
      <w:pPr>
        <w:pStyle w:val="FootnoteText"/>
        <w:jc w:val="both"/>
        <w:rPr>
          <w:rFonts w:ascii="Sylfaen" w:hAnsi="Sylfaen"/>
        </w:rPr>
      </w:pPr>
      <w:r>
        <w:rPr>
          <w:rStyle w:val="FootnoteReference"/>
        </w:rPr>
        <w:footnoteRef/>
      </w:r>
      <w:r>
        <w:t xml:space="preserve">. </w:t>
      </w:r>
      <w:r>
        <w:rPr>
          <w:rFonts w:ascii="Sylfaen" w:hAnsi="Sylfaen"/>
        </w:rPr>
        <w:t xml:space="preserve">Hate crimes statistics, 2020, </w:t>
      </w:r>
      <w:hyperlink r:id="rId4" w:history="1">
        <w:r w:rsidRPr="00746042">
          <w:rPr>
            <w:rStyle w:val="Hyperlink"/>
            <w:rFonts w:ascii="Sylfaen" w:hAnsi="Sylfaen"/>
          </w:rPr>
          <w:t>https://www.geostat.ge/media/36779/diskriminaciis-nishnit_2020_IV.pdf</w:t>
        </w:r>
      </w:hyperlink>
    </w:p>
  </w:footnote>
  <w:footnote w:id="5">
    <w:p w14:paraId="1E111D02" w14:textId="17A5B2EE" w:rsidR="005C2DB7" w:rsidRDefault="005C2DB7">
      <w:pPr>
        <w:pStyle w:val="FootnoteText"/>
      </w:pPr>
      <w:r>
        <w:rPr>
          <w:rStyle w:val="FootnoteReference"/>
        </w:rPr>
        <w:footnoteRef/>
      </w:r>
      <w:r>
        <w:t xml:space="preserve">. </w:t>
      </w:r>
      <w:hyperlink r:id="rId5" w:history="1">
        <w:r w:rsidRPr="00746042">
          <w:rPr>
            <w:rStyle w:val="Hyperlink"/>
          </w:rPr>
          <w:t>https://civil.ge/archives/122862</w:t>
        </w:r>
      </w:hyperlink>
    </w:p>
  </w:footnote>
  <w:footnote w:id="6">
    <w:p w14:paraId="128D4E8E" w14:textId="62EB2B10" w:rsidR="005C2DB7" w:rsidRPr="005C2DB7" w:rsidRDefault="005C2DB7" w:rsidP="005C2DB7">
      <w:pPr>
        <w:pStyle w:val="FootnoteText"/>
        <w:jc w:val="both"/>
        <w:rPr>
          <w:rFonts w:ascii="Sylfaen" w:hAnsi="Sylfaen"/>
        </w:rPr>
      </w:pPr>
      <w:r>
        <w:rPr>
          <w:rStyle w:val="FootnoteReference"/>
        </w:rPr>
        <w:footnoteRef/>
      </w:r>
      <w:r>
        <w:t xml:space="preserve">. </w:t>
      </w:r>
      <w:r>
        <w:rPr>
          <w:rFonts w:ascii="Sylfaen" w:hAnsi="Sylfaen"/>
        </w:rPr>
        <w:t xml:space="preserve">Role of The Orthodox Church in Georgia’s European Integration Process, </w:t>
      </w:r>
      <w:hyperlink r:id="rId6" w:history="1">
        <w:r w:rsidRPr="00746042">
          <w:rPr>
            <w:rStyle w:val="Hyperlink"/>
            <w:rFonts w:ascii="Sylfaen" w:hAnsi="Sylfaen"/>
          </w:rPr>
          <w:t>file:///C:/Users/User/Downloads/2520-Article%20Text-3462-1-10-20190206%20(1).pdf</w:t>
        </w:r>
      </w:hyperlink>
    </w:p>
  </w:footnote>
  <w:footnote w:id="7">
    <w:p w14:paraId="1C60C947" w14:textId="77777777" w:rsidR="000B2854" w:rsidRDefault="000B2854" w:rsidP="000B2854">
      <w:pPr>
        <w:pStyle w:val="FootnoteText"/>
      </w:pPr>
      <w:r>
        <w:rPr>
          <w:rStyle w:val="FootnoteReference"/>
        </w:rPr>
        <w:footnoteRef/>
      </w:r>
      <w:r>
        <w:t xml:space="preserve"> For relevant examples, see para. 3 of the Independent Expert’s Report to the 73rd Session of the United Nations General Assembly, available at </w:t>
      </w:r>
      <w:hyperlink r:id="rId7" w:history="1">
        <w:r w:rsidRPr="00DD5532">
          <w:rPr>
            <w:rStyle w:val="Hyperlink"/>
          </w:rPr>
          <w:t>https://undocs.org/A/73/152</w:t>
        </w:r>
      </w:hyperlink>
      <w:r>
        <w:t xml:space="preserve">.   </w:t>
      </w:r>
    </w:p>
  </w:footnote>
  <w:footnote w:id="8">
    <w:p w14:paraId="6F462516" w14:textId="1A0C8BE8" w:rsidR="005A0C3F" w:rsidRPr="005A0C3F" w:rsidRDefault="005A0C3F" w:rsidP="005A0C3F">
      <w:pPr>
        <w:pStyle w:val="FootnoteText"/>
        <w:jc w:val="both"/>
        <w:rPr>
          <w:rFonts w:ascii="Sylfaen" w:hAnsi="Sylfaen"/>
        </w:rPr>
      </w:pPr>
      <w:r>
        <w:rPr>
          <w:rStyle w:val="FootnoteReference"/>
        </w:rPr>
        <w:footnoteRef/>
      </w:r>
      <w:r>
        <w:t xml:space="preserve">. </w:t>
      </w:r>
      <w:r>
        <w:rPr>
          <w:rFonts w:ascii="Sylfaen" w:hAnsi="Sylfaen"/>
        </w:rPr>
        <w:t xml:space="preserve">The Coalition for Equality, </w:t>
      </w:r>
      <w:hyperlink r:id="rId8" w:history="1">
        <w:r w:rsidRPr="00746042">
          <w:rPr>
            <w:rStyle w:val="Hyperlink"/>
            <w:rFonts w:ascii="Sylfaen" w:hAnsi="Sylfaen"/>
          </w:rPr>
          <w:t>http://equalitycoalition.ge/</w:t>
        </w:r>
      </w:hyperlink>
    </w:p>
  </w:footnote>
  <w:footnote w:id="9">
    <w:p w14:paraId="43206BB6" w14:textId="0F5937EB" w:rsidR="001F1AF0" w:rsidRPr="001F1AF0" w:rsidRDefault="001F1AF0" w:rsidP="001F1AF0">
      <w:pPr>
        <w:pStyle w:val="FootnoteText"/>
        <w:jc w:val="both"/>
        <w:rPr>
          <w:rFonts w:ascii="Sylfaen" w:hAnsi="Sylfaen"/>
        </w:rPr>
      </w:pPr>
      <w:r>
        <w:rPr>
          <w:rStyle w:val="FootnoteReference"/>
        </w:rPr>
        <w:footnoteRef/>
      </w:r>
      <w:r>
        <w:t xml:space="preserve">. </w:t>
      </w:r>
      <w:r>
        <w:rPr>
          <w:rFonts w:ascii="Sylfaen" w:hAnsi="Sylfaen"/>
        </w:rPr>
        <w:t xml:space="preserve">Action Plan, </w:t>
      </w:r>
      <w:hyperlink r:id="rId9" w:history="1">
        <w:r w:rsidRPr="00746042">
          <w:rPr>
            <w:rStyle w:val="Hyperlink"/>
            <w:rFonts w:ascii="Sylfaen" w:hAnsi="Sylfaen"/>
          </w:rPr>
          <w:t>http://myrights.gov.ge/en/Policy%20Documents/action-plans-1/</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533BC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D12"/>
    <w:rsid w:val="000A4CD8"/>
    <w:rsid w:val="000B2854"/>
    <w:rsid w:val="00124115"/>
    <w:rsid w:val="001F1AF0"/>
    <w:rsid w:val="002176E3"/>
    <w:rsid w:val="00246E22"/>
    <w:rsid w:val="004E05CC"/>
    <w:rsid w:val="005A0C3F"/>
    <w:rsid w:val="005C2DB7"/>
    <w:rsid w:val="005D7552"/>
    <w:rsid w:val="005E5D12"/>
    <w:rsid w:val="0077520E"/>
    <w:rsid w:val="007D7092"/>
    <w:rsid w:val="00887B44"/>
    <w:rsid w:val="00A62E88"/>
    <w:rsid w:val="00C648AB"/>
    <w:rsid w:val="00D1453F"/>
    <w:rsid w:val="00FB3B4D"/>
    <w:rsid w:val="00FD2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AB369"/>
  <w15:chartTrackingRefBased/>
  <w15:docId w15:val="{14D25265-D5ED-410D-9672-51BBD99C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24115"/>
    <w:pPr>
      <w:spacing w:after="0" w:line="240" w:lineRule="auto"/>
    </w:pPr>
    <w:rPr>
      <w:rFonts w:eastAsiaTheme="minorEastAsia"/>
    </w:rPr>
  </w:style>
  <w:style w:type="character" w:customStyle="1" w:styleId="NoSpacingChar">
    <w:name w:val="No Spacing Char"/>
    <w:basedOn w:val="DefaultParagraphFont"/>
    <w:link w:val="NoSpacing"/>
    <w:uiPriority w:val="1"/>
    <w:rsid w:val="00124115"/>
    <w:rPr>
      <w:rFonts w:eastAsiaTheme="minorEastAsia"/>
    </w:rPr>
  </w:style>
  <w:style w:type="character" w:styleId="Hyperlink">
    <w:name w:val="Hyperlink"/>
    <w:basedOn w:val="DefaultParagraphFont"/>
    <w:uiPriority w:val="99"/>
    <w:unhideWhenUsed/>
    <w:rsid w:val="00A62E88"/>
    <w:rPr>
      <w:color w:val="0563C1" w:themeColor="hyperlink"/>
      <w:u w:val="single"/>
    </w:rPr>
  </w:style>
  <w:style w:type="character" w:styleId="UnresolvedMention">
    <w:name w:val="Unresolved Mention"/>
    <w:basedOn w:val="DefaultParagraphFont"/>
    <w:uiPriority w:val="99"/>
    <w:semiHidden/>
    <w:unhideWhenUsed/>
    <w:rsid w:val="00A62E88"/>
    <w:rPr>
      <w:color w:val="605E5C"/>
      <w:shd w:val="clear" w:color="auto" w:fill="E1DFDD"/>
    </w:rPr>
  </w:style>
  <w:style w:type="paragraph" w:styleId="Header">
    <w:name w:val="header"/>
    <w:basedOn w:val="Normal"/>
    <w:link w:val="HeaderChar"/>
    <w:uiPriority w:val="99"/>
    <w:unhideWhenUsed/>
    <w:rsid w:val="00A62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E88"/>
  </w:style>
  <w:style w:type="paragraph" w:styleId="Footer">
    <w:name w:val="footer"/>
    <w:basedOn w:val="Normal"/>
    <w:link w:val="FooterChar"/>
    <w:uiPriority w:val="99"/>
    <w:unhideWhenUsed/>
    <w:rsid w:val="00A62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E88"/>
  </w:style>
  <w:style w:type="paragraph" w:styleId="FootnoteText">
    <w:name w:val="footnote text"/>
    <w:basedOn w:val="Normal"/>
    <w:link w:val="FootnoteTextChar"/>
    <w:uiPriority w:val="99"/>
    <w:unhideWhenUsed/>
    <w:rsid w:val="000B2854"/>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0B2854"/>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unhideWhenUsed/>
    <w:rsid w:val="000B28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khaberi@equality.ge"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info@equality.ge" TargetMode="External"/><Relationship Id="rId4" Type="http://schemas.openxmlformats.org/officeDocument/2006/relationships/settings" Target="settings.xml"/><Relationship Id="rId9" Type="http://schemas.openxmlformats.org/officeDocument/2006/relationships/hyperlink" Target="http://www.equality.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qualitycoalition.ge/" TargetMode="External"/><Relationship Id="rId3" Type="http://schemas.openxmlformats.org/officeDocument/2006/relationships/hyperlink" Target="https://matsne.gov.ge/en/document/view/16426?publication=209" TargetMode="External"/><Relationship Id="rId7" Type="http://schemas.openxmlformats.org/officeDocument/2006/relationships/hyperlink" Target="https://undocs.org/A/73/152" TargetMode="External"/><Relationship Id="rId2" Type="http://schemas.openxmlformats.org/officeDocument/2006/relationships/hyperlink" Target="https://matsne.gov.ge/en/document/view/2339687?publication=0" TargetMode="External"/><Relationship Id="rId1" Type="http://schemas.openxmlformats.org/officeDocument/2006/relationships/hyperlink" Target="https://matsne.gov.ge/en/document/view/91624?publication=9" TargetMode="External"/><Relationship Id="rId6" Type="http://schemas.openxmlformats.org/officeDocument/2006/relationships/hyperlink" Target="file:///C:/Users/User/Downloads/2520-Article%20Text-3462-1-10-20190206%20(1).pdf" TargetMode="External"/><Relationship Id="rId5" Type="http://schemas.openxmlformats.org/officeDocument/2006/relationships/hyperlink" Target="https://civil.ge/archives/122862" TargetMode="External"/><Relationship Id="rId4" Type="http://schemas.openxmlformats.org/officeDocument/2006/relationships/hyperlink" Target="https://www.geostat.ge/media/36779/diskriminaciis-nishnit_2020_IV.pdf" TargetMode="External"/><Relationship Id="rId9" Type="http://schemas.openxmlformats.org/officeDocument/2006/relationships/hyperlink" Target="http://myrights.gov.ge/en/Policy%20Documents/action-plan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Equality Movement  (Georgia)</Contributor>
  </documentManagement>
</p:properties>
</file>

<file path=customXml/itemProps1.xml><?xml version="1.0" encoding="utf-8"?>
<ds:datastoreItem xmlns:ds="http://schemas.openxmlformats.org/officeDocument/2006/customXml" ds:itemID="{562DF2CB-1C28-4C11-AE39-2325AA98D155}">
  <ds:schemaRefs>
    <ds:schemaRef ds:uri="http://schemas.openxmlformats.org/officeDocument/2006/bibliography"/>
  </ds:schemaRefs>
</ds:datastoreItem>
</file>

<file path=customXml/itemProps2.xml><?xml version="1.0" encoding="utf-8"?>
<ds:datastoreItem xmlns:ds="http://schemas.openxmlformats.org/officeDocument/2006/customXml" ds:itemID="{5A22D437-214A-43CB-91E3-BC0E114FFCA6}"/>
</file>

<file path=customXml/itemProps3.xml><?xml version="1.0" encoding="utf-8"?>
<ds:datastoreItem xmlns:ds="http://schemas.openxmlformats.org/officeDocument/2006/customXml" ds:itemID="{DFE31DA6-B64F-493E-8667-002A9DBED33E}"/>
</file>

<file path=customXml/itemProps4.xml><?xml version="1.0" encoding="utf-8"?>
<ds:datastoreItem xmlns:ds="http://schemas.openxmlformats.org/officeDocument/2006/customXml" ds:itemID="{E766DF75-1F42-4E70-9564-71457B8E732B}"/>
</file>

<file path=docProps/app.xml><?xml version="1.0" encoding="utf-8"?>
<Properties xmlns="http://schemas.openxmlformats.org/officeDocument/2006/extended-properties" xmlns:vt="http://schemas.openxmlformats.org/officeDocument/2006/docPropsVTypes">
  <Template>Normal</Template>
  <TotalTime>163</TotalTime>
  <Pages>6</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Aptsiauri</dc:creator>
  <cp:keywords/>
  <dc:description/>
  <cp:lastModifiedBy>Ana Aptsiauri</cp:lastModifiedBy>
  <cp:revision>6</cp:revision>
  <dcterms:created xsi:type="dcterms:W3CDTF">2021-03-10T11:59:00Z</dcterms:created>
  <dcterms:modified xsi:type="dcterms:W3CDTF">2021-03-11T10:28:00Z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