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0480" w14:textId="07C41FDB" w:rsidR="00CC5494" w:rsidRDefault="00CC5494" w:rsidP="001879B7">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w:hAnsi="Arial" w:cs="Arial"/>
          <w:b/>
          <w:bCs/>
          <w:lang w:val="en-US"/>
        </w:rPr>
      </w:pPr>
      <w:r w:rsidRPr="00CC5494">
        <w:rPr>
          <w:rFonts w:ascii="Arial" w:hAnsi="Arial" w:cs="Arial"/>
          <w:b/>
          <w:bCs/>
          <w:lang w:val="en-US"/>
        </w:rPr>
        <w:t>COMMENTS BY COLOMBIA ON THE REVISED DRAFT CONVENTION ON THE RIGHT TO DEVELOPMENT</w:t>
      </w:r>
    </w:p>
    <w:p w14:paraId="0A06D6B9" w14:textId="266E9385" w:rsidR="00CC5494" w:rsidRDefault="00CC5494" w:rsidP="001879B7">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rial" w:hAnsi="Arial" w:cs="Arial"/>
          <w:b/>
          <w:bCs/>
          <w:lang w:val="en-US"/>
        </w:rPr>
      </w:pPr>
      <w:r w:rsidRPr="00CC5494">
        <w:rPr>
          <w:rFonts w:ascii="Arial" w:hAnsi="Arial" w:cs="Arial"/>
          <w:b/>
          <w:bCs/>
          <w:lang w:val="en-US"/>
        </w:rPr>
        <w:t>July 13, 2022</w:t>
      </w:r>
    </w:p>
    <w:p w14:paraId="536214EE" w14:textId="60FA78E6" w:rsidR="00CE1720" w:rsidRPr="00CC5494" w:rsidRDefault="00CE1720" w:rsidP="00CE1720">
      <w:pPr>
        <w:jc w:val="both"/>
        <w:rPr>
          <w:rFonts w:ascii="Arial" w:hAnsi="Arial" w:cs="Arial"/>
          <w:b/>
          <w:bCs/>
          <w:lang w:val="en-US"/>
        </w:rPr>
      </w:pPr>
    </w:p>
    <w:p w14:paraId="03FCFCBB" w14:textId="353D4666" w:rsidR="001879B7" w:rsidRPr="00CC5494" w:rsidRDefault="00CC5494" w:rsidP="001879B7">
      <w:pPr>
        <w:jc w:val="right"/>
        <w:rPr>
          <w:rFonts w:ascii="Arial" w:hAnsi="Arial" w:cs="Arial"/>
          <w:b/>
          <w:bCs/>
          <w:lang w:val="en-US"/>
        </w:rPr>
      </w:pPr>
      <w:r w:rsidRPr="00CC5494">
        <w:rPr>
          <w:rFonts w:ascii="Arial" w:hAnsi="Arial" w:cs="Arial"/>
          <w:b/>
          <w:bCs/>
          <w:sz w:val="20"/>
          <w:szCs w:val="20"/>
          <w:lang w:val="en-US"/>
        </w:rPr>
        <w:t>Directorate of Human Rights and International Humanitarian Law</w:t>
      </w:r>
    </w:p>
    <w:p w14:paraId="6E0915F7" w14:textId="77777777" w:rsidR="001879B7" w:rsidRPr="00CC5494" w:rsidRDefault="001879B7" w:rsidP="00CE1720">
      <w:pPr>
        <w:jc w:val="both"/>
        <w:rPr>
          <w:rFonts w:ascii="Arial" w:hAnsi="Arial" w:cs="Arial"/>
          <w:b/>
          <w:bCs/>
          <w:lang w:val="en-US"/>
        </w:rPr>
      </w:pPr>
    </w:p>
    <w:p w14:paraId="533A52FA" w14:textId="77777777" w:rsidR="00EC55D7" w:rsidRPr="00CC5494" w:rsidRDefault="00EC55D7" w:rsidP="00CE1720">
      <w:pPr>
        <w:jc w:val="both"/>
        <w:rPr>
          <w:rFonts w:ascii="Arial" w:hAnsi="Arial" w:cs="Arial"/>
          <w:lang w:val="en-US"/>
        </w:rPr>
      </w:pPr>
    </w:p>
    <w:p w14:paraId="685899B5" w14:textId="3154596A" w:rsidR="00142F17" w:rsidRPr="002C5540" w:rsidRDefault="006C7B83" w:rsidP="002C554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rFonts w:ascii="Arial" w:hAnsi="Arial" w:cs="Arial"/>
          <w:b/>
          <w:bCs/>
          <w:lang w:val="en-US"/>
        </w:rPr>
      </w:pPr>
      <w:r w:rsidRPr="002C5540">
        <w:rPr>
          <w:rFonts w:ascii="Arial" w:hAnsi="Arial" w:cs="Arial"/>
          <w:b/>
          <w:bCs/>
          <w:lang w:val="en-US"/>
        </w:rPr>
        <w:t>OPERATIVE SECTION</w:t>
      </w:r>
    </w:p>
    <w:p w14:paraId="68379813" w14:textId="2535E28F" w:rsidR="001B2933" w:rsidRPr="00CC5494" w:rsidRDefault="001B2933" w:rsidP="00CE1720">
      <w:pPr>
        <w:jc w:val="both"/>
        <w:rPr>
          <w:rFonts w:ascii="Arial" w:hAnsi="Arial" w:cs="Arial"/>
          <w:lang w:val="en-US"/>
        </w:rPr>
      </w:pPr>
    </w:p>
    <w:p w14:paraId="4680F412" w14:textId="77777777" w:rsidR="001879B7" w:rsidRPr="00CC5494" w:rsidRDefault="001879B7" w:rsidP="00EA1B43">
      <w:pPr>
        <w:ind w:left="360"/>
        <w:jc w:val="both"/>
        <w:rPr>
          <w:rFonts w:ascii="Arial" w:hAnsi="Arial" w:cs="Arial"/>
          <w:b/>
          <w:bCs/>
          <w:lang w:val="en-US"/>
        </w:rPr>
      </w:pPr>
      <w:r w:rsidRPr="00CC5494">
        <w:rPr>
          <w:rFonts w:ascii="Arial" w:hAnsi="Arial" w:cs="Arial"/>
          <w:b/>
          <w:bCs/>
          <w:lang w:val="en-US"/>
        </w:rPr>
        <w:t xml:space="preserve">Article 1. Object and purpose. </w:t>
      </w:r>
    </w:p>
    <w:p w14:paraId="5C20376C" w14:textId="77777777" w:rsidR="001879B7" w:rsidRPr="00CC5494" w:rsidRDefault="001879B7" w:rsidP="00EA1B43">
      <w:pPr>
        <w:ind w:left="360"/>
        <w:jc w:val="both"/>
        <w:rPr>
          <w:rFonts w:ascii="Arial" w:hAnsi="Arial" w:cs="Arial"/>
          <w:lang w:val="en-US"/>
        </w:rPr>
      </w:pPr>
    </w:p>
    <w:p w14:paraId="6A0C07C1" w14:textId="5A0300AA" w:rsidR="001879B7" w:rsidRDefault="001879B7" w:rsidP="002F283F">
      <w:pPr>
        <w:ind w:left="360"/>
        <w:jc w:val="both"/>
        <w:rPr>
          <w:rFonts w:ascii="Arial" w:hAnsi="Arial" w:cs="Arial"/>
          <w:lang w:val="en-US"/>
        </w:rPr>
      </w:pPr>
      <w:r w:rsidRPr="00CC5494">
        <w:rPr>
          <w:rFonts w:ascii="Arial" w:hAnsi="Arial" w:cs="Arial"/>
          <w:b/>
          <w:bCs/>
          <w:lang w:val="en-US"/>
        </w:rPr>
        <w:t xml:space="preserve">(Art. 1. Object and purpose) </w:t>
      </w:r>
      <w:r w:rsidRPr="00CC5494">
        <w:rPr>
          <w:rFonts w:ascii="Arial" w:hAnsi="Arial" w:cs="Arial"/>
          <w:lang w:val="en-US"/>
        </w:rPr>
        <w:t>“The object and purpose of the present Convention is to promote and ensure the full, equal and meaningful enjoyment of the right to development by every human person and all peoples everywhere, and to guarantee its effective operationalization and full implementation at the national and international levels.”</w:t>
      </w:r>
    </w:p>
    <w:p w14:paraId="403D62CF" w14:textId="77777777" w:rsidR="006E24A7" w:rsidRDefault="006E24A7" w:rsidP="002F283F">
      <w:pPr>
        <w:ind w:left="360"/>
        <w:jc w:val="both"/>
        <w:rPr>
          <w:rFonts w:ascii="Arial" w:hAnsi="Arial" w:cs="Arial"/>
          <w:lang w:val="en-US"/>
        </w:rPr>
      </w:pPr>
    </w:p>
    <w:p w14:paraId="210CC620" w14:textId="02196C81" w:rsidR="008A1545" w:rsidRDefault="008A1545" w:rsidP="008A1545">
      <w:pPr>
        <w:jc w:val="both"/>
        <w:rPr>
          <w:rFonts w:ascii="Arial" w:hAnsi="Arial" w:cs="Arial"/>
          <w:lang w:val="en-US"/>
        </w:rPr>
      </w:pPr>
    </w:p>
    <w:p w14:paraId="24645127" w14:textId="301610E7" w:rsid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1A53F84E" w14:textId="160C51C1" w:rsidR="008A1545" w:rsidRP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b/>
          <w:bCs/>
          <w:lang w:val="en-US"/>
        </w:rPr>
      </w:pPr>
      <w:r w:rsidRPr="008A1545">
        <w:rPr>
          <w:rFonts w:ascii="Arial" w:hAnsi="Arial" w:cs="Arial"/>
          <w:b/>
          <w:bCs/>
          <w:lang w:val="en-US"/>
        </w:rPr>
        <w:t>COMMENT</w:t>
      </w:r>
      <w:r>
        <w:rPr>
          <w:rFonts w:ascii="Arial" w:hAnsi="Arial" w:cs="Arial"/>
          <w:b/>
          <w:bCs/>
          <w:lang w:val="en-US"/>
        </w:rPr>
        <w:t>:</w:t>
      </w:r>
    </w:p>
    <w:p w14:paraId="22699417" w14:textId="77777777" w:rsidR="008A1545" w:rsidRP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47630255" w14:textId="603A12F3" w:rsidR="008A1545" w:rsidRP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8A1545">
        <w:rPr>
          <w:rFonts w:ascii="Arial" w:hAnsi="Arial" w:cs="Arial"/>
          <w:lang w:val="en-US"/>
        </w:rPr>
        <w:t xml:space="preserve">We find that neither in defining the </w:t>
      </w:r>
      <w:r>
        <w:rPr>
          <w:rFonts w:ascii="Arial" w:hAnsi="Arial" w:cs="Arial"/>
          <w:lang w:val="en-US"/>
        </w:rPr>
        <w:t>“</w:t>
      </w:r>
      <w:r w:rsidRPr="008A1545">
        <w:rPr>
          <w:rFonts w:ascii="Arial" w:hAnsi="Arial" w:cs="Arial"/>
          <w:lang w:val="en-US"/>
        </w:rPr>
        <w:t xml:space="preserve">object </w:t>
      </w:r>
      <w:r>
        <w:rPr>
          <w:rFonts w:ascii="Arial" w:hAnsi="Arial" w:cs="Arial"/>
          <w:lang w:val="en-US"/>
        </w:rPr>
        <w:t xml:space="preserve">and </w:t>
      </w:r>
      <w:r w:rsidRPr="008A1545">
        <w:rPr>
          <w:rFonts w:ascii="Arial" w:hAnsi="Arial" w:cs="Arial"/>
          <w:lang w:val="en-US"/>
        </w:rPr>
        <w:t>purpose</w:t>
      </w:r>
      <w:r>
        <w:rPr>
          <w:rFonts w:ascii="Arial" w:hAnsi="Arial" w:cs="Arial"/>
          <w:lang w:val="en-US"/>
        </w:rPr>
        <w:t>”</w:t>
      </w:r>
      <w:r w:rsidRPr="008A1545">
        <w:rPr>
          <w:rFonts w:ascii="Arial" w:hAnsi="Arial" w:cs="Arial"/>
          <w:lang w:val="en-US"/>
        </w:rPr>
        <w:t xml:space="preserve"> of the Convention, nor throughout the text of the instrument is the scope and content of the right to development described, delimited, or detailed. In other words, despite </w:t>
      </w:r>
      <w:r>
        <w:rPr>
          <w:rFonts w:ascii="Arial" w:hAnsi="Arial" w:cs="Arial"/>
          <w:lang w:val="en-US"/>
        </w:rPr>
        <w:t xml:space="preserve">of </w:t>
      </w:r>
      <w:r w:rsidRPr="008A1545">
        <w:rPr>
          <w:rFonts w:ascii="Arial" w:hAnsi="Arial" w:cs="Arial"/>
          <w:lang w:val="en-US"/>
        </w:rPr>
        <w:t>the fact that the Convention seeks to establish the international obligations of States with respect to the right to development, what is or should be understood by the "right to development" remains unaddressed.</w:t>
      </w:r>
    </w:p>
    <w:p w14:paraId="3C5D57C3" w14:textId="77777777" w:rsidR="008A1545" w:rsidRP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59932BE2" w14:textId="63FCA85B" w:rsidR="008A1545" w:rsidRDefault="008A1545" w:rsidP="008A1545">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8A1545">
        <w:rPr>
          <w:rFonts w:ascii="Arial" w:hAnsi="Arial" w:cs="Arial"/>
          <w:lang w:val="en-US"/>
        </w:rPr>
        <w:t>Likewise, neither the rightsholders, nor the subjects on whom the obligation to protect the right to development rests are detailed on the reviewed texts. Although it is clear from the wording in the article that there is an individual as well as a collective dimension of the right to development, the text has a vague definition of the subjects that could claim a presumptive violation of this right, and we do not observe either that the scheme of reciprocal obligations between States is contained in the provision in question.</w:t>
      </w:r>
    </w:p>
    <w:p w14:paraId="65BD24F5" w14:textId="243FC9DC" w:rsidR="002F283F" w:rsidRDefault="002F283F" w:rsidP="002F283F">
      <w:pPr>
        <w:jc w:val="both"/>
        <w:rPr>
          <w:rFonts w:ascii="Arial" w:hAnsi="Arial" w:cs="Arial"/>
          <w:b/>
          <w:bCs/>
          <w:lang w:val="en-US"/>
        </w:rPr>
      </w:pPr>
    </w:p>
    <w:p w14:paraId="7C2B20F8" w14:textId="77777777" w:rsidR="002F283F" w:rsidRPr="002F283F" w:rsidRDefault="002F283F" w:rsidP="002F283F">
      <w:pPr>
        <w:jc w:val="both"/>
        <w:rPr>
          <w:rFonts w:ascii="Arial" w:hAnsi="Arial" w:cs="Arial"/>
          <w:highlight w:val="darkCyan"/>
          <w:lang w:val="en-US"/>
        </w:rPr>
      </w:pPr>
    </w:p>
    <w:p w14:paraId="3E8D30F8" w14:textId="77777777" w:rsidR="0093760C" w:rsidRDefault="0093760C" w:rsidP="002F283F">
      <w:pPr>
        <w:ind w:left="360"/>
        <w:jc w:val="both"/>
        <w:rPr>
          <w:rFonts w:ascii="Arial" w:hAnsi="Arial" w:cs="Arial"/>
          <w:b/>
          <w:bCs/>
          <w:lang w:val="en-US"/>
        </w:rPr>
      </w:pPr>
    </w:p>
    <w:p w14:paraId="0F976657" w14:textId="77777777" w:rsidR="0093760C" w:rsidRDefault="0093760C" w:rsidP="002F283F">
      <w:pPr>
        <w:ind w:left="360"/>
        <w:jc w:val="both"/>
        <w:rPr>
          <w:rFonts w:ascii="Arial" w:hAnsi="Arial" w:cs="Arial"/>
          <w:b/>
          <w:bCs/>
          <w:lang w:val="en-US"/>
        </w:rPr>
      </w:pPr>
    </w:p>
    <w:p w14:paraId="63515A0D" w14:textId="77777777" w:rsidR="0093760C" w:rsidRDefault="0093760C" w:rsidP="002F283F">
      <w:pPr>
        <w:ind w:left="360"/>
        <w:jc w:val="both"/>
        <w:rPr>
          <w:rFonts w:ascii="Arial" w:hAnsi="Arial" w:cs="Arial"/>
          <w:b/>
          <w:bCs/>
          <w:lang w:val="en-US"/>
        </w:rPr>
      </w:pPr>
    </w:p>
    <w:p w14:paraId="52B48521" w14:textId="77777777" w:rsidR="0093760C" w:rsidRDefault="0093760C" w:rsidP="002F283F">
      <w:pPr>
        <w:ind w:left="360"/>
        <w:jc w:val="both"/>
        <w:rPr>
          <w:rFonts w:ascii="Arial" w:hAnsi="Arial" w:cs="Arial"/>
          <w:b/>
          <w:bCs/>
          <w:lang w:val="en-US"/>
        </w:rPr>
      </w:pPr>
    </w:p>
    <w:p w14:paraId="0764CF2A" w14:textId="77777777" w:rsidR="0093760C" w:rsidRDefault="0093760C" w:rsidP="002F283F">
      <w:pPr>
        <w:ind w:left="360"/>
        <w:jc w:val="both"/>
        <w:rPr>
          <w:rFonts w:ascii="Arial" w:hAnsi="Arial" w:cs="Arial"/>
          <w:b/>
          <w:bCs/>
          <w:lang w:val="en-US"/>
        </w:rPr>
      </w:pPr>
    </w:p>
    <w:p w14:paraId="6D699A3A" w14:textId="77777777" w:rsidR="0093760C" w:rsidRDefault="0093760C" w:rsidP="002F283F">
      <w:pPr>
        <w:ind w:left="360"/>
        <w:jc w:val="both"/>
        <w:rPr>
          <w:rFonts w:ascii="Arial" w:hAnsi="Arial" w:cs="Arial"/>
          <w:b/>
          <w:bCs/>
          <w:lang w:val="en-US"/>
        </w:rPr>
      </w:pPr>
    </w:p>
    <w:p w14:paraId="6CEC1C6B" w14:textId="77777777" w:rsidR="0093760C" w:rsidRDefault="0093760C" w:rsidP="002F283F">
      <w:pPr>
        <w:ind w:left="360"/>
        <w:jc w:val="both"/>
        <w:rPr>
          <w:rFonts w:ascii="Arial" w:hAnsi="Arial" w:cs="Arial"/>
          <w:b/>
          <w:bCs/>
          <w:lang w:val="en-US"/>
        </w:rPr>
      </w:pPr>
    </w:p>
    <w:p w14:paraId="7BF7A321" w14:textId="77777777" w:rsidR="0093760C" w:rsidRDefault="0093760C" w:rsidP="002F283F">
      <w:pPr>
        <w:ind w:left="360"/>
        <w:jc w:val="both"/>
        <w:rPr>
          <w:rFonts w:ascii="Arial" w:hAnsi="Arial" w:cs="Arial"/>
          <w:b/>
          <w:bCs/>
          <w:lang w:val="en-US"/>
        </w:rPr>
      </w:pPr>
    </w:p>
    <w:p w14:paraId="67356078" w14:textId="390B2783" w:rsidR="001879B7" w:rsidRPr="002F283F" w:rsidRDefault="00504186" w:rsidP="002F283F">
      <w:pPr>
        <w:ind w:left="360"/>
        <w:jc w:val="both"/>
        <w:rPr>
          <w:rFonts w:ascii="Arial" w:hAnsi="Arial" w:cs="Arial"/>
          <w:b/>
          <w:bCs/>
          <w:lang w:val="en-US"/>
        </w:rPr>
      </w:pPr>
      <w:r w:rsidRPr="002F283F">
        <w:rPr>
          <w:rFonts w:ascii="Arial" w:hAnsi="Arial" w:cs="Arial"/>
          <w:b/>
          <w:bCs/>
          <w:lang w:val="en-US"/>
        </w:rPr>
        <w:lastRenderedPageBreak/>
        <w:t>Art</w:t>
      </w:r>
      <w:r w:rsidR="008F3635">
        <w:rPr>
          <w:rFonts w:ascii="Arial" w:hAnsi="Arial" w:cs="Arial"/>
          <w:b/>
          <w:bCs/>
          <w:lang w:val="en-US"/>
        </w:rPr>
        <w:t>icles</w:t>
      </w:r>
      <w:r w:rsidR="0093760C">
        <w:rPr>
          <w:rFonts w:ascii="Arial" w:hAnsi="Arial" w:cs="Arial"/>
          <w:b/>
          <w:bCs/>
          <w:lang w:val="en-US"/>
        </w:rPr>
        <w:t xml:space="preserve"> </w:t>
      </w:r>
      <w:r w:rsidRPr="002F283F">
        <w:rPr>
          <w:rFonts w:ascii="Arial" w:hAnsi="Arial" w:cs="Arial"/>
          <w:b/>
          <w:bCs/>
          <w:lang w:val="en-US"/>
        </w:rPr>
        <w:t>25 y 27</w:t>
      </w:r>
      <w:r>
        <w:rPr>
          <w:rFonts w:ascii="Arial" w:hAnsi="Arial" w:cs="Arial"/>
          <w:b/>
          <w:bCs/>
          <w:lang w:val="en-US"/>
        </w:rPr>
        <w:t xml:space="preserve">. </w:t>
      </w:r>
      <w:r w:rsidR="001879B7" w:rsidRPr="002F283F">
        <w:rPr>
          <w:rFonts w:ascii="Arial" w:hAnsi="Arial" w:cs="Arial"/>
          <w:b/>
          <w:bCs/>
          <w:lang w:val="en-US"/>
        </w:rPr>
        <w:t>Enforcement and monitoring mechanisms</w:t>
      </w:r>
    </w:p>
    <w:p w14:paraId="05C2B7FC" w14:textId="77777777" w:rsidR="001879B7" w:rsidRPr="00CC5494" w:rsidRDefault="001879B7" w:rsidP="001879B7">
      <w:pPr>
        <w:pStyle w:val="Prrafodelista"/>
        <w:shd w:val="clear" w:color="auto" w:fill="FFFFFF"/>
        <w:spacing w:after="150"/>
        <w:ind w:left="1376"/>
        <w:jc w:val="both"/>
        <w:rPr>
          <w:rFonts w:ascii="Work Sans" w:hAnsi="Work Sans"/>
          <w:color w:val="002060"/>
          <w:lang w:val="en-US"/>
        </w:rPr>
      </w:pPr>
    </w:p>
    <w:p w14:paraId="1A18F09A" w14:textId="77777777" w:rsidR="001879B7" w:rsidRPr="002F283F" w:rsidRDefault="001879B7" w:rsidP="002F283F">
      <w:pPr>
        <w:pStyle w:val="Prrafodelista"/>
        <w:numPr>
          <w:ilvl w:val="0"/>
          <w:numId w:val="13"/>
        </w:numPr>
        <w:jc w:val="both"/>
        <w:rPr>
          <w:rFonts w:ascii="Arial" w:hAnsi="Arial" w:cs="Arial"/>
          <w:lang w:val="en-US"/>
        </w:rPr>
      </w:pPr>
      <w:r w:rsidRPr="002F283F">
        <w:rPr>
          <w:rFonts w:ascii="Arial" w:hAnsi="Arial" w:cs="Arial"/>
          <w:lang w:val="en-US"/>
        </w:rPr>
        <w:t>A Conference of States Parties is hereby established.</w:t>
      </w:r>
    </w:p>
    <w:p w14:paraId="49D3044F" w14:textId="77777777" w:rsidR="001879B7" w:rsidRPr="002F283F" w:rsidRDefault="001879B7" w:rsidP="002F283F">
      <w:pPr>
        <w:ind w:left="360"/>
        <w:jc w:val="both"/>
        <w:rPr>
          <w:rFonts w:ascii="Arial" w:hAnsi="Arial" w:cs="Arial"/>
          <w:lang w:val="en-US"/>
        </w:rPr>
      </w:pPr>
    </w:p>
    <w:p w14:paraId="3F5925AA" w14:textId="77777777" w:rsidR="001879B7" w:rsidRPr="002F283F" w:rsidRDefault="001879B7" w:rsidP="002F283F">
      <w:pPr>
        <w:pStyle w:val="Prrafodelista"/>
        <w:numPr>
          <w:ilvl w:val="0"/>
          <w:numId w:val="13"/>
        </w:numPr>
        <w:jc w:val="both"/>
        <w:rPr>
          <w:rFonts w:ascii="Arial" w:hAnsi="Arial" w:cs="Arial"/>
          <w:lang w:val="en-US"/>
        </w:rPr>
      </w:pPr>
      <w:r w:rsidRPr="002F283F">
        <w:rPr>
          <w:rFonts w:ascii="Arial" w:hAnsi="Arial" w:cs="Arial"/>
          <w:lang w:val="en-US"/>
        </w:rPr>
        <w:t>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w:t>
      </w:r>
    </w:p>
    <w:p w14:paraId="5A06B1DD" w14:textId="0885997F" w:rsidR="001879B7" w:rsidRPr="002F283F" w:rsidRDefault="001879B7" w:rsidP="002F283F">
      <w:pPr>
        <w:pStyle w:val="Prrafodelista"/>
        <w:numPr>
          <w:ilvl w:val="1"/>
          <w:numId w:val="13"/>
        </w:numPr>
        <w:jc w:val="both"/>
        <w:rPr>
          <w:rFonts w:ascii="Arial" w:hAnsi="Arial" w:cs="Arial"/>
          <w:lang w:val="en-US"/>
        </w:rPr>
      </w:pPr>
      <w:r w:rsidRPr="002F283F">
        <w:rPr>
          <w:rFonts w:ascii="Arial" w:hAnsi="Arial" w:cs="Arial"/>
          <w:lang w:val="en-US"/>
        </w:rPr>
        <w:t xml:space="preserve">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 </w:t>
      </w:r>
    </w:p>
    <w:p w14:paraId="1D7FD0F4" w14:textId="1EE6E771" w:rsidR="00504186" w:rsidRPr="0093760C" w:rsidRDefault="001879B7" w:rsidP="0093760C">
      <w:pPr>
        <w:pStyle w:val="Prrafodelista"/>
        <w:numPr>
          <w:ilvl w:val="1"/>
          <w:numId w:val="13"/>
        </w:numPr>
        <w:jc w:val="both"/>
        <w:rPr>
          <w:rFonts w:ascii="Arial" w:hAnsi="Arial" w:cs="Arial"/>
          <w:lang w:val="en-US"/>
        </w:rPr>
      </w:pPr>
      <w:r w:rsidRPr="002F283F">
        <w:rPr>
          <w:rFonts w:ascii="Arial" w:hAnsi="Arial" w:cs="Arial"/>
          <w:lang w:val="en-US"/>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652140BA" w14:textId="06450689"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b/>
          <w:bCs/>
          <w:lang w:val="en-US"/>
        </w:rPr>
      </w:pPr>
      <w:r w:rsidRPr="00504186">
        <w:rPr>
          <w:rFonts w:ascii="Arial" w:hAnsi="Arial" w:cs="Arial"/>
          <w:b/>
          <w:bCs/>
          <w:lang w:val="en-US"/>
        </w:rPr>
        <w:t>COMMENT</w:t>
      </w:r>
    </w:p>
    <w:p w14:paraId="47BD107D"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b/>
          <w:bCs/>
          <w:lang w:val="en-US"/>
        </w:rPr>
      </w:pPr>
    </w:p>
    <w:p w14:paraId="3B2E5AFC"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504186">
        <w:rPr>
          <w:rFonts w:ascii="Arial" w:hAnsi="Arial" w:cs="Arial"/>
          <w:lang w:val="en-US"/>
        </w:rPr>
        <w:t xml:space="preserve">Under Articles 25 and 27 of the draft Convention, States are required to submit periodic reports on compliance with and implementation of the Convention to the Conference of the Parties established by the Convention.  </w:t>
      </w:r>
    </w:p>
    <w:p w14:paraId="7C654BA3"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5513A11A"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504186">
        <w:rPr>
          <w:rFonts w:ascii="Arial" w:hAnsi="Arial" w:cs="Arial"/>
          <w:lang w:val="en-US"/>
        </w:rPr>
        <w:t>Article 27 also provides that the Conference of the States Parties shall establish an implementation mechanism, consisting of independent experts, that facilitate and promote the implementation of and compliance with the convention (which is part of the general mandate of an Implementation and Compliance Committee).</w:t>
      </w:r>
    </w:p>
    <w:p w14:paraId="6D184A12"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57DE7665" w14:textId="41BC6DA4"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504186">
        <w:rPr>
          <w:rFonts w:ascii="Arial" w:hAnsi="Arial" w:cs="Arial"/>
          <w:lang w:val="en-US"/>
        </w:rPr>
        <w:t>This mechanism, in addition to adopting general recommendations to States in the interpretation and application of the Convention, is empowered to "(Art. 27. C) “</w:t>
      </w:r>
      <w:r w:rsidRPr="00504186">
        <w:rPr>
          <w:rFonts w:ascii="Arial" w:hAnsi="Arial" w:cs="Arial"/>
          <w:u w:val="single"/>
          <w:lang w:val="en-US"/>
        </w:rPr>
        <w:t>Review requests by rights holders to comment on situations</w:t>
      </w:r>
      <w:r w:rsidRPr="00504186">
        <w:rPr>
          <w:rFonts w:ascii="Arial" w:hAnsi="Arial" w:cs="Arial"/>
          <w:lang w:val="en-US"/>
        </w:rPr>
        <w:t xml:space="preserve"> in which their right to development has been adversely affected by the failure of States to comply with their duty to cooperate, as reaffirmed and recognized under the present Convention, within the mandate established for this purpose by the Conference of States Parties</w:t>
      </w:r>
      <w:r>
        <w:rPr>
          <w:rFonts w:ascii="Arial" w:hAnsi="Arial" w:cs="Arial"/>
          <w:lang w:val="en-US"/>
        </w:rPr>
        <w:t>.</w:t>
      </w:r>
      <w:r w:rsidRPr="00504186">
        <w:rPr>
          <w:rFonts w:ascii="Arial" w:hAnsi="Arial" w:cs="Arial"/>
          <w:lang w:val="en-US"/>
        </w:rPr>
        <w:t xml:space="preserve">” </w:t>
      </w:r>
    </w:p>
    <w:p w14:paraId="0C70E33A"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504186">
        <w:rPr>
          <w:rFonts w:ascii="Arial" w:hAnsi="Arial" w:cs="Arial"/>
          <w:lang w:val="en-US"/>
        </w:rPr>
        <w:t>In other words, the Convention creates a system of individual petitions, administered by the implementation mechanism, to which the holders of the right to development (individuals and peoples) can appeal when their right to development has been undermined by the failure of States to comply with their duty to cooperate.</w:t>
      </w:r>
    </w:p>
    <w:p w14:paraId="61C9D613" w14:textId="77777777"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75E36884" w14:textId="24045C7D" w:rsidR="00504186" w:rsidRPr="00504186" w:rsidRDefault="00504186" w:rsidP="00504186">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504186">
        <w:rPr>
          <w:rFonts w:ascii="Arial" w:hAnsi="Arial" w:cs="Arial"/>
          <w:lang w:val="en-US"/>
        </w:rPr>
        <w:t xml:space="preserve">In this sense, </w:t>
      </w:r>
      <w:r>
        <w:rPr>
          <w:rFonts w:ascii="Arial" w:hAnsi="Arial" w:cs="Arial"/>
          <w:lang w:val="en-US"/>
        </w:rPr>
        <w:t>Colombia could not be in the position to support the creation of such a mechanism,</w:t>
      </w:r>
      <w:r w:rsidR="00CF5A92">
        <w:rPr>
          <w:rFonts w:ascii="Arial" w:hAnsi="Arial" w:cs="Arial"/>
          <w:lang w:val="en-US"/>
        </w:rPr>
        <w:t xml:space="preserve"> since we</w:t>
      </w:r>
      <w:r w:rsidR="0076449C">
        <w:rPr>
          <w:rFonts w:ascii="Arial" w:hAnsi="Arial" w:cs="Arial"/>
          <w:lang w:val="en-US"/>
        </w:rPr>
        <w:t xml:space="preserve"> believe that the creation of new </w:t>
      </w:r>
      <w:r w:rsidR="007A028F">
        <w:rPr>
          <w:rFonts w:ascii="Arial" w:hAnsi="Arial" w:cs="Arial"/>
          <w:lang w:val="en-US"/>
        </w:rPr>
        <w:t>mechanisms</w:t>
      </w:r>
      <w:r w:rsidR="0076449C">
        <w:rPr>
          <w:rFonts w:ascii="Arial" w:hAnsi="Arial" w:cs="Arial"/>
          <w:lang w:val="en-US"/>
        </w:rPr>
        <w:t xml:space="preserve"> setting the </w:t>
      </w:r>
      <w:r w:rsidR="0076449C">
        <w:rPr>
          <w:rFonts w:ascii="Arial" w:hAnsi="Arial" w:cs="Arial"/>
          <w:lang w:val="en-US"/>
        </w:rPr>
        <w:lastRenderedPageBreak/>
        <w:t>possibility for interna</w:t>
      </w:r>
      <w:r w:rsidR="00F66975">
        <w:rPr>
          <w:rFonts w:ascii="Arial" w:hAnsi="Arial" w:cs="Arial"/>
          <w:lang w:val="en-US"/>
        </w:rPr>
        <w:t>tional claims</w:t>
      </w:r>
      <w:r w:rsidR="00AD456D">
        <w:rPr>
          <w:rFonts w:ascii="Arial" w:hAnsi="Arial" w:cs="Arial"/>
          <w:lang w:val="en-US"/>
        </w:rPr>
        <w:t xml:space="preserve"> on human rights</w:t>
      </w:r>
      <w:r w:rsidR="00F66975">
        <w:rPr>
          <w:rFonts w:ascii="Arial" w:hAnsi="Arial" w:cs="Arial"/>
          <w:lang w:val="en-US"/>
        </w:rPr>
        <w:t xml:space="preserve"> will weaken the possibility to reach </w:t>
      </w:r>
      <w:r w:rsidR="00AD456D">
        <w:rPr>
          <w:rFonts w:ascii="Arial" w:hAnsi="Arial" w:cs="Arial"/>
          <w:lang w:val="en-US"/>
        </w:rPr>
        <w:t>the required consensus necessary</w:t>
      </w:r>
      <w:r w:rsidR="005E62F0">
        <w:rPr>
          <w:rFonts w:ascii="Arial" w:hAnsi="Arial" w:cs="Arial"/>
          <w:lang w:val="en-US"/>
        </w:rPr>
        <w:t xml:space="preserve"> to advance in the negotiation of the instrument. </w:t>
      </w:r>
    </w:p>
    <w:p w14:paraId="0352450E" w14:textId="77777777" w:rsidR="00504186" w:rsidRDefault="00504186" w:rsidP="002F283F">
      <w:pPr>
        <w:jc w:val="both"/>
        <w:rPr>
          <w:rFonts w:ascii="Arial" w:hAnsi="Arial" w:cs="Arial"/>
          <w:b/>
          <w:bCs/>
          <w:lang w:val="en-US"/>
        </w:rPr>
      </w:pPr>
    </w:p>
    <w:p w14:paraId="28DC4CCF" w14:textId="77777777" w:rsidR="00341979" w:rsidRPr="00341979" w:rsidRDefault="00341979" w:rsidP="00341979">
      <w:pPr>
        <w:jc w:val="both"/>
        <w:rPr>
          <w:rFonts w:ascii="Arial" w:hAnsi="Arial" w:cs="Arial"/>
          <w:highlight w:val="darkCyan"/>
          <w:lang w:val="en-US"/>
        </w:rPr>
      </w:pPr>
    </w:p>
    <w:p w14:paraId="5ED76660" w14:textId="314DFEC0" w:rsidR="003C7E0C" w:rsidRPr="006E24A7" w:rsidRDefault="001879B7" w:rsidP="006E24A7">
      <w:pPr>
        <w:ind w:left="360"/>
        <w:jc w:val="both"/>
        <w:rPr>
          <w:rFonts w:ascii="Arial" w:hAnsi="Arial" w:cs="Arial"/>
          <w:lang w:val="en-US"/>
        </w:rPr>
      </w:pPr>
      <w:r w:rsidRPr="003C7E0C">
        <w:rPr>
          <w:rFonts w:ascii="Arial" w:hAnsi="Arial" w:cs="Arial"/>
          <w:b/>
          <w:bCs/>
          <w:lang w:val="en-US"/>
        </w:rPr>
        <w:t>Article 35 Dispute settlement between States Parties</w:t>
      </w:r>
      <w:r w:rsidR="00344AFF">
        <w:rPr>
          <w:rFonts w:ascii="Arial" w:hAnsi="Arial" w:cs="Arial"/>
          <w:b/>
          <w:bCs/>
          <w:lang w:val="en-US"/>
        </w:rPr>
        <w:t xml:space="preserve">. </w:t>
      </w:r>
      <w:r w:rsidR="00344AFF" w:rsidRPr="00344AFF">
        <w:rPr>
          <w:rFonts w:ascii="Arial" w:hAnsi="Arial" w:cs="Arial"/>
          <w:lang w:val="en-US"/>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74FF012B" w14:textId="77777777" w:rsidR="00344AFF" w:rsidRDefault="00344AFF" w:rsidP="003C7E0C">
      <w:pPr>
        <w:jc w:val="both"/>
        <w:rPr>
          <w:rFonts w:ascii="Arial" w:hAnsi="Arial" w:cs="Arial"/>
          <w:highlight w:val="darkCyan"/>
          <w:lang w:val="en-US"/>
        </w:rPr>
      </w:pPr>
    </w:p>
    <w:p w14:paraId="3367616E" w14:textId="20119919" w:rsidR="00344AFF" w:rsidRDefault="00344AFF" w:rsidP="00344AFF">
      <w:pPr>
        <w:pBdr>
          <w:top w:val="single" w:sz="4" w:space="1" w:color="auto"/>
          <w:left w:val="single" w:sz="4" w:space="4" w:color="auto"/>
          <w:bottom w:val="single" w:sz="4" w:space="1" w:color="auto"/>
          <w:right w:val="single" w:sz="4" w:space="4" w:color="auto"/>
        </w:pBdr>
        <w:jc w:val="both"/>
        <w:rPr>
          <w:rFonts w:ascii="Arial" w:hAnsi="Arial" w:cs="Arial"/>
          <w:highlight w:val="darkCyan"/>
          <w:lang w:val="en-US"/>
        </w:rPr>
      </w:pPr>
    </w:p>
    <w:p w14:paraId="5E2B0948" w14:textId="3942ECDF" w:rsidR="00344AFF" w:rsidRPr="00344AFF" w:rsidRDefault="00344AFF" w:rsidP="00344AFF">
      <w:pPr>
        <w:pBdr>
          <w:top w:val="single" w:sz="4" w:space="1" w:color="auto"/>
          <w:left w:val="single" w:sz="4" w:space="4" w:color="auto"/>
          <w:bottom w:val="single" w:sz="4" w:space="1" w:color="auto"/>
          <w:right w:val="single" w:sz="4" w:space="4" w:color="auto"/>
        </w:pBdr>
        <w:jc w:val="both"/>
        <w:rPr>
          <w:rFonts w:ascii="Arial" w:hAnsi="Arial" w:cs="Arial"/>
          <w:b/>
          <w:bCs/>
          <w:lang w:val="en-US"/>
        </w:rPr>
      </w:pPr>
      <w:r w:rsidRPr="00344AFF">
        <w:rPr>
          <w:rFonts w:ascii="Arial" w:hAnsi="Arial" w:cs="Arial"/>
          <w:b/>
          <w:bCs/>
          <w:lang w:val="en-US"/>
        </w:rPr>
        <w:t>COMMENT:</w:t>
      </w:r>
    </w:p>
    <w:p w14:paraId="57860A97" w14:textId="77777777" w:rsidR="00344AFF" w:rsidRPr="00344AFF" w:rsidRDefault="00344AFF" w:rsidP="00344AFF">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5F64F028" w14:textId="743E54D4" w:rsidR="00344AFF" w:rsidRDefault="00344AFF" w:rsidP="00344AFF">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344AFF">
        <w:rPr>
          <w:rFonts w:ascii="Arial" w:hAnsi="Arial" w:cs="Arial"/>
          <w:lang w:val="en-US"/>
        </w:rPr>
        <w:t xml:space="preserve">The Draft Convention provides not only for a system of individual-State rights and obligations, but also for a scheme of reciprocal inter-State duties. </w:t>
      </w:r>
    </w:p>
    <w:p w14:paraId="16494E3E" w14:textId="77777777" w:rsidR="00344AFF" w:rsidRPr="00344AFF" w:rsidRDefault="00344AFF" w:rsidP="00344AFF">
      <w:pPr>
        <w:pBdr>
          <w:top w:val="single" w:sz="4" w:space="1" w:color="auto"/>
          <w:left w:val="single" w:sz="4" w:space="4" w:color="auto"/>
          <w:bottom w:val="single" w:sz="4" w:space="1" w:color="auto"/>
          <w:right w:val="single" w:sz="4" w:space="4" w:color="auto"/>
        </w:pBdr>
        <w:jc w:val="both"/>
        <w:rPr>
          <w:rFonts w:ascii="Arial" w:hAnsi="Arial" w:cs="Arial"/>
          <w:lang w:val="en-US"/>
        </w:rPr>
      </w:pPr>
    </w:p>
    <w:p w14:paraId="1F414851" w14:textId="7C00A89A" w:rsidR="00142F17" w:rsidRPr="00CC5494" w:rsidRDefault="00344AFF" w:rsidP="006E24A7">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344AFF">
        <w:rPr>
          <w:rFonts w:ascii="Arial" w:hAnsi="Arial" w:cs="Arial"/>
          <w:lang w:val="en-US"/>
        </w:rPr>
        <w:t>Colombia</w:t>
      </w:r>
      <w:r>
        <w:rPr>
          <w:rFonts w:ascii="Arial" w:hAnsi="Arial" w:cs="Arial"/>
          <w:lang w:val="en-US"/>
        </w:rPr>
        <w:t xml:space="preserve"> would not be in the</w:t>
      </w:r>
      <w:r w:rsidRPr="00344AFF">
        <w:rPr>
          <w:rFonts w:ascii="Arial" w:hAnsi="Arial" w:cs="Arial"/>
          <w:lang w:val="en-US"/>
        </w:rPr>
        <w:t xml:space="preserve"> position of accepting clauses or agreements that grant jurisdiction to the International Court of Justice to resolve disputes</w:t>
      </w:r>
      <w:r>
        <w:rPr>
          <w:rFonts w:ascii="Arial" w:hAnsi="Arial" w:cs="Arial"/>
          <w:lang w:val="en-US"/>
        </w:rPr>
        <w:t xml:space="preserve"> regarding human rights obligations</w:t>
      </w:r>
      <w:r w:rsidRPr="00344AFF">
        <w:rPr>
          <w:rFonts w:ascii="Arial" w:hAnsi="Arial" w:cs="Arial"/>
          <w:lang w:val="en-US"/>
        </w:rPr>
        <w:t>.</w:t>
      </w:r>
    </w:p>
    <w:sectPr w:rsidR="00142F17" w:rsidRPr="00CC5494" w:rsidSect="0056227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C5CB" w14:textId="77777777" w:rsidR="002925F6" w:rsidRDefault="002925F6" w:rsidP="001879B7">
      <w:r>
        <w:separator/>
      </w:r>
    </w:p>
  </w:endnote>
  <w:endnote w:type="continuationSeparator" w:id="0">
    <w:p w14:paraId="3058EF27" w14:textId="77777777" w:rsidR="002925F6" w:rsidRDefault="002925F6" w:rsidP="0018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CCBF" w14:textId="77777777" w:rsidR="002925F6" w:rsidRDefault="002925F6" w:rsidP="001879B7">
      <w:r>
        <w:separator/>
      </w:r>
    </w:p>
  </w:footnote>
  <w:footnote w:type="continuationSeparator" w:id="0">
    <w:p w14:paraId="0B962793" w14:textId="77777777" w:rsidR="002925F6" w:rsidRDefault="002925F6" w:rsidP="0018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0B4D" w14:textId="0E95B346" w:rsidR="001879B7" w:rsidRDefault="001879B7">
    <w:pPr>
      <w:pStyle w:val="Encabezado"/>
    </w:pPr>
    <w:r>
      <w:rPr>
        <w:noProof/>
      </w:rPr>
      <w:drawing>
        <wp:inline distT="0" distB="0" distL="0" distR="0" wp14:anchorId="48DA6ACB" wp14:editId="7048B552">
          <wp:extent cx="2172082" cy="4350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296935" cy="460010"/>
                  </a:xfrm>
                  <a:prstGeom prst="rect">
                    <a:avLst/>
                  </a:prstGeom>
                </pic:spPr>
              </pic:pic>
            </a:graphicData>
          </a:graphic>
        </wp:inline>
      </w:drawing>
    </w:r>
  </w:p>
  <w:p w14:paraId="200B2C98" w14:textId="77777777" w:rsidR="006768F4" w:rsidRDefault="00676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DC1"/>
    <w:multiLevelType w:val="hybridMultilevel"/>
    <w:tmpl w:val="4F50191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24BF6344"/>
    <w:multiLevelType w:val="hybridMultilevel"/>
    <w:tmpl w:val="F3746FEC"/>
    <w:lvl w:ilvl="0" w:tplc="E72E761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594AE2"/>
    <w:multiLevelType w:val="hybridMultilevel"/>
    <w:tmpl w:val="00365318"/>
    <w:lvl w:ilvl="0" w:tplc="B0683844">
      <w:start w:val="1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56A6E39"/>
    <w:multiLevelType w:val="hybridMultilevel"/>
    <w:tmpl w:val="8D522016"/>
    <w:lvl w:ilvl="0" w:tplc="874E60E4">
      <w:start w:val="1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3A16CA"/>
    <w:multiLevelType w:val="hybridMultilevel"/>
    <w:tmpl w:val="D0D40BCA"/>
    <w:lvl w:ilvl="0" w:tplc="57A4C054">
      <w:start w:val="25"/>
      <w:numFmt w:val="bullet"/>
      <w:lvlText w:val=""/>
      <w:lvlJc w:val="left"/>
      <w:pPr>
        <w:ind w:left="1376" w:hanging="360"/>
      </w:pPr>
      <w:rPr>
        <w:rFonts w:ascii="Symbol" w:eastAsiaTheme="minorHAnsi" w:hAnsi="Symbol" w:cstheme="minorBidi" w:hint="default"/>
      </w:rPr>
    </w:lvl>
    <w:lvl w:ilvl="1" w:tplc="240A0003" w:tentative="1">
      <w:start w:val="1"/>
      <w:numFmt w:val="bullet"/>
      <w:lvlText w:val="o"/>
      <w:lvlJc w:val="left"/>
      <w:pPr>
        <w:ind w:left="2096" w:hanging="360"/>
      </w:pPr>
      <w:rPr>
        <w:rFonts w:ascii="Courier New" w:hAnsi="Courier New" w:cs="Courier New" w:hint="default"/>
      </w:rPr>
    </w:lvl>
    <w:lvl w:ilvl="2" w:tplc="240A0005" w:tentative="1">
      <w:start w:val="1"/>
      <w:numFmt w:val="bullet"/>
      <w:lvlText w:val=""/>
      <w:lvlJc w:val="left"/>
      <w:pPr>
        <w:ind w:left="2816" w:hanging="360"/>
      </w:pPr>
      <w:rPr>
        <w:rFonts w:ascii="Wingdings" w:hAnsi="Wingdings" w:hint="default"/>
      </w:rPr>
    </w:lvl>
    <w:lvl w:ilvl="3" w:tplc="240A0001" w:tentative="1">
      <w:start w:val="1"/>
      <w:numFmt w:val="bullet"/>
      <w:lvlText w:val=""/>
      <w:lvlJc w:val="left"/>
      <w:pPr>
        <w:ind w:left="3536" w:hanging="360"/>
      </w:pPr>
      <w:rPr>
        <w:rFonts w:ascii="Symbol" w:hAnsi="Symbol" w:hint="default"/>
      </w:rPr>
    </w:lvl>
    <w:lvl w:ilvl="4" w:tplc="240A0003" w:tentative="1">
      <w:start w:val="1"/>
      <w:numFmt w:val="bullet"/>
      <w:lvlText w:val="o"/>
      <w:lvlJc w:val="left"/>
      <w:pPr>
        <w:ind w:left="4256" w:hanging="360"/>
      </w:pPr>
      <w:rPr>
        <w:rFonts w:ascii="Courier New" w:hAnsi="Courier New" w:cs="Courier New" w:hint="default"/>
      </w:rPr>
    </w:lvl>
    <w:lvl w:ilvl="5" w:tplc="240A0005" w:tentative="1">
      <w:start w:val="1"/>
      <w:numFmt w:val="bullet"/>
      <w:lvlText w:val=""/>
      <w:lvlJc w:val="left"/>
      <w:pPr>
        <w:ind w:left="4976" w:hanging="360"/>
      </w:pPr>
      <w:rPr>
        <w:rFonts w:ascii="Wingdings" w:hAnsi="Wingdings" w:hint="default"/>
      </w:rPr>
    </w:lvl>
    <w:lvl w:ilvl="6" w:tplc="240A0001" w:tentative="1">
      <w:start w:val="1"/>
      <w:numFmt w:val="bullet"/>
      <w:lvlText w:val=""/>
      <w:lvlJc w:val="left"/>
      <w:pPr>
        <w:ind w:left="5696" w:hanging="360"/>
      </w:pPr>
      <w:rPr>
        <w:rFonts w:ascii="Symbol" w:hAnsi="Symbol" w:hint="default"/>
      </w:rPr>
    </w:lvl>
    <w:lvl w:ilvl="7" w:tplc="240A0003" w:tentative="1">
      <w:start w:val="1"/>
      <w:numFmt w:val="bullet"/>
      <w:lvlText w:val="o"/>
      <w:lvlJc w:val="left"/>
      <w:pPr>
        <w:ind w:left="6416" w:hanging="360"/>
      </w:pPr>
      <w:rPr>
        <w:rFonts w:ascii="Courier New" w:hAnsi="Courier New" w:cs="Courier New" w:hint="default"/>
      </w:rPr>
    </w:lvl>
    <w:lvl w:ilvl="8" w:tplc="240A0005" w:tentative="1">
      <w:start w:val="1"/>
      <w:numFmt w:val="bullet"/>
      <w:lvlText w:val=""/>
      <w:lvlJc w:val="left"/>
      <w:pPr>
        <w:ind w:left="7136" w:hanging="360"/>
      </w:pPr>
      <w:rPr>
        <w:rFonts w:ascii="Wingdings" w:hAnsi="Wingdings" w:hint="default"/>
      </w:rPr>
    </w:lvl>
  </w:abstractNum>
  <w:abstractNum w:abstractNumId="5" w15:restartNumberingAfterBreak="0">
    <w:nsid w:val="3DD13552"/>
    <w:multiLevelType w:val="hybridMultilevel"/>
    <w:tmpl w:val="304ADF86"/>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D707F0C"/>
    <w:multiLevelType w:val="hybridMultilevel"/>
    <w:tmpl w:val="386C1354"/>
    <w:lvl w:ilvl="0" w:tplc="AA7855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7FF108B"/>
    <w:multiLevelType w:val="hybridMultilevel"/>
    <w:tmpl w:val="052CDB7E"/>
    <w:lvl w:ilvl="0" w:tplc="040A000F">
      <w:start w:val="1"/>
      <w:numFmt w:val="decimal"/>
      <w:lvlText w:val="%1."/>
      <w:lvlJc w:val="left"/>
      <w:pPr>
        <w:ind w:left="1080" w:hanging="360"/>
      </w:pPr>
    </w:lvl>
    <w:lvl w:ilvl="1" w:tplc="0C207F6E">
      <w:start w:val="1"/>
      <w:numFmt w:val="lowerLetter"/>
      <w:lvlText w:val="(%2)"/>
      <w:lvlJc w:val="left"/>
      <w:pPr>
        <w:ind w:left="1860" w:hanging="420"/>
      </w:pPr>
      <w:rPr>
        <w:rFonts w:hint="default"/>
      </w:r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596361DB"/>
    <w:multiLevelType w:val="hybridMultilevel"/>
    <w:tmpl w:val="94005CDA"/>
    <w:lvl w:ilvl="0" w:tplc="02BE8C8E">
      <w:start w:val="13"/>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611B02D5"/>
    <w:multiLevelType w:val="hybridMultilevel"/>
    <w:tmpl w:val="80AA8A76"/>
    <w:lvl w:ilvl="0" w:tplc="63CA9B4E">
      <w:start w:val="1"/>
      <w:numFmt w:val="decimal"/>
      <w:lvlText w:val="%1."/>
      <w:lvlJc w:val="left"/>
      <w:pPr>
        <w:ind w:left="360" w:hanging="360"/>
      </w:pPr>
      <w:rPr>
        <w:rFonts w:hint="default"/>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67AD2103"/>
    <w:multiLevelType w:val="hybridMultilevel"/>
    <w:tmpl w:val="ED4E5A66"/>
    <w:lvl w:ilvl="0" w:tplc="8B4EA2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CC75310"/>
    <w:multiLevelType w:val="hybridMultilevel"/>
    <w:tmpl w:val="304ADF86"/>
    <w:lvl w:ilvl="0" w:tplc="AB428BAE">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7BAA7133"/>
    <w:multiLevelType w:val="hybridMultilevel"/>
    <w:tmpl w:val="3FDAD7D6"/>
    <w:lvl w:ilvl="0" w:tplc="DF380CCC">
      <w:start w:val="1"/>
      <w:numFmt w:val="decimal"/>
      <w:lvlText w:val="%1."/>
      <w:lvlJc w:val="left"/>
      <w:pPr>
        <w:ind w:left="720" w:hanging="360"/>
      </w:pPr>
      <w:rPr>
        <w:rFonts w:asciiTheme="minorHAnsi" w:hAnsi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80563351">
    <w:abstractNumId w:val="9"/>
  </w:num>
  <w:num w:numId="2" w16cid:durableId="1725592635">
    <w:abstractNumId w:val="10"/>
  </w:num>
  <w:num w:numId="3" w16cid:durableId="1809350129">
    <w:abstractNumId w:val="2"/>
  </w:num>
  <w:num w:numId="4" w16cid:durableId="2053379071">
    <w:abstractNumId w:val="11"/>
  </w:num>
  <w:num w:numId="5" w16cid:durableId="440955630">
    <w:abstractNumId w:val="6"/>
  </w:num>
  <w:num w:numId="6" w16cid:durableId="1087575794">
    <w:abstractNumId w:val="5"/>
  </w:num>
  <w:num w:numId="7" w16cid:durableId="1120614975">
    <w:abstractNumId w:val="3"/>
  </w:num>
  <w:num w:numId="8" w16cid:durableId="2005085706">
    <w:abstractNumId w:val="8"/>
  </w:num>
  <w:num w:numId="9" w16cid:durableId="1378117218">
    <w:abstractNumId w:val="4"/>
  </w:num>
  <w:num w:numId="10" w16cid:durableId="19399107">
    <w:abstractNumId w:val="1"/>
  </w:num>
  <w:num w:numId="11" w16cid:durableId="829490116">
    <w:abstractNumId w:val="12"/>
  </w:num>
  <w:num w:numId="12" w16cid:durableId="1683819480">
    <w:abstractNumId w:val="0"/>
  </w:num>
  <w:num w:numId="13" w16cid:durableId="1781096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20"/>
    <w:rsid w:val="0000029F"/>
    <w:rsid w:val="000B5EA5"/>
    <w:rsid w:val="000D4B11"/>
    <w:rsid w:val="000E201B"/>
    <w:rsid w:val="000E267A"/>
    <w:rsid w:val="00127CA0"/>
    <w:rsid w:val="00142F17"/>
    <w:rsid w:val="001879B7"/>
    <w:rsid w:val="001B2933"/>
    <w:rsid w:val="001E4EBB"/>
    <w:rsid w:val="00207EDE"/>
    <w:rsid w:val="00217AF3"/>
    <w:rsid w:val="00243E8C"/>
    <w:rsid w:val="0025703E"/>
    <w:rsid w:val="002925F6"/>
    <w:rsid w:val="002C5540"/>
    <w:rsid w:val="002E42F2"/>
    <w:rsid w:val="002F283F"/>
    <w:rsid w:val="0032661A"/>
    <w:rsid w:val="00341979"/>
    <w:rsid w:val="0034384D"/>
    <w:rsid w:val="00344AFF"/>
    <w:rsid w:val="003460E9"/>
    <w:rsid w:val="003772AA"/>
    <w:rsid w:val="003C7E0C"/>
    <w:rsid w:val="004044B8"/>
    <w:rsid w:val="00424303"/>
    <w:rsid w:val="004B097C"/>
    <w:rsid w:val="004C3312"/>
    <w:rsid w:val="00504186"/>
    <w:rsid w:val="00562279"/>
    <w:rsid w:val="00564756"/>
    <w:rsid w:val="00565402"/>
    <w:rsid w:val="00584BF2"/>
    <w:rsid w:val="005D3949"/>
    <w:rsid w:val="005E62F0"/>
    <w:rsid w:val="0065644F"/>
    <w:rsid w:val="006768F4"/>
    <w:rsid w:val="006C1C56"/>
    <w:rsid w:val="006C7B83"/>
    <w:rsid w:val="006E24A7"/>
    <w:rsid w:val="006F247D"/>
    <w:rsid w:val="0076449C"/>
    <w:rsid w:val="00786CF0"/>
    <w:rsid w:val="007A028F"/>
    <w:rsid w:val="007C56A5"/>
    <w:rsid w:val="007F4CFD"/>
    <w:rsid w:val="00800372"/>
    <w:rsid w:val="00823730"/>
    <w:rsid w:val="00831ED3"/>
    <w:rsid w:val="008A1545"/>
    <w:rsid w:val="008F3635"/>
    <w:rsid w:val="00914181"/>
    <w:rsid w:val="00931B61"/>
    <w:rsid w:val="0093760C"/>
    <w:rsid w:val="009A2BFE"/>
    <w:rsid w:val="009B0AE4"/>
    <w:rsid w:val="009F7C6F"/>
    <w:rsid w:val="00A121E1"/>
    <w:rsid w:val="00AB42EF"/>
    <w:rsid w:val="00AD456D"/>
    <w:rsid w:val="00B201F8"/>
    <w:rsid w:val="00B55B6F"/>
    <w:rsid w:val="00BD503C"/>
    <w:rsid w:val="00BD7B84"/>
    <w:rsid w:val="00C56EFC"/>
    <w:rsid w:val="00C933ED"/>
    <w:rsid w:val="00CC5494"/>
    <w:rsid w:val="00CE1720"/>
    <w:rsid w:val="00CF5A92"/>
    <w:rsid w:val="00D2510C"/>
    <w:rsid w:val="00D64A8F"/>
    <w:rsid w:val="00DB4EEF"/>
    <w:rsid w:val="00E00A54"/>
    <w:rsid w:val="00E02A17"/>
    <w:rsid w:val="00E30047"/>
    <w:rsid w:val="00E42D16"/>
    <w:rsid w:val="00E57CDB"/>
    <w:rsid w:val="00EA1B43"/>
    <w:rsid w:val="00EC55D7"/>
    <w:rsid w:val="00EF0F47"/>
    <w:rsid w:val="00F265A2"/>
    <w:rsid w:val="00F467C7"/>
    <w:rsid w:val="00F66975"/>
    <w:rsid w:val="00F97E8C"/>
    <w:rsid w:val="00FC519A"/>
    <w:rsid w:val="00FD2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D53F"/>
  <w15:chartTrackingRefBased/>
  <w15:docId w15:val="{624DC0BD-311D-C34F-A1D2-7B6FA82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4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 Paragraph,Párrafo de lista1,Elabora,Dot pt,F5 List Paragraph,List Paragraph1,No Spacing1,List Paragraph Char Char Char,List1,Ha,Párrafo de lista2,Bullet List,FooterText,numbered,Paragraphe de liste1,lp1,Foot,列出段落"/>
    <w:basedOn w:val="Normal"/>
    <w:link w:val="PrrafodelistaCar"/>
    <w:uiPriority w:val="34"/>
    <w:qFormat/>
    <w:rsid w:val="006F247D"/>
    <w:pPr>
      <w:ind w:left="720"/>
      <w:contextualSpacing/>
    </w:pPr>
  </w:style>
  <w:style w:type="paragraph" w:styleId="NormalWeb">
    <w:name w:val="Normal (Web)"/>
    <w:basedOn w:val="Normal"/>
    <w:uiPriority w:val="99"/>
    <w:semiHidden/>
    <w:unhideWhenUsed/>
    <w:rsid w:val="00823730"/>
    <w:pPr>
      <w:spacing w:before="100" w:beforeAutospacing="1" w:after="100" w:afterAutospacing="1"/>
    </w:pPr>
  </w:style>
  <w:style w:type="paragraph" w:styleId="Encabezado">
    <w:name w:val="header"/>
    <w:basedOn w:val="Normal"/>
    <w:link w:val="EncabezadoCar"/>
    <w:uiPriority w:val="99"/>
    <w:unhideWhenUsed/>
    <w:rsid w:val="001879B7"/>
    <w:pPr>
      <w:tabs>
        <w:tab w:val="center" w:pos="4252"/>
        <w:tab w:val="right" w:pos="8504"/>
      </w:tabs>
    </w:pPr>
  </w:style>
  <w:style w:type="character" w:customStyle="1" w:styleId="EncabezadoCar">
    <w:name w:val="Encabezado Car"/>
    <w:basedOn w:val="Fuentedeprrafopredeter"/>
    <w:link w:val="Encabezado"/>
    <w:uiPriority w:val="99"/>
    <w:rsid w:val="001879B7"/>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879B7"/>
    <w:pPr>
      <w:tabs>
        <w:tab w:val="center" w:pos="4252"/>
        <w:tab w:val="right" w:pos="8504"/>
      </w:tabs>
    </w:pPr>
  </w:style>
  <w:style w:type="character" w:customStyle="1" w:styleId="PiedepginaCar">
    <w:name w:val="Pie de página Car"/>
    <w:basedOn w:val="Fuentedeprrafopredeter"/>
    <w:link w:val="Piedepgina"/>
    <w:uiPriority w:val="99"/>
    <w:rsid w:val="001879B7"/>
    <w:rPr>
      <w:rFonts w:ascii="Times New Roman" w:eastAsia="Times New Roman" w:hAnsi="Times New Roman" w:cs="Times New Roman"/>
      <w:lang w:eastAsia="es-ES_tradnl"/>
    </w:rPr>
  </w:style>
  <w:style w:type="character" w:customStyle="1" w:styleId="PrrafodelistaCar">
    <w:name w:val="Párrafo de lista Car"/>
    <w:aliases w:val="titulo 3 Car,Bullets Car,List Paragraph Car,Párrafo de lista1 Car,Elabora Car,Dot pt Car,F5 List Paragraph Car,List Paragraph1 Car,No Spacing1 Car,List Paragraph Char Char Char Car,List1 Car,Ha Car,Párrafo de lista2 Car,numbered Car"/>
    <w:basedOn w:val="Fuentedeprrafopredeter"/>
    <w:link w:val="Prrafodelista"/>
    <w:uiPriority w:val="34"/>
    <w:rsid w:val="001879B7"/>
    <w:rPr>
      <w:rFonts w:ascii="Times New Roman" w:eastAsia="Times New Roman" w:hAnsi="Times New Roman" w:cs="Times New Roman"/>
      <w:lang w:eastAsia="es-ES_tradnl"/>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Text Char Char Char,FA Fu,f,Footnote Text Char"/>
    <w:basedOn w:val="Normal"/>
    <w:link w:val="TextonotapieCar"/>
    <w:uiPriority w:val="99"/>
    <w:unhideWhenUsed/>
    <w:qFormat/>
    <w:rsid w:val="001879B7"/>
    <w:rPr>
      <w:rFonts w:ascii="Arial" w:eastAsiaTheme="minorHAnsi" w:hAnsi="Arial" w:cs="Arial"/>
      <w:sz w:val="20"/>
      <w:szCs w:val="20"/>
      <w:lang w:val="es-ES_tradnl" w:eastAsia="en-US"/>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Text Char Char Char Car"/>
    <w:basedOn w:val="Fuentedeprrafopredeter"/>
    <w:link w:val="Textonotapie"/>
    <w:uiPriority w:val="99"/>
    <w:qFormat/>
    <w:rsid w:val="001879B7"/>
    <w:rPr>
      <w:rFonts w:ascii="Arial" w:hAnsi="Arial" w:cs="Arial"/>
      <w:sz w:val="20"/>
      <w:szCs w:val="20"/>
      <w:lang w:val="es-ES_tradnl"/>
    </w:rPr>
  </w:style>
  <w:style w:type="character" w:styleId="Refdenotaalpie">
    <w:name w:val="footnote reference"/>
    <w:aliases w:val="referencia nota al pie,Texto de nota al pie,Appel note de bas de page,Footnotes refss,Footnote number,Footnote Text Char1 Car Car Car Car,Footnote Text Char Char Car Car Car Car,Char Car Car Car Car,Char Char Char Car Car Car Car C,F"/>
    <w:basedOn w:val="Fuentedeprrafopredeter"/>
    <w:link w:val="4GChar"/>
    <w:uiPriority w:val="99"/>
    <w:unhideWhenUsed/>
    <w:qFormat/>
    <w:rsid w:val="001879B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79B7"/>
    <w:pPr>
      <w:jc w:val="both"/>
    </w:pPr>
    <w:rPr>
      <w:rFonts w:asciiTheme="minorHAnsi" w:eastAsiaTheme="minorHAnsi" w:hAnsiTheme="minorHAnsi" w:cstheme="minorBidi"/>
      <w:vertAlign w:val="superscript"/>
      <w:lang w:eastAsia="en-US"/>
    </w:rPr>
  </w:style>
  <w:style w:type="table" w:styleId="Tablaconcuadrcula">
    <w:name w:val="Table Grid"/>
    <w:basedOn w:val="Tablanormal"/>
    <w:uiPriority w:val="39"/>
    <w:rsid w:val="0020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510C"/>
    <w:rPr>
      <w:sz w:val="16"/>
      <w:szCs w:val="16"/>
    </w:rPr>
  </w:style>
  <w:style w:type="paragraph" w:styleId="Textocomentario">
    <w:name w:val="annotation text"/>
    <w:basedOn w:val="Normal"/>
    <w:link w:val="TextocomentarioCar"/>
    <w:uiPriority w:val="99"/>
    <w:unhideWhenUsed/>
    <w:rsid w:val="00D2510C"/>
    <w:rPr>
      <w:sz w:val="20"/>
      <w:szCs w:val="20"/>
    </w:rPr>
  </w:style>
  <w:style w:type="character" w:customStyle="1" w:styleId="TextocomentarioCar">
    <w:name w:val="Texto comentario Car"/>
    <w:basedOn w:val="Fuentedeprrafopredeter"/>
    <w:link w:val="Textocomentario"/>
    <w:uiPriority w:val="99"/>
    <w:rsid w:val="00D2510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2510C"/>
    <w:rPr>
      <w:b/>
      <w:bCs/>
    </w:rPr>
  </w:style>
  <w:style w:type="character" w:customStyle="1" w:styleId="AsuntodelcomentarioCar">
    <w:name w:val="Asunto del comentario Car"/>
    <w:basedOn w:val="TextocomentarioCar"/>
    <w:link w:val="Asuntodelcomentario"/>
    <w:uiPriority w:val="99"/>
    <w:semiHidden/>
    <w:rsid w:val="00D2510C"/>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9386">
      <w:bodyDiv w:val="1"/>
      <w:marLeft w:val="0"/>
      <w:marRight w:val="0"/>
      <w:marTop w:val="0"/>
      <w:marBottom w:val="0"/>
      <w:divBdr>
        <w:top w:val="none" w:sz="0" w:space="0" w:color="auto"/>
        <w:left w:val="none" w:sz="0" w:space="0" w:color="auto"/>
        <w:bottom w:val="none" w:sz="0" w:space="0" w:color="auto"/>
        <w:right w:val="none" w:sz="0" w:space="0" w:color="auto"/>
      </w:divBdr>
    </w:div>
    <w:div w:id="626817152">
      <w:bodyDiv w:val="1"/>
      <w:marLeft w:val="0"/>
      <w:marRight w:val="0"/>
      <w:marTop w:val="0"/>
      <w:marBottom w:val="0"/>
      <w:divBdr>
        <w:top w:val="none" w:sz="0" w:space="0" w:color="auto"/>
        <w:left w:val="none" w:sz="0" w:space="0" w:color="auto"/>
        <w:bottom w:val="none" w:sz="0" w:space="0" w:color="auto"/>
        <w:right w:val="none" w:sz="0" w:space="0" w:color="auto"/>
      </w:divBdr>
    </w:div>
    <w:div w:id="718359797">
      <w:bodyDiv w:val="1"/>
      <w:marLeft w:val="0"/>
      <w:marRight w:val="0"/>
      <w:marTop w:val="0"/>
      <w:marBottom w:val="0"/>
      <w:divBdr>
        <w:top w:val="none" w:sz="0" w:space="0" w:color="auto"/>
        <w:left w:val="none" w:sz="0" w:space="0" w:color="auto"/>
        <w:bottom w:val="none" w:sz="0" w:space="0" w:color="auto"/>
        <w:right w:val="none" w:sz="0" w:space="0" w:color="auto"/>
      </w:divBdr>
    </w:div>
    <w:div w:id="730081589">
      <w:bodyDiv w:val="1"/>
      <w:marLeft w:val="0"/>
      <w:marRight w:val="0"/>
      <w:marTop w:val="0"/>
      <w:marBottom w:val="0"/>
      <w:divBdr>
        <w:top w:val="none" w:sz="0" w:space="0" w:color="auto"/>
        <w:left w:val="none" w:sz="0" w:space="0" w:color="auto"/>
        <w:bottom w:val="none" w:sz="0" w:space="0" w:color="auto"/>
        <w:right w:val="none" w:sz="0" w:space="0" w:color="auto"/>
      </w:divBdr>
    </w:div>
    <w:div w:id="1016229839">
      <w:bodyDiv w:val="1"/>
      <w:marLeft w:val="0"/>
      <w:marRight w:val="0"/>
      <w:marTop w:val="0"/>
      <w:marBottom w:val="0"/>
      <w:divBdr>
        <w:top w:val="none" w:sz="0" w:space="0" w:color="auto"/>
        <w:left w:val="none" w:sz="0" w:space="0" w:color="auto"/>
        <w:bottom w:val="none" w:sz="0" w:space="0" w:color="auto"/>
        <w:right w:val="none" w:sz="0" w:space="0" w:color="auto"/>
      </w:divBdr>
    </w:div>
    <w:div w:id="1307512042">
      <w:bodyDiv w:val="1"/>
      <w:marLeft w:val="0"/>
      <w:marRight w:val="0"/>
      <w:marTop w:val="0"/>
      <w:marBottom w:val="0"/>
      <w:divBdr>
        <w:top w:val="none" w:sz="0" w:space="0" w:color="auto"/>
        <w:left w:val="none" w:sz="0" w:space="0" w:color="auto"/>
        <w:bottom w:val="none" w:sz="0" w:space="0" w:color="auto"/>
        <w:right w:val="none" w:sz="0" w:space="0" w:color="auto"/>
      </w:divBdr>
    </w:div>
    <w:div w:id="1583417912">
      <w:bodyDiv w:val="1"/>
      <w:marLeft w:val="0"/>
      <w:marRight w:val="0"/>
      <w:marTop w:val="0"/>
      <w:marBottom w:val="0"/>
      <w:divBdr>
        <w:top w:val="none" w:sz="0" w:space="0" w:color="auto"/>
        <w:left w:val="none" w:sz="0" w:space="0" w:color="auto"/>
        <w:bottom w:val="none" w:sz="0" w:space="0" w:color="auto"/>
        <w:right w:val="none" w:sz="0" w:space="0" w:color="auto"/>
      </w:divBdr>
    </w:div>
    <w:div w:id="1612929345">
      <w:bodyDiv w:val="1"/>
      <w:marLeft w:val="0"/>
      <w:marRight w:val="0"/>
      <w:marTop w:val="0"/>
      <w:marBottom w:val="0"/>
      <w:divBdr>
        <w:top w:val="none" w:sz="0" w:space="0" w:color="auto"/>
        <w:left w:val="none" w:sz="0" w:space="0" w:color="auto"/>
        <w:bottom w:val="none" w:sz="0" w:space="0" w:color="auto"/>
        <w:right w:val="none" w:sz="0" w:space="0" w:color="auto"/>
      </w:divBdr>
    </w:div>
    <w:div w:id="1756239527">
      <w:bodyDiv w:val="1"/>
      <w:marLeft w:val="0"/>
      <w:marRight w:val="0"/>
      <w:marTop w:val="0"/>
      <w:marBottom w:val="0"/>
      <w:divBdr>
        <w:top w:val="none" w:sz="0" w:space="0" w:color="auto"/>
        <w:left w:val="none" w:sz="0" w:space="0" w:color="auto"/>
        <w:bottom w:val="none" w:sz="0" w:space="0" w:color="auto"/>
        <w:right w:val="none" w:sz="0" w:space="0" w:color="auto"/>
      </w:divBdr>
    </w:div>
    <w:div w:id="1757827861">
      <w:bodyDiv w:val="1"/>
      <w:marLeft w:val="0"/>
      <w:marRight w:val="0"/>
      <w:marTop w:val="0"/>
      <w:marBottom w:val="0"/>
      <w:divBdr>
        <w:top w:val="none" w:sz="0" w:space="0" w:color="auto"/>
        <w:left w:val="none" w:sz="0" w:space="0" w:color="auto"/>
        <w:bottom w:val="none" w:sz="0" w:space="0" w:color="auto"/>
        <w:right w:val="none" w:sz="0" w:space="0" w:color="auto"/>
      </w:divBdr>
    </w:div>
    <w:div w:id="20684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A8C5-8544-4DBD-9CF6-2CA06649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Botero Valencia</dc:creator>
  <cp:keywords/>
  <dc:description/>
  <cp:lastModifiedBy>MARIA JULIANA TENORIO QUINTERO</cp:lastModifiedBy>
  <cp:revision>19</cp:revision>
  <dcterms:created xsi:type="dcterms:W3CDTF">2022-07-18T15:07:00Z</dcterms:created>
  <dcterms:modified xsi:type="dcterms:W3CDTF">2022-07-18T15:52:00Z</dcterms:modified>
</cp:coreProperties>
</file>