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5B45" w14:textId="77777777" w:rsidR="009E5330" w:rsidRPr="007878B3" w:rsidRDefault="009E5330" w:rsidP="009E533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425570" w:rsidRPr="00F922B1" w14:paraId="559ABC51" w14:textId="77777777" w:rsidTr="00471D70"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8093DF5" w14:textId="77777777" w:rsidR="00425570" w:rsidRPr="00F922B1" w:rsidRDefault="00425570" w:rsidP="0047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5849A4A2" wp14:editId="1C3DD2AA">
                  <wp:extent cx="603250" cy="679450"/>
                  <wp:effectExtent l="19050" t="0" r="635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570" w:rsidRPr="00F922B1" w14:paraId="1D41F383" w14:textId="77777777" w:rsidTr="00471D70"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C3740E0" w14:textId="77777777" w:rsidR="00425570" w:rsidRPr="00F922B1" w:rsidRDefault="00425570" w:rsidP="00471D7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</w:pPr>
            <w:r w:rsidRPr="00F922B1"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  <w:t>REPUBLICA DE CUBA</w:t>
            </w:r>
          </w:p>
          <w:p w14:paraId="5EC095DC" w14:textId="77777777" w:rsidR="00425570" w:rsidRPr="00F922B1" w:rsidRDefault="00425570" w:rsidP="0047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922B1"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  <w:t>Misión Permanente ante la Oficina de las Naciones Unidas en Ginebra y los Organismos Internacionales en Suiza</w:t>
            </w:r>
          </w:p>
        </w:tc>
      </w:tr>
      <w:tr w:rsidR="009E5330" w:rsidRPr="009E5330" w14:paraId="3C1341E3" w14:textId="77777777" w:rsidTr="00425570">
        <w:tblPrEx>
          <w:jc w:val="center"/>
          <w:tblLook w:val="04A0" w:firstRow="1" w:lastRow="0" w:firstColumn="1" w:lastColumn="0" w:noHBand="0" w:noVBand="1"/>
        </w:tblPrEx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627B339" w14:textId="77777777" w:rsidR="009E5330" w:rsidRPr="009E5330" w:rsidRDefault="009E5330" w:rsidP="003D6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5330" w:rsidRPr="009E5330" w14:paraId="50005E96" w14:textId="77777777" w:rsidTr="00425570">
        <w:tblPrEx>
          <w:jc w:val="center"/>
          <w:tblLook w:val="04A0" w:firstRow="1" w:lastRow="0" w:firstColumn="1" w:lastColumn="0" w:noHBand="0" w:noVBand="1"/>
        </w:tblPrEx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9D37370" w14:textId="77777777" w:rsidR="009E5330" w:rsidRPr="009E5330" w:rsidRDefault="009E5330" w:rsidP="003D6E62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39398499" w14:textId="77777777" w:rsidR="009E5330" w:rsidRPr="007878B3" w:rsidRDefault="009E5330" w:rsidP="009E5330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6EA0AED5" w14:textId="77777777" w:rsidR="009E5330" w:rsidRPr="007878B3" w:rsidRDefault="009E5330" w:rsidP="009E5330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7878B3">
        <w:rPr>
          <w:rFonts w:ascii="Arial" w:hAnsi="Arial" w:cs="Arial"/>
          <w:b/>
          <w:sz w:val="24"/>
          <w:szCs w:val="24"/>
        </w:rPr>
        <w:t xml:space="preserve">Nota </w:t>
      </w:r>
      <w:r w:rsidR="00E104E8" w:rsidRPr="007878B3">
        <w:rPr>
          <w:rFonts w:ascii="Arial" w:hAnsi="Arial" w:cs="Arial"/>
          <w:b/>
          <w:sz w:val="24"/>
          <w:szCs w:val="24"/>
        </w:rPr>
        <w:t>No.:</w:t>
      </w:r>
      <w:r w:rsidR="009D3EE7">
        <w:rPr>
          <w:rFonts w:ascii="Arial" w:hAnsi="Arial" w:cs="Arial"/>
          <w:b/>
          <w:sz w:val="24"/>
          <w:szCs w:val="24"/>
        </w:rPr>
        <w:t xml:space="preserve"> 509</w:t>
      </w:r>
      <w:r w:rsidRPr="007878B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2</w:t>
      </w:r>
    </w:p>
    <w:p w14:paraId="256005A3" w14:textId="77777777" w:rsidR="00425570" w:rsidRDefault="00425570" w:rsidP="009E533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FC4F330" w14:textId="77777777" w:rsidR="009E5330" w:rsidRPr="007878B3" w:rsidRDefault="009E5330" w:rsidP="009E533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78B3">
        <w:rPr>
          <w:rFonts w:ascii="Arial" w:hAnsi="Arial" w:cs="Arial"/>
          <w:sz w:val="24"/>
          <w:szCs w:val="24"/>
        </w:rPr>
        <w:t xml:space="preserve">La Misión Permanente de Cuba ante la Oficina de las Naciones Unidas en Ginebra y los Organismos Internacionales en Suiza, saluda muy atentamente a la Oficina del Alto Comisionado de las Naciones Unidas para los Derechos Humanos y tiene el honor de referirse a su solicitud de </w:t>
      </w:r>
      <w:r w:rsidR="003D04B2">
        <w:rPr>
          <w:rFonts w:ascii="Arial" w:hAnsi="Arial" w:cs="Arial"/>
          <w:sz w:val="24"/>
          <w:szCs w:val="24"/>
        </w:rPr>
        <w:t xml:space="preserve">opiniones </w:t>
      </w:r>
      <w:r w:rsidR="00E104E8">
        <w:rPr>
          <w:rFonts w:ascii="Arial" w:hAnsi="Arial" w:cs="Arial"/>
          <w:sz w:val="24"/>
          <w:szCs w:val="24"/>
        </w:rPr>
        <w:t>para el borrador</w:t>
      </w:r>
      <w:r w:rsidR="003D04B2">
        <w:rPr>
          <w:rFonts w:ascii="Arial" w:hAnsi="Arial" w:cs="Arial"/>
          <w:sz w:val="24"/>
          <w:szCs w:val="24"/>
        </w:rPr>
        <w:t xml:space="preserve"> </w:t>
      </w:r>
      <w:r w:rsidR="00E104E8">
        <w:rPr>
          <w:rFonts w:ascii="Arial" w:hAnsi="Arial" w:cs="Arial"/>
          <w:sz w:val="24"/>
          <w:szCs w:val="24"/>
        </w:rPr>
        <w:t>d</w:t>
      </w:r>
      <w:r w:rsidR="003D04B2">
        <w:rPr>
          <w:rFonts w:ascii="Arial" w:hAnsi="Arial" w:cs="Arial"/>
          <w:sz w:val="24"/>
          <w:szCs w:val="24"/>
        </w:rPr>
        <w:t xml:space="preserve">el proyecto de Declaración de las Naciones Unidas sobre la </w:t>
      </w:r>
      <w:r w:rsidR="003945DE">
        <w:rPr>
          <w:rFonts w:ascii="Arial" w:hAnsi="Arial" w:cs="Arial"/>
          <w:sz w:val="24"/>
          <w:szCs w:val="24"/>
        </w:rPr>
        <w:t>P</w:t>
      </w:r>
      <w:r w:rsidR="003D04B2">
        <w:rPr>
          <w:rFonts w:ascii="Arial" w:hAnsi="Arial" w:cs="Arial"/>
          <w:sz w:val="24"/>
          <w:szCs w:val="24"/>
        </w:rPr>
        <w:t xml:space="preserve">romoción y el </w:t>
      </w:r>
      <w:r w:rsidR="003945DE">
        <w:rPr>
          <w:rFonts w:ascii="Arial" w:hAnsi="Arial" w:cs="Arial"/>
          <w:sz w:val="24"/>
          <w:szCs w:val="24"/>
        </w:rPr>
        <w:t>P</w:t>
      </w:r>
      <w:r w:rsidR="003D04B2">
        <w:rPr>
          <w:rFonts w:ascii="Arial" w:hAnsi="Arial" w:cs="Arial"/>
          <w:sz w:val="24"/>
          <w:szCs w:val="24"/>
        </w:rPr>
        <w:t xml:space="preserve">leno </w:t>
      </w:r>
      <w:r w:rsidR="003945DE">
        <w:rPr>
          <w:rFonts w:ascii="Arial" w:hAnsi="Arial" w:cs="Arial"/>
          <w:sz w:val="24"/>
          <w:szCs w:val="24"/>
        </w:rPr>
        <w:t>R</w:t>
      </w:r>
      <w:r w:rsidR="003D04B2">
        <w:rPr>
          <w:rFonts w:ascii="Arial" w:hAnsi="Arial" w:cs="Arial"/>
          <w:sz w:val="24"/>
          <w:szCs w:val="24"/>
        </w:rPr>
        <w:t xml:space="preserve">espeto de los </w:t>
      </w:r>
      <w:r w:rsidR="003945DE">
        <w:rPr>
          <w:rFonts w:ascii="Arial" w:hAnsi="Arial" w:cs="Arial"/>
          <w:sz w:val="24"/>
          <w:szCs w:val="24"/>
        </w:rPr>
        <w:t>D</w:t>
      </w:r>
      <w:r w:rsidR="003D04B2">
        <w:rPr>
          <w:rFonts w:ascii="Arial" w:hAnsi="Arial" w:cs="Arial"/>
          <w:sz w:val="24"/>
          <w:szCs w:val="24"/>
        </w:rPr>
        <w:t xml:space="preserve">erechos </w:t>
      </w:r>
      <w:r w:rsidR="003945DE">
        <w:rPr>
          <w:rFonts w:ascii="Arial" w:hAnsi="Arial" w:cs="Arial"/>
          <w:sz w:val="24"/>
          <w:szCs w:val="24"/>
        </w:rPr>
        <w:t>H</w:t>
      </w:r>
      <w:r w:rsidR="003D04B2">
        <w:rPr>
          <w:rFonts w:ascii="Arial" w:hAnsi="Arial" w:cs="Arial"/>
          <w:sz w:val="24"/>
          <w:szCs w:val="24"/>
        </w:rPr>
        <w:t xml:space="preserve">umanos de los </w:t>
      </w:r>
      <w:r w:rsidR="003945DE">
        <w:rPr>
          <w:rFonts w:ascii="Arial" w:hAnsi="Arial" w:cs="Arial"/>
          <w:sz w:val="24"/>
          <w:szCs w:val="24"/>
        </w:rPr>
        <w:t>A</w:t>
      </w:r>
      <w:r w:rsidR="003D04B2">
        <w:rPr>
          <w:rFonts w:ascii="Arial" w:hAnsi="Arial" w:cs="Arial"/>
          <w:sz w:val="24"/>
          <w:szCs w:val="24"/>
        </w:rPr>
        <w:t>frodescendientes</w:t>
      </w:r>
      <w:r>
        <w:rPr>
          <w:rFonts w:ascii="Arial" w:hAnsi="Arial" w:cs="Arial"/>
          <w:sz w:val="24"/>
          <w:szCs w:val="24"/>
        </w:rPr>
        <w:t xml:space="preserve">, en virtud de la resolución </w:t>
      </w:r>
      <w:r w:rsidR="003D04B2">
        <w:rPr>
          <w:rFonts w:ascii="Arial" w:hAnsi="Arial" w:cs="Arial"/>
          <w:sz w:val="24"/>
          <w:szCs w:val="24"/>
        </w:rPr>
        <w:t>76</w:t>
      </w:r>
      <w:r w:rsidRPr="00143560">
        <w:rPr>
          <w:rFonts w:ascii="Arial" w:hAnsi="Arial" w:cs="Arial"/>
          <w:sz w:val="24"/>
          <w:szCs w:val="24"/>
        </w:rPr>
        <w:t>/2</w:t>
      </w:r>
      <w:r w:rsidR="003D04B2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1B26262" w14:textId="77777777" w:rsidR="00105C3E" w:rsidRDefault="009E5330" w:rsidP="00E104E8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878B3">
        <w:rPr>
          <w:rFonts w:ascii="Arial" w:hAnsi="Arial" w:cs="Arial"/>
          <w:sz w:val="24"/>
          <w:szCs w:val="24"/>
        </w:rPr>
        <w:t xml:space="preserve">Al respecto, la Misión </w:t>
      </w:r>
      <w:r w:rsidR="00105C3E">
        <w:rPr>
          <w:rFonts w:ascii="Arial" w:hAnsi="Arial" w:cs="Arial"/>
          <w:sz w:val="24"/>
          <w:szCs w:val="24"/>
        </w:rPr>
        <w:t>considera que</w:t>
      </w:r>
      <w:r w:rsidR="00A8433E">
        <w:rPr>
          <w:rFonts w:ascii="Arial" w:hAnsi="Arial" w:cs="Arial"/>
          <w:sz w:val="24"/>
          <w:szCs w:val="24"/>
        </w:rPr>
        <w:t xml:space="preserve"> </w:t>
      </w:r>
      <w:r w:rsidR="00105C3E">
        <w:rPr>
          <w:rFonts w:ascii="Arial" w:hAnsi="Arial" w:cs="Arial"/>
          <w:sz w:val="24"/>
          <w:szCs w:val="24"/>
        </w:rPr>
        <w:t>una Declaración sobre este tema debe abordar</w:t>
      </w:r>
      <w:r w:rsidR="00E104E8">
        <w:rPr>
          <w:rFonts w:ascii="Arial" w:hAnsi="Arial" w:cs="Arial"/>
          <w:sz w:val="24"/>
          <w:szCs w:val="24"/>
        </w:rPr>
        <w:t xml:space="preserve"> </w:t>
      </w:r>
      <w:r w:rsidR="00105C3E">
        <w:rPr>
          <w:rFonts w:ascii="Arial" w:hAnsi="Arial" w:cs="Arial"/>
          <w:sz w:val="24"/>
          <w:szCs w:val="24"/>
        </w:rPr>
        <w:t xml:space="preserve">la génesis del racismo y la discriminación racial, así como sus manifestaciones actuales; compromisos reales; y la denuncia al racismo sistémico. Reconocer estos elementos es </w:t>
      </w:r>
      <w:r w:rsidR="0028356F">
        <w:rPr>
          <w:rFonts w:ascii="Arial" w:hAnsi="Arial" w:cs="Arial"/>
          <w:sz w:val="24"/>
          <w:szCs w:val="24"/>
        </w:rPr>
        <w:t>esencial</w:t>
      </w:r>
      <w:r w:rsidR="00105C3E">
        <w:rPr>
          <w:rFonts w:ascii="Arial" w:hAnsi="Arial" w:cs="Arial"/>
          <w:sz w:val="24"/>
          <w:szCs w:val="24"/>
        </w:rPr>
        <w:t xml:space="preserve"> para </w:t>
      </w:r>
      <w:r w:rsidR="0028356F">
        <w:rPr>
          <w:rFonts w:ascii="Arial" w:hAnsi="Arial" w:cs="Arial"/>
          <w:sz w:val="24"/>
          <w:szCs w:val="24"/>
        </w:rPr>
        <w:t>asegurar</w:t>
      </w:r>
      <w:r w:rsidR="00105C3E">
        <w:rPr>
          <w:rFonts w:ascii="Arial" w:hAnsi="Arial" w:cs="Arial"/>
          <w:sz w:val="24"/>
          <w:szCs w:val="24"/>
        </w:rPr>
        <w:t xml:space="preserve"> </w:t>
      </w:r>
      <w:r w:rsidR="0028356F">
        <w:rPr>
          <w:rFonts w:ascii="Arial" w:hAnsi="Arial" w:cs="Arial"/>
          <w:sz w:val="24"/>
          <w:szCs w:val="24"/>
        </w:rPr>
        <w:t>una efectiva</w:t>
      </w:r>
      <w:r w:rsidR="00105C3E">
        <w:rPr>
          <w:rFonts w:ascii="Arial" w:hAnsi="Arial" w:cs="Arial"/>
          <w:sz w:val="24"/>
          <w:szCs w:val="24"/>
        </w:rPr>
        <w:t xml:space="preserve"> promoción y protección de los derechos humanos de las personas afrodescendientes. </w:t>
      </w:r>
    </w:p>
    <w:p w14:paraId="637543CF" w14:textId="77777777" w:rsidR="00E104E8" w:rsidRDefault="00105C3E" w:rsidP="00E104E8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ese sentido, consideramos que es importante incluir en la Declaración los elementos siguientes</w:t>
      </w:r>
      <w:r w:rsidR="009E5330" w:rsidRPr="007878B3">
        <w:rPr>
          <w:rFonts w:ascii="Arial" w:hAnsi="Arial" w:cs="Arial"/>
          <w:sz w:val="24"/>
          <w:szCs w:val="24"/>
        </w:rPr>
        <w:t>:</w:t>
      </w:r>
    </w:p>
    <w:p w14:paraId="24B73FEE" w14:textId="77777777" w:rsidR="003945DE" w:rsidRDefault="00653FD6" w:rsidP="003945D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45DE">
        <w:rPr>
          <w:rFonts w:ascii="Arial" w:hAnsi="Arial" w:cs="Arial"/>
          <w:sz w:val="24"/>
          <w:szCs w:val="24"/>
        </w:rPr>
        <w:t>Reafirmar el compromiso con la aplicación plena de la Declaración y Plan de Acción de Durban a nivel nacional, regional y global.</w:t>
      </w:r>
      <w:r w:rsidR="00D259FB" w:rsidRPr="003945DE">
        <w:rPr>
          <w:rFonts w:ascii="Arial" w:hAnsi="Arial" w:cs="Arial"/>
          <w:sz w:val="24"/>
          <w:szCs w:val="24"/>
        </w:rPr>
        <w:t xml:space="preserve"> A más de 20 años de la Declaración y Programa de Acción de Durban,</w:t>
      </w:r>
      <w:r w:rsidR="003945DE" w:rsidRPr="003945DE">
        <w:rPr>
          <w:rFonts w:ascii="Arial" w:hAnsi="Arial" w:cs="Arial"/>
          <w:sz w:val="24"/>
          <w:szCs w:val="24"/>
        </w:rPr>
        <w:t xml:space="preserve"> continúan sin cumplirse</w:t>
      </w:r>
      <w:r w:rsidR="003945DE">
        <w:rPr>
          <w:rFonts w:ascii="Arial" w:hAnsi="Arial" w:cs="Arial"/>
          <w:sz w:val="24"/>
          <w:szCs w:val="24"/>
        </w:rPr>
        <w:t xml:space="preserve"> </w:t>
      </w:r>
      <w:r w:rsidR="00D259FB" w:rsidRPr="003945DE">
        <w:rPr>
          <w:rFonts w:ascii="Arial" w:hAnsi="Arial" w:cs="Arial"/>
          <w:sz w:val="24"/>
          <w:szCs w:val="24"/>
        </w:rPr>
        <w:t>los compromisos asumidos en la Conferencia Mundial contra el Racismo, la Discriminación Racial, la Xenofobia y las Formas Conexas de Intolerancia</w:t>
      </w:r>
      <w:r w:rsidR="003945DE">
        <w:rPr>
          <w:rFonts w:ascii="Arial" w:hAnsi="Arial" w:cs="Arial"/>
          <w:sz w:val="24"/>
          <w:szCs w:val="24"/>
        </w:rPr>
        <w:t>.</w:t>
      </w:r>
    </w:p>
    <w:p w14:paraId="251C5E3C" w14:textId="77777777" w:rsidR="003945DE" w:rsidRDefault="003945DE" w:rsidP="003945D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C57F64B" w14:textId="77777777" w:rsidR="00425570" w:rsidRDefault="00425570" w:rsidP="003945D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590748F" w14:textId="77777777" w:rsidR="00425570" w:rsidRDefault="00425570" w:rsidP="00425570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i/>
          <w:sz w:val="24"/>
          <w:szCs w:val="28"/>
          <w:lang w:val="es-ES_tradnl"/>
        </w:rPr>
      </w:pPr>
    </w:p>
    <w:p w14:paraId="71D47F91" w14:textId="77777777" w:rsidR="00425570" w:rsidRDefault="00425570" w:rsidP="00425570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i/>
          <w:sz w:val="24"/>
          <w:szCs w:val="28"/>
          <w:lang w:val="es-ES_tradnl"/>
        </w:rPr>
      </w:pPr>
    </w:p>
    <w:p w14:paraId="002ED3EB" w14:textId="77777777" w:rsidR="00425570" w:rsidRPr="00D333E4" w:rsidRDefault="00425570" w:rsidP="00425570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i/>
          <w:sz w:val="24"/>
          <w:szCs w:val="28"/>
          <w:lang w:val="es-ES_tradnl"/>
        </w:rPr>
      </w:pPr>
      <w:r>
        <w:rPr>
          <w:rFonts w:ascii="Arial" w:eastAsia="Times New Roman" w:hAnsi="Arial" w:cs="Arial"/>
          <w:b/>
          <w:i/>
          <w:sz w:val="24"/>
          <w:szCs w:val="28"/>
          <w:lang w:val="es-ES_tradnl"/>
        </w:rPr>
        <w:t>Oficina de la Alta Comisionada de las Naciones Unidas</w:t>
      </w:r>
    </w:p>
    <w:p w14:paraId="1F8483C3" w14:textId="77777777" w:rsidR="00425570" w:rsidRDefault="00425570" w:rsidP="00425570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i/>
          <w:sz w:val="24"/>
          <w:szCs w:val="28"/>
          <w:lang w:val="es-ES_tradnl"/>
        </w:rPr>
      </w:pPr>
      <w:r>
        <w:rPr>
          <w:rFonts w:ascii="Arial" w:eastAsia="Times New Roman" w:hAnsi="Arial" w:cs="Arial"/>
          <w:b/>
          <w:i/>
          <w:sz w:val="24"/>
          <w:szCs w:val="28"/>
          <w:lang w:val="es-ES_tradnl"/>
        </w:rPr>
        <w:t>para los Derechos Humanos</w:t>
      </w:r>
    </w:p>
    <w:p w14:paraId="39BF9BD2" w14:textId="77777777" w:rsidR="00425570" w:rsidRDefault="00425570" w:rsidP="00425570">
      <w:pPr>
        <w:spacing w:after="0" w:line="240" w:lineRule="auto"/>
        <w:ind w:left="-567"/>
        <w:jc w:val="both"/>
        <w:rPr>
          <w:rStyle w:val="fontstyle01"/>
          <w:rFonts w:cs="Arial"/>
        </w:rPr>
      </w:pPr>
      <w:r>
        <w:rPr>
          <w:rFonts w:ascii="Arial" w:eastAsia="Times New Roman" w:hAnsi="Arial" w:cs="Arial"/>
          <w:b/>
          <w:i/>
          <w:sz w:val="24"/>
          <w:szCs w:val="28"/>
          <w:lang w:val="es-ES_tradnl"/>
        </w:rPr>
        <w:t>Ginebra</w:t>
      </w:r>
    </w:p>
    <w:p w14:paraId="06C99033" w14:textId="77777777" w:rsidR="00425570" w:rsidRDefault="00425570" w:rsidP="00425570">
      <w:pPr>
        <w:rPr>
          <w:rStyle w:val="fontstyle01"/>
          <w:rFonts w:cs="Arial"/>
        </w:rPr>
      </w:pPr>
      <w:r>
        <w:rPr>
          <w:rStyle w:val="fontstyle01"/>
          <w:rFonts w:cs="Arial"/>
        </w:rPr>
        <w:br w:type="page"/>
      </w:r>
    </w:p>
    <w:p w14:paraId="7DAD9DE2" w14:textId="77777777" w:rsidR="003945DE" w:rsidRDefault="00EF2E91" w:rsidP="003945D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45DE">
        <w:rPr>
          <w:rFonts w:ascii="Arial" w:hAnsi="Arial" w:cs="Arial"/>
          <w:sz w:val="24"/>
          <w:szCs w:val="24"/>
        </w:rPr>
        <w:lastRenderedPageBreak/>
        <w:t>El racismo, la discriminación racial y la xenofobia</w:t>
      </w:r>
      <w:r w:rsidR="003945DE" w:rsidRPr="003945DE">
        <w:rPr>
          <w:rFonts w:ascii="Arial" w:hAnsi="Arial" w:cs="Arial"/>
          <w:sz w:val="24"/>
          <w:szCs w:val="24"/>
        </w:rPr>
        <w:t>,</w:t>
      </w:r>
      <w:r w:rsidRPr="003945DE">
        <w:rPr>
          <w:rFonts w:ascii="Arial" w:hAnsi="Arial" w:cs="Arial"/>
          <w:sz w:val="24"/>
          <w:szCs w:val="24"/>
        </w:rPr>
        <w:t xml:space="preserve"> constituyen un fenómeno social, cultural y político, no un instinto natural de los seres humanos</w:t>
      </w:r>
      <w:r w:rsidR="005C40F5" w:rsidRPr="003945DE">
        <w:rPr>
          <w:rFonts w:ascii="Arial" w:hAnsi="Arial" w:cs="Arial"/>
          <w:sz w:val="24"/>
          <w:szCs w:val="24"/>
        </w:rPr>
        <w:t xml:space="preserve">. </w:t>
      </w:r>
    </w:p>
    <w:p w14:paraId="088EF17F" w14:textId="77777777" w:rsidR="003945DE" w:rsidRPr="003945DE" w:rsidRDefault="003945DE" w:rsidP="003945D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ED35B7E" w14:textId="77777777" w:rsidR="00653FD6" w:rsidRPr="00425570" w:rsidRDefault="00653FD6" w:rsidP="003945D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45DE">
        <w:rPr>
          <w:rFonts w:ascii="Arial" w:hAnsi="Arial" w:cs="Arial"/>
          <w:sz w:val="24"/>
          <w:szCs w:val="24"/>
          <w:lang w:val="es-CO"/>
        </w:rPr>
        <w:t>No obstante, los avances alcanzados, persiste el racismo, la discriminación racial, la xenofobia y las formas conexas de intolerancia y su impacto para el goce de todos los derechos humanos de las personas afrodescendientes</w:t>
      </w:r>
      <w:r w:rsidR="003945DE">
        <w:rPr>
          <w:rFonts w:ascii="Arial" w:hAnsi="Arial" w:cs="Arial"/>
          <w:sz w:val="24"/>
          <w:szCs w:val="24"/>
          <w:lang w:val="es-CO"/>
        </w:rPr>
        <w:t>.</w:t>
      </w:r>
    </w:p>
    <w:p w14:paraId="3D69E01E" w14:textId="77777777" w:rsidR="00425570" w:rsidRPr="00425570" w:rsidRDefault="00425570" w:rsidP="00425570">
      <w:pPr>
        <w:pStyle w:val="ListParagraph"/>
        <w:rPr>
          <w:rFonts w:ascii="Arial" w:hAnsi="Arial" w:cs="Arial"/>
          <w:sz w:val="24"/>
          <w:szCs w:val="24"/>
        </w:rPr>
      </w:pPr>
    </w:p>
    <w:p w14:paraId="21C7B5BE" w14:textId="77777777" w:rsidR="001906A7" w:rsidRDefault="0028356F" w:rsidP="003945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945DE">
        <w:rPr>
          <w:rFonts w:ascii="Arial" w:hAnsi="Arial" w:cs="Arial"/>
          <w:sz w:val="24"/>
          <w:szCs w:val="24"/>
        </w:rPr>
        <w:t xml:space="preserve">Es impostergable reparar los efectos de la esclavitud, la trata trasatlántica de esclavos, el colonialismo y el </w:t>
      </w:r>
      <w:r w:rsidR="003945DE">
        <w:rPr>
          <w:rFonts w:ascii="Arial" w:hAnsi="Arial" w:cs="Arial"/>
          <w:sz w:val="24"/>
          <w:szCs w:val="24"/>
        </w:rPr>
        <w:t>A</w:t>
      </w:r>
      <w:r w:rsidRPr="003945DE">
        <w:rPr>
          <w:rFonts w:ascii="Arial" w:hAnsi="Arial" w:cs="Arial"/>
          <w:sz w:val="24"/>
          <w:szCs w:val="24"/>
        </w:rPr>
        <w:t>partheid. La</w:t>
      </w:r>
      <w:r w:rsidR="00E55474" w:rsidRPr="003945DE">
        <w:rPr>
          <w:rFonts w:ascii="Arial" w:hAnsi="Arial" w:cs="Arial"/>
          <w:sz w:val="24"/>
          <w:szCs w:val="24"/>
        </w:rPr>
        <w:t xml:space="preserve"> responsabilidad histórica </w:t>
      </w:r>
      <w:r w:rsidRPr="003945DE">
        <w:rPr>
          <w:rFonts w:ascii="Arial" w:hAnsi="Arial" w:cs="Arial"/>
          <w:sz w:val="24"/>
          <w:szCs w:val="24"/>
        </w:rPr>
        <w:t>y la</w:t>
      </w:r>
      <w:r w:rsidR="00252AC7" w:rsidRPr="003945DE">
        <w:rPr>
          <w:rFonts w:ascii="Arial" w:hAnsi="Arial" w:cs="Arial"/>
          <w:sz w:val="24"/>
          <w:szCs w:val="24"/>
        </w:rPr>
        <w:t xml:space="preserve"> indemnización justa como ineludible deber moral</w:t>
      </w:r>
      <w:r w:rsidRPr="003945DE">
        <w:rPr>
          <w:rFonts w:ascii="Arial" w:hAnsi="Arial" w:cs="Arial"/>
          <w:sz w:val="24"/>
          <w:szCs w:val="24"/>
        </w:rPr>
        <w:t xml:space="preserve">; ratifican la responsabilidad de los países desarrollados </w:t>
      </w:r>
      <w:r w:rsidR="003A281C" w:rsidRPr="003945DE">
        <w:rPr>
          <w:rFonts w:ascii="Arial" w:hAnsi="Arial" w:cs="Arial"/>
          <w:sz w:val="24"/>
          <w:szCs w:val="24"/>
        </w:rPr>
        <w:t>con las víctimas de racismo en todo el mundo.</w:t>
      </w:r>
    </w:p>
    <w:p w14:paraId="05940182" w14:textId="77777777" w:rsidR="003945DE" w:rsidRPr="003945DE" w:rsidRDefault="003945DE" w:rsidP="003945D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A0A96A5" w14:textId="77777777" w:rsidR="003945DE" w:rsidRDefault="003A281C" w:rsidP="003945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945DE">
        <w:rPr>
          <w:rFonts w:ascii="Arial" w:hAnsi="Arial" w:cs="Arial"/>
          <w:sz w:val="24"/>
          <w:szCs w:val="24"/>
        </w:rPr>
        <w:t>Para la eliminación de la discriminación racial no son</w:t>
      </w:r>
      <w:r w:rsidR="007F238C" w:rsidRPr="003945DE">
        <w:rPr>
          <w:rFonts w:ascii="Arial" w:hAnsi="Arial" w:cs="Arial"/>
          <w:sz w:val="24"/>
          <w:szCs w:val="24"/>
        </w:rPr>
        <w:t xml:space="preserve"> suficientes los discursos, como no ha sido suficiente la abolición formal de la esclavitud. Es necesario eliminar las causas que generan el racismo estructural</w:t>
      </w:r>
      <w:r w:rsidRPr="003945DE">
        <w:rPr>
          <w:rFonts w:ascii="Arial" w:hAnsi="Arial" w:cs="Arial"/>
          <w:sz w:val="24"/>
          <w:szCs w:val="24"/>
        </w:rPr>
        <w:t xml:space="preserve"> que </w:t>
      </w:r>
      <w:r w:rsidR="00EF2E91" w:rsidRPr="003945DE">
        <w:rPr>
          <w:rFonts w:ascii="Arial" w:hAnsi="Arial" w:cs="Arial"/>
          <w:sz w:val="24"/>
          <w:szCs w:val="24"/>
        </w:rPr>
        <w:t xml:space="preserve">prolifera a niveles preocupantes, incluido en las redes sociales y otras plataformas de comunicación, </w:t>
      </w:r>
      <w:r w:rsidRPr="003945DE">
        <w:rPr>
          <w:rFonts w:ascii="Arial" w:hAnsi="Arial" w:cs="Arial"/>
          <w:sz w:val="24"/>
          <w:szCs w:val="24"/>
        </w:rPr>
        <w:t xml:space="preserve">así como </w:t>
      </w:r>
      <w:r w:rsidR="00EF2E91" w:rsidRPr="003945DE">
        <w:rPr>
          <w:rFonts w:ascii="Arial" w:hAnsi="Arial" w:cs="Arial"/>
          <w:sz w:val="24"/>
          <w:szCs w:val="24"/>
        </w:rPr>
        <w:t xml:space="preserve">el discurso de odio, la intolerancia, la xenofobia y la discriminación. </w:t>
      </w:r>
    </w:p>
    <w:p w14:paraId="2341F72F" w14:textId="77777777" w:rsidR="003945DE" w:rsidRPr="003945DE" w:rsidRDefault="003945DE" w:rsidP="003945DE">
      <w:pPr>
        <w:pStyle w:val="ListParagraph"/>
        <w:rPr>
          <w:rFonts w:ascii="Arial" w:hAnsi="Arial" w:cs="Arial"/>
          <w:sz w:val="24"/>
          <w:szCs w:val="24"/>
        </w:rPr>
      </w:pPr>
    </w:p>
    <w:p w14:paraId="34B4853D" w14:textId="77777777" w:rsidR="00DB4FB3" w:rsidRPr="003945DE" w:rsidRDefault="00E33D5C" w:rsidP="003945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3945DE">
        <w:rPr>
          <w:rFonts w:ascii="Arial" w:hAnsi="Arial" w:cs="Arial"/>
          <w:sz w:val="24"/>
          <w:szCs w:val="24"/>
        </w:rPr>
        <w:t xml:space="preserve">El orden económico internacional injusto y desigual </w:t>
      </w:r>
      <w:r w:rsidR="005F74D9" w:rsidRPr="003945DE">
        <w:rPr>
          <w:rFonts w:ascii="Arial" w:hAnsi="Arial" w:cs="Arial"/>
          <w:sz w:val="24"/>
          <w:szCs w:val="24"/>
        </w:rPr>
        <w:t>sólo profundiza l</w:t>
      </w:r>
      <w:r w:rsidR="00DB4FB3" w:rsidRPr="003945DE">
        <w:rPr>
          <w:rFonts w:ascii="Arial" w:hAnsi="Arial" w:cs="Arial"/>
          <w:sz w:val="24"/>
          <w:szCs w:val="24"/>
        </w:rPr>
        <w:t xml:space="preserve">a alarmante desigualdad social en y entre los países </w:t>
      </w:r>
      <w:r w:rsidR="005F74D9" w:rsidRPr="003945DE">
        <w:rPr>
          <w:rFonts w:ascii="Arial" w:hAnsi="Arial" w:cs="Arial"/>
          <w:sz w:val="24"/>
          <w:szCs w:val="24"/>
        </w:rPr>
        <w:t xml:space="preserve">y </w:t>
      </w:r>
      <w:r w:rsidR="00DB4FB3" w:rsidRPr="003945DE">
        <w:rPr>
          <w:rFonts w:ascii="Arial" w:hAnsi="Arial" w:cs="Arial"/>
          <w:sz w:val="24"/>
          <w:szCs w:val="24"/>
        </w:rPr>
        <w:t xml:space="preserve">las condiciones de exclusión </w:t>
      </w:r>
      <w:r w:rsidR="001906A7" w:rsidRPr="003945DE">
        <w:rPr>
          <w:rFonts w:ascii="Arial" w:hAnsi="Arial" w:cs="Arial"/>
          <w:sz w:val="24"/>
          <w:szCs w:val="24"/>
        </w:rPr>
        <w:t xml:space="preserve">de </w:t>
      </w:r>
      <w:r w:rsidR="00DB4FB3" w:rsidRPr="003945DE">
        <w:rPr>
          <w:rFonts w:ascii="Arial" w:hAnsi="Arial" w:cs="Arial"/>
          <w:sz w:val="24"/>
          <w:szCs w:val="24"/>
        </w:rPr>
        <w:t>las personas afrodescendientes</w:t>
      </w:r>
      <w:r w:rsidR="00DB4FB3" w:rsidRPr="003945DE">
        <w:rPr>
          <w:rFonts w:ascii="Arial" w:hAnsi="Arial" w:cs="Arial"/>
          <w:sz w:val="28"/>
          <w:szCs w:val="28"/>
        </w:rPr>
        <w:t xml:space="preserve">. </w:t>
      </w:r>
    </w:p>
    <w:p w14:paraId="0C6853B9" w14:textId="77777777" w:rsidR="003945DE" w:rsidRDefault="003945DE" w:rsidP="009E533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9609C87" w14:textId="77777777" w:rsidR="009E5330" w:rsidRPr="007878B3" w:rsidRDefault="009E5330" w:rsidP="009E533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78B3">
        <w:rPr>
          <w:rFonts w:ascii="Arial" w:hAnsi="Arial" w:cs="Arial"/>
          <w:sz w:val="24"/>
          <w:szCs w:val="24"/>
        </w:rPr>
        <w:t>La Misión Permanente de Cuba ante la Oficina de las Naciones Unidas y las Organizaciones Internacionales en Suiza, aprovecha la ocasión para reiterar a la Oficina del Alto Comisionado de las Naciones Unidas para los Derechos Humanos el testimonio de su consideración.</w:t>
      </w:r>
    </w:p>
    <w:p w14:paraId="2A61A2FD" w14:textId="77777777" w:rsidR="009E5330" w:rsidRDefault="009E5330" w:rsidP="009E5330">
      <w:pPr>
        <w:suppressAutoHyphens/>
        <w:jc w:val="both"/>
        <w:rPr>
          <w:rFonts w:ascii="Arial" w:hAnsi="Arial" w:cs="Arial"/>
          <w:sz w:val="24"/>
          <w:szCs w:val="24"/>
        </w:rPr>
      </w:pPr>
    </w:p>
    <w:p w14:paraId="7EB6835F" w14:textId="77777777" w:rsidR="00425570" w:rsidRDefault="00425570" w:rsidP="009E5330">
      <w:pPr>
        <w:suppressAutoHyphens/>
        <w:jc w:val="both"/>
        <w:rPr>
          <w:rFonts w:ascii="Arial" w:hAnsi="Arial" w:cs="Arial"/>
          <w:sz w:val="24"/>
          <w:szCs w:val="24"/>
        </w:rPr>
      </w:pPr>
    </w:p>
    <w:p w14:paraId="3ADACDF2" w14:textId="77777777" w:rsidR="00425570" w:rsidRPr="007878B3" w:rsidRDefault="00425570" w:rsidP="009E5330">
      <w:pPr>
        <w:suppressAutoHyphens/>
        <w:jc w:val="both"/>
        <w:rPr>
          <w:rFonts w:ascii="Arial" w:hAnsi="Arial" w:cs="Arial"/>
          <w:sz w:val="24"/>
          <w:szCs w:val="24"/>
        </w:rPr>
      </w:pPr>
    </w:p>
    <w:p w14:paraId="771B8F42" w14:textId="77777777" w:rsidR="009E5330" w:rsidRPr="003945DE" w:rsidRDefault="009E5330" w:rsidP="009E5330">
      <w:pPr>
        <w:jc w:val="right"/>
        <w:rPr>
          <w:rFonts w:ascii="Arial" w:hAnsi="Arial" w:cs="Arial"/>
          <w:sz w:val="24"/>
          <w:szCs w:val="24"/>
        </w:rPr>
      </w:pPr>
      <w:r w:rsidRPr="003945DE">
        <w:rPr>
          <w:rFonts w:ascii="Arial" w:hAnsi="Arial" w:cs="Arial"/>
          <w:sz w:val="24"/>
          <w:szCs w:val="24"/>
        </w:rPr>
        <w:t>Ginebra,</w:t>
      </w:r>
      <w:r w:rsidR="003945DE" w:rsidRPr="003945DE">
        <w:rPr>
          <w:rFonts w:ascii="Arial" w:hAnsi="Arial" w:cs="Arial"/>
          <w:sz w:val="24"/>
          <w:szCs w:val="24"/>
        </w:rPr>
        <w:t xml:space="preserve"> </w:t>
      </w:r>
      <w:r w:rsidR="00425570">
        <w:rPr>
          <w:rFonts w:ascii="Arial" w:hAnsi="Arial" w:cs="Arial"/>
          <w:sz w:val="24"/>
          <w:szCs w:val="24"/>
        </w:rPr>
        <w:t>16</w:t>
      </w:r>
      <w:r w:rsidR="003945DE" w:rsidRPr="003945DE">
        <w:rPr>
          <w:rFonts w:ascii="Arial" w:hAnsi="Arial" w:cs="Arial"/>
          <w:sz w:val="24"/>
          <w:szCs w:val="24"/>
        </w:rPr>
        <w:t xml:space="preserve"> </w:t>
      </w:r>
      <w:r w:rsidRPr="003945DE">
        <w:rPr>
          <w:rFonts w:ascii="Arial" w:hAnsi="Arial" w:cs="Arial"/>
          <w:sz w:val="24"/>
          <w:szCs w:val="24"/>
        </w:rPr>
        <w:t>de agosto de 2022</w:t>
      </w:r>
    </w:p>
    <w:p w14:paraId="7753C8B7" w14:textId="77777777" w:rsidR="00204C17" w:rsidRDefault="00473AC6"/>
    <w:sectPr w:rsidR="00204C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56626"/>
    <w:multiLevelType w:val="hybridMultilevel"/>
    <w:tmpl w:val="F844C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67419"/>
    <w:multiLevelType w:val="hybridMultilevel"/>
    <w:tmpl w:val="B622B864"/>
    <w:lvl w:ilvl="0" w:tplc="D782237C">
      <w:start w:val="2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733A2"/>
    <w:multiLevelType w:val="hybridMultilevel"/>
    <w:tmpl w:val="FDC64E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51"/>
    <w:rsid w:val="000127CB"/>
    <w:rsid w:val="001019F9"/>
    <w:rsid w:val="00105C3E"/>
    <w:rsid w:val="001906A7"/>
    <w:rsid w:val="00252AC7"/>
    <w:rsid w:val="0028356F"/>
    <w:rsid w:val="002D6043"/>
    <w:rsid w:val="002E7200"/>
    <w:rsid w:val="003777FF"/>
    <w:rsid w:val="003945DE"/>
    <w:rsid w:val="003A281C"/>
    <w:rsid w:val="003D04B2"/>
    <w:rsid w:val="00425570"/>
    <w:rsid w:val="00473AC6"/>
    <w:rsid w:val="005A4846"/>
    <w:rsid w:val="005C40F5"/>
    <w:rsid w:val="005F74D9"/>
    <w:rsid w:val="00653FD6"/>
    <w:rsid w:val="007F238C"/>
    <w:rsid w:val="00837CEB"/>
    <w:rsid w:val="008417EB"/>
    <w:rsid w:val="00867CAB"/>
    <w:rsid w:val="0097716A"/>
    <w:rsid w:val="009A1A51"/>
    <w:rsid w:val="009D3EE7"/>
    <w:rsid w:val="009E5330"/>
    <w:rsid w:val="00A8433E"/>
    <w:rsid w:val="00B41613"/>
    <w:rsid w:val="00B975D0"/>
    <w:rsid w:val="00CC2419"/>
    <w:rsid w:val="00CC3734"/>
    <w:rsid w:val="00D259FB"/>
    <w:rsid w:val="00DB4FB3"/>
    <w:rsid w:val="00E104E8"/>
    <w:rsid w:val="00E33D5C"/>
    <w:rsid w:val="00E55474"/>
    <w:rsid w:val="00E57D86"/>
    <w:rsid w:val="00E857DD"/>
    <w:rsid w:val="00E90A32"/>
    <w:rsid w:val="00EA6FB4"/>
    <w:rsid w:val="00EB2401"/>
    <w:rsid w:val="00EB5694"/>
    <w:rsid w:val="00EF2E91"/>
    <w:rsid w:val="00F4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6C33"/>
  <w15:docId w15:val="{8F801BF7-E0AA-44DC-9388-9DD86FB1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330"/>
    <w:pPr>
      <w:spacing w:after="200" w:line="276" w:lineRule="auto"/>
    </w:pPr>
    <w:rPr>
      <w:rFonts w:eastAsiaTheme="minorEastAsia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9E533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330"/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customStyle="1" w:styleId="Default">
    <w:name w:val="Default"/>
    <w:rsid w:val="009E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EF2E9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86"/>
    <w:rPr>
      <w:rFonts w:ascii="Tahoma" w:eastAsiaTheme="minorEastAsia" w:hAnsi="Tahoma" w:cs="Tahoma"/>
      <w:sz w:val="16"/>
      <w:szCs w:val="16"/>
      <w:lang w:eastAsia="es-ES"/>
    </w:rPr>
  </w:style>
  <w:style w:type="character" w:customStyle="1" w:styleId="fontstyle01">
    <w:name w:val="fontstyle01"/>
    <w:basedOn w:val="DefaultParagraphFont"/>
    <w:rsid w:val="0042557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9AE7C-FF98-432B-B1FD-7CB172CDB3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5B6524-AFC4-452C-8206-DFCAD186C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7BFB7-383C-4B99-B94F-7CF32B613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Mirthia Julia Brossard Oris</dc:creator>
  <cp:lastModifiedBy>CABRERA Flomel</cp:lastModifiedBy>
  <cp:revision>2</cp:revision>
  <dcterms:created xsi:type="dcterms:W3CDTF">2022-08-30T13:33:00Z</dcterms:created>
  <dcterms:modified xsi:type="dcterms:W3CDTF">2022-08-30T13:33:00Z</dcterms:modified>
</cp:coreProperties>
</file>