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6C48" w14:textId="77777777" w:rsidR="007E5E1B" w:rsidRDefault="007E5E1B" w:rsidP="00AF2B50">
      <w:pPr>
        <w:spacing w:line="276" w:lineRule="auto"/>
        <w:jc w:val="center"/>
        <w:rPr>
          <w:rFonts w:asciiTheme="majorBidi" w:hAnsiTheme="majorBidi" w:cstheme="majorBidi"/>
          <w:b/>
          <w:bCs/>
          <w:sz w:val="26"/>
          <w:szCs w:val="26"/>
        </w:rPr>
      </w:pPr>
    </w:p>
    <w:p w14:paraId="17CE762D" w14:textId="77777777" w:rsidR="007E5E1B" w:rsidRDefault="007E5E1B" w:rsidP="00AF2B50">
      <w:pPr>
        <w:spacing w:line="276" w:lineRule="auto"/>
        <w:jc w:val="center"/>
        <w:rPr>
          <w:rFonts w:asciiTheme="majorBidi" w:hAnsiTheme="majorBidi" w:cstheme="majorBidi"/>
          <w:b/>
          <w:bCs/>
          <w:sz w:val="26"/>
          <w:szCs w:val="26"/>
        </w:rPr>
      </w:pPr>
    </w:p>
    <w:p w14:paraId="7F689EB9" w14:textId="77777777" w:rsidR="007E5E1B" w:rsidRDefault="007E5E1B" w:rsidP="00AF2B50">
      <w:pPr>
        <w:spacing w:line="276" w:lineRule="auto"/>
        <w:jc w:val="center"/>
        <w:rPr>
          <w:rFonts w:asciiTheme="majorBidi" w:hAnsiTheme="majorBidi" w:cstheme="majorBidi"/>
          <w:b/>
          <w:bCs/>
          <w:sz w:val="26"/>
          <w:szCs w:val="26"/>
        </w:rPr>
      </w:pPr>
    </w:p>
    <w:p w14:paraId="29C94C1B" w14:textId="77777777" w:rsidR="007E5E1B" w:rsidRDefault="007E5E1B" w:rsidP="00AF2B50">
      <w:pPr>
        <w:spacing w:line="276" w:lineRule="auto"/>
        <w:jc w:val="center"/>
        <w:rPr>
          <w:rFonts w:asciiTheme="majorBidi" w:hAnsiTheme="majorBidi" w:cstheme="majorBidi"/>
          <w:b/>
          <w:bCs/>
          <w:sz w:val="26"/>
          <w:szCs w:val="26"/>
        </w:rPr>
      </w:pPr>
    </w:p>
    <w:p w14:paraId="1075A5BE" w14:textId="77777777" w:rsidR="007E5E1B" w:rsidRDefault="007E5E1B" w:rsidP="00AF2B50">
      <w:pPr>
        <w:spacing w:line="276" w:lineRule="auto"/>
        <w:jc w:val="center"/>
        <w:rPr>
          <w:rFonts w:asciiTheme="majorBidi" w:hAnsiTheme="majorBidi" w:cstheme="majorBidi"/>
          <w:b/>
          <w:bCs/>
          <w:sz w:val="26"/>
          <w:szCs w:val="26"/>
        </w:rPr>
      </w:pPr>
    </w:p>
    <w:p w14:paraId="77315027" w14:textId="77777777" w:rsidR="007E5E1B" w:rsidRDefault="007E5E1B" w:rsidP="00AF2B50">
      <w:pPr>
        <w:spacing w:line="276" w:lineRule="auto"/>
        <w:jc w:val="center"/>
        <w:rPr>
          <w:rFonts w:asciiTheme="majorBidi" w:hAnsiTheme="majorBidi" w:cstheme="majorBidi"/>
          <w:b/>
          <w:bCs/>
          <w:sz w:val="26"/>
          <w:szCs w:val="26"/>
        </w:rPr>
      </w:pPr>
    </w:p>
    <w:p w14:paraId="6994E439" w14:textId="77777777" w:rsidR="007E5E1B" w:rsidRDefault="007E5E1B" w:rsidP="00AF2B50">
      <w:pPr>
        <w:spacing w:line="276" w:lineRule="auto"/>
        <w:jc w:val="center"/>
        <w:rPr>
          <w:rFonts w:asciiTheme="majorBidi" w:hAnsiTheme="majorBidi" w:cstheme="majorBidi"/>
          <w:b/>
          <w:bCs/>
          <w:sz w:val="26"/>
          <w:szCs w:val="26"/>
        </w:rPr>
      </w:pPr>
    </w:p>
    <w:p w14:paraId="3C2E599D" w14:textId="39DCE047" w:rsidR="00665FAA" w:rsidRPr="001D66F3" w:rsidRDefault="00665FAA" w:rsidP="00AF2B50">
      <w:pPr>
        <w:spacing w:line="276" w:lineRule="auto"/>
        <w:jc w:val="center"/>
        <w:rPr>
          <w:rFonts w:asciiTheme="majorBidi" w:hAnsiTheme="majorBidi" w:cstheme="majorBidi"/>
          <w:b/>
          <w:bCs/>
          <w:sz w:val="26"/>
          <w:szCs w:val="26"/>
        </w:rPr>
      </w:pPr>
      <w:r w:rsidRPr="001D66F3">
        <w:rPr>
          <w:rFonts w:asciiTheme="majorBidi" w:hAnsiTheme="majorBidi" w:cstheme="majorBidi"/>
          <w:b/>
          <w:bCs/>
          <w:sz w:val="26"/>
          <w:szCs w:val="26"/>
        </w:rPr>
        <w:t>UNODC’s inputs to the SG report on the “Implementation of the Programme of Activities for the International Decade for People of African Descent”</w:t>
      </w:r>
    </w:p>
    <w:p w14:paraId="399C2821" w14:textId="77777777" w:rsidR="00665FAA" w:rsidRPr="001D66F3" w:rsidRDefault="00665FAA" w:rsidP="00AF2B50">
      <w:pPr>
        <w:spacing w:line="276" w:lineRule="auto"/>
        <w:jc w:val="center"/>
        <w:rPr>
          <w:rFonts w:asciiTheme="majorBidi" w:hAnsiTheme="majorBidi" w:cstheme="majorBidi"/>
          <w:b/>
          <w:bCs/>
          <w:sz w:val="26"/>
          <w:szCs w:val="26"/>
        </w:rPr>
      </w:pPr>
    </w:p>
    <w:p w14:paraId="36ADE26B" w14:textId="01CA360D" w:rsidR="00AF2B50" w:rsidRPr="001D66F3" w:rsidRDefault="00F546A6" w:rsidP="00AF2B50">
      <w:pPr>
        <w:spacing w:line="276" w:lineRule="auto"/>
        <w:jc w:val="both"/>
        <w:rPr>
          <w:rFonts w:asciiTheme="majorBidi" w:hAnsiTheme="majorBidi" w:cstheme="majorBidi"/>
          <w:i/>
          <w:iCs/>
          <w:sz w:val="24"/>
          <w:szCs w:val="24"/>
        </w:rPr>
      </w:pPr>
      <w:r w:rsidRPr="001D66F3">
        <w:rPr>
          <w:rFonts w:asciiTheme="majorBidi" w:hAnsiTheme="majorBidi" w:cstheme="majorBidi"/>
          <w:i/>
          <w:iCs/>
          <w:sz w:val="24"/>
          <w:szCs w:val="24"/>
        </w:rPr>
        <w:t xml:space="preserve">5. </w:t>
      </w:r>
      <w:r w:rsidR="00665FAA" w:rsidRPr="001D66F3">
        <w:rPr>
          <w:rFonts w:asciiTheme="majorBidi" w:hAnsiTheme="majorBidi" w:cstheme="majorBidi"/>
          <w:i/>
          <w:iCs/>
          <w:sz w:val="24"/>
          <w:szCs w:val="24"/>
        </w:rPr>
        <w:t>Please provide information on any new laws, regulations, policies and other relevant measures, including practices and initiatives, which have been undertaken to implement the programme of activities of the Decade at local, national, regional and international levels in 2022 and 2023.</w:t>
      </w:r>
    </w:p>
    <w:p w14:paraId="33346F01" w14:textId="19AB440F" w:rsidR="00AF2B50" w:rsidRPr="001D66F3" w:rsidRDefault="00AF2B50" w:rsidP="00AF2B50">
      <w:pPr>
        <w:spacing w:line="276" w:lineRule="auto"/>
        <w:jc w:val="both"/>
        <w:rPr>
          <w:rFonts w:ascii="Times New Roman" w:eastAsia="Times New Roman" w:hAnsi="Times New Roman" w:cs="Times New Roman"/>
          <w:sz w:val="24"/>
          <w:szCs w:val="24"/>
        </w:rPr>
      </w:pPr>
      <w:r w:rsidRPr="001D66F3">
        <w:rPr>
          <w:rFonts w:asciiTheme="majorBidi" w:hAnsiTheme="majorBidi" w:cstheme="majorBidi"/>
          <w:sz w:val="24"/>
          <w:szCs w:val="24"/>
        </w:rPr>
        <w:t xml:space="preserve">In 2022, UNODC, as a member of the United Nations Network on Racial Discrimination and the Protection of Minorities, </w:t>
      </w:r>
      <w:r w:rsidRPr="001D66F3">
        <w:rPr>
          <w:rFonts w:ascii="Times New Roman" w:eastAsia="Times New Roman" w:hAnsi="Times New Roman" w:cs="Times New Roman"/>
          <w:sz w:val="24"/>
          <w:szCs w:val="24"/>
        </w:rPr>
        <w:t>substantively contributed to the development of</w:t>
      </w:r>
      <w:r w:rsidRPr="001D66F3">
        <w:rPr>
          <w:rFonts w:asciiTheme="majorBidi" w:eastAsia="Times New Roman" w:hAnsiTheme="majorBidi" w:cstheme="majorBidi"/>
          <w:color w:val="212529"/>
          <w:sz w:val="24"/>
          <w:szCs w:val="24"/>
        </w:rPr>
        <w:t xml:space="preserve"> </w:t>
      </w:r>
      <w:r w:rsidRPr="001D66F3">
        <w:rPr>
          <w:rFonts w:asciiTheme="majorBidi" w:hAnsiTheme="majorBidi" w:cstheme="majorBidi"/>
          <w:sz w:val="24"/>
          <w:szCs w:val="24"/>
        </w:rPr>
        <w:t>the “Guidance Note on Intersectionality, Racial Discrimination and Protection of Minorities”,</w:t>
      </w:r>
      <w:r w:rsidRPr="001D66F3">
        <w:rPr>
          <w:rFonts w:asciiTheme="majorBidi" w:eastAsia="Times New Roman" w:hAnsiTheme="majorBidi" w:cstheme="majorBidi"/>
          <w:color w:val="212529"/>
          <w:sz w:val="24"/>
          <w:szCs w:val="24"/>
        </w:rPr>
        <w:t xml:space="preserve"> </w:t>
      </w:r>
      <w:r w:rsidRPr="001D66F3">
        <w:rPr>
          <w:rFonts w:ascii="Times New Roman" w:eastAsia="Times New Roman" w:hAnsi="Times New Roman" w:cs="Times New Roman"/>
          <w:sz w:val="24"/>
          <w:szCs w:val="24"/>
        </w:rPr>
        <w:t xml:space="preserve">supporting UN efforts to end discrimination, inequality and exclusion. The note encourages an intersectionality perspective in the context of policy development, programming and project implementation to strengthen UN system’s efforts to eliminate racial discrimination and strengthen the protection of minorities. </w:t>
      </w:r>
    </w:p>
    <w:p w14:paraId="35042383" w14:textId="670E28B1" w:rsidR="003E01BF" w:rsidRPr="001D66F3" w:rsidRDefault="00C13735" w:rsidP="00CA2B97">
      <w:pPr>
        <w:spacing w:line="276" w:lineRule="auto"/>
        <w:jc w:val="both"/>
        <w:rPr>
          <w:rFonts w:ascii="Times New Roman" w:eastAsia="Times New Roman" w:hAnsi="Times New Roman" w:cs="Times New Roman"/>
          <w:sz w:val="24"/>
          <w:szCs w:val="24"/>
        </w:rPr>
      </w:pPr>
      <w:r w:rsidRPr="001D66F3">
        <w:rPr>
          <w:rFonts w:ascii="Times New Roman" w:eastAsia="Times New Roman" w:hAnsi="Times New Roman" w:cs="Times New Roman"/>
          <w:sz w:val="24"/>
          <w:szCs w:val="24"/>
        </w:rPr>
        <w:t>Furthermore, f</w:t>
      </w:r>
      <w:r w:rsidR="003E01BF" w:rsidRPr="001D66F3">
        <w:rPr>
          <w:rFonts w:ascii="Times New Roman" w:eastAsia="Times New Roman" w:hAnsi="Times New Roman" w:cs="Times New Roman"/>
          <w:sz w:val="24"/>
          <w:szCs w:val="24"/>
        </w:rPr>
        <w:t xml:space="preserve">ollowing the publication of </w:t>
      </w:r>
      <w:hyperlink r:id="rId7" w:history="1">
        <w:r w:rsidR="003E01BF" w:rsidRPr="001D66F3">
          <w:rPr>
            <w:rStyle w:val="Hyperlink"/>
            <w:rFonts w:ascii="Times New Roman" w:eastAsia="Times New Roman" w:hAnsi="Times New Roman" w:cs="Times New Roman"/>
            <w:i/>
            <w:iCs/>
            <w:sz w:val="24"/>
            <w:szCs w:val="24"/>
          </w:rPr>
          <w:t>Treatment and Care for People with drug use disorders in Contact with the Criminal Justice System: Alternatives to Conviction or Punishment</w:t>
        </w:r>
      </w:hyperlink>
      <w:r w:rsidR="008D42DB" w:rsidRPr="001D66F3">
        <w:rPr>
          <w:rFonts w:ascii="Times New Roman" w:eastAsia="Times New Roman" w:hAnsi="Times New Roman" w:cs="Times New Roman"/>
          <w:sz w:val="24"/>
          <w:szCs w:val="24"/>
        </w:rPr>
        <w:t xml:space="preserve"> in 2019</w:t>
      </w:r>
      <w:r w:rsidR="003E01BF" w:rsidRPr="001D66F3">
        <w:rPr>
          <w:rFonts w:ascii="Times New Roman" w:eastAsia="Times New Roman" w:hAnsi="Times New Roman" w:cs="Times New Roman"/>
          <w:sz w:val="24"/>
          <w:szCs w:val="24"/>
        </w:rPr>
        <w:t>, UNODC initiated a process of organizing informal consultations with Member States, researchers, international and regional organizations and civil society organizations</w:t>
      </w:r>
      <w:r w:rsidR="005C427F" w:rsidRPr="001D66F3">
        <w:rPr>
          <w:rFonts w:ascii="Times New Roman" w:eastAsia="Times New Roman" w:hAnsi="Times New Roman" w:cs="Times New Roman"/>
          <w:sz w:val="24"/>
          <w:szCs w:val="24"/>
        </w:rPr>
        <w:t xml:space="preserve"> for </w:t>
      </w:r>
      <w:r w:rsidR="003E01BF" w:rsidRPr="001D66F3">
        <w:rPr>
          <w:rFonts w:ascii="Times New Roman" w:eastAsia="Times New Roman" w:hAnsi="Times New Roman" w:cs="Times New Roman"/>
          <w:sz w:val="24"/>
          <w:szCs w:val="24"/>
        </w:rPr>
        <w:t>the identification of principles for non-custodial alternatives to conviction or punishment at each one of the different stages of the criminal justice process</w:t>
      </w:r>
      <w:r w:rsidR="00487409" w:rsidRPr="001D66F3">
        <w:rPr>
          <w:rFonts w:ascii="Times New Roman" w:eastAsia="Times New Roman" w:hAnsi="Times New Roman" w:cs="Times New Roman"/>
          <w:sz w:val="24"/>
          <w:szCs w:val="24"/>
        </w:rPr>
        <w:t>.</w:t>
      </w:r>
      <w:r w:rsidR="000C77EC" w:rsidRPr="001D66F3">
        <w:rPr>
          <w:rFonts w:ascii="Times New Roman" w:eastAsia="Times New Roman" w:hAnsi="Times New Roman" w:cs="Times New Roman"/>
          <w:sz w:val="24"/>
          <w:szCs w:val="24"/>
        </w:rPr>
        <w:t xml:space="preserve"> The consultations </w:t>
      </w:r>
      <w:r w:rsidR="003248A8" w:rsidRPr="001D66F3">
        <w:rPr>
          <w:rFonts w:ascii="Times New Roman" w:eastAsia="Times New Roman" w:hAnsi="Times New Roman" w:cs="Times New Roman"/>
          <w:sz w:val="24"/>
          <w:szCs w:val="24"/>
        </w:rPr>
        <w:t xml:space="preserve">were held </w:t>
      </w:r>
      <w:r w:rsidR="003E01BF" w:rsidRPr="001D66F3">
        <w:rPr>
          <w:rFonts w:ascii="Times New Roman" w:eastAsia="Times New Roman" w:hAnsi="Times New Roman" w:cs="Times New Roman"/>
          <w:sz w:val="24"/>
          <w:szCs w:val="24"/>
        </w:rPr>
        <w:t xml:space="preserve">in March 2021 on </w:t>
      </w:r>
      <w:r w:rsidR="004F40F3" w:rsidRPr="001D66F3">
        <w:rPr>
          <w:rFonts w:ascii="Times New Roman" w:eastAsia="Times New Roman" w:hAnsi="Times New Roman" w:cs="Times New Roman"/>
          <w:sz w:val="24"/>
          <w:szCs w:val="24"/>
        </w:rPr>
        <w:t>p</w:t>
      </w:r>
      <w:r w:rsidR="003E01BF" w:rsidRPr="001D66F3">
        <w:rPr>
          <w:rFonts w:ascii="Times New Roman" w:eastAsia="Times New Roman" w:hAnsi="Times New Roman" w:cs="Times New Roman"/>
          <w:sz w:val="24"/>
          <w:szCs w:val="24"/>
        </w:rPr>
        <w:t xml:space="preserve">re-arrest stage, in October 2021 on </w:t>
      </w:r>
      <w:r w:rsidR="004F40F3" w:rsidRPr="001D66F3">
        <w:rPr>
          <w:rFonts w:ascii="Times New Roman" w:eastAsia="Times New Roman" w:hAnsi="Times New Roman" w:cs="Times New Roman"/>
          <w:sz w:val="24"/>
          <w:szCs w:val="24"/>
        </w:rPr>
        <w:t>p</w:t>
      </w:r>
      <w:r w:rsidR="003E01BF" w:rsidRPr="001D66F3">
        <w:rPr>
          <w:rFonts w:ascii="Times New Roman" w:eastAsia="Times New Roman" w:hAnsi="Times New Roman" w:cs="Times New Roman"/>
          <w:sz w:val="24"/>
          <w:szCs w:val="24"/>
        </w:rPr>
        <w:t xml:space="preserve">re-trial stage, in May 2022 </w:t>
      </w:r>
      <w:r w:rsidR="004F40F3" w:rsidRPr="001D66F3">
        <w:rPr>
          <w:rFonts w:ascii="Times New Roman" w:eastAsia="Times New Roman" w:hAnsi="Times New Roman" w:cs="Times New Roman"/>
          <w:sz w:val="24"/>
          <w:szCs w:val="24"/>
        </w:rPr>
        <w:t>on n</w:t>
      </w:r>
      <w:r w:rsidR="003E01BF" w:rsidRPr="001D66F3">
        <w:rPr>
          <w:rFonts w:ascii="Times New Roman" w:eastAsia="Times New Roman" w:hAnsi="Times New Roman" w:cs="Times New Roman"/>
          <w:sz w:val="24"/>
          <w:szCs w:val="24"/>
        </w:rPr>
        <w:t xml:space="preserve">on-custodial Measures at </w:t>
      </w:r>
      <w:r w:rsidR="004F40F3" w:rsidRPr="001D66F3">
        <w:rPr>
          <w:rFonts w:ascii="Times New Roman" w:eastAsia="Times New Roman" w:hAnsi="Times New Roman" w:cs="Times New Roman"/>
          <w:sz w:val="24"/>
          <w:szCs w:val="24"/>
        </w:rPr>
        <w:t>t</w:t>
      </w:r>
      <w:r w:rsidR="003E01BF" w:rsidRPr="001D66F3">
        <w:rPr>
          <w:rFonts w:ascii="Times New Roman" w:eastAsia="Times New Roman" w:hAnsi="Times New Roman" w:cs="Times New Roman"/>
          <w:sz w:val="24"/>
          <w:szCs w:val="24"/>
        </w:rPr>
        <w:t xml:space="preserve">rial stage and in September 2022 on the identification of principles for non-custodial alternatives to conviction or punishment at </w:t>
      </w:r>
      <w:r w:rsidR="004F40F3" w:rsidRPr="001D66F3">
        <w:rPr>
          <w:rFonts w:ascii="Times New Roman" w:eastAsia="Times New Roman" w:hAnsi="Times New Roman" w:cs="Times New Roman"/>
          <w:sz w:val="24"/>
          <w:szCs w:val="24"/>
        </w:rPr>
        <w:t>p</w:t>
      </w:r>
      <w:r w:rsidR="003E01BF" w:rsidRPr="001D66F3">
        <w:rPr>
          <w:rFonts w:ascii="Times New Roman" w:eastAsia="Times New Roman" w:hAnsi="Times New Roman" w:cs="Times New Roman"/>
          <w:sz w:val="24"/>
          <w:szCs w:val="24"/>
        </w:rPr>
        <w:t xml:space="preserve">ost-trial stage. This </w:t>
      </w:r>
      <w:r w:rsidR="00AC1D12">
        <w:rPr>
          <w:rFonts w:ascii="Times New Roman" w:eastAsia="Times New Roman" w:hAnsi="Times New Roman" w:cs="Times New Roman"/>
          <w:sz w:val="24"/>
          <w:szCs w:val="24"/>
        </w:rPr>
        <w:t xml:space="preserve">process </w:t>
      </w:r>
      <w:r w:rsidR="003E01BF" w:rsidRPr="001D66F3">
        <w:rPr>
          <w:rFonts w:ascii="Times New Roman" w:eastAsia="Times New Roman" w:hAnsi="Times New Roman" w:cs="Times New Roman"/>
          <w:sz w:val="24"/>
          <w:szCs w:val="24"/>
        </w:rPr>
        <w:t>will culminate in a technical consultation in 2023 that</w:t>
      </w:r>
      <w:r w:rsidR="00AC1D12">
        <w:rPr>
          <w:rFonts w:ascii="Times New Roman" w:eastAsia="Times New Roman" w:hAnsi="Times New Roman" w:cs="Times New Roman"/>
          <w:sz w:val="24"/>
          <w:szCs w:val="24"/>
        </w:rPr>
        <w:t xml:space="preserve"> aims to</w:t>
      </w:r>
      <w:r w:rsidR="003E01BF" w:rsidRPr="001D66F3">
        <w:rPr>
          <w:rFonts w:ascii="Times New Roman" w:eastAsia="Times New Roman" w:hAnsi="Times New Roman" w:cs="Times New Roman"/>
          <w:sz w:val="24"/>
          <w:szCs w:val="24"/>
        </w:rPr>
        <w:t xml:space="preserve"> provide guidelines and/or tools for the collaboration of justice and health authorities on alternative measures to conviction or punishment, including for appropriate drug-related offences of a minor nature. </w:t>
      </w:r>
      <w:r w:rsidR="00431940" w:rsidRPr="00431940">
        <w:rPr>
          <w:rFonts w:ascii="Times New Roman" w:eastAsia="Times New Roman" w:hAnsi="Times New Roman" w:cs="Times New Roman"/>
          <w:sz w:val="24"/>
          <w:szCs w:val="24"/>
        </w:rPr>
        <w:t xml:space="preserve">This initiative is particularly valuable </w:t>
      </w:r>
      <w:r w:rsidR="00D64FD3">
        <w:rPr>
          <w:rFonts w:ascii="Times New Roman" w:eastAsia="Times New Roman" w:hAnsi="Times New Roman" w:cs="Times New Roman"/>
          <w:sz w:val="24"/>
          <w:szCs w:val="24"/>
        </w:rPr>
        <w:t xml:space="preserve">to </w:t>
      </w:r>
      <w:r w:rsidR="00431DBE">
        <w:rPr>
          <w:rFonts w:ascii="Times New Roman" w:eastAsia="Times New Roman" w:hAnsi="Times New Roman" w:cs="Times New Roman"/>
          <w:sz w:val="24"/>
          <w:szCs w:val="24"/>
        </w:rPr>
        <w:t>promote</w:t>
      </w:r>
      <w:r w:rsidR="00703C15">
        <w:rPr>
          <w:rFonts w:ascii="Times New Roman" w:eastAsia="Times New Roman" w:hAnsi="Times New Roman" w:cs="Times New Roman"/>
          <w:sz w:val="24"/>
          <w:szCs w:val="24"/>
        </w:rPr>
        <w:t xml:space="preserve"> and protect</w:t>
      </w:r>
      <w:r w:rsidR="00431DBE">
        <w:rPr>
          <w:rFonts w:ascii="Times New Roman" w:eastAsia="Times New Roman" w:hAnsi="Times New Roman" w:cs="Times New Roman"/>
          <w:sz w:val="24"/>
          <w:szCs w:val="24"/>
        </w:rPr>
        <w:t xml:space="preserve"> </w:t>
      </w:r>
      <w:r w:rsidR="00D64FD3">
        <w:rPr>
          <w:rFonts w:ascii="Times New Roman" w:eastAsia="Times New Roman" w:hAnsi="Times New Roman" w:cs="Times New Roman"/>
          <w:sz w:val="24"/>
          <w:szCs w:val="24"/>
        </w:rPr>
        <w:t xml:space="preserve">the rights </w:t>
      </w:r>
      <w:r w:rsidR="00431DBE">
        <w:rPr>
          <w:rFonts w:ascii="Times New Roman" w:eastAsia="Times New Roman" w:hAnsi="Times New Roman" w:cs="Times New Roman"/>
          <w:sz w:val="24"/>
          <w:szCs w:val="24"/>
        </w:rPr>
        <w:t xml:space="preserve">of </w:t>
      </w:r>
      <w:r w:rsidR="00431940" w:rsidRPr="00431940">
        <w:rPr>
          <w:rFonts w:ascii="Times New Roman" w:eastAsia="Times New Roman" w:hAnsi="Times New Roman" w:cs="Times New Roman"/>
          <w:sz w:val="24"/>
          <w:szCs w:val="24"/>
        </w:rPr>
        <w:t xml:space="preserve">minorities, including </w:t>
      </w:r>
      <w:r w:rsidR="00FF65F8">
        <w:rPr>
          <w:rFonts w:ascii="Times New Roman" w:eastAsia="Times New Roman" w:hAnsi="Times New Roman" w:cs="Times New Roman"/>
          <w:sz w:val="24"/>
          <w:szCs w:val="24"/>
        </w:rPr>
        <w:t xml:space="preserve">people </w:t>
      </w:r>
      <w:r w:rsidR="00B43C4E">
        <w:rPr>
          <w:rFonts w:ascii="Times New Roman" w:eastAsia="Times New Roman" w:hAnsi="Times New Roman" w:cs="Times New Roman"/>
          <w:sz w:val="24"/>
          <w:szCs w:val="24"/>
        </w:rPr>
        <w:t xml:space="preserve">of </w:t>
      </w:r>
      <w:r w:rsidR="00431940" w:rsidRPr="00431940">
        <w:rPr>
          <w:rFonts w:ascii="Times New Roman" w:eastAsia="Times New Roman" w:hAnsi="Times New Roman" w:cs="Times New Roman"/>
          <w:sz w:val="24"/>
          <w:szCs w:val="24"/>
        </w:rPr>
        <w:t xml:space="preserve">African descent, </w:t>
      </w:r>
      <w:r w:rsidR="00B43C4E">
        <w:rPr>
          <w:rFonts w:ascii="Times New Roman" w:eastAsia="Times New Roman" w:hAnsi="Times New Roman" w:cs="Times New Roman"/>
          <w:sz w:val="24"/>
          <w:szCs w:val="24"/>
        </w:rPr>
        <w:t xml:space="preserve">as </w:t>
      </w:r>
      <w:r w:rsidR="00431940" w:rsidRPr="00431940">
        <w:rPr>
          <w:rFonts w:ascii="Times New Roman" w:eastAsia="Times New Roman" w:hAnsi="Times New Roman" w:cs="Times New Roman"/>
          <w:sz w:val="24"/>
          <w:szCs w:val="24"/>
        </w:rPr>
        <w:t>often drug conviction and punishment policies disproportionately affect these groups.</w:t>
      </w:r>
    </w:p>
    <w:p w14:paraId="026D1784" w14:textId="7D9354FF" w:rsidR="00AF2B50" w:rsidRPr="00AF2B50" w:rsidRDefault="00AF2B50" w:rsidP="00AF2B50">
      <w:pPr>
        <w:spacing w:line="276" w:lineRule="auto"/>
        <w:jc w:val="both"/>
        <w:rPr>
          <w:rFonts w:asciiTheme="majorBidi" w:hAnsiTheme="majorBidi" w:cstheme="majorBidi"/>
          <w:sz w:val="24"/>
          <w:szCs w:val="24"/>
          <w:lang w:val="en"/>
        </w:rPr>
      </w:pPr>
    </w:p>
    <w:p w14:paraId="54FBCB62" w14:textId="15C054A7" w:rsidR="00665FAA" w:rsidRDefault="00665FAA" w:rsidP="00F546A6">
      <w:pPr>
        <w:jc w:val="both"/>
        <w:rPr>
          <w:rFonts w:asciiTheme="majorBidi" w:hAnsiTheme="majorBidi" w:cstheme="majorBidi"/>
          <w:i/>
          <w:iCs/>
          <w:sz w:val="24"/>
          <w:szCs w:val="24"/>
        </w:rPr>
      </w:pPr>
      <w:r w:rsidRPr="00F546A6">
        <w:rPr>
          <w:rFonts w:asciiTheme="majorBidi" w:hAnsiTheme="majorBidi" w:cstheme="majorBidi"/>
          <w:sz w:val="26"/>
          <w:szCs w:val="26"/>
        </w:rPr>
        <w:lastRenderedPageBreak/>
        <w:br/>
      </w:r>
    </w:p>
    <w:p w14:paraId="488E4A2C" w14:textId="77777777" w:rsidR="00F546A6" w:rsidRPr="00F546A6" w:rsidRDefault="00F546A6" w:rsidP="00F546A6">
      <w:pPr>
        <w:jc w:val="both"/>
        <w:rPr>
          <w:rFonts w:asciiTheme="majorBidi" w:hAnsiTheme="majorBidi" w:cstheme="majorBidi"/>
          <w:i/>
          <w:iCs/>
          <w:sz w:val="24"/>
          <w:szCs w:val="24"/>
        </w:rPr>
      </w:pPr>
    </w:p>
    <w:sectPr w:rsidR="00F546A6" w:rsidRPr="00F54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6D66"/>
    <w:multiLevelType w:val="hybridMultilevel"/>
    <w:tmpl w:val="5B041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44910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AA"/>
    <w:rsid w:val="00024A07"/>
    <w:rsid w:val="000C77EC"/>
    <w:rsid w:val="001D66F3"/>
    <w:rsid w:val="00291309"/>
    <w:rsid w:val="002B649A"/>
    <w:rsid w:val="003248A8"/>
    <w:rsid w:val="00356FAF"/>
    <w:rsid w:val="003E01BF"/>
    <w:rsid w:val="0041649A"/>
    <w:rsid w:val="00431940"/>
    <w:rsid w:val="00431DBE"/>
    <w:rsid w:val="00471A3E"/>
    <w:rsid w:val="00487409"/>
    <w:rsid w:val="004A4BA3"/>
    <w:rsid w:val="004F40F3"/>
    <w:rsid w:val="005C427F"/>
    <w:rsid w:val="00665FAA"/>
    <w:rsid w:val="00703C15"/>
    <w:rsid w:val="007E0430"/>
    <w:rsid w:val="007E5E1B"/>
    <w:rsid w:val="008D42DB"/>
    <w:rsid w:val="00A808E7"/>
    <w:rsid w:val="00AC1D12"/>
    <w:rsid w:val="00AE0D84"/>
    <w:rsid w:val="00AF2B50"/>
    <w:rsid w:val="00B43C4E"/>
    <w:rsid w:val="00BA5E5F"/>
    <w:rsid w:val="00BD6B0A"/>
    <w:rsid w:val="00C13735"/>
    <w:rsid w:val="00CA2B97"/>
    <w:rsid w:val="00CD77FF"/>
    <w:rsid w:val="00D162B2"/>
    <w:rsid w:val="00D64FD3"/>
    <w:rsid w:val="00DE2F80"/>
    <w:rsid w:val="00F546A6"/>
    <w:rsid w:val="00FF65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6200"/>
  <w15:chartTrackingRefBased/>
  <w15:docId w15:val="{951BB1F1-9AA9-415C-A505-9044A4B7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B50"/>
    <w:pPr>
      <w:spacing w:line="256" w:lineRule="auto"/>
      <w:ind w:left="720"/>
      <w:contextualSpacing/>
    </w:pPr>
  </w:style>
  <w:style w:type="character" w:styleId="Hyperlink">
    <w:name w:val="Hyperlink"/>
    <w:basedOn w:val="DefaultParagraphFont"/>
    <w:uiPriority w:val="99"/>
    <w:unhideWhenUsed/>
    <w:rsid w:val="00C13735"/>
    <w:rPr>
      <w:color w:val="0563C1" w:themeColor="hyperlink"/>
      <w:u w:val="single"/>
    </w:rPr>
  </w:style>
  <w:style w:type="character" w:styleId="UnresolvedMention">
    <w:name w:val="Unresolved Mention"/>
    <w:basedOn w:val="DefaultParagraphFont"/>
    <w:uiPriority w:val="99"/>
    <w:semiHidden/>
    <w:unhideWhenUsed/>
    <w:rsid w:val="00C13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97369">
      <w:bodyDiv w:val="1"/>
      <w:marLeft w:val="0"/>
      <w:marRight w:val="0"/>
      <w:marTop w:val="0"/>
      <w:marBottom w:val="0"/>
      <w:divBdr>
        <w:top w:val="none" w:sz="0" w:space="0" w:color="auto"/>
        <w:left w:val="none" w:sz="0" w:space="0" w:color="auto"/>
        <w:bottom w:val="none" w:sz="0" w:space="0" w:color="auto"/>
        <w:right w:val="none" w:sz="0" w:space="0" w:color="auto"/>
      </w:divBdr>
    </w:div>
    <w:div w:id="1870532814">
      <w:bodyDiv w:val="1"/>
      <w:marLeft w:val="0"/>
      <w:marRight w:val="0"/>
      <w:marTop w:val="0"/>
      <w:marBottom w:val="0"/>
      <w:divBdr>
        <w:top w:val="none" w:sz="0" w:space="0" w:color="auto"/>
        <w:left w:val="none" w:sz="0" w:space="0" w:color="auto"/>
        <w:bottom w:val="none" w:sz="0" w:space="0" w:color="auto"/>
        <w:right w:val="none" w:sz="0" w:space="0" w:color="auto"/>
      </w:divBdr>
    </w:div>
    <w:div w:id="19895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unodc.org/documents/UNODC_WHO_Alternatives_to_conviction_or_punishment_ENG.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410775F33B3428692134106E9D528" ma:contentTypeVersion="16" ma:contentTypeDescription="Create a new document." ma:contentTypeScope="" ma:versionID="eb31012f6f0ed91970b67706818f1ab2">
  <xsd:schema xmlns:xsd="http://www.w3.org/2001/XMLSchema" xmlns:xs="http://www.w3.org/2001/XMLSchema" xmlns:p="http://schemas.microsoft.com/office/2006/metadata/properties" xmlns:ns2="367f99d3-d6b9-4cf9-b96b-d9c850eaf833" xmlns:ns3="9ac0592c-65fc-4597-97c5-39c10fcc67cc" xmlns:ns4="985ec44e-1bab-4c0b-9df0-6ba128686fc9" targetNamespace="http://schemas.microsoft.com/office/2006/metadata/properties" ma:root="true" ma:fieldsID="900cdf3b491a6d7ceec141bcef34908b" ns2:_="" ns3:_="" ns4:_="">
    <xsd:import namespace="367f99d3-d6b9-4cf9-b96b-d9c850eaf833"/>
    <xsd:import namespace="9ac0592c-65fc-4597-97c5-39c10fcc67cc"/>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f99d3-d6b9-4cf9-b96b-d9c850eaf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c0592c-65fc-4597-97c5-39c10fcc67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2172cba-a13f-44a6-a28b-32df1c5eb29f}" ma:internalName="TaxCatchAll" ma:showField="CatchAllData" ma:web="9ac0592c-65fc-4597-97c5-39c10fcc67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441FB-6B8A-4249-B0F2-7D33B06CA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f99d3-d6b9-4cf9-b96b-d9c850eaf833"/>
    <ds:schemaRef ds:uri="9ac0592c-65fc-4597-97c5-39c10fcc67cc"/>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2D460-3F92-4245-9F7F-1ECAAB555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Munne</dc:creator>
  <cp:keywords/>
  <dc:description/>
  <cp:lastModifiedBy>Claudie Fioroni</cp:lastModifiedBy>
  <cp:revision>3</cp:revision>
  <dcterms:created xsi:type="dcterms:W3CDTF">2023-04-14T10:16:00Z</dcterms:created>
  <dcterms:modified xsi:type="dcterms:W3CDTF">2023-05-11T16:02:00Z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777515c7-2fd4-43c1-96d1-cefa66547818</vt:lpwstr>
  </property>
</Properties>
</file>