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4F66" w14:textId="50A2537D" w:rsidR="00250B28" w:rsidRPr="00250B28" w:rsidRDefault="00250B28" w:rsidP="00250B28">
      <w:pPr>
        <w:keepNext/>
        <w:keepLines/>
        <w:pageBreakBefore/>
        <w:spacing w:before="0" w:after="180" w:line="276" w:lineRule="auto"/>
        <w:ind w:left="-284" w:firstLine="284"/>
        <w:contextualSpacing/>
        <w:jc w:val="both"/>
        <w:outlineLvl w:val="0"/>
        <w:rPr>
          <w:rFonts w:ascii="Times New Roman" w:eastAsiaTheme="majorEastAsia" w:hAnsi="Times New Roman" w:cs="Times New Roman"/>
          <w:b/>
          <w:bCs/>
          <w:caps/>
          <w:sz w:val="28"/>
          <w:szCs w:val="28"/>
        </w:rPr>
      </w:pPr>
      <w:r w:rsidRPr="0043563E">
        <w:rPr>
          <w:rFonts w:ascii="Times New Roman" w:eastAsiaTheme="majorEastAsia" w:hAnsi="Times New Roman" w:cs="Times New Roman"/>
          <w:b/>
          <w:bCs/>
          <w:caps/>
          <w:sz w:val="28"/>
          <w:szCs w:val="28"/>
        </w:rPr>
        <w:t>MAURITIAN government RESPONSE</w:t>
      </w:r>
    </w:p>
    <w:p w14:paraId="5647CC1A" w14:textId="5A6079F5" w:rsidR="0070521B" w:rsidRPr="00BA6EFA" w:rsidRDefault="0070521B" w:rsidP="006771A0">
      <w:pPr>
        <w:spacing w:after="0" w:line="276" w:lineRule="auto"/>
        <w:jc w:val="both"/>
        <w:rPr>
          <w:rFonts w:ascii="Times New Roman" w:hAnsi="Times New Roman" w:cs="Times New Roman"/>
          <w:b/>
          <w:szCs w:val="24"/>
        </w:rPr>
      </w:pPr>
      <w:r w:rsidRPr="00BA6EFA">
        <w:rPr>
          <w:rFonts w:ascii="Times New Roman" w:hAnsi="Times New Roman" w:cs="Times New Roman"/>
          <w:b/>
          <w:szCs w:val="24"/>
        </w:rPr>
        <w:t xml:space="preserve">CALL FOR INPUTS: PROMOTION AND PROTECTION OF </w:t>
      </w:r>
      <w:r w:rsidR="00D70178">
        <w:rPr>
          <w:rFonts w:ascii="Times New Roman" w:hAnsi="Times New Roman" w:cs="Times New Roman"/>
          <w:b/>
          <w:szCs w:val="24"/>
        </w:rPr>
        <w:t>THE HUMAN RIGHTS AND FUNDAMENTA</w:t>
      </w:r>
      <w:r w:rsidRPr="00BA6EFA">
        <w:rPr>
          <w:rFonts w:ascii="Times New Roman" w:hAnsi="Times New Roman" w:cs="Times New Roman"/>
          <w:b/>
          <w:szCs w:val="24"/>
        </w:rPr>
        <w:t>L FREEDOMS OF AFRICANS AND OF PEOPLE OF AFRICAN DESCENT AGAINST EXCESSIVE USE OF FORCE AND OTHER HUMAN RIGHTS VIOLATIONS BY LAW ENFORCEMENT OFFICERS THROUGH TRANSF</w:t>
      </w:r>
      <w:r w:rsidR="008318CA" w:rsidRPr="00BA6EFA">
        <w:rPr>
          <w:rFonts w:ascii="Times New Roman" w:hAnsi="Times New Roman" w:cs="Times New Roman"/>
          <w:b/>
          <w:szCs w:val="24"/>
        </w:rPr>
        <w:t>ORMATIVE CHANGE FOR RACIAL JUSTICE</w:t>
      </w:r>
      <w:r w:rsidRPr="00BA6EFA">
        <w:rPr>
          <w:rFonts w:ascii="Times New Roman" w:hAnsi="Times New Roman" w:cs="Times New Roman"/>
          <w:b/>
          <w:szCs w:val="24"/>
        </w:rPr>
        <w:t xml:space="preserve"> AND EQUALITY</w:t>
      </w:r>
    </w:p>
    <w:p w14:paraId="74E139FF" w14:textId="77777777" w:rsidR="006771A0" w:rsidRPr="00BA6EFA" w:rsidRDefault="006771A0" w:rsidP="00F30EF8">
      <w:pPr>
        <w:spacing w:after="0" w:line="144" w:lineRule="auto"/>
        <w:jc w:val="both"/>
        <w:rPr>
          <w:rFonts w:ascii="Times New Roman" w:hAnsi="Times New Roman" w:cs="Times New Roman"/>
          <w:b/>
          <w:szCs w:val="24"/>
        </w:rPr>
      </w:pPr>
    </w:p>
    <w:p w14:paraId="1304352E" w14:textId="77777777" w:rsidR="006C7BD2" w:rsidRPr="004C31B5" w:rsidRDefault="006C7BD2" w:rsidP="006C7BD2">
      <w:pPr>
        <w:spacing w:line="276" w:lineRule="auto"/>
        <w:ind w:hanging="567"/>
        <w:jc w:val="both"/>
        <w:rPr>
          <w:rFonts w:ascii="Times New Roman" w:hAnsi="Times New Roman" w:cs="Times New Roman"/>
        </w:rPr>
      </w:pPr>
      <w:r w:rsidRPr="00CC170E">
        <w:rPr>
          <w:rFonts w:ascii="Times New Roman" w:hAnsi="Times New Roman" w:cs="Times New Roman"/>
          <w:b/>
        </w:rPr>
        <w:t>1.0</w:t>
      </w:r>
      <w:r>
        <w:rPr>
          <w:rFonts w:ascii="Times New Roman" w:hAnsi="Times New Roman" w:cs="Times New Roman"/>
        </w:rPr>
        <w:t xml:space="preserve"> </w:t>
      </w:r>
      <w:r>
        <w:rPr>
          <w:rFonts w:ascii="Times New Roman" w:hAnsi="Times New Roman" w:cs="Times New Roman"/>
        </w:rPr>
        <w:tab/>
      </w:r>
      <w:r w:rsidRPr="004C31B5">
        <w:rPr>
          <w:rFonts w:ascii="Times New Roman" w:hAnsi="Times New Roman" w:cs="Times New Roman"/>
        </w:rPr>
        <w:t xml:space="preserve">The Republic of Mauritius has acceded to the International Convention on the Elimination of Racial Discrimination (ICERD) on 30 May 1972 without any reservation or declaration. By acceding to the ICERD, the Republic of Mauritius took the commitment to ensure that racial discrimination is not tolerated within its territory and measures are taken to combat all forms of such discrimination. </w:t>
      </w:r>
    </w:p>
    <w:p w14:paraId="2378F211" w14:textId="77777777" w:rsidR="006C7BD2" w:rsidRPr="00BA6EFA" w:rsidRDefault="006C7BD2" w:rsidP="006C7BD2">
      <w:pPr>
        <w:spacing w:after="0" w:line="276" w:lineRule="auto"/>
        <w:ind w:hanging="567"/>
        <w:jc w:val="both"/>
        <w:rPr>
          <w:rFonts w:ascii="Times New Roman" w:hAnsi="Times New Roman" w:cs="Times New Roman"/>
          <w:szCs w:val="24"/>
        </w:rPr>
      </w:pPr>
      <w:r w:rsidRPr="00CC170E">
        <w:rPr>
          <w:rFonts w:ascii="Times New Roman" w:hAnsi="Times New Roman" w:cs="Times New Roman"/>
          <w:b/>
          <w:szCs w:val="24"/>
        </w:rPr>
        <w:t>2.0</w:t>
      </w:r>
      <w:r>
        <w:rPr>
          <w:rFonts w:ascii="Times New Roman" w:hAnsi="Times New Roman" w:cs="Times New Roman"/>
          <w:szCs w:val="24"/>
        </w:rPr>
        <w:tab/>
      </w:r>
      <w:r w:rsidRPr="00BA6EFA">
        <w:rPr>
          <w:rFonts w:ascii="Times New Roman" w:hAnsi="Times New Roman" w:cs="Times New Roman"/>
          <w:szCs w:val="24"/>
        </w:rPr>
        <w:t>Mauritius believes in inclusiveness and will continue its efforts to ensure that the social or economically disadvantaged groups are further accompanied to live a life full of human dignity.</w:t>
      </w:r>
      <w:r w:rsidRPr="00BA6EFA">
        <w:rPr>
          <w:rFonts w:ascii="Times New Roman" w:hAnsi="Times New Roman" w:cs="Times New Roman"/>
          <w:szCs w:val="24"/>
          <w:lang w:val="en-US"/>
        </w:rPr>
        <w:t xml:space="preserve"> In this vein, special measures are implemented for all vulnerable groups irrespective of their race and ethnicity.</w:t>
      </w:r>
    </w:p>
    <w:p w14:paraId="34077E13" w14:textId="6630D742" w:rsidR="006771A0" w:rsidRDefault="006C7BD2" w:rsidP="006C7BD2">
      <w:pPr>
        <w:spacing w:after="0" w:line="276" w:lineRule="auto"/>
        <w:ind w:hanging="567"/>
        <w:jc w:val="both"/>
        <w:rPr>
          <w:rFonts w:ascii="Times New Roman" w:hAnsi="Times New Roman" w:cs="Times New Roman"/>
          <w:szCs w:val="24"/>
        </w:rPr>
      </w:pPr>
      <w:r w:rsidRPr="00CC170E">
        <w:rPr>
          <w:rFonts w:ascii="Times New Roman" w:hAnsi="Times New Roman" w:cs="Times New Roman"/>
          <w:b/>
          <w:szCs w:val="24"/>
        </w:rPr>
        <w:t>3.0</w:t>
      </w:r>
      <w:r w:rsidRPr="00BA6EFA">
        <w:rPr>
          <w:rFonts w:ascii="Times New Roman" w:hAnsi="Times New Roman" w:cs="Times New Roman"/>
          <w:szCs w:val="24"/>
        </w:rPr>
        <w:tab/>
        <w:t>The 24</w:t>
      </w:r>
      <w:r w:rsidRPr="00BA6EFA">
        <w:rPr>
          <w:rFonts w:ascii="Times New Roman" w:hAnsi="Times New Roman" w:cs="Times New Roman"/>
          <w:szCs w:val="24"/>
          <w:vertAlign w:val="superscript"/>
        </w:rPr>
        <w:t>th</w:t>
      </w:r>
      <w:r w:rsidRPr="00BA6EFA">
        <w:rPr>
          <w:rFonts w:ascii="Times New Roman" w:hAnsi="Times New Roman" w:cs="Times New Roman"/>
          <w:szCs w:val="24"/>
        </w:rPr>
        <w:t xml:space="preserve"> and 25</w:t>
      </w:r>
      <w:r w:rsidRPr="00BA6EFA">
        <w:rPr>
          <w:rFonts w:ascii="Times New Roman" w:hAnsi="Times New Roman" w:cs="Times New Roman"/>
          <w:szCs w:val="24"/>
          <w:vertAlign w:val="superscript"/>
        </w:rPr>
        <w:t>th</w:t>
      </w:r>
      <w:r w:rsidRPr="00BA6EFA">
        <w:rPr>
          <w:rFonts w:ascii="Times New Roman" w:hAnsi="Times New Roman" w:cs="Times New Roman"/>
          <w:szCs w:val="24"/>
        </w:rPr>
        <w:t xml:space="preserve"> Combined Periodic Report of the State of Mauritius on the Implementation of the International Convention on the Elimination of All Forms of Racial Discrimination was submitted in 2021</w:t>
      </w:r>
      <w:r>
        <w:rPr>
          <w:rFonts w:ascii="Times New Roman" w:hAnsi="Times New Roman" w:cs="Times New Roman"/>
          <w:szCs w:val="24"/>
        </w:rPr>
        <w:t>.</w:t>
      </w:r>
    </w:p>
    <w:p w14:paraId="7ABEFCEE" w14:textId="77777777" w:rsidR="006C7BD2" w:rsidRPr="00BA6EFA" w:rsidRDefault="006C7BD2" w:rsidP="006C7BD2">
      <w:pPr>
        <w:spacing w:after="0" w:line="120" w:lineRule="auto"/>
        <w:ind w:hanging="567"/>
        <w:jc w:val="both"/>
        <w:rPr>
          <w:rFonts w:ascii="Times New Roman" w:hAnsi="Times New Roman" w:cs="Times New Roman"/>
          <w:szCs w:val="24"/>
        </w:rPr>
      </w:pPr>
    </w:p>
    <w:p w14:paraId="1FC13991" w14:textId="0FB40C62" w:rsidR="0070521B" w:rsidRDefault="006C7BD2" w:rsidP="00A80B94">
      <w:pPr>
        <w:spacing w:line="276" w:lineRule="auto"/>
        <w:ind w:hanging="567"/>
        <w:jc w:val="both"/>
        <w:rPr>
          <w:rFonts w:ascii="Times New Roman" w:hAnsi="Times New Roman" w:cs="Times New Roman"/>
          <w:b/>
          <w:szCs w:val="24"/>
          <w:u w:val="single"/>
        </w:rPr>
      </w:pPr>
      <w:r>
        <w:rPr>
          <w:rFonts w:ascii="Times New Roman" w:hAnsi="Times New Roman" w:cs="Times New Roman"/>
          <w:b/>
          <w:szCs w:val="24"/>
        </w:rPr>
        <w:t>4</w:t>
      </w:r>
      <w:r w:rsidR="0070521B" w:rsidRPr="00BA6EFA">
        <w:rPr>
          <w:rFonts w:ascii="Times New Roman" w:hAnsi="Times New Roman" w:cs="Times New Roman"/>
          <w:b/>
          <w:szCs w:val="24"/>
        </w:rPr>
        <w:t>.</w:t>
      </w:r>
      <w:r>
        <w:rPr>
          <w:rFonts w:ascii="Times New Roman" w:hAnsi="Times New Roman" w:cs="Times New Roman"/>
          <w:b/>
          <w:szCs w:val="24"/>
        </w:rPr>
        <w:t>0</w:t>
      </w:r>
      <w:r w:rsidR="0070521B" w:rsidRPr="00BA6EFA">
        <w:rPr>
          <w:rFonts w:ascii="Times New Roman" w:hAnsi="Times New Roman" w:cs="Times New Roman"/>
          <w:b/>
          <w:szCs w:val="24"/>
        </w:rPr>
        <w:tab/>
      </w:r>
      <w:r w:rsidR="0070521B" w:rsidRPr="00BA6EFA">
        <w:rPr>
          <w:rFonts w:ascii="Times New Roman" w:hAnsi="Times New Roman" w:cs="Times New Roman"/>
          <w:b/>
          <w:szCs w:val="24"/>
          <w:u w:val="single"/>
        </w:rPr>
        <w:t>Legislative Framework</w:t>
      </w:r>
    </w:p>
    <w:p w14:paraId="094BC167" w14:textId="5CD22A30" w:rsidR="006C7BD2" w:rsidRPr="006C7BD2" w:rsidRDefault="006C7BD2" w:rsidP="006C7BD2">
      <w:pPr>
        <w:spacing w:line="276" w:lineRule="auto"/>
        <w:jc w:val="both"/>
        <w:rPr>
          <w:rFonts w:ascii="Times New Roman" w:hAnsi="Times New Roman" w:cs="Times New Roman"/>
          <w:szCs w:val="24"/>
          <w:lang w:val="en-US"/>
        </w:rPr>
      </w:pPr>
      <w:r w:rsidRPr="00BA6EFA">
        <w:rPr>
          <w:rFonts w:ascii="Times New Roman" w:hAnsi="Times New Roman" w:cs="Times New Roman"/>
          <w:szCs w:val="24"/>
        </w:rPr>
        <w:t xml:space="preserve">The State of Mauritius has succeeded in keeping the equilibrium among different religious groups and communities through its legislations and policies which safeguard the equality of all citizens and guarantees the protection of the fundamental rights and freedoms of each and every one. </w:t>
      </w:r>
    </w:p>
    <w:p w14:paraId="5D826CA7" w14:textId="77777777" w:rsidR="006771A0" w:rsidRPr="00BA6EFA" w:rsidRDefault="006771A0" w:rsidP="00392C50">
      <w:pPr>
        <w:spacing w:after="0" w:line="72" w:lineRule="auto"/>
        <w:ind w:hanging="567"/>
        <w:jc w:val="both"/>
        <w:rPr>
          <w:rFonts w:ascii="Times New Roman" w:hAnsi="Times New Roman" w:cs="Times New Roman"/>
          <w:szCs w:val="24"/>
        </w:rPr>
      </w:pPr>
    </w:p>
    <w:p w14:paraId="348A577D" w14:textId="7E808663" w:rsidR="0070521B" w:rsidRPr="00BA6EFA" w:rsidRDefault="0070521B" w:rsidP="001830FF">
      <w:pPr>
        <w:pStyle w:val="ListParagraph"/>
        <w:numPr>
          <w:ilvl w:val="0"/>
          <w:numId w:val="28"/>
        </w:numPr>
        <w:spacing w:line="276" w:lineRule="auto"/>
        <w:ind w:left="567" w:hanging="283"/>
        <w:jc w:val="both"/>
        <w:rPr>
          <w:color w:val="495965" w:themeColor="text2"/>
          <w:u w:val="single"/>
        </w:rPr>
      </w:pPr>
      <w:r w:rsidRPr="00BA6EFA">
        <w:rPr>
          <w:color w:val="495965" w:themeColor="text2"/>
          <w:u w:val="single"/>
        </w:rPr>
        <w:t>Constitution of the Republic of Mauritius</w:t>
      </w:r>
    </w:p>
    <w:p w14:paraId="6F05D5C2" w14:textId="4B066E77" w:rsidR="0070521B" w:rsidRPr="00BA6EFA" w:rsidRDefault="0070521B" w:rsidP="001830FF">
      <w:pPr>
        <w:spacing w:after="0" w:line="276" w:lineRule="auto"/>
        <w:ind w:left="567"/>
        <w:jc w:val="both"/>
        <w:rPr>
          <w:rFonts w:ascii="Times New Roman" w:hAnsi="Times New Roman" w:cs="Times New Roman"/>
          <w:szCs w:val="24"/>
          <w:lang w:val="en-US"/>
        </w:rPr>
      </w:pPr>
      <w:r w:rsidRPr="00BA6EFA">
        <w:rPr>
          <w:rFonts w:ascii="Times New Roman" w:hAnsi="Times New Roman" w:cs="Times New Roman"/>
          <w:szCs w:val="24"/>
        </w:rPr>
        <w:t xml:space="preserve">Mauritius is a secular state. Moreover, being </w:t>
      </w:r>
      <w:r w:rsidRPr="00BA6EFA">
        <w:rPr>
          <w:rFonts w:ascii="Times New Roman" w:hAnsi="Times New Roman" w:cs="Times New Roman"/>
          <w:szCs w:val="24"/>
          <w:lang w:val="en-US"/>
        </w:rPr>
        <w:t xml:space="preserve">a democratic state, it guarantees the rights of its citizens by virtue of the Constitution </w:t>
      </w:r>
      <w:r w:rsidR="006C7BD2">
        <w:rPr>
          <w:rFonts w:ascii="Times New Roman" w:hAnsi="Times New Roman" w:cs="Times New Roman"/>
          <w:szCs w:val="24"/>
          <w:lang w:val="en-US"/>
        </w:rPr>
        <w:t>which</w:t>
      </w:r>
      <w:r w:rsidRPr="00BA6EFA">
        <w:rPr>
          <w:rFonts w:ascii="Times New Roman" w:hAnsi="Times New Roman" w:cs="Times New Roman"/>
          <w:szCs w:val="24"/>
          <w:lang w:val="en-US"/>
        </w:rPr>
        <w:t xml:space="preserve"> provides for an unequivocal right for every citizen to be treated equally. </w:t>
      </w:r>
    </w:p>
    <w:p w14:paraId="00A9B26D" w14:textId="205618CC" w:rsidR="00250B28" w:rsidRDefault="0070521B" w:rsidP="00F30EF8">
      <w:pPr>
        <w:spacing w:after="0" w:line="276" w:lineRule="auto"/>
        <w:ind w:left="567"/>
        <w:jc w:val="both"/>
        <w:rPr>
          <w:rFonts w:ascii="Times New Roman" w:hAnsi="Times New Roman" w:cs="Times New Roman"/>
          <w:szCs w:val="24"/>
          <w:lang w:val="en-US"/>
        </w:rPr>
      </w:pPr>
      <w:r w:rsidRPr="00BA6EFA">
        <w:rPr>
          <w:rFonts w:ascii="Times New Roman" w:hAnsi="Times New Roman" w:cs="Times New Roman"/>
          <w:szCs w:val="24"/>
          <w:lang w:val="en-US"/>
        </w:rPr>
        <w:t>Chapter II of the Constitution guarantees the enjoyment of fundamental rights and freedom which include the right to life, the right to personal liberty, protection from slavery and forced labour, protection from inhumane treatment, protection from deprivation of property, protection for privacy of home and other property, freedom of conscience, freedom of expression, freedom of assembly and association, freedom of movement and protection from discrimination. It also guarantees to all citizens the right to equal protection and benefit of the law without discrimination, thus upholding and strengthening an environment conducive to equal opportunities and equality for all Mauritians.</w:t>
      </w:r>
    </w:p>
    <w:p w14:paraId="50C8A49F" w14:textId="77777777" w:rsidR="006C7BD2" w:rsidRDefault="006C7BD2" w:rsidP="001830FF">
      <w:pPr>
        <w:spacing w:after="0" w:line="276" w:lineRule="auto"/>
        <w:ind w:left="567"/>
        <w:jc w:val="both"/>
        <w:rPr>
          <w:rFonts w:ascii="Times New Roman" w:hAnsi="Times New Roman" w:cs="Times New Roman"/>
          <w:szCs w:val="24"/>
          <w:lang w:val="en-US"/>
        </w:rPr>
      </w:pPr>
    </w:p>
    <w:p w14:paraId="453009B6" w14:textId="77777777" w:rsidR="00F30EF8" w:rsidRDefault="00F30EF8" w:rsidP="001830FF">
      <w:pPr>
        <w:spacing w:after="0" w:line="276" w:lineRule="auto"/>
        <w:ind w:left="567"/>
        <w:jc w:val="both"/>
        <w:rPr>
          <w:rFonts w:ascii="Times New Roman" w:hAnsi="Times New Roman" w:cs="Times New Roman"/>
          <w:szCs w:val="24"/>
          <w:lang w:val="en-US"/>
        </w:rPr>
      </w:pPr>
    </w:p>
    <w:p w14:paraId="5EF160E9" w14:textId="77777777" w:rsidR="00F30EF8" w:rsidRPr="00BA6EFA" w:rsidRDefault="00F30EF8" w:rsidP="001830FF">
      <w:pPr>
        <w:spacing w:after="0" w:line="276" w:lineRule="auto"/>
        <w:ind w:left="567"/>
        <w:jc w:val="both"/>
        <w:rPr>
          <w:rFonts w:ascii="Times New Roman" w:hAnsi="Times New Roman" w:cs="Times New Roman"/>
          <w:szCs w:val="24"/>
          <w:lang w:val="en-US"/>
        </w:rPr>
      </w:pPr>
    </w:p>
    <w:p w14:paraId="635F2BE6" w14:textId="32E92BB2" w:rsidR="0070521B" w:rsidRPr="00BA6EFA" w:rsidRDefault="0070521B" w:rsidP="0091127A">
      <w:pPr>
        <w:numPr>
          <w:ilvl w:val="0"/>
          <w:numId w:val="28"/>
        </w:numPr>
        <w:suppressAutoHyphens w:val="0"/>
        <w:spacing w:before="0" w:after="0" w:line="276" w:lineRule="auto"/>
        <w:ind w:left="567" w:hanging="283"/>
        <w:contextualSpacing/>
        <w:jc w:val="both"/>
        <w:rPr>
          <w:rFonts w:ascii="Times New Roman" w:hAnsi="Times New Roman" w:cs="Times New Roman"/>
          <w:szCs w:val="24"/>
          <w:u w:val="single"/>
        </w:rPr>
      </w:pPr>
      <w:r w:rsidRPr="00BA6EFA">
        <w:rPr>
          <w:rFonts w:ascii="Times New Roman" w:hAnsi="Times New Roman" w:cs="Times New Roman"/>
          <w:szCs w:val="24"/>
          <w:u w:val="single"/>
        </w:rPr>
        <w:t>Equal Opportunities Act (EOA)</w:t>
      </w:r>
    </w:p>
    <w:p w14:paraId="5523FC75" w14:textId="5203F6A9" w:rsidR="0070521B" w:rsidRPr="00BA6EFA" w:rsidRDefault="0070521B" w:rsidP="00163571">
      <w:pPr>
        <w:spacing w:after="0" w:line="276" w:lineRule="auto"/>
        <w:ind w:left="567"/>
        <w:contextualSpacing/>
        <w:jc w:val="both"/>
        <w:rPr>
          <w:rFonts w:ascii="Times New Roman" w:hAnsi="Times New Roman" w:cs="Times New Roman"/>
          <w:szCs w:val="24"/>
        </w:rPr>
      </w:pPr>
      <w:r w:rsidRPr="00BA6EFA">
        <w:rPr>
          <w:rFonts w:ascii="Times New Roman" w:hAnsi="Times New Roman" w:cs="Times New Roman"/>
          <w:szCs w:val="24"/>
        </w:rPr>
        <w:t>The</w:t>
      </w:r>
      <w:r w:rsidRPr="00BA6EFA">
        <w:rPr>
          <w:rFonts w:ascii="Times New Roman" w:hAnsi="Times New Roman" w:cs="Times New Roman"/>
          <w:b/>
          <w:szCs w:val="24"/>
        </w:rPr>
        <w:t xml:space="preserve"> </w:t>
      </w:r>
      <w:r w:rsidRPr="00BA6EFA">
        <w:rPr>
          <w:rFonts w:ascii="Times New Roman" w:hAnsi="Times New Roman" w:cs="Times New Roman"/>
          <w:szCs w:val="24"/>
        </w:rPr>
        <w:t>EOA</w:t>
      </w:r>
      <w:r w:rsidRPr="00BA6EFA">
        <w:rPr>
          <w:rFonts w:ascii="Times New Roman" w:hAnsi="Times New Roman" w:cs="Times New Roman"/>
          <w:b/>
          <w:szCs w:val="24"/>
        </w:rPr>
        <w:t xml:space="preserve"> </w:t>
      </w:r>
      <w:r w:rsidRPr="00BA6EFA">
        <w:rPr>
          <w:rFonts w:ascii="Times New Roman" w:hAnsi="Times New Roman" w:cs="Times New Roman"/>
          <w:szCs w:val="24"/>
        </w:rPr>
        <w:t>came into force in 2012 and further reinforces the protection from discrimination and the right to equal opportunities in various areas of life such as employment, access to certain facilities and services (includ</w:t>
      </w:r>
      <w:r w:rsidR="006C7BD2">
        <w:rPr>
          <w:rFonts w:ascii="Times New Roman" w:hAnsi="Times New Roman" w:cs="Times New Roman"/>
          <w:szCs w:val="24"/>
        </w:rPr>
        <w:t xml:space="preserve">ing education), by prohibiting </w:t>
      </w:r>
      <w:r w:rsidRPr="00BA6EFA">
        <w:rPr>
          <w:rFonts w:ascii="Times New Roman" w:hAnsi="Times New Roman" w:cs="Times New Roman"/>
          <w:szCs w:val="24"/>
        </w:rPr>
        <w:t>discrimination, against a person on the ground of his status. “Status” is defined as including age, caste, colour, creed, ethnic origin, impairment, marital status, place of origin, political opinion, race, sex or sexual orientation.</w:t>
      </w:r>
    </w:p>
    <w:p w14:paraId="6098EF8A" w14:textId="77777777" w:rsidR="0070521B" w:rsidRPr="00BA6EFA" w:rsidRDefault="0070521B" w:rsidP="006771A0">
      <w:pPr>
        <w:spacing w:after="0" w:line="276" w:lineRule="auto"/>
        <w:ind w:left="720"/>
        <w:contextualSpacing/>
        <w:jc w:val="both"/>
        <w:rPr>
          <w:rFonts w:ascii="Times New Roman" w:hAnsi="Times New Roman" w:cs="Times New Roman"/>
          <w:szCs w:val="24"/>
        </w:rPr>
      </w:pPr>
    </w:p>
    <w:p w14:paraId="05ED4639" w14:textId="245AA772" w:rsidR="0070521B" w:rsidRPr="00BA6EFA" w:rsidRDefault="0070521B" w:rsidP="00163571">
      <w:pPr>
        <w:numPr>
          <w:ilvl w:val="0"/>
          <w:numId w:val="28"/>
        </w:numPr>
        <w:suppressAutoHyphens w:val="0"/>
        <w:spacing w:before="0" w:after="0" w:line="276" w:lineRule="auto"/>
        <w:ind w:left="567" w:hanging="283"/>
        <w:contextualSpacing/>
        <w:jc w:val="both"/>
        <w:rPr>
          <w:rFonts w:ascii="Times New Roman" w:hAnsi="Times New Roman" w:cs="Times New Roman"/>
          <w:szCs w:val="24"/>
        </w:rPr>
      </w:pPr>
      <w:r w:rsidRPr="00BA6EFA">
        <w:rPr>
          <w:rFonts w:ascii="Times New Roman" w:hAnsi="Times New Roman" w:cs="Times New Roman"/>
          <w:szCs w:val="24"/>
          <w:u w:val="single"/>
        </w:rPr>
        <w:t>Workers’ Rights Act (WRA)</w:t>
      </w:r>
    </w:p>
    <w:p w14:paraId="450B567B" w14:textId="51F0F92D" w:rsidR="0070521B" w:rsidRDefault="0070521B" w:rsidP="00C14084">
      <w:pPr>
        <w:spacing w:after="0" w:line="276" w:lineRule="auto"/>
        <w:ind w:left="567" w:hanging="11"/>
        <w:contextualSpacing/>
        <w:jc w:val="both"/>
        <w:rPr>
          <w:rFonts w:ascii="Times New Roman" w:hAnsi="Times New Roman" w:cs="Times New Roman"/>
          <w:szCs w:val="24"/>
        </w:rPr>
      </w:pPr>
      <w:r w:rsidRPr="00BA6EFA">
        <w:rPr>
          <w:rFonts w:ascii="Times New Roman" w:hAnsi="Times New Roman" w:cs="Times New Roman"/>
          <w:szCs w:val="24"/>
        </w:rPr>
        <w:t xml:space="preserve">The WRA was enacted to reiterate the principle that all citizens of Mauritius are entitled with the same rights in respect to access to income generating opportunities and terms and conditions of employment. The WRA provides that no worker shall be treated in a discriminatory manner by his employer in his employment or occupation and no person shall be treated in a discriminatory manner by a prospective employer in respect of access to employment or occupation. </w:t>
      </w:r>
    </w:p>
    <w:p w14:paraId="24941967" w14:textId="77777777" w:rsidR="00C14084" w:rsidRPr="00C14084" w:rsidRDefault="00C14084" w:rsidP="00C14084">
      <w:pPr>
        <w:spacing w:after="0" w:line="216" w:lineRule="auto"/>
        <w:ind w:left="567" w:hanging="11"/>
        <w:contextualSpacing/>
        <w:jc w:val="both"/>
        <w:rPr>
          <w:rFonts w:ascii="Times New Roman" w:hAnsi="Times New Roman" w:cs="Times New Roman"/>
          <w:szCs w:val="24"/>
        </w:rPr>
      </w:pPr>
    </w:p>
    <w:p w14:paraId="41463498" w14:textId="5D98B5E0" w:rsidR="00474F32" w:rsidRPr="00BA6EFA" w:rsidRDefault="0070521B" w:rsidP="006771A0">
      <w:pPr>
        <w:pStyle w:val="ListParagraph"/>
        <w:numPr>
          <w:ilvl w:val="0"/>
          <w:numId w:val="28"/>
        </w:numPr>
        <w:spacing w:line="276" w:lineRule="auto"/>
        <w:ind w:left="567" w:hanging="283"/>
        <w:jc w:val="both"/>
        <w:rPr>
          <w:color w:val="495965" w:themeColor="text2"/>
          <w:u w:val="single"/>
          <w:lang w:val="en-US"/>
        </w:rPr>
      </w:pPr>
      <w:r w:rsidRPr="00BA6EFA">
        <w:rPr>
          <w:color w:val="495965" w:themeColor="text2"/>
          <w:u w:val="single"/>
          <w:lang w:val="en-US"/>
        </w:rPr>
        <w:t>Criminal Code</w:t>
      </w:r>
    </w:p>
    <w:p w14:paraId="558589BA" w14:textId="4D6A25F3" w:rsidR="0070521B" w:rsidRPr="00BA6EFA" w:rsidRDefault="00474F32" w:rsidP="00677AD2">
      <w:pPr>
        <w:spacing w:after="0" w:line="276" w:lineRule="auto"/>
        <w:ind w:left="567"/>
        <w:jc w:val="both"/>
        <w:rPr>
          <w:rFonts w:ascii="Times New Roman" w:hAnsi="Times New Roman" w:cs="Times New Roman"/>
          <w:szCs w:val="24"/>
        </w:rPr>
      </w:pPr>
      <w:r w:rsidRPr="00BA6EFA">
        <w:rPr>
          <w:rFonts w:ascii="Times New Roman" w:hAnsi="Times New Roman" w:cs="Times New Roman"/>
          <w:szCs w:val="24"/>
        </w:rPr>
        <w:t>The legislations adopted by the State cater for the protection of the fundamental rights and freedom of individuals and for the enforcement against a</w:t>
      </w:r>
      <w:r w:rsidR="00E7748E">
        <w:rPr>
          <w:rFonts w:ascii="Times New Roman" w:hAnsi="Times New Roman" w:cs="Times New Roman"/>
          <w:szCs w:val="24"/>
        </w:rPr>
        <w:t xml:space="preserve">cts of </w:t>
      </w:r>
      <w:r w:rsidRPr="00BA6EFA">
        <w:rPr>
          <w:rFonts w:ascii="Times New Roman" w:hAnsi="Times New Roman" w:cs="Times New Roman"/>
          <w:szCs w:val="24"/>
        </w:rPr>
        <w:t>racial discrimination. A panoply of legal provisions with tougher penalties are further prescribed in the Criminal Code under Section</w:t>
      </w:r>
      <w:r w:rsidR="006C7BD2">
        <w:rPr>
          <w:rFonts w:ascii="Times New Roman" w:hAnsi="Times New Roman" w:cs="Times New Roman"/>
          <w:szCs w:val="24"/>
        </w:rPr>
        <w:t>s</w:t>
      </w:r>
      <w:r w:rsidRPr="00BA6EFA">
        <w:rPr>
          <w:rFonts w:ascii="Times New Roman" w:hAnsi="Times New Roman" w:cs="Times New Roman"/>
          <w:szCs w:val="24"/>
        </w:rPr>
        <w:t xml:space="preserve"> 282, 283, 284, 286, 288, 291 and 296</w:t>
      </w:r>
      <w:r w:rsidR="006C7BD2">
        <w:rPr>
          <w:rFonts w:ascii="Times New Roman" w:hAnsi="Times New Roman" w:cs="Times New Roman"/>
          <w:szCs w:val="24"/>
        </w:rPr>
        <w:t>.</w:t>
      </w:r>
    </w:p>
    <w:p w14:paraId="30449754" w14:textId="77777777" w:rsidR="00677AD2" w:rsidRPr="00BA6EFA" w:rsidRDefault="00677AD2" w:rsidP="00677AD2">
      <w:pPr>
        <w:spacing w:after="0" w:line="144" w:lineRule="auto"/>
        <w:ind w:left="425"/>
        <w:jc w:val="both"/>
        <w:rPr>
          <w:rFonts w:ascii="Times New Roman" w:hAnsi="Times New Roman" w:cs="Times New Roman"/>
          <w:szCs w:val="24"/>
        </w:rPr>
      </w:pPr>
    </w:p>
    <w:p w14:paraId="7F019136" w14:textId="3F8F2C56" w:rsidR="0070521B" w:rsidRPr="00BA6EFA" w:rsidRDefault="00711CA6" w:rsidP="00677AD2">
      <w:pPr>
        <w:spacing w:line="276" w:lineRule="auto"/>
        <w:ind w:hanging="567"/>
        <w:jc w:val="both"/>
        <w:rPr>
          <w:rFonts w:ascii="Times New Roman" w:hAnsi="Times New Roman" w:cs="Times New Roman"/>
          <w:b/>
          <w:szCs w:val="24"/>
          <w:u w:val="single"/>
        </w:rPr>
      </w:pPr>
      <w:r>
        <w:rPr>
          <w:rFonts w:ascii="Times New Roman" w:hAnsi="Times New Roman" w:cs="Times New Roman"/>
          <w:b/>
          <w:szCs w:val="24"/>
        </w:rPr>
        <w:t>5</w:t>
      </w:r>
      <w:r w:rsidR="0070521B" w:rsidRPr="00BA6EFA">
        <w:rPr>
          <w:rFonts w:ascii="Times New Roman" w:hAnsi="Times New Roman" w:cs="Times New Roman"/>
          <w:b/>
          <w:szCs w:val="24"/>
        </w:rPr>
        <w:t>.</w:t>
      </w:r>
      <w:r>
        <w:rPr>
          <w:rFonts w:ascii="Times New Roman" w:hAnsi="Times New Roman" w:cs="Times New Roman"/>
          <w:b/>
          <w:szCs w:val="24"/>
        </w:rPr>
        <w:t>0</w:t>
      </w:r>
      <w:r w:rsidR="0070521B" w:rsidRPr="00BA6EFA">
        <w:rPr>
          <w:rFonts w:ascii="Times New Roman" w:hAnsi="Times New Roman" w:cs="Times New Roman"/>
          <w:b/>
          <w:szCs w:val="24"/>
        </w:rPr>
        <w:t xml:space="preserve"> </w:t>
      </w:r>
      <w:r w:rsidR="0070521B" w:rsidRPr="00BA6EFA">
        <w:rPr>
          <w:rFonts w:ascii="Times New Roman" w:hAnsi="Times New Roman" w:cs="Times New Roman"/>
          <w:b/>
          <w:szCs w:val="24"/>
        </w:rPr>
        <w:tab/>
      </w:r>
      <w:r w:rsidR="0070521B" w:rsidRPr="00BA6EFA">
        <w:rPr>
          <w:rFonts w:ascii="Times New Roman" w:hAnsi="Times New Roman" w:cs="Times New Roman"/>
          <w:b/>
          <w:szCs w:val="24"/>
          <w:u w:val="single"/>
        </w:rPr>
        <w:t>National Human Rights Institutions (NHRIs)</w:t>
      </w:r>
    </w:p>
    <w:p w14:paraId="7A2CD35A" w14:textId="4231FD80" w:rsidR="0070521B" w:rsidRPr="00BA6EFA" w:rsidRDefault="00D878AF" w:rsidP="00677AD2">
      <w:pPr>
        <w:spacing w:line="276" w:lineRule="auto"/>
        <w:jc w:val="both"/>
        <w:rPr>
          <w:rFonts w:ascii="Times New Roman" w:hAnsi="Times New Roman" w:cs="Times New Roman"/>
          <w:b/>
          <w:szCs w:val="24"/>
          <w:u w:val="single"/>
        </w:rPr>
      </w:pPr>
      <w:r>
        <w:rPr>
          <w:rFonts w:ascii="Times New Roman" w:hAnsi="Times New Roman" w:cs="Times New Roman"/>
          <w:szCs w:val="24"/>
        </w:rPr>
        <w:t>T</w:t>
      </w:r>
      <w:r w:rsidR="0070521B" w:rsidRPr="00BA6EFA">
        <w:rPr>
          <w:rFonts w:ascii="Times New Roman" w:hAnsi="Times New Roman" w:cs="Times New Roman"/>
          <w:szCs w:val="24"/>
        </w:rPr>
        <w:t>he Stat</w:t>
      </w:r>
      <w:r>
        <w:rPr>
          <w:rFonts w:ascii="Times New Roman" w:hAnsi="Times New Roman" w:cs="Times New Roman"/>
          <w:szCs w:val="24"/>
        </w:rPr>
        <w:t>e of Mauritius has established the following</w:t>
      </w:r>
      <w:r w:rsidR="0070521B" w:rsidRPr="00BA6EFA">
        <w:rPr>
          <w:rFonts w:ascii="Times New Roman" w:hAnsi="Times New Roman" w:cs="Times New Roman"/>
          <w:szCs w:val="24"/>
        </w:rPr>
        <w:t xml:space="preserve"> NHRIs to ensu</w:t>
      </w:r>
      <w:r w:rsidR="00677AD2" w:rsidRPr="00BA6EFA">
        <w:rPr>
          <w:rFonts w:ascii="Times New Roman" w:hAnsi="Times New Roman" w:cs="Times New Roman"/>
          <w:szCs w:val="24"/>
        </w:rPr>
        <w:t xml:space="preserve">re the protection of the rights </w:t>
      </w:r>
      <w:r w:rsidR="0070521B" w:rsidRPr="00BA6EFA">
        <w:rPr>
          <w:rFonts w:ascii="Times New Roman" w:hAnsi="Times New Roman" w:cs="Times New Roman"/>
          <w:szCs w:val="24"/>
        </w:rPr>
        <w:t xml:space="preserve">of its people, namely the; </w:t>
      </w:r>
    </w:p>
    <w:p w14:paraId="24B524F3" w14:textId="77777777" w:rsidR="0070521B" w:rsidRPr="00BA6EFA" w:rsidRDefault="0070521B" w:rsidP="00677AD2">
      <w:pPr>
        <w:pStyle w:val="ListParagraph"/>
        <w:numPr>
          <w:ilvl w:val="0"/>
          <w:numId w:val="29"/>
        </w:numPr>
        <w:spacing w:line="276" w:lineRule="auto"/>
        <w:ind w:left="567" w:hanging="283"/>
        <w:jc w:val="both"/>
        <w:rPr>
          <w:color w:val="495965" w:themeColor="text2"/>
        </w:rPr>
      </w:pPr>
      <w:r w:rsidRPr="00BA6EFA">
        <w:rPr>
          <w:color w:val="495965" w:themeColor="text2"/>
        </w:rPr>
        <w:t xml:space="preserve">Office of the Ombudsman, under the Ombudsman Act 1969, which investigates into complaints against Government Institutions and seeks redress to injustice, if any, sustained in consequence of any alleged maladministration that may have been committed by any public officer or authority in exercise of administrative functions; </w:t>
      </w:r>
    </w:p>
    <w:p w14:paraId="54573E7D" w14:textId="77777777" w:rsidR="0070521B" w:rsidRPr="00BA6EFA" w:rsidRDefault="0070521B" w:rsidP="002D7619">
      <w:pPr>
        <w:pStyle w:val="ListParagraph"/>
        <w:spacing w:line="276" w:lineRule="auto"/>
        <w:ind w:left="567" w:hanging="283"/>
        <w:jc w:val="both"/>
        <w:rPr>
          <w:color w:val="495965" w:themeColor="text2"/>
        </w:rPr>
      </w:pPr>
    </w:p>
    <w:p w14:paraId="7029CCCC" w14:textId="2AFC5F9D" w:rsidR="00D960DC" w:rsidRDefault="006C7BD2" w:rsidP="00F93A13">
      <w:pPr>
        <w:pStyle w:val="ListParagraph"/>
        <w:numPr>
          <w:ilvl w:val="0"/>
          <w:numId w:val="29"/>
        </w:numPr>
        <w:spacing w:line="276" w:lineRule="auto"/>
        <w:ind w:left="567" w:hanging="283"/>
        <w:jc w:val="both"/>
        <w:rPr>
          <w:color w:val="495965" w:themeColor="text2"/>
        </w:rPr>
      </w:pPr>
      <w:r w:rsidRPr="006C7BD2">
        <w:rPr>
          <w:color w:val="495965" w:themeColor="text2"/>
        </w:rPr>
        <w:t>National Human Right</w:t>
      </w:r>
      <w:r w:rsidR="0070521B" w:rsidRPr="006C7BD2">
        <w:rPr>
          <w:color w:val="495965" w:themeColor="text2"/>
        </w:rPr>
        <w:t xml:space="preserve"> Commission (NHRC) under the Protection of Human Rights Act 1998; </w:t>
      </w:r>
    </w:p>
    <w:p w14:paraId="2EECD531" w14:textId="77777777" w:rsidR="006C7BD2" w:rsidRPr="006C7BD2" w:rsidRDefault="006C7BD2" w:rsidP="006C7BD2">
      <w:pPr>
        <w:pStyle w:val="ListParagraph"/>
        <w:spacing w:line="276" w:lineRule="auto"/>
        <w:ind w:left="567"/>
        <w:jc w:val="both"/>
        <w:rPr>
          <w:color w:val="495965" w:themeColor="text2"/>
        </w:rPr>
      </w:pPr>
    </w:p>
    <w:p w14:paraId="11BBE416" w14:textId="77777777" w:rsidR="00D960DC" w:rsidRPr="00BA6EFA" w:rsidRDefault="00D960DC" w:rsidP="00D960DC">
      <w:pPr>
        <w:pStyle w:val="ListParagraph"/>
        <w:spacing w:line="24" w:lineRule="auto"/>
        <w:ind w:left="567"/>
        <w:jc w:val="both"/>
        <w:rPr>
          <w:color w:val="495965" w:themeColor="text2"/>
        </w:rPr>
      </w:pPr>
    </w:p>
    <w:p w14:paraId="60B52EC6" w14:textId="77777777" w:rsidR="0070521B" w:rsidRPr="00BA6EFA" w:rsidRDefault="0070521B" w:rsidP="002D7619">
      <w:pPr>
        <w:pStyle w:val="ListParagraph"/>
        <w:numPr>
          <w:ilvl w:val="0"/>
          <w:numId w:val="29"/>
        </w:numPr>
        <w:spacing w:line="276" w:lineRule="auto"/>
        <w:ind w:left="567" w:hanging="283"/>
        <w:jc w:val="both"/>
        <w:rPr>
          <w:color w:val="495965" w:themeColor="text2"/>
        </w:rPr>
      </w:pPr>
      <w:r w:rsidRPr="00BA6EFA">
        <w:rPr>
          <w:color w:val="495965" w:themeColor="text2"/>
        </w:rPr>
        <w:t xml:space="preserve">Ombudsperson for Children’s Office, under the Ombudsperson for Children’s Act 2003, which represents and defends the rights and interests of children in Mauritius, Rodrigues, Agalega, children of Mauritian origin who live abroad and children of any other nationalities who reside in the Republic of Mauritius; </w:t>
      </w:r>
    </w:p>
    <w:p w14:paraId="21D04E5A" w14:textId="77777777" w:rsidR="0070521B" w:rsidRPr="00BA6EFA" w:rsidRDefault="0070521B" w:rsidP="006771A0">
      <w:pPr>
        <w:pStyle w:val="ListParagraph"/>
        <w:spacing w:line="276" w:lineRule="auto"/>
        <w:jc w:val="both"/>
        <w:rPr>
          <w:color w:val="495965" w:themeColor="text2"/>
        </w:rPr>
      </w:pPr>
    </w:p>
    <w:p w14:paraId="4F5AA62A" w14:textId="77777777" w:rsidR="0070521B" w:rsidRPr="00BA6EFA" w:rsidRDefault="0070521B" w:rsidP="002D7619">
      <w:pPr>
        <w:pStyle w:val="ListParagraph"/>
        <w:numPr>
          <w:ilvl w:val="0"/>
          <w:numId w:val="29"/>
        </w:numPr>
        <w:spacing w:line="276" w:lineRule="auto"/>
        <w:ind w:left="567" w:hanging="283"/>
        <w:jc w:val="both"/>
        <w:rPr>
          <w:color w:val="495965" w:themeColor="text2"/>
        </w:rPr>
      </w:pPr>
      <w:r w:rsidRPr="00BA6EFA">
        <w:rPr>
          <w:color w:val="495965" w:themeColor="text2"/>
        </w:rPr>
        <w:t xml:space="preserve">Equal Opportunities Commission, under the Equal Opportunities Act 2008, which is an independent statutory body working inter alia towards the elimination of discrimination and the promotion of equality of opportunity and good relations between persons of different status; </w:t>
      </w:r>
    </w:p>
    <w:p w14:paraId="63A5806F" w14:textId="77777777" w:rsidR="0070521B" w:rsidRPr="00BA6EFA" w:rsidRDefault="0070521B" w:rsidP="006771A0">
      <w:pPr>
        <w:pStyle w:val="ListParagraph"/>
        <w:spacing w:line="276" w:lineRule="auto"/>
        <w:jc w:val="both"/>
        <w:rPr>
          <w:color w:val="495965" w:themeColor="text2"/>
        </w:rPr>
      </w:pPr>
    </w:p>
    <w:p w14:paraId="5F3D00BB" w14:textId="77777777" w:rsidR="0070521B" w:rsidRPr="00BA6EFA" w:rsidRDefault="0070521B" w:rsidP="002D7619">
      <w:pPr>
        <w:pStyle w:val="ListParagraph"/>
        <w:numPr>
          <w:ilvl w:val="0"/>
          <w:numId w:val="29"/>
        </w:numPr>
        <w:spacing w:line="276" w:lineRule="auto"/>
        <w:ind w:left="567" w:hanging="283"/>
        <w:jc w:val="both"/>
        <w:rPr>
          <w:color w:val="495965" w:themeColor="text2"/>
        </w:rPr>
      </w:pPr>
      <w:r w:rsidRPr="00BA6EFA">
        <w:rPr>
          <w:color w:val="495965" w:themeColor="text2"/>
        </w:rPr>
        <w:t xml:space="preserve">Independent Police Complaints Commission (IPCC), under the Independent Police Complaints Commission Act 2016, which inter alia investigates into any complaints made by any person or on his behalf against any act, conduct or omission of a police officer in the discharge of his functions, other than a complaint of an act of corruption or a money laundering offence. The IPCC also investigate into the cause of death of a person who died whilst the person was in police custody or as a result of police action; </w:t>
      </w:r>
    </w:p>
    <w:p w14:paraId="4252010A" w14:textId="77777777" w:rsidR="0070521B" w:rsidRPr="00BA6EFA" w:rsidRDefault="0070521B" w:rsidP="002D7619">
      <w:pPr>
        <w:pStyle w:val="ListParagraph"/>
        <w:spacing w:line="276" w:lineRule="auto"/>
        <w:ind w:left="567" w:hanging="283"/>
        <w:jc w:val="both"/>
        <w:rPr>
          <w:color w:val="495965" w:themeColor="text2"/>
        </w:rPr>
      </w:pPr>
    </w:p>
    <w:p w14:paraId="5EFEC72E" w14:textId="77777777" w:rsidR="0070521B" w:rsidRPr="00BA6EFA" w:rsidRDefault="0070521B" w:rsidP="002D7619">
      <w:pPr>
        <w:pStyle w:val="ListParagraph"/>
        <w:numPr>
          <w:ilvl w:val="0"/>
          <w:numId w:val="29"/>
        </w:numPr>
        <w:spacing w:line="276" w:lineRule="auto"/>
        <w:ind w:left="567" w:hanging="283"/>
        <w:jc w:val="both"/>
        <w:rPr>
          <w:color w:val="495965" w:themeColor="text2"/>
        </w:rPr>
      </w:pPr>
      <w:r w:rsidRPr="00BA6EFA">
        <w:rPr>
          <w:color w:val="495965" w:themeColor="text2"/>
        </w:rPr>
        <w:t>Ombudspersons for Sports, which investigates into appeals for conciliation made any person who feels aggrieved by a decision of the Mauritius Olympic Committee, the Mauritius Paralympic Committee, a National Sports Federation, a Multisport Organisation, a regional sports committee, a sports club, a licensee, any member, referee, coach or other official of a sports organization, other than a decision or dispute related to doping; and</w:t>
      </w:r>
    </w:p>
    <w:p w14:paraId="2D7E9F4C" w14:textId="77777777" w:rsidR="008C15AF" w:rsidRPr="00BA6EFA" w:rsidRDefault="008C15AF" w:rsidP="008C15AF">
      <w:pPr>
        <w:spacing w:line="120" w:lineRule="auto"/>
        <w:jc w:val="both"/>
      </w:pPr>
    </w:p>
    <w:p w14:paraId="2D7E0729" w14:textId="4A0D4BA4" w:rsidR="0070521B" w:rsidRDefault="00711CA6" w:rsidP="00985442">
      <w:pPr>
        <w:spacing w:after="0" w:line="276" w:lineRule="auto"/>
        <w:ind w:hanging="426"/>
        <w:jc w:val="both"/>
        <w:rPr>
          <w:rFonts w:ascii="Times New Roman" w:hAnsi="Times New Roman" w:cs="Times New Roman"/>
          <w:szCs w:val="24"/>
        </w:rPr>
      </w:pPr>
      <w:r>
        <w:rPr>
          <w:rFonts w:ascii="Times New Roman" w:hAnsi="Times New Roman" w:cs="Times New Roman"/>
          <w:b/>
          <w:szCs w:val="24"/>
        </w:rPr>
        <w:t>6</w:t>
      </w:r>
      <w:r w:rsidR="00985442" w:rsidRPr="00BA6EFA">
        <w:rPr>
          <w:rFonts w:ascii="Times New Roman" w:hAnsi="Times New Roman" w:cs="Times New Roman"/>
          <w:b/>
          <w:szCs w:val="24"/>
        </w:rPr>
        <w:t>.</w:t>
      </w:r>
      <w:r>
        <w:rPr>
          <w:rFonts w:ascii="Times New Roman" w:hAnsi="Times New Roman" w:cs="Times New Roman"/>
          <w:b/>
          <w:szCs w:val="24"/>
        </w:rPr>
        <w:t>0</w:t>
      </w:r>
      <w:r w:rsidR="008C15AF" w:rsidRPr="00BA6EFA">
        <w:rPr>
          <w:rFonts w:ascii="Times New Roman" w:hAnsi="Times New Roman" w:cs="Times New Roman"/>
          <w:szCs w:val="24"/>
        </w:rPr>
        <w:tab/>
      </w:r>
      <w:r w:rsidR="008C15AF" w:rsidRPr="00BA6EFA">
        <w:rPr>
          <w:rFonts w:ascii="Times New Roman" w:hAnsi="Times New Roman" w:cs="Times New Roman"/>
          <w:b/>
          <w:szCs w:val="24"/>
        </w:rPr>
        <w:t>M</w:t>
      </w:r>
      <w:r w:rsidR="0070521B" w:rsidRPr="00BA6EFA">
        <w:rPr>
          <w:rFonts w:ascii="Times New Roman" w:hAnsi="Times New Roman" w:cs="Times New Roman"/>
          <w:b/>
          <w:szCs w:val="24"/>
        </w:rPr>
        <w:t xml:space="preserve">easures </w:t>
      </w:r>
      <w:r w:rsidR="008C15AF" w:rsidRPr="00BA6EFA">
        <w:rPr>
          <w:rFonts w:ascii="Times New Roman" w:hAnsi="Times New Roman" w:cs="Times New Roman"/>
          <w:b/>
          <w:szCs w:val="24"/>
        </w:rPr>
        <w:t xml:space="preserve">taken </w:t>
      </w:r>
      <w:r w:rsidR="0070521B" w:rsidRPr="00BA6EFA">
        <w:rPr>
          <w:rFonts w:ascii="Times New Roman" w:hAnsi="Times New Roman" w:cs="Times New Roman"/>
          <w:b/>
          <w:szCs w:val="24"/>
        </w:rPr>
        <w:t>with regards to people of African Descent</w:t>
      </w:r>
      <w:r w:rsidR="0070521B" w:rsidRPr="00BA6EFA">
        <w:rPr>
          <w:rFonts w:ascii="Times New Roman" w:hAnsi="Times New Roman" w:cs="Times New Roman"/>
          <w:szCs w:val="24"/>
        </w:rPr>
        <w:t xml:space="preserve"> </w:t>
      </w:r>
    </w:p>
    <w:p w14:paraId="004CDA4D" w14:textId="77777777" w:rsidR="00F30EF8" w:rsidRPr="00BA6EFA" w:rsidRDefault="00F30EF8" w:rsidP="00F30EF8">
      <w:pPr>
        <w:spacing w:after="0" w:line="120" w:lineRule="auto"/>
        <w:ind w:hanging="425"/>
        <w:jc w:val="both"/>
        <w:rPr>
          <w:rFonts w:ascii="Times New Roman" w:hAnsi="Times New Roman" w:cs="Times New Roman"/>
          <w:szCs w:val="24"/>
        </w:rPr>
      </w:pPr>
    </w:p>
    <w:p w14:paraId="3F4C1E2F" w14:textId="070765E5" w:rsidR="0070521B" w:rsidRPr="00BA6EFA" w:rsidRDefault="0070521B" w:rsidP="00985442">
      <w:pPr>
        <w:pStyle w:val="ListParagraph"/>
        <w:numPr>
          <w:ilvl w:val="0"/>
          <w:numId w:val="30"/>
        </w:numPr>
        <w:spacing w:line="276" w:lineRule="auto"/>
        <w:ind w:left="567" w:hanging="283"/>
        <w:jc w:val="both"/>
        <w:rPr>
          <w:bCs/>
          <w:color w:val="495965" w:themeColor="text2"/>
          <w:u w:val="single"/>
        </w:rPr>
      </w:pPr>
      <w:r w:rsidRPr="00BA6EFA">
        <w:rPr>
          <w:bCs/>
          <w:color w:val="495965" w:themeColor="text2"/>
          <w:u w:val="single"/>
        </w:rPr>
        <w:t>the Truth and Justice Commission</w:t>
      </w:r>
    </w:p>
    <w:p w14:paraId="2C3F63C7" w14:textId="3DC3968E" w:rsidR="0070521B" w:rsidRPr="00BA6EFA" w:rsidRDefault="0070521B" w:rsidP="0074121A">
      <w:pPr>
        <w:spacing w:after="0" w:line="276" w:lineRule="auto"/>
        <w:ind w:left="567"/>
        <w:jc w:val="both"/>
        <w:rPr>
          <w:rFonts w:ascii="Times New Roman" w:hAnsi="Times New Roman" w:cs="Times New Roman"/>
          <w:szCs w:val="24"/>
          <w:lang w:val="en-US"/>
        </w:rPr>
      </w:pPr>
      <w:r w:rsidRPr="00BA6EFA">
        <w:rPr>
          <w:rFonts w:ascii="Times New Roman" w:hAnsi="Times New Roman" w:cs="Times New Roman"/>
          <w:szCs w:val="24"/>
          <w:lang w:val="en-US"/>
        </w:rPr>
        <w:t>The State of Mauritius established the Truth and Justice Commission under the Truth and Justice Commission Act in 2009 in an attempt to examine the history of slavery and indentured labour and their consequences. The Commission had, as its mandate, to assess consequences of slavery, indentured labour during the colonial period up to the present, for that purpose conduct an analysis on slavery, and indentured labour. The Commission was also tasked to make recommendations on measures to be taken following its assessment and its findings with a view to achieving social justice, national unity and reconciliation.</w:t>
      </w:r>
    </w:p>
    <w:p w14:paraId="16E385D6" w14:textId="77777777" w:rsidR="0070521B" w:rsidRPr="00BA6EFA" w:rsidRDefault="0070521B" w:rsidP="0074121A">
      <w:pPr>
        <w:spacing w:after="0" w:line="276" w:lineRule="auto"/>
        <w:ind w:left="567"/>
        <w:jc w:val="both"/>
        <w:rPr>
          <w:rFonts w:ascii="Times New Roman" w:hAnsi="Times New Roman" w:cs="Times New Roman"/>
          <w:szCs w:val="24"/>
          <w:lang w:val="en-US"/>
        </w:rPr>
      </w:pPr>
      <w:r w:rsidRPr="00BA6EFA">
        <w:rPr>
          <w:rFonts w:ascii="Times New Roman" w:hAnsi="Times New Roman" w:cs="Times New Roman"/>
          <w:szCs w:val="24"/>
          <w:lang w:val="en-US"/>
        </w:rPr>
        <w:t>The Commission submitted its report after its tenure and same was published in 2011.</w:t>
      </w:r>
      <w:r w:rsidRPr="00BA6EFA">
        <w:rPr>
          <w:rFonts w:ascii="Times New Roman" w:hAnsi="Times New Roman" w:cs="Times New Roman"/>
          <w:b/>
          <w:i/>
          <w:szCs w:val="24"/>
          <w:lang w:val="en-US"/>
        </w:rPr>
        <w:t xml:space="preserve"> </w:t>
      </w:r>
      <w:r w:rsidRPr="00BA6EFA">
        <w:rPr>
          <w:rFonts w:ascii="Times New Roman" w:hAnsi="Times New Roman" w:cs="Times New Roman"/>
          <w:szCs w:val="24"/>
          <w:lang w:val="en-US"/>
        </w:rPr>
        <w:t xml:space="preserve">The Report contained the following </w:t>
      </w:r>
      <w:r w:rsidRPr="00BA6EFA">
        <w:rPr>
          <w:rFonts w:ascii="Times New Roman" w:hAnsi="Times New Roman" w:cs="Times New Roman"/>
          <w:b/>
          <w:szCs w:val="24"/>
          <w:lang w:val="en-US"/>
        </w:rPr>
        <w:t>main</w:t>
      </w:r>
      <w:r w:rsidRPr="00BA6EFA">
        <w:rPr>
          <w:rFonts w:ascii="Times New Roman" w:hAnsi="Times New Roman" w:cs="Times New Roman"/>
          <w:szCs w:val="24"/>
          <w:lang w:val="en-US"/>
        </w:rPr>
        <w:t xml:space="preserve"> recommendations based on principles of equality, fairness and justice:  </w:t>
      </w:r>
    </w:p>
    <w:p w14:paraId="7028EDD0" w14:textId="77777777" w:rsidR="00CB6977" w:rsidRPr="00BA6EFA" w:rsidRDefault="00CB6977" w:rsidP="00CB6977">
      <w:pPr>
        <w:spacing w:after="0" w:line="24" w:lineRule="auto"/>
        <w:ind w:left="567"/>
        <w:jc w:val="both"/>
        <w:rPr>
          <w:rFonts w:ascii="Times New Roman" w:hAnsi="Times New Roman" w:cs="Times New Roman"/>
          <w:b/>
          <w:i/>
          <w:szCs w:val="24"/>
          <w:lang w:val="en-US"/>
        </w:rPr>
      </w:pPr>
    </w:p>
    <w:p w14:paraId="31923397" w14:textId="77777777" w:rsidR="0070521B" w:rsidRPr="00BA6EFA" w:rsidRDefault="0070521B" w:rsidP="00BA6EFA">
      <w:pPr>
        <w:numPr>
          <w:ilvl w:val="0"/>
          <w:numId w:val="31"/>
        </w:numPr>
        <w:suppressAutoHyphens w:val="0"/>
        <w:spacing w:before="0" w:after="0" w:line="276" w:lineRule="auto"/>
        <w:ind w:left="851" w:firstLine="0"/>
        <w:jc w:val="both"/>
        <w:rPr>
          <w:rFonts w:ascii="Times New Roman" w:hAnsi="Times New Roman" w:cs="Times New Roman"/>
          <w:szCs w:val="24"/>
          <w:lang w:val="en-US"/>
        </w:rPr>
      </w:pPr>
      <w:r w:rsidRPr="00BA6EFA">
        <w:rPr>
          <w:rFonts w:ascii="Times New Roman" w:hAnsi="Times New Roman" w:cs="Times New Roman"/>
          <w:szCs w:val="24"/>
          <w:lang w:val="en-US"/>
        </w:rPr>
        <w:t>memorializing slavery and slave trade in visible and strategic locations;</w:t>
      </w:r>
    </w:p>
    <w:p w14:paraId="50D20152" w14:textId="77777777" w:rsidR="0070521B" w:rsidRPr="00BA6EFA" w:rsidRDefault="0070521B" w:rsidP="00BA6EFA">
      <w:pPr>
        <w:numPr>
          <w:ilvl w:val="0"/>
          <w:numId w:val="31"/>
        </w:numPr>
        <w:suppressAutoHyphens w:val="0"/>
        <w:spacing w:before="0" w:after="0" w:line="276" w:lineRule="auto"/>
        <w:ind w:left="851" w:firstLine="0"/>
        <w:jc w:val="both"/>
        <w:rPr>
          <w:rFonts w:ascii="Times New Roman" w:hAnsi="Times New Roman" w:cs="Times New Roman"/>
          <w:szCs w:val="24"/>
          <w:lang w:val="en-US"/>
        </w:rPr>
      </w:pPr>
      <w:r w:rsidRPr="00BA6EFA">
        <w:rPr>
          <w:rFonts w:ascii="Times New Roman" w:hAnsi="Times New Roman" w:cs="Times New Roman"/>
          <w:szCs w:val="24"/>
          <w:lang w:val="en-US"/>
        </w:rPr>
        <w:t xml:space="preserve">a better understanding and more inclusive, Mauritian history and culture; </w:t>
      </w:r>
    </w:p>
    <w:p w14:paraId="23897BFC" w14:textId="77777777" w:rsidR="0070521B" w:rsidRPr="00BA6EFA" w:rsidRDefault="0070521B" w:rsidP="00BA6EFA">
      <w:pPr>
        <w:numPr>
          <w:ilvl w:val="0"/>
          <w:numId w:val="31"/>
        </w:numPr>
        <w:suppressAutoHyphens w:val="0"/>
        <w:spacing w:before="0" w:after="0" w:line="276" w:lineRule="auto"/>
        <w:ind w:left="851" w:firstLine="0"/>
        <w:jc w:val="both"/>
        <w:rPr>
          <w:rFonts w:ascii="Times New Roman" w:hAnsi="Times New Roman" w:cs="Times New Roman"/>
          <w:szCs w:val="24"/>
          <w:lang w:val="en-US"/>
        </w:rPr>
      </w:pPr>
      <w:r w:rsidRPr="00BA6EFA">
        <w:rPr>
          <w:rFonts w:ascii="Times New Roman" w:hAnsi="Times New Roman" w:cs="Times New Roman"/>
          <w:szCs w:val="24"/>
          <w:lang w:val="en-US"/>
        </w:rPr>
        <w:t xml:space="preserve">a better and increased protection of Mauritian heritage; </w:t>
      </w:r>
    </w:p>
    <w:p w14:paraId="6C663A2D" w14:textId="77777777" w:rsidR="0070521B" w:rsidRPr="00BA6EFA" w:rsidRDefault="0070521B" w:rsidP="00BA6EFA">
      <w:pPr>
        <w:numPr>
          <w:ilvl w:val="0"/>
          <w:numId w:val="31"/>
        </w:numPr>
        <w:suppressAutoHyphens w:val="0"/>
        <w:spacing w:before="0" w:after="0" w:line="276" w:lineRule="auto"/>
        <w:ind w:left="851" w:firstLine="0"/>
        <w:jc w:val="both"/>
        <w:rPr>
          <w:rFonts w:ascii="Times New Roman" w:hAnsi="Times New Roman" w:cs="Times New Roman"/>
          <w:szCs w:val="24"/>
          <w:lang w:val="en-US"/>
        </w:rPr>
      </w:pPr>
      <w:r w:rsidRPr="00BA6EFA">
        <w:rPr>
          <w:rFonts w:ascii="Times New Roman" w:hAnsi="Times New Roman" w:cs="Times New Roman"/>
          <w:szCs w:val="24"/>
          <w:lang w:val="en-US"/>
        </w:rPr>
        <w:t xml:space="preserve">a less racist and elitist society; </w:t>
      </w:r>
    </w:p>
    <w:p w14:paraId="28D2C311" w14:textId="77777777" w:rsidR="0070521B" w:rsidRPr="00BA6EFA" w:rsidRDefault="0070521B" w:rsidP="00BA6EFA">
      <w:pPr>
        <w:numPr>
          <w:ilvl w:val="0"/>
          <w:numId w:val="31"/>
        </w:numPr>
        <w:suppressAutoHyphens w:val="0"/>
        <w:spacing w:before="0" w:after="0" w:line="276" w:lineRule="auto"/>
        <w:ind w:left="851" w:firstLine="0"/>
        <w:jc w:val="both"/>
        <w:rPr>
          <w:rFonts w:ascii="Times New Roman" w:hAnsi="Times New Roman" w:cs="Times New Roman"/>
          <w:szCs w:val="24"/>
          <w:lang w:val="en-US"/>
        </w:rPr>
      </w:pPr>
      <w:r w:rsidRPr="00BA6EFA">
        <w:rPr>
          <w:rFonts w:ascii="Times New Roman" w:hAnsi="Times New Roman" w:cs="Times New Roman"/>
          <w:szCs w:val="24"/>
          <w:lang w:val="en-US"/>
        </w:rPr>
        <w:t>a more democratic public life, and;</w:t>
      </w:r>
    </w:p>
    <w:p w14:paraId="38921A40" w14:textId="77777777" w:rsidR="0070521B" w:rsidRPr="00BA6EFA" w:rsidRDefault="0070521B" w:rsidP="00BA6EFA">
      <w:pPr>
        <w:numPr>
          <w:ilvl w:val="0"/>
          <w:numId w:val="31"/>
        </w:numPr>
        <w:suppressAutoHyphens w:val="0"/>
        <w:spacing w:before="0" w:after="0" w:line="276" w:lineRule="auto"/>
        <w:ind w:left="851" w:firstLine="0"/>
        <w:jc w:val="both"/>
        <w:rPr>
          <w:rFonts w:ascii="Times New Roman" w:hAnsi="Times New Roman" w:cs="Times New Roman"/>
          <w:szCs w:val="24"/>
          <w:lang w:val="en-US"/>
        </w:rPr>
      </w:pPr>
      <w:r w:rsidRPr="00BA6EFA">
        <w:rPr>
          <w:rFonts w:ascii="Times New Roman" w:hAnsi="Times New Roman" w:cs="Times New Roman"/>
          <w:szCs w:val="24"/>
          <w:lang w:val="en-US"/>
        </w:rPr>
        <w:t>empower Mauritians of African and Malagasy origin.</w:t>
      </w:r>
    </w:p>
    <w:p w14:paraId="5805D022" w14:textId="77777777" w:rsidR="0070521B" w:rsidRPr="00BA6EFA" w:rsidRDefault="0070521B" w:rsidP="00CB6977">
      <w:pPr>
        <w:spacing w:after="0" w:line="24" w:lineRule="auto"/>
        <w:ind w:left="709"/>
        <w:jc w:val="both"/>
        <w:rPr>
          <w:rFonts w:ascii="Times New Roman" w:hAnsi="Times New Roman" w:cs="Times New Roman"/>
          <w:szCs w:val="24"/>
        </w:rPr>
      </w:pPr>
    </w:p>
    <w:p w14:paraId="30AE2E99" w14:textId="13739BC2" w:rsidR="0070521B" w:rsidRPr="00BA6EFA" w:rsidRDefault="0070521B" w:rsidP="0074121A">
      <w:pPr>
        <w:spacing w:after="0" w:line="276" w:lineRule="auto"/>
        <w:ind w:left="567"/>
        <w:jc w:val="both"/>
        <w:rPr>
          <w:rFonts w:ascii="Times New Roman" w:hAnsi="Times New Roman" w:cs="Times New Roman"/>
          <w:szCs w:val="24"/>
          <w:lang w:val="en-US"/>
        </w:rPr>
      </w:pPr>
      <w:r w:rsidRPr="00BA6EFA">
        <w:rPr>
          <w:rFonts w:ascii="Times New Roman" w:hAnsi="Times New Roman" w:cs="Times New Roman"/>
          <w:szCs w:val="24"/>
          <w:lang w:val="en-US"/>
        </w:rPr>
        <w:t xml:space="preserve">The Commission also submitted recommendations to increase economic and social justice, particularly related to land issues and equitable and judicious use of the environment. The Government of Mauritius has been looking into the structure that would be most appropriate to deal with cases of land dispossession and hear disputes regarding land. In this respect, a Land Research and Monitoring Unit has been set up under the aegis of the Ministry of Housing and Lands in July 2019. The Unit has taken possession of 355 files in July 2019, out of which 46 </w:t>
      </w:r>
      <w:r w:rsidRPr="00BA6EFA">
        <w:rPr>
          <w:rFonts w:ascii="Times New Roman" w:hAnsi="Times New Roman" w:cs="Times New Roman"/>
          <w:szCs w:val="24"/>
          <w:lang w:val="en-US"/>
        </w:rPr>
        <w:lastRenderedPageBreak/>
        <w:t xml:space="preserve">cases have already been entered in court. Further investigation and actions are required for the remaining 309 cases. </w:t>
      </w:r>
    </w:p>
    <w:p w14:paraId="6F8201BF" w14:textId="552B109B" w:rsidR="0070521B" w:rsidRPr="00BA6EFA" w:rsidRDefault="0070521B" w:rsidP="0074121A">
      <w:pPr>
        <w:spacing w:after="0" w:line="276" w:lineRule="auto"/>
        <w:ind w:left="567"/>
        <w:jc w:val="both"/>
        <w:rPr>
          <w:rFonts w:ascii="Times New Roman" w:hAnsi="Times New Roman" w:cs="Times New Roman"/>
          <w:szCs w:val="24"/>
          <w:lang w:val="en-US"/>
        </w:rPr>
      </w:pPr>
      <w:r w:rsidRPr="00BA6EFA">
        <w:rPr>
          <w:rFonts w:ascii="Times New Roman" w:hAnsi="Times New Roman" w:cs="Times New Roman"/>
          <w:szCs w:val="24"/>
          <w:lang w:val="en-US"/>
        </w:rPr>
        <w:t xml:space="preserve">Pursuant to the recommendations of the Truth and Justice Commission, the Government of Mauritius has also set up a Land Division under the Supreme Court, which specializes in the resolution of land disputes, and hear as well as determine matters regarding ownership of land, property rights. </w:t>
      </w:r>
    </w:p>
    <w:p w14:paraId="0F031F1F" w14:textId="77777777" w:rsidR="0074121A" w:rsidRPr="00BA6EFA" w:rsidRDefault="0074121A" w:rsidP="00CB6977">
      <w:pPr>
        <w:spacing w:after="0" w:line="120" w:lineRule="auto"/>
        <w:ind w:left="567"/>
        <w:jc w:val="both"/>
        <w:rPr>
          <w:rFonts w:ascii="Times New Roman" w:hAnsi="Times New Roman" w:cs="Times New Roman"/>
          <w:szCs w:val="24"/>
          <w:lang w:val="en-US"/>
        </w:rPr>
      </w:pPr>
    </w:p>
    <w:p w14:paraId="69D7CAC6" w14:textId="3300F480" w:rsidR="0070521B" w:rsidRPr="00BA6EFA" w:rsidRDefault="0070521B" w:rsidP="0074121A">
      <w:pPr>
        <w:pStyle w:val="ListParagraph"/>
        <w:numPr>
          <w:ilvl w:val="0"/>
          <w:numId w:val="30"/>
        </w:numPr>
        <w:spacing w:line="276" w:lineRule="auto"/>
        <w:jc w:val="both"/>
        <w:rPr>
          <w:color w:val="495965" w:themeColor="text2"/>
          <w:u w:val="single"/>
          <w:lang w:val="en-GB"/>
        </w:rPr>
      </w:pPr>
      <w:r w:rsidRPr="00BA6EFA">
        <w:rPr>
          <w:color w:val="495965" w:themeColor="text2"/>
          <w:u w:val="single"/>
        </w:rPr>
        <w:t>Kreol Morisien</w:t>
      </w:r>
    </w:p>
    <w:p w14:paraId="6D97A865" w14:textId="70836FFE" w:rsidR="00BA6EFA" w:rsidRPr="00BA6EFA" w:rsidRDefault="0070521B" w:rsidP="00C14084">
      <w:pPr>
        <w:pStyle w:val="ListParagraph"/>
        <w:spacing w:line="276" w:lineRule="auto"/>
        <w:jc w:val="both"/>
        <w:rPr>
          <w:lang w:val="en-US"/>
        </w:rPr>
      </w:pPr>
      <w:r w:rsidRPr="00BA6EFA">
        <w:rPr>
          <w:color w:val="495965" w:themeColor="text2"/>
        </w:rPr>
        <w:t>The Kreol Morisien is the most widely used language in Mauritius and as indicated in various fora, the use of Creole language is acceptable in the administration, judicial and education systems. An Akademi Kreol Repiblik Moris (AKRM) was set up to follow up on the development and use of the Kreol language in the Republic of Mauritius in 2019.</w:t>
      </w:r>
      <w:r w:rsidRPr="00BA6EFA">
        <w:rPr>
          <w:bCs/>
          <w:color w:val="495965" w:themeColor="text2"/>
        </w:rPr>
        <w:t xml:space="preserve"> </w:t>
      </w:r>
    </w:p>
    <w:p w14:paraId="1D7115B7" w14:textId="77777777" w:rsidR="00400D59" w:rsidRPr="00BA6EFA" w:rsidRDefault="00400D59" w:rsidP="00BA6EFA">
      <w:pPr>
        <w:ind w:left="709"/>
        <w:jc w:val="both"/>
        <w:rPr>
          <w:rFonts w:ascii="Times New Roman" w:hAnsi="Times New Roman"/>
          <w:szCs w:val="24"/>
        </w:rPr>
      </w:pPr>
      <w:r w:rsidRPr="00BA6EFA">
        <w:rPr>
          <w:rFonts w:ascii="Times New Roman" w:hAnsi="Times New Roman"/>
          <w:szCs w:val="24"/>
        </w:rPr>
        <w:t xml:space="preserve">The Kreol Mauricien which is the most widely used language in Mauritius is a subject in itself in both primary, secondary and tertiary cycle. </w:t>
      </w:r>
    </w:p>
    <w:p w14:paraId="44A71AF2" w14:textId="77777777" w:rsidR="0070521B" w:rsidRPr="00BA6EFA" w:rsidRDefault="0070521B" w:rsidP="006771A0">
      <w:pPr>
        <w:pStyle w:val="ListParagraph"/>
        <w:spacing w:line="276" w:lineRule="auto"/>
        <w:jc w:val="both"/>
        <w:rPr>
          <w:bCs/>
          <w:color w:val="495965" w:themeColor="text2"/>
        </w:rPr>
      </w:pPr>
    </w:p>
    <w:p w14:paraId="59C1857D" w14:textId="77777777" w:rsidR="0070521B" w:rsidRPr="00BA6EFA" w:rsidRDefault="0070521B" w:rsidP="006771A0">
      <w:pPr>
        <w:pStyle w:val="ListParagraph"/>
        <w:numPr>
          <w:ilvl w:val="0"/>
          <w:numId w:val="30"/>
        </w:numPr>
        <w:spacing w:after="160" w:line="276" w:lineRule="auto"/>
        <w:jc w:val="both"/>
        <w:rPr>
          <w:color w:val="495965" w:themeColor="text2"/>
          <w:u w:val="single"/>
        </w:rPr>
      </w:pPr>
      <w:r w:rsidRPr="00BA6EFA">
        <w:rPr>
          <w:color w:val="495965" w:themeColor="text2"/>
          <w:u w:val="single"/>
        </w:rPr>
        <w:t xml:space="preserve">the Intercontinental Slavery Museum </w:t>
      </w:r>
    </w:p>
    <w:p w14:paraId="702AE280" w14:textId="5D6E0BDE" w:rsidR="0070521B" w:rsidRPr="00BA6EFA" w:rsidRDefault="0070521B" w:rsidP="006771A0">
      <w:pPr>
        <w:spacing w:after="0" w:line="276" w:lineRule="auto"/>
        <w:ind w:left="709"/>
        <w:jc w:val="both"/>
        <w:rPr>
          <w:rFonts w:ascii="Times New Roman" w:hAnsi="Times New Roman" w:cs="Times New Roman"/>
          <w:bCs/>
          <w:szCs w:val="24"/>
        </w:rPr>
      </w:pPr>
      <w:r w:rsidRPr="00BA6EFA">
        <w:rPr>
          <w:rFonts w:ascii="Times New Roman" w:hAnsi="Times New Roman" w:cs="Times New Roman"/>
          <w:bCs/>
          <w:szCs w:val="24"/>
        </w:rPr>
        <w:t xml:space="preserve">The Intercontinental Slavery Museum (ISM) was officially launched on 20 October 2020 together with an inaugural exhibition entitled “Breaking the Silence”. Its setting up was one of the various proposals made by the Truth and Justice Commission. </w:t>
      </w:r>
    </w:p>
    <w:p w14:paraId="38403D64" w14:textId="77777777" w:rsidR="0070521B" w:rsidRPr="00BA6EFA" w:rsidRDefault="0070521B" w:rsidP="00BA6EFA">
      <w:pPr>
        <w:spacing w:after="0" w:line="48" w:lineRule="auto"/>
        <w:ind w:left="709"/>
        <w:jc w:val="both"/>
        <w:rPr>
          <w:rFonts w:ascii="Times New Roman" w:hAnsi="Times New Roman" w:cs="Times New Roman"/>
          <w:szCs w:val="24"/>
          <w:lang w:val="en-US"/>
        </w:rPr>
      </w:pPr>
    </w:p>
    <w:p w14:paraId="137FE698" w14:textId="61CA3C82" w:rsidR="0070521B" w:rsidRPr="00BA6EFA" w:rsidRDefault="0070521B" w:rsidP="006771A0">
      <w:pPr>
        <w:spacing w:after="0" w:line="276" w:lineRule="auto"/>
        <w:ind w:left="709"/>
        <w:jc w:val="both"/>
        <w:rPr>
          <w:rFonts w:ascii="Times New Roman" w:hAnsi="Times New Roman" w:cs="Times New Roman"/>
          <w:szCs w:val="24"/>
          <w:lang w:val="en-US"/>
        </w:rPr>
      </w:pPr>
      <w:r w:rsidRPr="00BA6EFA">
        <w:rPr>
          <w:rFonts w:ascii="Times New Roman" w:hAnsi="Times New Roman" w:cs="Times New Roman"/>
          <w:bCs/>
          <w:szCs w:val="24"/>
        </w:rPr>
        <w:t>The ISM is a ‘Site of Conscience’ to honour interculturality and promote remembrance and reconciliation.</w:t>
      </w:r>
      <w:r w:rsidRPr="00BA6EFA">
        <w:rPr>
          <w:rFonts w:ascii="Times New Roman" w:hAnsi="Times New Roman" w:cs="Times New Roman"/>
          <w:szCs w:val="24"/>
          <w:lang w:val="en-US"/>
        </w:rPr>
        <w:t xml:space="preserve"> It also contributes towards promoting respect for African peoples, recognise their contribution to Mauritius and empower Creoles of African descent in line with the United Nations Decade of People of African Descent (2015-2024). The creation of the Museum itself is part of concrete measures to promote the full inclusion of people of African descent and to combat all forms of racism, racial discrimination, xenophobia and related intolerance.</w:t>
      </w:r>
    </w:p>
    <w:p w14:paraId="2CBE10B7" w14:textId="77777777" w:rsidR="0070521B" w:rsidRPr="00BA6EFA" w:rsidRDefault="0070521B" w:rsidP="00BA6EFA">
      <w:pPr>
        <w:spacing w:after="0" w:line="48" w:lineRule="auto"/>
        <w:ind w:left="709"/>
        <w:jc w:val="both"/>
        <w:rPr>
          <w:rFonts w:ascii="Times New Roman" w:hAnsi="Times New Roman" w:cs="Times New Roman"/>
          <w:szCs w:val="24"/>
          <w:lang w:val="en-US"/>
        </w:rPr>
      </w:pPr>
    </w:p>
    <w:p w14:paraId="1049FCC7" w14:textId="77777777" w:rsidR="0070521B" w:rsidRPr="00BA6EFA" w:rsidRDefault="0070521B" w:rsidP="00BA6EFA">
      <w:pPr>
        <w:spacing w:after="0" w:line="72" w:lineRule="auto"/>
        <w:jc w:val="both"/>
        <w:rPr>
          <w:rFonts w:ascii="Times New Roman" w:hAnsi="Times New Roman" w:cs="Times New Roman"/>
          <w:szCs w:val="24"/>
          <w:lang w:val="en-US"/>
        </w:rPr>
      </w:pPr>
    </w:p>
    <w:p w14:paraId="3566B0C9" w14:textId="19935A61" w:rsidR="0070521B" w:rsidRDefault="0070521B" w:rsidP="00BA6EFA">
      <w:pPr>
        <w:pStyle w:val="ListParagraph"/>
        <w:numPr>
          <w:ilvl w:val="0"/>
          <w:numId w:val="30"/>
        </w:numPr>
        <w:spacing w:after="160" w:line="276" w:lineRule="auto"/>
        <w:jc w:val="both"/>
        <w:rPr>
          <w:color w:val="495965" w:themeColor="text2"/>
          <w:u w:val="single"/>
          <w:lang w:val="en-US"/>
        </w:rPr>
      </w:pPr>
      <w:r w:rsidRPr="00BA6EFA">
        <w:rPr>
          <w:color w:val="495965" w:themeColor="text2"/>
          <w:u w:val="single"/>
          <w:lang w:val="en-US"/>
        </w:rPr>
        <w:t>the Nelson Mandela Centre for African Culture</w:t>
      </w:r>
    </w:p>
    <w:p w14:paraId="75013F0C" w14:textId="77777777" w:rsidR="00C14084" w:rsidRPr="00BA6EFA" w:rsidRDefault="00C14084" w:rsidP="00C14084">
      <w:pPr>
        <w:pStyle w:val="ListParagraph"/>
        <w:spacing w:after="160" w:line="192" w:lineRule="auto"/>
        <w:jc w:val="both"/>
        <w:rPr>
          <w:color w:val="495965" w:themeColor="text2"/>
          <w:u w:val="single"/>
          <w:lang w:val="en-US"/>
        </w:rPr>
      </w:pPr>
    </w:p>
    <w:p w14:paraId="3F98D228" w14:textId="4D9C01E3" w:rsidR="0070521B" w:rsidRPr="00BA6EFA" w:rsidRDefault="0070521B" w:rsidP="006771A0">
      <w:pPr>
        <w:pStyle w:val="ListParagraph"/>
        <w:spacing w:line="276" w:lineRule="auto"/>
        <w:jc w:val="both"/>
        <w:rPr>
          <w:color w:val="495965" w:themeColor="text2"/>
          <w:lang w:val="en-US"/>
        </w:rPr>
      </w:pPr>
      <w:r w:rsidRPr="00BA6EFA">
        <w:rPr>
          <w:color w:val="495965" w:themeColor="text2"/>
          <w:lang w:val="en-US"/>
        </w:rPr>
        <w:t xml:space="preserve">The Nelson Mandela Centre for African Culture was set up in 1989 through an act of Parliament with as main objectives to inter-alia preserve and promote African arts and culture; preserve and promote Creole arts and culture; collect, publish and disseminate information with respect to the African and </w:t>
      </w:r>
      <w:r w:rsidR="00C14084">
        <w:rPr>
          <w:color w:val="495965" w:themeColor="text2"/>
          <w:lang w:val="en-US"/>
        </w:rPr>
        <w:t>Creole arts and culture; organis</w:t>
      </w:r>
      <w:r w:rsidRPr="00BA6EFA">
        <w:rPr>
          <w:color w:val="495965" w:themeColor="text2"/>
          <w:lang w:val="en-US"/>
        </w:rPr>
        <w:t xml:space="preserve">e lectures, seminars, workshops, exhibitions and any other activities leading to the better understanding of the African and Creole arts and culture; do research and to reflect on the impact slavery has had in Mauritius and establish useful links with organizations engaged in similar activities locally and internationally. </w:t>
      </w:r>
    </w:p>
    <w:p w14:paraId="482C03BB" w14:textId="77777777" w:rsidR="0070521B" w:rsidRPr="00BA6EFA" w:rsidRDefault="0070521B" w:rsidP="00C14084">
      <w:pPr>
        <w:spacing w:after="0" w:line="120" w:lineRule="auto"/>
        <w:jc w:val="both"/>
        <w:rPr>
          <w:rFonts w:ascii="Times New Roman" w:hAnsi="Times New Roman" w:cs="Times New Roman"/>
          <w:szCs w:val="24"/>
          <w:lang w:val="en-US"/>
        </w:rPr>
      </w:pPr>
    </w:p>
    <w:p w14:paraId="6F8C9F7B" w14:textId="3C499B23" w:rsidR="0070521B" w:rsidRPr="00BA6EFA" w:rsidRDefault="0070521B" w:rsidP="00BA6EFA">
      <w:pPr>
        <w:pStyle w:val="ListParagraph"/>
        <w:numPr>
          <w:ilvl w:val="0"/>
          <w:numId w:val="30"/>
        </w:numPr>
        <w:spacing w:line="276" w:lineRule="auto"/>
        <w:jc w:val="both"/>
        <w:rPr>
          <w:color w:val="495965" w:themeColor="text2"/>
          <w:u w:val="single"/>
          <w:lang w:val="en-GB"/>
        </w:rPr>
      </w:pPr>
      <w:r w:rsidRPr="00BA6EFA">
        <w:rPr>
          <w:color w:val="495965" w:themeColor="text2"/>
          <w:u w:val="single"/>
        </w:rPr>
        <w:t xml:space="preserve">Commemoration of contribution of people with African Descent </w:t>
      </w:r>
    </w:p>
    <w:p w14:paraId="00CF139E" w14:textId="77777777" w:rsidR="0070521B" w:rsidRPr="00BA6EFA" w:rsidRDefault="0070521B" w:rsidP="006771A0">
      <w:pPr>
        <w:pStyle w:val="ListParagraph"/>
        <w:spacing w:line="276" w:lineRule="auto"/>
        <w:jc w:val="both"/>
        <w:rPr>
          <w:color w:val="495965" w:themeColor="text2"/>
        </w:rPr>
      </w:pPr>
      <w:r w:rsidRPr="00BA6EFA">
        <w:rPr>
          <w:color w:val="495965" w:themeColor="text2"/>
        </w:rPr>
        <w:t xml:space="preserve">The State of Mauritius acknowledges the need to commemorate the dark era of colonial period and the contribution of the slaves and indentured labourers through the creation of memorials, </w:t>
      </w:r>
      <w:r w:rsidRPr="00BA6EFA">
        <w:rPr>
          <w:color w:val="495965" w:themeColor="text2"/>
        </w:rPr>
        <w:lastRenderedPageBreak/>
        <w:t>monuments, museums, arts, artefacts and other relevant ways. A list of the measures taken by the State of Mauritius as is as follows:</w:t>
      </w:r>
    </w:p>
    <w:p w14:paraId="23305776" w14:textId="77777777" w:rsidR="0070521B" w:rsidRPr="00BA6EFA" w:rsidRDefault="0070521B" w:rsidP="00BA6EFA">
      <w:pPr>
        <w:pStyle w:val="ListParagraph"/>
        <w:spacing w:line="120" w:lineRule="auto"/>
        <w:jc w:val="both"/>
        <w:rPr>
          <w:color w:val="495965" w:themeColor="text2"/>
        </w:rPr>
      </w:pPr>
    </w:p>
    <w:p w14:paraId="10981327" w14:textId="77777777" w:rsidR="0070521B" w:rsidRPr="00BA6EFA" w:rsidRDefault="0070521B" w:rsidP="006771A0">
      <w:pPr>
        <w:numPr>
          <w:ilvl w:val="0"/>
          <w:numId w:val="33"/>
        </w:numPr>
        <w:suppressAutoHyphens w:val="0"/>
        <w:spacing w:before="0" w:after="0" w:line="276" w:lineRule="auto"/>
        <w:ind w:left="1418" w:hanging="698"/>
        <w:jc w:val="both"/>
        <w:rPr>
          <w:rFonts w:ascii="Times New Roman" w:hAnsi="Times New Roman" w:cs="Times New Roman"/>
          <w:szCs w:val="24"/>
          <w:lang w:val="en-US"/>
        </w:rPr>
      </w:pPr>
      <w:r w:rsidRPr="00BA6EFA">
        <w:rPr>
          <w:rFonts w:ascii="Times New Roman" w:hAnsi="Times New Roman" w:cs="Times New Roman"/>
          <w:szCs w:val="24"/>
          <w:lang w:val="en-US"/>
        </w:rPr>
        <w:t>Abolition of Slavery is a public holiday celebrated in Mauritius on February 1st to commemorate the end of slavery in Mauritius, on this day in 1835. This event showcases the contribution of slaves and slaves’ descendants to the economic development in Mauritius.  Wreath laying ceremonies are organized at historical sites linked to slavery.  Members of the public as well as local authorities are invited to participate in these events;</w:t>
      </w:r>
    </w:p>
    <w:p w14:paraId="35237082" w14:textId="77777777" w:rsidR="0070521B" w:rsidRPr="00BA6EFA" w:rsidRDefault="0070521B" w:rsidP="00BA6EFA">
      <w:pPr>
        <w:spacing w:after="0" w:line="96" w:lineRule="auto"/>
        <w:jc w:val="both"/>
        <w:rPr>
          <w:rFonts w:ascii="Times New Roman" w:hAnsi="Times New Roman" w:cs="Times New Roman"/>
          <w:szCs w:val="24"/>
          <w:lang w:val="en-US"/>
        </w:rPr>
      </w:pPr>
    </w:p>
    <w:p w14:paraId="2BA0094D" w14:textId="77777777" w:rsidR="0070521B" w:rsidRDefault="0070521B" w:rsidP="006771A0">
      <w:pPr>
        <w:numPr>
          <w:ilvl w:val="0"/>
          <w:numId w:val="33"/>
        </w:numPr>
        <w:suppressAutoHyphens w:val="0"/>
        <w:spacing w:before="0" w:after="0" w:line="276" w:lineRule="auto"/>
        <w:ind w:left="1418" w:hanging="698"/>
        <w:jc w:val="both"/>
        <w:rPr>
          <w:rFonts w:ascii="Times New Roman" w:hAnsi="Times New Roman" w:cs="Times New Roman"/>
          <w:szCs w:val="24"/>
          <w:lang w:val="en-US"/>
        </w:rPr>
      </w:pPr>
      <w:r w:rsidRPr="00BA6EFA">
        <w:rPr>
          <w:rFonts w:ascii="Times New Roman" w:hAnsi="Times New Roman" w:cs="Times New Roman"/>
          <w:szCs w:val="24"/>
          <w:lang w:val="en-US"/>
        </w:rPr>
        <w:t>the Le Morne Heritage Trust Fund was established on 28th May 2004 to promote Le Morne as a national, regional and international memorial site to preserve and promote the historical, cultural, environmental and ecological aspects of Le Morne, to set up a museum and create public awareness in the history of Le Morne, amongst others;</w:t>
      </w:r>
    </w:p>
    <w:p w14:paraId="24D036F0" w14:textId="77777777" w:rsidR="00BA6EFA" w:rsidRDefault="00BA6EFA" w:rsidP="00BA6EFA">
      <w:pPr>
        <w:pStyle w:val="ListParagraph"/>
        <w:rPr>
          <w:lang w:val="en-US"/>
        </w:rPr>
      </w:pPr>
    </w:p>
    <w:p w14:paraId="60908F24" w14:textId="77777777" w:rsidR="00BA6EFA" w:rsidRPr="00BA6EFA" w:rsidRDefault="00BA6EFA" w:rsidP="00BA6EFA">
      <w:pPr>
        <w:suppressAutoHyphens w:val="0"/>
        <w:spacing w:before="0" w:after="0" w:line="24" w:lineRule="auto"/>
        <w:ind w:left="1418"/>
        <w:jc w:val="both"/>
        <w:rPr>
          <w:rFonts w:ascii="Times New Roman" w:hAnsi="Times New Roman" w:cs="Times New Roman"/>
          <w:szCs w:val="24"/>
          <w:lang w:val="en-US"/>
        </w:rPr>
      </w:pPr>
    </w:p>
    <w:p w14:paraId="3591978B" w14:textId="77777777" w:rsidR="0070521B" w:rsidRPr="00BA6EFA" w:rsidRDefault="0070521B" w:rsidP="006771A0">
      <w:pPr>
        <w:numPr>
          <w:ilvl w:val="0"/>
          <w:numId w:val="33"/>
        </w:numPr>
        <w:suppressAutoHyphens w:val="0"/>
        <w:spacing w:before="0" w:after="0" w:line="276" w:lineRule="auto"/>
        <w:ind w:left="1418" w:hanging="698"/>
        <w:jc w:val="both"/>
        <w:rPr>
          <w:rFonts w:ascii="Times New Roman" w:hAnsi="Times New Roman" w:cs="Times New Roman"/>
          <w:szCs w:val="24"/>
          <w:lang w:val="en-US"/>
        </w:rPr>
      </w:pPr>
      <w:r w:rsidRPr="00BA6EFA">
        <w:rPr>
          <w:rFonts w:ascii="Times New Roman" w:hAnsi="Times New Roman" w:cs="Times New Roman"/>
          <w:szCs w:val="24"/>
          <w:lang w:val="en-US"/>
        </w:rPr>
        <w:t xml:space="preserve">the Le Morne Cultural Landscape which, is an exceptional testimony to maroonage and resistance to slavery in terms of the mountain being used as a fortress to shelter escaped slaves and the Le Morne, has been recognized by UNESCO as a World Heritage Site and is viewed as a symbol of the slaves’ fight for freedom, their suffering and their sacrifice;  </w:t>
      </w:r>
    </w:p>
    <w:p w14:paraId="2D6F730C" w14:textId="77777777" w:rsidR="0070521B" w:rsidRPr="00BA6EFA" w:rsidRDefault="0070521B" w:rsidP="00BA6EFA">
      <w:pPr>
        <w:spacing w:after="0" w:line="72" w:lineRule="auto"/>
        <w:ind w:left="1417" w:hanging="697"/>
        <w:jc w:val="both"/>
        <w:rPr>
          <w:rFonts w:ascii="Times New Roman" w:hAnsi="Times New Roman" w:cs="Times New Roman"/>
          <w:szCs w:val="24"/>
          <w:lang w:val="en-US"/>
        </w:rPr>
      </w:pPr>
    </w:p>
    <w:p w14:paraId="279D505A" w14:textId="77777777" w:rsidR="0070521B" w:rsidRPr="00BA6EFA" w:rsidRDefault="0070521B" w:rsidP="006771A0">
      <w:pPr>
        <w:numPr>
          <w:ilvl w:val="0"/>
          <w:numId w:val="33"/>
        </w:numPr>
        <w:suppressAutoHyphens w:val="0"/>
        <w:spacing w:before="0" w:after="0" w:line="276" w:lineRule="auto"/>
        <w:ind w:left="1418" w:hanging="698"/>
        <w:jc w:val="both"/>
        <w:rPr>
          <w:rFonts w:ascii="Times New Roman" w:hAnsi="Times New Roman" w:cs="Times New Roman"/>
          <w:szCs w:val="24"/>
          <w:lang w:val="en-US"/>
        </w:rPr>
      </w:pPr>
      <w:r w:rsidRPr="00BA6EFA">
        <w:rPr>
          <w:rFonts w:ascii="Times New Roman" w:hAnsi="Times New Roman" w:cs="Times New Roman"/>
          <w:szCs w:val="24"/>
          <w:lang w:val="en-US"/>
        </w:rPr>
        <w:t>the International Slave Route Monument at the foot of Le Morne Brabant Mountain was inaugurated on 1st February 2009, to highlight the importance of the country in the Slave Trade at the regional level;</w:t>
      </w:r>
    </w:p>
    <w:p w14:paraId="592060FD" w14:textId="77777777" w:rsidR="0070521B" w:rsidRPr="00BA6EFA" w:rsidRDefault="0070521B" w:rsidP="00BA6EFA">
      <w:pPr>
        <w:spacing w:after="0" w:line="72" w:lineRule="auto"/>
        <w:ind w:left="1417" w:hanging="697"/>
        <w:jc w:val="both"/>
        <w:rPr>
          <w:rFonts w:ascii="Times New Roman" w:hAnsi="Times New Roman" w:cs="Times New Roman"/>
          <w:szCs w:val="24"/>
          <w:lang w:val="en-US"/>
        </w:rPr>
      </w:pPr>
    </w:p>
    <w:p w14:paraId="4A35B103" w14:textId="77777777" w:rsidR="0070521B" w:rsidRPr="00BA6EFA" w:rsidRDefault="0070521B" w:rsidP="006771A0">
      <w:pPr>
        <w:numPr>
          <w:ilvl w:val="0"/>
          <w:numId w:val="33"/>
        </w:numPr>
        <w:suppressAutoHyphens w:val="0"/>
        <w:spacing w:before="0" w:after="0" w:line="276" w:lineRule="auto"/>
        <w:ind w:left="1418" w:hanging="698"/>
        <w:jc w:val="both"/>
        <w:rPr>
          <w:rFonts w:ascii="Times New Roman" w:hAnsi="Times New Roman" w:cs="Times New Roman"/>
          <w:szCs w:val="24"/>
          <w:lang w:val="en-US"/>
        </w:rPr>
      </w:pPr>
      <w:r w:rsidRPr="00BA6EFA">
        <w:rPr>
          <w:rFonts w:ascii="Times New Roman" w:hAnsi="Times New Roman" w:cs="Times New Roman"/>
          <w:szCs w:val="24"/>
          <w:lang w:val="en-US"/>
        </w:rPr>
        <w:t>a replica of the Ancient Village of “Trou Chenille” was opened on 1st February 2020. This Open-Air Museum is an emblematic historical site that safeguards the memories of slavery in Mauritius and houses replicas of plants, utensils amongst others of that period;</w:t>
      </w:r>
    </w:p>
    <w:p w14:paraId="08D49789" w14:textId="77777777" w:rsidR="0070521B" w:rsidRPr="00BA6EFA" w:rsidRDefault="0070521B" w:rsidP="00BA6EFA">
      <w:pPr>
        <w:spacing w:after="0" w:line="72" w:lineRule="auto"/>
        <w:jc w:val="both"/>
        <w:rPr>
          <w:rFonts w:ascii="Times New Roman" w:hAnsi="Times New Roman" w:cs="Times New Roman"/>
          <w:szCs w:val="24"/>
          <w:lang w:val="en-US"/>
        </w:rPr>
      </w:pPr>
    </w:p>
    <w:p w14:paraId="5EC61545" w14:textId="77777777" w:rsidR="0070521B" w:rsidRPr="00BA6EFA" w:rsidRDefault="0070521B" w:rsidP="006771A0">
      <w:pPr>
        <w:numPr>
          <w:ilvl w:val="0"/>
          <w:numId w:val="33"/>
        </w:numPr>
        <w:suppressAutoHyphens w:val="0"/>
        <w:spacing w:before="0" w:after="160" w:line="276" w:lineRule="auto"/>
        <w:ind w:left="1418" w:hanging="698"/>
        <w:jc w:val="both"/>
        <w:rPr>
          <w:rFonts w:ascii="Times New Roman" w:hAnsi="Times New Roman" w:cs="Times New Roman"/>
          <w:szCs w:val="24"/>
          <w:lang w:val="en-US"/>
        </w:rPr>
      </w:pPr>
      <w:r w:rsidRPr="00BA6EFA">
        <w:rPr>
          <w:rFonts w:ascii="Times New Roman" w:hAnsi="Times New Roman" w:cs="Times New Roman"/>
          <w:szCs w:val="24"/>
          <w:lang w:val="en-US"/>
        </w:rPr>
        <w:t xml:space="preserve">the National Heritage Fund (NHF), which was set up in 1997, has been actively promoting our tangible and intangible heritage. Following the ratification of the Convention on the Safeguarding of the Intangible Cultural Heritage and in its endeavour to safeguard the Intangible Cultural Heritage, the NHF has initiated research to inventory and document its Intangible Cultural Heritage. A list of the various Intangible Cultural Heritage inscribed on the UNESCO Representative List of Intangible Cultural Heritage of Humanity is as follows: </w:t>
      </w:r>
    </w:p>
    <w:p w14:paraId="702AE23D" w14:textId="33E21697" w:rsidR="0070521B" w:rsidRPr="00BA6EFA" w:rsidRDefault="0070521B" w:rsidP="0095519A">
      <w:pPr>
        <w:numPr>
          <w:ilvl w:val="1"/>
          <w:numId w:val="36"/>
        </w:numPr>
        <w:suppressAutoHyphens w:val="0"/>
        <w:spacing w:before="0" w:after="160" w:line="276" w:lineRule="auto"/>
        <w:ind w:left="1985" w:hanging="425"/>
        <w:jc w:val="both"/>
        <w:rPr>
          <w:rFonts w:ascii="Times New Roman" w:hAnsi="Times New Roman" w:cs="Times New Roman"/>
          <w:szCs w:val="24"/>
          <w:lang w:val="en-US"/>
        </w:rPr>
      </w:pPr>
      <w:r w:rsidRPr="00BA6EFA">
        <w:rPr>
          <w:rFonts w:ascii="Times New Roman" w:hAnsi="Times New Roman" w:cs="Times New Roman"/>
          <w:szCs w:val="24"/>
          <w:lang w:val="en-US"/>
        </w:rPr>
        <w:t xml:space="preserve">The ‘Sega Tipik’ which was inscribed in December 2014. It comes mainly from the Creole community of African descent whose ancestors had been slaves on the Island of Mauritius and is a way of promoting and preserving </w:t>
      </w:r>
      <w:r w:rsidR="0095519A">
        <w:rPr>
          <w:rFonts w:ascii="Times New Roman" w:hAnsi="Times New Roman" w:cs="Times New Roman"/>
          <w:szCs w:val="24"/>
          <w:lang w:val="en-US"/>
        </w:rPr>
        <w:t>these</w:t>
      </w:r>
      <w:r w:rsidRPr="00BA6EFA">
        <w:rPr>
          <w:rFonts w:ascii="Times New Roman" w:hAnsi="Times New Roman" w:cs="Times New Roman"/>
          <w:szCs w:val="24"/>
          <w:lang w:val="en-US"/>
        </w:rPr>
        <w:t xml:space="preserve"> cultural rights.</w:t>
      </w:r>
    </w:p>
    <w:p w14:paraId="383626C3" w14:textId="77777777" w:rsidR="0070521B" w:rsidRPr="00BA6EFA" w:rsidRDefault="0070521B" w:rsidP="0095519A">
      <w:pPr>
        <w:numPr>
          <w:ilvl w:val="1"/>
          <w:numId w:val="36"/>
        </w:numPr>
        <w:suppressAutoHyphens w:val="0"/>
        <w:spacing w:before="0" w:after="160" w:line="276" w:lineRule="auto"/>
        <w:ind w:left="1985" w:hanging="425"/>
        <w:jc w:val="both"/>
        <w:rPr>
          <w:rFonts w:ascii="Times New Roman" w:hAnsi="Times New Roman" w:cs="Times New Roman"/>
          <w:szCs w:val="24"/>
          <w:lang w:val="en-US"/>
        </w:rPr>
      </w:pPr>
      <w:r w:rsidRPr="00BA6EFA">
        <w:rPr>
          <w:rFonts w:ascii="Times New Roman" w:hAnsi="Times New Roman" w:cs="Times New Roman"/>
          <w:szCs w:val="24"/>
          <w:lang w:val="en-US"/>
        </w:rPr>
        <w:t>The ‘Sega Tambour’ of Rodrigues which was inscribed on 07 December 2017.</w:t>
      </w:r>
    </w:p>
    <w:p w14:paraId="1079D033" w14:textId="77777777" w:rsidR="0070521B" w:rsidRPr="00BA6EFA" w:rsidRDefault="0070521B" w:rsidP="0095519A">
      <w:pPr>
        <w:numPr>
          <w:ilvl w:val="1"/>
          <w:numId w:val="36"/>
        </w:numPr>
        <w:suppressAutoHyphens w:val="0"/>
        <w:spacing w:before="0" w:after="160" w:line="276" w:lineRule="auto"/>
        <w:ind w:left="1985" w:hanging="425"/>
        <w:jc w:val="both"/>
        <w:rPr>
          <w:rFonts w:ascii="Times New Roman" w:hAnsi="Times New Roman" w:cs="Times New Roman"/>
          <w:szCs w:val="24"/>
          <w:lang w:val="en-US"/>
        </w:rPr>
      </w:pPr>
      <w:r w:rsidRPr="00BA6EFA">
        <w:rPr>
          <w:rFonts w:ascii="Times New Roman" w:hAnsi="Times New Roman" w:cs="Times New Roman"/>
          <w:szCs w:val="24"/>
          <w:lang w:val="en-US"/>
        </w:rPr>
        <w:lastRenderedPageBreak/>
        <w:t xml:space="preserve">The ‘Sega Tambour Chagos’ with origins of the Chagos Archipelagos was inscribed on the UNESCO Representative List of Intangible Cultural Heritage in Need of Urgent Safeguarding in December 2019. </w:t>
      </w:r>
    </w:p>
    <w:p w14:paraId="5AD42C14" w14:textId="77777777" w:rsidR="00BA6EFA" w:rsidRDefault="00BA6EFA" w:rsidP="00BA6EFA">
      <w:pPr>
        <w:spacing w:line="276" w:lineRule="auto"/>
        <w:ind w:left="709"/>
        <w:jc w:val="both"/>
        <w:rPr>
          <w:rFonts w:ascii="Times New Roman" w:hAnsi="Times New Roman" w:cs="Times New Roman"/>
          <w:szCs w:val="24"/>
        </w:rPr>
      </w:pPr>
    </w:p>
    <w:p w14:paraId="18ABF0FB" w14:textId="77777777" w:rsidR="00BA6EFA" w:rsidRDefault="00BA6EFA" w:rsidP="00BA6EFA">
      <w:pPr>
        <w:spacing w:line="276" w:lineRule="auto"/>
        <w:ind w:left="709"/>
        <w:jc w:val="both"/>
        <w:rPr>
          <w:rFonts w:ascii="Times New Roman" w:hAnsi="Times New Roman" w:cs="Times New Roman"/>
          <w:szCs w:val="24"/>
        </w:rPr>
      </w:pPr>
    </w:p>
    <w:p w14:paraId="352355BE" w14:textId="025E70F8" w:rsidR="00E751AE" w:rsidRPr="00BA6EFA" w:rsidRDefault="0095519A" w:rsidP="00BA6EFA">
      <w:pPr>
        <w:spacing w:line="276" w:lineRule="auto"/>
        <w:ind w:left="7920"/>
        <w:jc w:val="both"/>
        <w:rPr>
          <w:rFonts w:ascii="Times New Roman" w:hAnsi="Times New Roman" w:cs="Times New Roman"/>
          <w:szCs w:val="24"/>
        </w:rPr>
      </w:pPr>
      <w:r>
        <w:rPr>
          <w:rFonts w:ascii="Times New Roman" w:hAnsi="Times New Roman" w:cs="Times New Roman"/>
          <w:b/>
          <w:szCs w:val="24"/>
          <w:lang w:val="en-US"/>
        </w:rPr>
        <w:t>10.06</w:t>
      </w:r>
      <w:r w:rsidR="0070521B" w:rsidRPr="00BA6EFA">
        <w:rPr>
          <w:rFonts w:ascii="Times New Roman" w:hAnsi="Times New Roman" w:cs="Times New Roman"/>
          <w:b/>
          <w:szCs w:val="24"/>
          <w:lang w:val="en-US"/>
        </w:rPr>
        <w:t>.202</w:t>
      </w:r>
      <w:r w:rsidR="00C73272">
        <w:rPr>
          <w:rFonts w:ascii="Times New Roman" w:hAnsi="Times New Roman" w:cs="Times New Roman"/>
          <w:b/>
          <w:szCs w:val="24"/>
          <w:lang w:val="en-US"/>
        </w:rPr>
        <w:t>4</w:t>
      </w:r>
    </w:p>
    <w:sectPr w:rsidR="00E751AE" w:rsidRPr="00BA6EFA" w:rsidSect="002B0402">
      <w:headerReference w:type="default" r:id="rId11"/>
      <w:footerReference w:type="default" r:id="rId12"/>
      <w:headerReference w:type="first" r:id="rId13"/>
      <w:pgSz w:w="11906" w:h="16838" w:code="9"/>
      <w:pgMar w:top="2137" w:right="1134" w:bottom="1418" w:left="1134"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9A896" w14:textId="77777777" w:rsidR="00FE5EFC" w:rsidRDefault="00FE5EFC" w:rsidP="00D37B04">
      <w:r>
        <w:separator/>
      </w:r>
    </w:p>
  </w:endnote>
  <w:endnote w:type="continuationSeparator" w:id="0">
    <w:p w14:paraId="087DCB09" w14:textId="77777777" w:rsidR="00FE5EFC" w:rsidRDefault="00FE5EFC" w:rsidP="00D37B04">
      <w:r>
        <w:continuationSeparator/>
      </w:r>
    </w:p>
  </w:endnote>
  <w:endnote w:type="continuationNotice" w:id="1">
    <w:p w14:paraId="0330B5C1" w14:textId="77777777" w:rsidR="00FE5EFC" w:rsidRDefault="00FE5E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1054890136"/>
      <w:docPartObj>
        <w:docPartGallery w:val="Page Numbers (Bottom of Page)"/>
        <w:docPartUnique/>
      </w:docPartObj>
    </w:sdtPr>
    <w:sdtEndPr/>
    <w:sdtContent>
      <w:sdt>
        <w:sdtPr>
          <w:rPr>
            <w:color w:val="auto"/>
          </w:rPr>
          <w:id w:val="274217224"/>
          <w:docPartObj>
            <w:docPartGallery w:val="Page Numbers (Top of Page)"/>
            <w:docPartUnique/>
          </w:docPartObj>
        </w:sdtPr>
        <w:sdtEndPr/>
        <w:sdtContent>
          <w:p w14:paraId="3E564085" w14:textId="41A340A0" w:rsidR="006467CC" w:rsidRPr="006467CC" w:rsidRDefault="006467CC">
            <w:pPr>
              <w:pStyle w:val="Footer"/>
              <w:rPr>
                <w:color w:val="auto"/>
              </w:rPr>
            </w:pPr>
            <w:r w:rsidRPr="006467CC">
              <w:rPr>
                <w:color w:val="auto"/>
              </w:rPr>
              <w:t xml:space="preserve">Page </w:t>
            </w:r>
            <w:r w:rsidRPr="006467CC">
              <w:rPr>
                <w:b/>
                <w:bCs/>
                <w:color w:val="auto"/>
                <w:szCs w:val="24"/>
              </w:rPr>
              <w:fldChar w:fldCharType="begin"/>
            </w:r>
            <w:r w:rsidRPr="006467CC">
              <w:rPr>
                <w:b/>
                <w:bCs/>
                <w:color w:val="auto"/>
              </w:rPr>
              <w:instrText xml:space="preserve"> PAGE </w:instrText>
            </w:r>
            <w:r w:rsidRPr="006467CC">
              <w:rPr>
                <w:b/>
                <w:bCs/>
                <w:color w:val="auto"/>
                <w:szCs w:val="24"/>
              </w:rPr>
              <w:fldChar w:fldCharType="separate"/>
            </w:r>
            <w:r w:rsidR="00711CA6">
              <w:rPr>
                <w:b/>
                <w:bCs/>
                <w:noProof/>
                <w:color w:val="auto"/>
              </w:rPr>
              <w:t>6</w:t>
            </w:r>
            <w:r w:rsidRPr="006467CC">
              <w:rPr>
                <w:b/>
                <w:bCs/>
                <w:color w:val="auto"/>
                <w:szCs w:val="24"/>
              </w:rPr>
              <w:fldChar w:fldCharType="end"/>
            </w:r>
            <w:r w:rsidRPr="006467CC">
              <w:rPr>
                <w:color w:val="auto"/>
              </w:rPr>
              <w:t xml:space="preserve"> of </w:t>
            </w:r>
            <w:r w:rsidRPr="006467CC">
              <w:rPr>
                <w:b/>
                <w:bCs/>
                <w:color w:val="auto"/>
                <w:szCs w:val="24"/>
              </w:rPr>
              <w:fldChar w:fldCharType="begin"/>
            </w:r>
            <w:r w:rsidRPr="006467CC">
              <w:rPr>
                <w:b/>
                <w:bCs/>
                <w:color w:val="auto"/>
              </w:rPr>
              <w:instrText xml:space="preserve"> NUMPAGES  </w:instrText>
            </w:r>
            <w:r w:rsidRPr="006467CC">
              <w:rPr>
                <w:b/>
                <w:bCs/>
                <w:color w:val="auto"/>
                <w:szCs w:val="24"/>
              </w:rPr>
              <w:fldChar w:fldCharType="separate"/>
            </w:r>
            <w:r w:rsidR="00711CA6">
              <w:rPr>
                <w:b/>
                <w:bCs/>
                <w:noProof/>
                <w:color w:val="auto"/>
              </w:rPr>
              <w:t>6</w:t>
            </w:r>
            <w:r w:rsidRPr="006467CC">
              <w:rPr>
                <w:b/>
                <w:bCs/>
                <w:color w:val="auto"/>
                <w:szCs w:val="24"/>
              </w:rPr>
              <w:fldChar w:fldCharType="end"/>
            </w:r>
          </w:p>
        </w:sdtContent>
      </w:sdt>
    </w:sdtContent>
  </w:sdt>
  <w:p w14:paraId="43EA60C7" w14:textId="3F75DD8B" w:rsidR="004A4093" w:rsidRPr="00386BC5" w:rsidRDefault="004A4093" w:rsidP="005E3ADE">
    <w:pPr>
      <w:pStyle w:val="Footer"/>
      <w:jc w:val="left"/>
      <w:rPr>
        <w:b/>
        <w:sz w:val="28"/>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655A0" w14:textId="77777777" w:rsidR="00FE5EFC" w:rsidRPr="008C5A0E" w:rsidRDefault="00FE5EFC" w:rsidP="00D37B04">
      <w:pPr>
        <w:pStyle w:val="Footer"/>
      </w:pPr>
    </w:p>
  </w:footnote>
  <w:footnote w:type="continuationSeparator" w:id="0">
    <w:p w14:paraId="2F44B7BD" w14:textId="77777777" w:rsidR="00FE5EFC" w:rsidRDefault="00FE5EFC" w:rsidP="00D37B04">
      <w:r>
        <w:continuationSeparator/>
      </w:r>
    </w:p>
  </w:footnote>
  <w:footnote w:type="continuationNotice" w:id="1">
    <w:p w14:paraId="7552BAB0" w14:textId="77777777" w:rsidR="00FE5EFC" w:rsidRDefault="00FE5EF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6F8B" w14:textId="439229F2" w:rsidR="007B1267" w:rsidRPr="008A51A6" w:rsidRDefault="00250B28" w:rsidP="005E3ADE">
    <w:pPr>
      <w:pStyle w:val="Footer"/>
      <w:jc w:val="left"/>
      <w:rPr>
        <w:b/>
        <w:sz w:val="22"/>
      </w:rPr>
    </w:pPr>
    <w:r w:rsidRPr="000F3154">
      <w:rPr>
        <w:noProof/>
        <w:lang w:val="en-US"/>
      </w:rPr>
      <w:drawing>
        <wp:anchor distT="0" distB="0" distL="114300" distR="114300" simplePos="0" relativeHeight="251662340" behindDoc="0" locked="0" layoutInCell="1" allowOverlap="1" wp14:anchorId="62E6C324" wp14:editId="067A7C11">
          <wp:simplePos x="0" y="0"/>
          <wp:positionH relativeFrom="column">
            <wp:posOffset>-66675</wp:posOffset>
          </wp:positionH>
          <wp:positionV relativeFrom="paragraph">
            <wp:posOffset>152400</wp:posOffset>
          </wp:positionV>
          <wp:extent cx="3696216" cy="733527"/>
          <wp:effectExtent l="0" t="0" r="0" b="9525"/>
          <wp:wrapThrough wrapText="bothSides">
            <wp:wrapPolygon edited="0">
              <wp:start x="0" y="0"/>
              <wp:lineTo x="0" y="21319"/>
              <wp:lineTo x="21489" y="21319"/>
              <wp:lineTo x="2148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96216" cy="733527"/>
                  </a:xfrm>
                  <a:prstGeom prst="rect">
                    <a:avLst/>
                  </a:prstGeom>
                </pic:spPr>
              </pic:pic>
            </a:graphicData>
          </a:graphic>
        </wp:anchor>
      </w:drawing>
    </w:r>
    <w:r w:rsidR="005E3ADE" w:rsidRPr="008A51A6">
      <w:rPr>
        <w:b/>
        <w:noProof/>
        <w:sz w:val="22"/>
        <w:lang w:val="en-AU"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48D02" w14:textId="77777777" w:rsidR="004F262F" w:rsidRPr="003631D2" w:rsidRDefault="004F262F" w:rsidP="004F262F">
    <w:pPr>
      <w:spacing w:after="120"/>
      <w:rPr>
        <w:rFonts w:ascii="Arial" w:hAnsi="Arial" w:cs="Arial"/>
        <w:b/>
      </w:rPr>
    </w:pPr>
    <w:r w:rsidRPr="004F1323">
      <w:rPr>
        <w:noProof/>
        <w:lang w:val="en-US"/>
      </w:rPr>
      <w:drawing>
        <wp:anchor distT="0" distB="0" distL="114300" distR="114300" simplePos="0" relativeHeight="251660292" behindDoc="1" locked="0" layoutInCell="1" allowOverlap="1" wp14:anchorId="3B968DDB" wp14:editId="19CCE5E6">
          <wp:simplePos x="0" y="0"/>
          <wp:positionH relativeFrom="page">
            <wp:posOffset>-3810</wp:posOffset>
          </wp:positionH>
          <wp:positionV relativeFrom="page">
            <wp:posOffset>0</wp:posOffset>
          </wp:positionV>
          <wp:extent cx="7559675" cy="10691495"/>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82577A" w14:textId="77777777" w:rsidR="004F262F" w:rsidRPr="003631D2" w:rsidRDefault="004F262F" w:rsidP="004F262F">
    <w:pPr>
      <w:rPr>
        <w:rFonts w:ascii="Arial" w:hAnsi="Arial" w:cs="Arial"/>
      </w:rPr>
    </w:pPr>
  </w:p>
  <w:p w14:paraId="39629D51" w14:textId="77777777" w:rsidR="007B1267" w:rsidRDefault="004F262F" w:rsidP="002D5B25">
    <w:pPr>
      <w:pStyle w:val="Header"/>
    </w:pPr>
    <w:r w:rsidRPr="004F1323">
      <w:rPr>
        <w:noProof/>
        <w:lang w:val="en-US"/>
      </w:rPr>
      <w:drawing>
        <wp:anchor distT="0" distB="0" distL="114300" distR="114300" simplePos="0" relativeHeight="251658244" behindDoc="1" locked="1" layoutInCell="1" allowOverlap="1" wp14:anchorId="649C6C23" wp14:editId="5FED74C5">
          <wp:simplePos x="0" y="0"/>
          <wp:positionH relativeFrom="page">
            <wp:posOffset>966470</wp:posOffset>
          </wp:positionH>
          <wp:positionV relativeFrom="page">
            <wp:posOffset>604520</wp:posOffset>
          </wp:positionV>
          <wp:extent cx="3166745" cy="55435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1739F688" w14:textId="77777777" w:rsidR="007B1267" w:rsidRPr="00943730" w:rsidRDefault="007B1267" w:rsidP="0094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6533"/>
    <w:multiLevelType w:val="multilevel"/>
    <w:tmpl w:val="3E268E8C"/>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A22898"/>
    <w:multiLevelType w:val="multilevel"/>
    <w:tmpl w:val="01126A42"/>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9837DEF"/>
    <w:multiLevelType w:val="hybridMultilevel"/>
    <w:tmpl w:val="14F0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F23EA"/>
    <w:multiLevelType w:val="hybridMultilevel"/>
    <w:tmpl w:val="A2925A70"/>
    <w:lvl w:ilvl="0" w:tplc="18224F30">
      <w:start w:val="1"/>
      <w:numFmt w:val="lowerLetter"/>
      <w:lvlText w:val="(%1)"/>
      <w:lvlJc w:val="righ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C254EC0"/>
    <w:multiLevelType w:val="hybridMultilevel"/>
    <w:tmpl w:val="35EE4DF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CAF67A9"/>
    <w:multiLevelType w:val="hybridMultilevel"/>
    <w:tmpl w:val="F4D2D3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30697493"/>
    <w:multiLevelType w:val="multilevel"/>
    <w:tmpl w:val="0412733C"/>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2AA55A3"/>
    <w:multiLevelType w:val="hybridMultilevel"/>
    <w:tmpl w:val="15F2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7411E"/>
    <w:multiLevelType w:val="hybridMultilevel"/>
    <w:tmpl w:val="B6E4BA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B4ECA"/>
    <w:multiLevelType w:val="multilevel"/>
    <w:tmpl w:val="0412733C"/>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4B4785C"/>
    <w:multiLevelType w:val="multilevel"/>
    <w:tmpl w:val="0412733C"/>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74E3A75"/>
    <w:multiLevelType w:val="hybridMultilevel"/>
    <w:tmpl w:val="A2925A70"/>
    <w:lvl w:ilvl="0" w:tplc="18224F30">
      <w:start w:val="1"/>
      <w:numFmt w:val="lowerLetter"/>
      <w:lvlText w:val="(%1)"/>
      <w:lvlJc w:val="righ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BC5A19"/>
    <w:multiLevelType w:val="multilevel"/>
    <w:tmpl w:val="5DCCAE2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4AF064A"/>
    <w:multiLevelType w:val="multilevel"/>
    <w:tmpl w:val="0550373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7A519F4"/>
    <w:multiLevelType w:val="hybridMultilevel"/>
    <w:tmpl w:val="A2925A70"/>
    <w:lvl w:ilvl="0" w:tplc="18224F30">
      <w:start w:val="1"/>
      <w:numFmt w:val="lowerLetter"/>
      <w:lvlText w:val="(%1)"/>
      <w:lvlJc w:val="righ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572D15"/>
    <w:multiLevelType w:val="multilevel"/>
    <w:tmpl w:val="507046D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63C463A"/>
    <w:multiLevelType w:val="hybridMultilevel"/>
    <w:tmpl w:val="CF4651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6A721A"/>
    <w:multiLevelType w:val="hybridMultilevel"/>
    <w:tmpl w:val="1E0E604E"/>
    <w:lvl w:ilvl="0" w:tplc="0809000F">
      <w:start w:val="1"/>
      <w:numFmt w:val="decimal"/>
      <w:lvlText w:val="%1."/>
      <w:lvlJc w:val="left"/>
      <w:pPr>
        <w:ind w:left="720" w:hanging="360"/>
      </w:pPr>
    </w:lvl>
    <w:lvl w:ilvl="1" w:tplc="04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E28390A"/>
    <w:multiLevelType w:val="hybridMultilevel"/>
    <w:tmpl w:val="DD6E76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161765D"/>
    <w:multiLevelType w:val="multilevel"/>
    <w:tmpl w:val="292C08FA"/>
    <w:lvl w:ilvl="0">
      <w:start w:val="1"/>
      <w:numFmt w:val="lowerRoman"/>
      <w:lvlText w:val="(%1)"/>
      <w:lvlJc w:val="left"/>
      <w:pPr>
        <w:ind w:left="1080" w:hanging="360"/>
      </w:pPr>
    </w:lvl>
    <w:lvl w:ilvl="1">
      <w:start w:val="1"/>
      <w:numFmt w:val="lowerRoman"/>
      <w:lvlText w:val="(%2)"/>
      <w:lvlJc w:val="left"/>
      <w:pPr>
        <w:ind w:left="1800" w:hanging="360"/>
      </w:pPr>
      <w:rPr>
        <w:rFonts w:hint="default"/>
      </w:rPr>
    </w:lvl>
    <w:lvl w:ilvl="2">
      <w:start w:val="1"/>
      <w:numFmt w:val="lowerLetter"/>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9034911"/>
    <w:multiLevelType w:val="hybridMultilevel"/>
    <w:tmpl w:val="BCC8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abstractNum w:abstractNumId="29" w15:restartNumberingAfterBreak="0">
    <w:nsid w:val="7A295A5D"/>
    <w:multiLevelType w:val="hybridMultilevel"/>
    <w:tmpl w:val="E5BE4F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C0DA7"/>
    <w:multiLevelType w:val="hybridMultilevel"/>
    <w:tmpl w:val="C8283D74"/>
    <w:lvl w:ilvl="0" w:tplc="7902BA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180792">
    <w:abstractNumId w:val="26"/>
  </w:num>
  <w:num w:numId="2" w16cid:durableId="90243847">
    <w:abstractNumId w:val="2"/>
  </w:num>
  <w:num w:numId="3" w16cid:durableId="1369527107">
    <w:abstractNumId w:val="7"/>
  </w:num>
  <w:num w:numId="4" w16cid:durableId="1096096450">
    <w:abstractNumId w:val="20"/>
  </w:num>
  <w:num w:numId="5" w16cid:durableId="1046099173">
    <w:abstractNumId w:val="21"/>
  </w:num>
  <w:num w:numId="6" w16cid:durableId="1242374223">
    <w:abstractNumId w:val="7"/>
  </w:num>
  <w:num w:numId="7" w16cid:durableId="1389499058">
    <w:abstractNumId w:val="2"/>
  </w:num>
  <w:num w:numId="8" w16cid:durableId="1477141229">
    <w:abstractNumId w:val="3"/>
  </w:num>
  <w:num w:numId="9" w16cid:durableId="1763913188">
    <w:abstractNumId w:val="28"/>
  </w:num>
  <w:num w:numId="10" w16cid:durableId="1712194042">
    <w:abstractNumId w:val="6"/>
  </w:num>
  <w:num w:numId="11" w16cid:durableId="16852073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57813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7868209">
    <w:abstractNumId w:val="9"/>
  </w:num>
  <w:num w:numId="14" w16cid:durableId="1680428534">
    <w:abstractNumId w:val="22"/>
  </w:num>
  <w:num w:numId="15" w16cid:durableId="1635525952">
    <w:abstractNumId w:val="11"/>
  </w:num>
  <w:num w:numId="16" w16cid:durableId="560021904">
    <w:abstractNumId w:val="24"/>
  </w:num>
  <w:num w:numId="17" w16cid:durableId="1181358699">
    <w:abstractNumId w:val="27"/>
  </w:num>
  <w:num w:numId="18" w16cid:durableId="1229456527">
    <w:abstractNumId w:val="19"/>
  </w:num>
  <w:num w:numId="19" w16cid:durableId="38672816">
    <w:abstractNumId w:val="4"/>
  </w:num>
  <w:num w:numId="20" w16cid:durableId="1633707491">
    <w:abstractNumId w:val="23"/>
  </w:num>
  <w:num w:numId="21" w16cid:durableId="1139348707">
    <w:abstractNumId w:val="8"/>
  </w:num>
  <w:num w:numId="22" w16cid:durableId="969215199">
    <w:abstractNumId w:val="1"/>
  </w:num>
  <w:num w:numId="23" w16cid:durableId="301429247">
    <w:abstractNumId w:val="16"/>
  </w:num>
  <w:num w:numId="24" w16cid:durableId="344985281">
    <w:abstractNumId w:val="29"/>
  </w:num>
  <w:num w:numId="25" w16cid:durableId="1974672182">
    <w:abstractNumId w:val="17"/>
  </w:num>
  <w:num w:numId="26" w16cid:durableId="1068067329">
    <w:abstractNumId w:val="12"/>
  </w:num>
  <w:num w:numId="27" w16cid:durableId="1243415416">
    <w:abstractNumId w:val="30"/>
  </w:num>
  <w:num w:numId="28" w16cid:durableId="3303760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65122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53500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81403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9734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0993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6878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3590607">
    <w:abstractNumId w:val="5"/>
  </w:num>
  <w:num w:numId="36" w16cid:durableId="195894943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BD"/>
    <w:rsid w:val="00000045"/>
    <w:rsid w:val="00001DA8"/>
    <w:rsid w:val="000020C1"/>
    <w:rsid w:val="00003D0B"/>
    <w:rsid w:val="0000652C"/>
    <w:rsid w:val="0002080A"/>
    <w:rsid w:val="00021BFC"/>
    <w:rsid w:val="0002782F"/>
    <w:rsid w:val="000332FC"/>
    <w:rsid w:val="00034D04"/>
    <w:rsid w:val="00035BBF"/>
    <w:rsid w:val="00041AF3"/>
    <w:rsid w:val="00047B83"/>
    <w:rsid w:val="00050806"/>
    <w:rsid w:val="000546D9"/>
    <w:rsid w:val="00054E4D"/>
    <w:rsid w:val="00060073"/>
    <w:rsid w:val="000616C6"/>
    <w:rsid w:val="000662CC"/>
    <w:rsid w:val="00066D37"/>
    <w:rsid w:val="0007030E"/>
    <w:rsid w:val="00070450"/>
    <w:rsid w:val="0007374B"/>
    <w:rsid w:val="00083065"/>
    <w:rsid w:val="000854FD"/>
    <w:rsid w:val="00087B61"/>
    <w:rsid w:val="00093EB4"/>
    <w:rsid w:val="000B3010"/>
    <w:rsid w:val="000B37F5"/>
    <w:rsid w:val="000B3ED7"/>
    <w:rsid w:val="000B46D7"/>
    <w:rsid w:val="000C0F86"/>
    <w:rsid w:val="000C596C"/>
    <w:rsid w:val="000C5996"/>
    <w:rsid w:val="000D381C"/>
    <w:rsid w:val="000D66D6"/>
    <w:rsid w:val="000E59C2"/>
    <w:rsid w:val="000F3E74"/>
    <w:rsid w:val="00113288"/>
    <w:rsid w:val="00114592"/>
    <w:rsid w:val="001214BE"/>
    <w:rsid w:val="00123988"/>
    <w:rsid w:val="00126D2B"/>
    <w:rsid w:val="0013101C"/>
    <w:rsid w:val="00132871"/>
    <w:rsid w:val="00137C83"/>
    <w:rsid w:val="001404E3"/>
    <w:rsid w:val="0014333F"/>
    <w:rsid w:val="001461D6"/>
    <w:rsid w:val="00151A2A"/>
    <w:rsid w:val="00151D71"/>
    <w:rsid w:val="001533FD"/>
    <w:rsid w:val="00153AFC"/>
    <w:rsid w:val="001541EA"/>
    <w:rsid w:val="00155A45"/>
    <w:rsid w:val="001618A0"/>
    <w:rsid w:val="00163571"/>
    <w:rsid w:val="00165475"/>
    <w:rsid w:val="00166ECC"/>
    <w:rsid w:val="00170035"/>
    <w:rsid w:val="001830FF"/>
    <w:rsid w:val="001A0643"/>
    <w:rsid w:val="001A397B"/>
    <w:rsid w:val="001A4D1D"/>
    <w:rsid w:val="001B4753"/>
    <w:rsid w:val="001B7A9E"/>
    <w:rsid w:val="001C2FDF"/>
    <w:rsid w:val="001C7671"/>
    <w:rsid w:val="001D090B"/>
    <w:rsid w:val="001D663E"/>
    <w:rsid w:val="001E13F1"/>
    <w:rsid w:val="001E1DC0"/>
    <w:rsid w:val="001E6822"/>
    <w:rsid w:val="001F4694"/>
    <w:rsid w:val="00201F3A"/>
    <w:rsid w:val="00201FB9"/>
    <w:rsid w:val="002239B5"/>
    <w:rsid w:val="0023130F"/>
    <w:rsid w:val="002364C1"/>
    <w:rsid w:val="00243934"/>
    <w:rsid w:val="00250B28"/>
    <w:rsid w:val="00253C5A"/>
    <w:rsid w:val="0025612B"/>
    <w:rsid w:val="00256DE8"/>
    <w:rsid w:val="00262B3E"/>
    <w:rsid w:val="00266EB1"/>
    <w:rsid w:val="002711D8"/>
    <w:rsid w:val="00272B0F"/>
    <w:rsid w:val="00273CED"/>
    <w:rsid w:val="0027509B"/>
    <w:rsid w:val="00275C4E"/>
    <w:rsid w:val="002828C0"/>
    <w:rsid w:val="00284B4A"/>
    <w:rsid w:val="0028602A"/>
    <w:rsid w:val="002A5A12"/>
    <w:rsid w:val="002B0402"/>
    <w:rsid w:val="002B2808"/>
    <w:rsid w:val="002B5238"/>
    <w:rsid w:val="002B5E10"/>
    <w:rsid w:val="002B78C6"/>
    <w:rsid w:val="002C1B61"/>
    <w:rsid w:val="002C3031"/>
    <w:rsid w:val="002C793D"/>
    <w:rsid w:val="002D0760"/>
    <w:rsid w:val="002D11F3"/>
    <w:rsid w:val="002D1492"/>
    <w:rsid w:val="002D5B25"/>
    <w:rsid w:val="002D7619"/>
    <w:rsid w:val="002E0899"/>
    <w:rsid w:val="002E3C11"/>
    <w:rsid w:val="002E7195"/>
    <w:rsid w:val="002E7D69"/>
    <w:rsid w:val="002F02BC"/>
    <w:rsid w:val="002F4F2B"/>
    <w:rsid w:val="002F647E"/>
    <w:rsid w:val="003002C0"/>
    <w:rsid w:val="00301144"/>
    <w:rsid w:val="003031C6"/>
    <w:rsid w:val="0030482F"/>
    <w:rsid w:val="00304984"/>
    <w:rsid w:val="003108BF"/>
    <w:rsid w:val="00312BF8"/>
    <w:rsid w:val="00314774"/>
    <w:rsid w:val="003148B7"/>
    <w:rsid w:val="003158C3"/>
    <w:rsid w:val="00321165"/>
    <w:rsid w:val="00322242"/>
    <w:rsid w:val="003274CD"/>
    <w:rsid w:val="00333501"/>
    <w:rsid w:val="00334F0A"/>
    <w:rsid w:val="00342C70"/>
    <w:rsid w:val="00343236"/>
    <w:rsid w:val="003457C4"/>
    <w:rsid w:val="00345A88"/>
    <w:rsid w:val="00345DE4"/>
    <w:rsid w:val="0035119D"/>
    <w:rsid w:val="00352B51"/>
    <w:rsid w:val="00353113"/>
    <w:rsid w:val="003571A7"/>
    <w:rsid w:val="00357B3A"/>
    <w:rsid w:val="00362764"/>
    <w:rsid w:val="00362C95"/>
    <w:rsid w:val="00363159"/>
    <w:rsid w:val="00376277"/>
    <w:rsid w:val="00386BC5"/>
    <w:rsid w:val="00391B99"/>
    <w:rsid w:val="00392B0C"/>
    <w:rsid w:val="00392C50"/>
    <w:rsid w:val="0039344A"/>
    <w:rsid w:val="00394734"/>
    <w:rsid w:val="003B4F12"/>
    <w:rsid w:val="003B649A"/>
    <w:rsid w:val="003C296E"/>
    <w:rsid w:val="003C610E"/>
    <w:rsid w:val="003E0039"/>
    <w:rsid w:val="003E11E2"/>
    <w:rsid w:val="003E59E8"/>
    <w:rsid w:val="003F2041"/>
    <w:rsid w:val="003F7F4A"/>
    <w:rsid w:val="00400D59"/>
    <w:rsid w:val="004022C6"/>
    <w:rsid w:val="00402ACC"/>
    <w:rsid w:val="00405DBB"/>
    <w:rsid w:val="00411427"/>
    <w:rsid w:val="00411EF3"/>
    <w:rsid w:val="004120EC"/>
    <w:rsid w:val="00412FC4"/>
    <w:rsid w:val="00415E8E"/>
    <w:rsid w:val="00423F31"/>
    <w:rsid w:val="004249D4"/>
    <w:rsid w:val="00426C17"/>
    <w:rsid w:val="00431899"/>
    <w:rsid w:val="00431E42"/>
    <w:rsid w:val="004368EA"/>
    <w:rsid w:val="0044799E"/>
    <w:rsid w:val="004524D9"/>
    <w:rsid w:val="00455B23"/>
    <w:rsid w:val="004570DB"/>
    <w:rsid w:val="0045721C"/>
    <w:rsid w:val="00461141"/>
    <w:rsid w:val="00462F2D"/>
    <w:rsid w:val="00474F32"/>
    <w:rsid w:val="00475681"/>
    <w:rsid w:val="00482987"/>
    <w:rsid w:val="00482AE8"/>
    <w:rsid w:val="0048409B"/>
    <w:rsid w:val="00486804"/>
    <w:rsid w:val="004942F5"/>
    <w:rsid w:val="004970CF"/>
    <w:rsid w:val="004A36E6"/>
    <w:rsid w:val="004A4093"/>
    <w:rsid w:val="004A5E4C"/>
    <w:rsid w:val="004B0FC5"/>
    <w:rsid w:val="004B3775"/>
    <w:rsid w:val="004B6302"/>
    <w:rsid w:val="004C3BF6"/>
    <w:rsid w:val="004D0989"/>
    <w:rsid w:val="004D0BA0"/>
    <w:rsid w:val="004D4DDC"/>
    <w:rsid w:val="004E058F"/>
    <w:rsid w:val="004E12AA"/>
    <w:rsid w:val="004E1E6F"/>
    <w:rsid w:val="004E3B87"/>
    <w:rsid w:val="004E676F"/>
    <w:rsid w:val="004E9A2D"/>
    <w:rsid w:val="004F1323"/>
    <w:rsid w:val="004F262F"/>
    <w:rsid w:val="00502AB1"/>
    <w:rsid w:val="00506C1C"/>
    <w:rsid w:val="00510921"/>
    <w:rsid w:val="00510AD3"/>
    <w:rsid w:val="005130EF"/>
    <w:rsid w:val="00513348"/>
    <w:rsid w:val="005134DF"/>
    <w:rsid w:val="00513AD8"/>
    <w:rsid w:val="005204D2"/>
    <w:rsid w:val="005212F2"/>
    <w:rsid w:val="00522396"/>
    <w:rsid w:val="00532EF8"/>
    <w:rsid w:val="00533B5D"/>
    <w:rsid w:val="005362D7"/>
    <w:rsid w:val="0053632D"/>
    <w:rsid w:val="00537BB3"/>
    <w:rsid w:val="0054627C"/>
    <w:rsid w:val="005632E7"/>
    <w:rsid w:val="00567461"/>
    <w:rsid w:val="00567503"/>
    <w:rsid w:val="005721B3"/>
    <w:rsid w:val="0058186E"/>
    <w:rsid w:val="00583019"/>
    <w:rsid w:val="00592089"/>
    <w:rsid w:val="0059289C"/>
    <w:rsid w:val="00593E27"/>
    <w:rsid w:val="005A20F6"/>
    <w:rsid w:val="005A37BD"/>
    <w:rsid w:val="005B176D"/>
    <w:rsid w:val="005B22DC"/>
    <w:rsid w:val="005C6244"/>
    <w:rsid w:val="005C6961"/>
    <w:rsid w:val="005D3655"/>
    <w:rsid w:val="005D697E"/>
    <w:rsid w:val="005E3ADE"/>
    <w:rsid w:val="005E4830"/>
    <w:rsid w:val="005E5BCD"/>
    <w:rsid w:val="005E792B"/>
    <w:rsid w:val="005F0C7E"/>
    <w:rsid w:val="00606AEE"/>
    <w:rsid w:val="00611D29"/>
    <w:rsid w:val="0061245A"/>
    <w:rsid w:val="00615CED"/>
    <w:rsid w:val="00622B86"/>
    <w:rsid w:val="00623BA1"/>
    <w:rsid w:val="0062612C"/>
    <w:rsid w:val="006346BC"/>
    <w:rsid w:val="00636B5B"/>
    <w:rsid w:val="00645776"/>
    <w:rsid w:val="006467CC"/>
    <w:rsid w:val="006542E2"/>
    <w:rsid w:val="0065EB0D"/>
    <w:rsid w:val="00661947"/>
    <w:rsid w:val="0066652A"/>
    <w:rsid w:val="006719C3"/>
    <w:rsid w:val="006771A0"/>
    <w:rsid w:val="00677AD2"/>
    <w:rsid w:val="00680522"/>
    <w:rsid w:val="00682167"/>
    <w:rsid w:val="00691050"/>
    <w:rsid w:val="006B19C4"/>
    <w:rsid w:val="006B53B3"/>
    <w:rsid w:val="006B5E1C"/>
    <w:rsid w:val="006B66A5"/>
    <w:rsid w:val="006C42AF"/>
    <w:rsid w:val="006C7BD2"/>
    <w:rsid w:val="006D19DC"/>
    <w:rsid w:val="006E427B"/>
    <w:rsid w:val="006F1189"/>
    <w:rsid w:val="006F32F5"/>
    <w:rsid w:val="006F65B0"/>
    <w:rsid w:val="006F6A65"/>
    <w:rsid w:val="007003B6"/>
    <w:rsid w:val="0070521B"/>
    <w:rsid w:val="007064B3"/>
    <w:rsid w:val="007064B7"/>
    <w:rsid w:val="00706954"/>
    <w:rsid w:val="00711CA6"/>
    <w:rsid w:val="00711D8E"/>
    <w:rsid w:val="00712672"/>
    <w:rsid w:val="00712804"/>
    <w:rsid w:val="007133A0"/>
    <w:rsid w:val="00714FBD"/>
    <w:rsid w:val="00715B5B"/>
    <w:rsid w:val="00720AB4"/>
    <w:rsid w:val="007213EB"/>
    <w:rsid w:val="007232BA"/>
    <w:rsid w:val="00724861"/>
    <w:rsid w:val="007259CE"/>
    <w:rsid w:val="007303B5"/>
    <w:rsid w:val="00734E3F"/>
    <w:rsid w:val="00736985"/>
    <w:rsid w:val="0074121A"/>
    <w:rsid w:val="00745DF5"/>
    <w:rsid w:val="007502AA"/>
    <w:rsid w:val="00753474"/>
    <w:rsid w:val="00754541"/>
    <w:rsid w:val="0076250F"/>
    <w:rsid w:val="00766827"/>
    <w:rsid w:val="0076733B"/>
    <w:rsid w:val="0077783D"/>
    <w:rsid w:val="007779D8"/>
    <w:rsid w:val="00780FA5"/>
    <w:rsid w:val="0079501C"/>
    <w:rsid w:val="00795D76"/>
    <w:rsid w:val="007A3F04"/>
    <w:rsid w:val="007A5252"/>
    <w:rsid w:val="007B1267"/>
    <w:rsid w:val="007B44D3"/>
    <w:rsid w:val="007B6200"/>
    <w:rsid w:val="007C085E"/>
    <w:rsid w:val="007C1263"/>
    <w:rsid w:val="007C308B"/>
    <w:rsid w:val="007C5399"/>
    <w:rsid w:val="007C6D56"/>
    <w:rsid w:val="007C6F08"/>
    <w:rsid w:val="007C7F7B"/>
    <w:rsid w:val="007D4BE4"/>
    <w:rsid w:val="007F09A6"/>
    <w:rsid w:val="007F3395"/>
    <w:rsid w:val="007F48A6"/>
    <w:rsid w:val="007F5458"/>
    <w:rsid w:val="00800D6A"/>
    <w:rsid w:val="0080141A"/>
    <w:rsid w:val="00801B9F"/>
    <w:rsid w:val="0080204D"/>
    <w:rsid w:val="00812D01"/>
    <w:rsid w:val="00814BA4"/>
    <w:rsid w:val="00815CDF"/>
    <w:rsid w:val="00815FDF"/>
    <w:rsid w:val="00820B12"/>
    <w:rsid w:val="008223E4"/>
    <w:rsid w:val="00825AC7"/>
    <w:rsid w:val="0082724F"/>
    <w:rsid w:val="008318CA"/>
    <w:rsid w:val="00834E5E"/>
    <w:rsid w:val="00837E8B"/>
    <w:rsid w:val="008402A3"/>
    <w:rsid w:val="00842419"/>
    <w:rsid w:val="00842565"/>
    <w:rsid w:val="0084499C"/>
    <w:rsid w:val="00845043"/>
    <w:rsid w:val="00846973"/>
    <w:rsid w:val="008475F0"/>
    <w:rsid w:val="008510E6"/>
    <w:rsid w:val="0085567A"/>
    <w:rsid w:val="008557A7"/>
    <w:rsid w:val="008627AA"/>
    <w:rsid w:val="00865B9D"/>
    <w:rsid w:val="00867636"/>
    <w:rsid w:val="008701BE"/>
    <w:rsid w:val="00870269"/>
    <w:rsid w:val="00870928"/>
    <w:rsid w:val="00870CEF"/>
    <w:rsid w:val="00873456"/>
    <w:rsid w:val="00887172"/>
    <w:rsid w:val="0089003B"/>
    <w:rsid w:val="008902DF"/>
    <w:rsid w:val="0089405C"/>
    <w:rsid w:val="00894DA6"/>
    <w:rsid w:val="00897FA2"/>
    <w:rsid w:val="008A0FBF"/>
    <w:rsid w:val="008A25BE"/>
    <w:rsid w:val="008A4544"/>
    <w:rsid w:val="008A4F87"/>
    <w:rsid w:val="008A5195"/>
    <w:rsid w:val="008A51A6"/>
    <w:rsid w:val="008A5AFE"/>
    <w:rsid w:val="008B13B0"/>
    <w:rsid w:val="008C15AF"/>
    <w:rsid w:val="008C3E04"/>
    <w:rsid w:val="008C5A0E"/>
    <w:rsid w:val="008C6CCD"/>
    <w:rsid w:val="008D05A7"/>
    <w:rsid w:val="008E22FE"/>
    <w:rsid w:val="008F4444"/>
    <w:rsid w:val="009026F1"/>
    <w:rsid w:val="009032EB"/>
    <w:rsid w:val="0091127A"/>
    <w:rsid w:val="00920097"/>
    <w:rsid w:val="0092205B"/>
    <w:rsid w:val="009312F5"/>
    <w:rsid w:val="009418F3"/>
    <w:rsid w:val="00943730"/>
    <w:rsid w:val="0094398C"/>
    <w:rsid w:val="009477F6"/>
    <w:rsid w:val="0095519A"/>
    <w:rsid w:val="00965224"/>
    <w:rsid w:val="00965C6D"/>
    <w:rsid w:val="00970A55"/>
    <w:rsid w:val="00975767"/>
    <w:rsid w:val="00975CA5"/>
    <w:rsid w:val="009769CD"/>
    <w:rsid w:val="00976F1B"/>
    <w:rsid w:val="009805E9"/>
    <w:rsid w:val="00983E2E"/>
    <w:rsid w:val="00985442"/>
    <w:rsid w:val="00986590"/>
    <w:rsid w:val="0099099D"/>
    <w:rsid w:val="00992C76"/>
    <w:rsid w:val="0099404B"/>
    <w:rsid w:val="009969D6"/>
    <w:rsid w:val="00996F0C"/>
    <w:rsid w:val="009A1B00"/>
    <w:rsid w:val="009B0A54"/>
    <w:rsid w:val="009B10E5"/>
    <w:rsid w:val="009B1550"/>
    <w:rsid w:val="009B4662"/>
    <w:rsid w:val="009B4D3B"/>
    <w:rsid w:val="009C3388"/>
    <w:rsid w:val="009C4714"/>
    <w:rsid w:val="009D7407"/>
    <w:rsid w:val="009E0773"/>
    <w:rsid w:val="009E0866"/>
    <w:rsid w:val="009E10FB"/>
    <w:rsid w:val="009E273C"/>
    <w:rsid w:val="009E6712"/>
    <w:rsid w:val="009E7D68"/>
    <w:rsid w:val="009F00A3"/>
    <w:rsid w:val="009F0159"/>
    <w:rsid w:val="009F03B8"/>
    <w:rsid w:val="009F1350"/>
    <w:rsid w:val="009F1B95"/>
    <w:rsid w:val="009F477F"/>
    <w:rsid w:val="009F496E"/>
    <w:rsid w:val="009F593F"/>
    <w:rsid w:val="009F6423"/>
    <w:rsid w:val="009F7EB6"/>
    <w:rsid w:val="00A00C04"/>
    <w:rsid w:val="00A06B49"/>
    <w:rsid w:val="00A12843"/>
    <w:rsid w:val="00A13F7B"/>
    <w:rsid w:val="00A24A62"/>
    <w:rsid w:val="00A26C7D"/>
    <w:rsid w:val="00A31C9F"/>
    <w:rsid w:val="00A4144F"/>
    <w:rsid w:val="00A42274"/>
    <w:rsid w:val="00A51B12"/>
    <w:rsid w:val="00A51CD0"/>
    <w:rsid w:val="00A5201D"/>
    <w:rsid w:val="00A55344"/>
    <w:rsid w:val="00A61B4D"/>
    <w:rsid w:val="00A701A3"/>
    <w:rsid w:val="00A70F45"/>
    <w:rsid w:val="00A7345A"/>
    <w:rsid w:val="00A73F4D"/>
    <w:rsid w:val="00A75F09"/>
    <w:rsid w:val="00A7772A"/>
    <w:rsid w:val="00A80B94"/>
    <w:rsid w:val="00A80BCE"/>
    <w:rsid w:val="00A80F95"/>
    <w:rsid w:val="00A97BF1"/>
    <w:rsid w:val="00AA1B24"/>
    <w:rsid w:val="00AA298A"/>
    <w:rsid w:val="00AA5DF2"/>
    <w:rsid w:val="00AA6818"/>
    <w:rsid w:val="00AB22E8"/>
    <w:rsid w:val="00AB3496"/>
    <w:rsid w:val="00AC164A"/>
    <w:rsid w:val="00AC3E16"/>
    <w:rsid w:val="00AC6741"/>
    <w:rsid w:val="00AD005B"/>
    <w:rsid w:val="00AD0F8F"/>
    <w:rsid w:val="00AD3B07"/>
    <w:rsid w:val="00AD6F62"/>
    <w:rsid w:val="00AD7FBF"/>
    <w:rsid w:val="00AE01D5"/>
    <w:rsid w:val="00AE448A"/>
    <w:rsid w:val="00AF2050"/>
    <w:rsid w:val="00AF6D04"/>
    <w:rsid w:val="00B02AD8"/>
    <w:rsid w:val="00B03CA8"/>
    <w:rsid w:val="00B10166"/>
    <w:rsid w:val="00B15471"/>
    <w:rsid w:val="00B26AEB"/>
    <w:rsid w:val="00B31237"/>
    <w:rsid w:val="00B33C0A"/>
    <w:rsid w:val="00B37E89"/>
    <w:rsid w:val="00B37F97"/>
    <w:rsid w:val="00B40519"/>
    <w:rsid w:val="00B525B2"/>
    <w:rsid w:val="00B55E19"/>
    <w:rsid w:val="00B56554"/>
    <w:rsid w:val="00B57761"/>
    <w:rsid w:val="00B65333"/>
    <w:rsid w:val="00B669C6"/>
    <w:rsid w:val="00B674D2"/>
    <w:rsid w:val="00B713D7"/>
    <w:rsid w:val="00B71988"/>
    <w:rsid w:val="00B75726"/>
    <w:rsid w:val="00B76DEE"/>
    <w:rsid w:val="00B83857"/>
    <w:rsid w:val="00B84C3B"/>
    <w:rsid w:val="00B857E1"/>
    <w:rsid w:val="00B901DC"/>
    <w:rsid w:val="00B94758"/>
    <w:rsid w:val="00B95E0A"/>
    <w:rsid w:val="00BA4B6D"/>
    <w:rsid w:val="00BA4C0C"/>
    <w:rsid w:val="00BA6EFA"/>
    <w:rsid w:val="00BA7A0F"/>
    <w:rsid w:val="00BB15C3"/>
    <w:rsid w:val="00BB26C5"/>
    <w:rsid w:val="00BB27AB"/>
    <w:rsid w:val="00BB4763"/>
    <w:rsid w:val="00BB5C11"/>
    <w:rsid w:val="00BB6357"/>
    <w:rsid w:val="00BC0DB3"/>
    <w:rsid w:val="00BC497D"/>
    <w:rsid w:val="00BD4B3E"/>
    <w:rsid w:val="00BD4D70"/>
    <w:rsid w:val="00BD7863"/>
    <w:rsid w:val="00BE0065"/>
    <w:rsid w:val="00BE4CF5"/>
    <w:rsid w:val="00BE74A1"/>
    <w:rsid w:val="00BF4DE6"/>
    <w:rsid w:val="00BF7150"/>
    <w:rsid w:val="00C011A5"/>
    <w:rsid w:val="00C01408"/>
    <w:rsid w:val="00C0196C"/>
    <w:rsid w:val="00C04F19"/>
    <w:rsid w:val="00C06B13"/>
    <w:rsid w:val="00C122B1"/>
    <w:rsid w:val="00C14084"/>
    <w:rsid w:val="00C2370C"/>
    <w:rsid w:val="00C27D25"/>
    <w:rsid w:val="00C31676"/>
    <w:rsid w:val="00C34761"/>
    <w:rsid w:val="00C40772"/>
    <w:rsid w:val="00C42541"/>
    <w:rsid w:val="00C42CDE"/>
    <w:rsid w:val="00C44BDD"/>
    <w:rsid w:val="00C5182A"/>
    <w:rsid w:val="00C60101"/>
    <w:rsid w:val="00C61A5C"/>
    <w:rsid w:val="00C61A99"/>
    <w:rsid w:val="00C63502"/>
    <w:rsid w:val="00C63EE9"/>
    <w:rsid w:val="00C700C0"/>
    <w:rsid w:val="00C70697"/>
    <w:rsid w:val="00C73272"/>
    <w:rsid w:val="00C80ADA"/>
    <w:rsid w:val="00C8379A"/>
    <w:rsid w:val="00C86634"/>
    <w:rsid w:val="00C92FAA"/>
    <w:rsid w:val="00CA0315"/>
    <w:rsid w:val="00CA16F3"/>
    <w:rsid w:val="00CA37B1"/>
    <w:rsid w:val="00CA5AA1"/>
    <w:rsid w:val="00CA5DFD"/>
    <w:rsid w:val="00CB1959"/>
    <w:rsid w:val="00CB3EB9"/>
    <w:rsid w:val="00CB6977"/>
    <w:rsid w:val="00CB7201"/>
    <w:rsid w:val="00CC28FA"/>
    <w:rsid w:val="00CC741B"/>
    <w:rsid w:val="00CD02ED"/>
    <w:rsid w:val="00CD0E4B"/>
    <w:rsid w:val="00CD374A"/>
    <w:rsid w:val="00CD4245"/>
    <w:rsid w:val="00CE062B"/>
    <w:rsid w:val="00CE2AC2"/>
    <w:rsid w:val="00CE408B"/>
    <w:rsid w:val="00CE4C89"/>
    <w:rsid w:val="00CF07BA"/>
    <w:rsid w:val="00CF2C26"/>
    <w:rsid w:val="00CF2C82"/>
    <w:rsid w:val="00D02264"/>
    <w:rsid w:val="00D0296C"/>
    <w:rsid w:val="00D03EB0"/>
    <w:rsid w:val="00D164BD"/>
    <w:rsid w:val="00D17DA3"/>
    <w:rsid w:val="00D22B27"/>
    <w:rsid w:val="00D23699"/>
    <w:rsid w:val="00D26CEB"/>
    <w:rsid w:val="00D31D77"/>
    <w:rsid w:val="00D32D6F"/>
    <w:rsid w:val="00D357F5"/>
    <w:rsid w:val="00D3775B"/>
    <w:rsid w:val="00D37B04"/>
    <w:rsid w:val="00D41C71"/>
    <w:rsid w:val="00D4359B"/>
    <w:rsid w:val="00D47377"/>
    <w:rsid w:val="00D51B0F"/>
    <w:rsid w:val="00D540C6"/>
    <w:rsid w:val="00D61024"/>
    <w:rsid w:val="00D64BD1"/>
    <w:rsid w:val="00D6670A"/>
    <w:rsid w:val="00D70178"/>
    <w:rsid w:val="00D7241B"/>
    <w:rsid w:val="00D757C1"/>
    <w:rsid w:val="00D75D32"/>
    <w:rsid w:val="00D760DB"/>
    <w:rsid w:val="00D80C9C"/>
    <w:rsid w:val="00D82C27"/>
    <w:rsid w:val="00D82FE5"/>
    <w:rsid w:val="00D878AF"/>
    <w:rsid w:val="00D92254"/>
    <w:rsid w:val="00D960DC"/>
    <w:rsid w:val="00D972C3"/>
    <w:rsid w:val="00DA1CB6"/>
    <w:rsid w:val="00DA647D"/>
    <w:rsid w:val="00DB0A3F"/>
    <w:rsid w:val="00DB4CE1"/>
    <w:rsid w:val="00DC4E0D"/>
    <w:rsid w:val="00DC50F4"/>
    <w:rsid w:val="00DC6584"/>
    <w:rsid w:val="00DC68AB"/>
    <w:rsid w:val="00DD37A8"/>
    <w:rsid w:val="00DD6EF0"/>
    <w:rsid w:val="00DE084C"/>
    <w:rsid w:val="00DE147C"/>
    <w:rsid w:val="00DE2CFA"/>
    <w:rsid w:val="00DF2ABF"/>
    <w:rsid w:val="00DF7DDA"/>
    <w:rsid w:val="00E05C88"/>
    <w:rsid w:val="00E06C8C"/>
    <w:rsid w:val="00E07947"/>
    <w:rsid w:val="00E1017F"/>
    <w:rsid w:val="00E11ACD"/>
    <w:rsid w:val="00E14A22"/>
    <w:rsid w:val="00E14F51"/>
    <w:rsid w:val="00E21775"/>
    <w:rsid w:val="00E30303"/>
    <w:rsid w:val="00E30797"/>
    <w:rsid w:val="00E357B7"/>
    <w:rsid w:val="00E40F3A"/>
    <w:rsid w:val="00E43476"/>
    <w:rsid w:val="00E501AB"/>
    <w:rsid w:val="00E50684"/>
    <w:rsid w:val="00E53800"/>
    <w:rsid w:val="00E56E4F"/>
    <w:rsid w:val="00E57726"/>
    <w:rsid w:val="00E603C8"/>
    <w:rsid w:val="00E6081F"/>
    <w:rsid w:val="00E61339"/>
    <w:rsid w:val="00E615A9"/>
    <w:rsid w:val="00E751AE"/>
    <w:rsid w:val="00E7748E"/>
    <w:rsid w:val="00E8296D"/>
    <w:rsid w:val="00E8457B"/>
    <w:rsid w:val="00E912E5"/>
    <w:rsid w:val="00E94EA0"/>
    <w:rsid w:val="00EA04B2"/>
    <w:rsid w:val="00EA20F3"/>
    <w:rsid w:val="00EA29B7"/>
    <w:rsid w:val="00EA5037"/>
    <w:rsid w:val="00EB0A13"/>
    <w:rsid w:val="00EC3F7D"/>
    <w:rsid w:val="00EC5C6C"/>
    <w:rsid w:val="00ED2831"/>
    <w:rsid w:val="00ED43D1"/>
    <w:rsid w:val="00ED6744"/>
    <w:rsid w:val="00EE4EE1"/>
    <w:rsid w:val="00EF16AC"/>
    <w:rsid w:val="00EF23BB"/>
    <w:rsid w:val="00EF348E"/>
    <w:rsid w:val="00EF4574"/>
    <w:rsid w:val="00F03336"/>
    <w:rsid w:val="00F118A2"/>
    <w:rsid w:val="00F12FBD"/>
    <w:rsid w:val="00F24327"/>
    <w:rsid w:val="00F25724"/>
    <w:rsid w:val="00F25A93"/>
    <w:rsid w:val="00F2684E"/>
    <w:rsid w:val="00F2739F"/>
    <w:rsid w:val="00F30EF8"/>
    <w:rsid w:val="00F40D3A"/>
    <w:rsid w:val="00F42C46"/>
    <w:rsid w:val="00F53C6D"/>
    <w:rsid w:val="00F5404C"/>
    <w:rsid w:val="00F672BD"/>
    <w:rsid w:val="00F729EF"/>
    <w:rsid w:val="00F77014"/>
    <w:rsid w:val="00F77AD5"/>
    <w:rsid w:val="00F77CAE"/>
    <w:rsid w:val="00F81798"/>
    <w:rsid w:val="00F82271"/>
    <w:rsid w:val="00F83402"/>
    <w:rsid w:val="00F83428"/>
    <w:rsid w:val="00F86E1C"/>
    <w:rsid w:val="00F94D1A"/>
    <w:rsid w:val="00F96BB9"/>
    <w:rsid w:val="00F96CD3"/>
    <w:rsid w:val="00FA3B24"/>
    <w:rsid w:val="00FA7AEA"/>
    <w:rsid w:val="00FB15A5"/>
    <w:rsid w:val="00FB3602"/>
    <w:rsid w:val="00FC1368"/>
    <w:rsid w:val="00FC4BB7"/>
    <w:rsid w:val="00FC7D3D"/>
    <w:rsid w:val="00FD101A"/>
    <w:rsid w:val="00FD21CD"/>
    <w:rsid w:val="00FD459B"/>
    <w:rsid w:val="00FE54D3"/>
    <w:rsid w:val="00FE5EFC"/>
    <w:rsid w:val="00FE6D51"/>
    <w:rsid w:val="00FE6F2A"/>
    <w:rsid w:val="00FF06A4"/>
    <w:rsid w:val="00FF0B8F"/>
    <w:rsid w:val="00FF1685"/>
    <w:rsid w:val="00FF336A"/>
    <w:rsid w:val="00FF3704"/>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D0A359"/>
  <w15:docId w15:val="{392BA25B-666B-4443-98DB-153C14B0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qFormat="1"/>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uiPriority w:val="39"/>
    <w:qFormat/>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customStyle="1" w:styleId="UnresolvedMention1">
    <w:name w:val="Unresolved Mention1"/>
    <w:basedOn w:val="DefaultParagraphFont"/>
    <w:uiPriority w:val="99"/>
    <w:semiHidden/>
    <w:unhideWhenUsed/>
    <w:rsid w:val="002E7D69"/>
    <w:rPr>
      <w:color w:val="605E5C"/>
      <w:shd w:val="clear" w:color="auto" w:fill="E1DFDD"/>
    </w:rPr>
  </w:style>
  <w:style w:type="paragraph" w:styleId="NoSpacing">
    <w:name w:val="No Spacing"/>
    <w:link w:val="NoSpacingChar"/>
    <w:uiPriority w:val="1"/>
    <w:qFormat/>
    <w:rsid w:val="008A0FBF"/>
    <w:pPr>
      <w:spacing w:after="0" w:line="240" w:lineRule="auto"/>
    </w:pPr>
    <w:rPr>
      <w:lang w:val="en-US"/>
    </w:rPr>
  </w:style>
  <w:style w:type="character" w:customStyle="1" w:styleId="NoSpacingChar">
    <w:name w:val="No Spacing Char"/>
    <w:link w:val="NoSpacing"/>
    <w:uiPriority w:val="1"/>
    <w:rsid w:val="008A0FBF"/>
    <w:rPr>
      <w:lang w:val="en-US"/>
    </w:rPr>
  </w:style>
  <w:style w:type="paragraph" w:customStyle="1" w:styleId="SingleTxtG">
    <w:name w:val="_ Single Txt_G"/>
    <w:basedOn w:val="Normal"/>
    <w:link w:val="SingleTxtGChar"/>
    <w:qFormat/>
    <w:rsid w:val="008A0FBF"/>
    <w:pPr>
      <w:spacing w:before="0" w:after="120" w:line="240" w:lineRule="atLeast"/>
      <w:ind w:left="1134" w:right="1134"/>
      <w:jc w:val="both"/>
    </w:pPr>
    <w:rPr>
      <w:rFonts w:ascii="Times New Roman" w:eastAsia="Times New Roman" w:hAnsi="Times New Roman" w:cs="Times New Roman"/>
      <w:color w:val="auto"/>
      <w:sz w:val="20"/>
      <w:szCs w:val="20"/>
    </w:rPr>
  </w:style>
  <w:style w:type="paragraph" w:customStyle="1" w:styleId="H23G">
    <w:name w:val="_ H_2/3_G"/>
    <w:basedOn w:val="Normal"/>
    <w:next w:val="Normal"/>
    <w:qFormat/>
    <w:rsid w:val="008A0FBF"/>
    <w:pPr>
      <w:keepNext/>
      <w:keepLines/>
      <w:tabs>
        <w:tab w:val="right" w:pos="851"/>
      </w:tabs>
      <w:spacing w:before="240" w:after="120" w:line="240" w:lineRule="exact"/>
      <w:ind w:left="1134" w:right="1134" w:hanging="1134"/>
    </w:pPr>
    <w:rPr>
      <w:rFonts w:ascii="Times New Roman" w:eastAsia="Times New Roman" w:hAnsi="Times New Roman" w:cs="Times New Roman"/>
      <w:b/>
      <w:color w:val="auto"/>
      <w:sz w:val="20"/>
      <w:szCs w:val="20"/>
    </w:rPr>
  </w:style>
  <w:style w:type="character" w:customStyle="1" w:styleId="SingleTxtGChar">
    <w:name w:val="_ Single Txt_G Char"/>
    <w:link w:val="SingleTxtG"/>
    <w:locked/>
    <w:rsid w:val="0070521B"/>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7480">
      <w:bodyDiv w:val="1"/>
      <w:marLeft w:val="0"/>
      <w:marRight w:val="0"/>
      <w:marTop w:val="0"/>
      <w:marBottom w:val="0"/>
      <w:divBdr>
        <w:top w:val="none" w:sz="0" w:space="0" w:color="auto"/>
        <w:left w:val="none" w:sz="0" w:space="0" w:color="auto"/>
        <w:bottom w:val="none" w:sz="0" w:space="0" w:color="auto"/>
        <w:right w:val="none" w:sz="0" w:space="0" w:color="auto"/>
      </w:divBdr>
    </w:div>
    <w:div w:id="205065753">
      <w:bodyDiv w:val="1"/>
      <w:marLeft w:val="0"/>
      <w:marRight w:val="0"/>
      <w:marTop w:val="0"/>
      <w:marBottom w:val="0"/>
      <w:divBdr>
        <w:top w:val="none" w:sz="0" w:space="0" w:color="auto"/>
        <w:left w:val="none" w:sz="0" w:space="0" w:color="auto"/>
        <w:bottom w:val="none" w:sz="0" w:space="0" w:color="auto"/>
        <w:right w:val="none" w:sz="0" w:space="0" w:color="auto"/>
      </w:divBdr>
    </w:div>
    <w:div w:id="636954310">
      <w:bodyDiv w:val="1"/>
      <w:marLeft w:val="0"/>
      <w:marRight w:val="0"/>
      <w:marTop w:val="0"/>
      <w:marBottom w:val="0"/>
      <w:divBdr>
        <w:top w:val="none" w:sz="0" w:space="0" w:color="auto"/>
        <w:left w:val="none" w:sz="0" w:space="0" w:color="auto"/>
        <w:bottom w:val="none" w:sz="0" w:space="0" w:color="auto"/>
        <w:right w:val="none" w:sz="0" w:space="0" w:color="auto"/>
      </w:divBdr>
    </w:div>
    <w:div w:id="660501017">
      <w:bodyDiv w:val="1"/>
      <w:marLeft w:val="0"/>
      <w:marRight w:val="0"/>
      <w:marTop w:val="0"/>
      <w:marBottom w:val="0"/>
      <w:divBdr>
        <w:top w:val="none" w:sz="0" w:space="0" w:color="auto"/>
        <w:left w:val="none" w:sz="0" w:space="0" w:color="auto"/>
        <w:bottom w:val="none" w:sz="0" w:space="0" w:color="auto"/>
        <w:right w:val="none" w:sz="0" w:space="0" w:color="auto"/>
      </w:divBdr>
    </w:div>
    <w:div w:id="785348012">
      <w:bodyDiv w:val="1"/>
      <w:marLeft w:val="0"/>
      <w:marRight w:val="0"/>
      <w:marTop w:val="0"/>
      <w:marBottom w:val="0"/>
      <w:divBdr>
        <w:top w:val="none" w:sz="0" w:space="0" w:color="auto"/>
        <w:left w:val="none" w:sz="0" w:space="0" w:color="auto"/>
        <w:bottom w:val="none" w:sz="0" w:space="0" w:color="auto"/>
        <w:right w:val="none" w:sz="0" w:space="0" w:color="auto"/>
      </w:divBdr>
    </w:div>
    <w:div w:id="1067219569">
      <w:bodyDiv w:val="1"/>
      <w:marLeft w:val="0"/>
      <w:marRight w:val="0"/>
      <w:marTop w:val="0"/>
      <w:marBottom w:val="0"/>
      <w:divBdr>
        <w:top w:val="none" w:sz="0" w:space="0" w:color="auto"/>
        <w:left w:val="none" w:sz="0" w:space="0" w:color="auto"/>
        <w:bottom w:val="none" w:sz="0" w:space="0" w:color="auto"/>
        <w:right w:val="none" w:sz="0" w:space="0" w:color="auto"/>
      </w:divBdr>
    </w:div>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hard\OneDrive%20-%20Department%20of%20Foreign%20Affairs%20and%20Trade%20(dfat.gov.au)\Desktop\OCT%20SR%20input%2012%20July%202022.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SharedWithUsers xmlns="9c2e4527-2efa-4ade-b3d6-b2418af14986">
      <UserInfo>
        <DisplayName>Deb Livermore</DisplayName>
        <AccountId>44</AccountId>
        <AccountType/>
      </UserInfo>
      <UserInfo>
        <DisplayName>Genevieve Bernacki</DisplayName>
        <AccountId>45</AccountId>
        <AccountType/>
      </UserInfo>
      <UserInfo>
        <DisplayName>Maddison King</DisplayName>
        <AccountId>11</AccountId>
        <AccountType/>
      </UserInfo>
      <UserInfo>
        <DisplayName>Victoria Coakley</DisplayName>
        <AccountId>25</AccountId>
        <AccountType/>
      </UserInfo>
    </SharedWithUsers>
    <Category xmlns="d42e65b2-cf21-49c1-b27d-d23f90380c0e">States</Category>
    <Filename xmlns="d42e65b2-cf21-49c1-b27d-d23f90380c0e" xsi:nil="true"/>
    <Doctype xmlns="d42e65b2-cf21-49c1-b27d-d23f90380c0e">input</Doctype>
    <Contributor xmlns="d42e65b2-cf21-49c1-b27d-d23f90380c0e">Mauritius</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89EC7-A60E-4E62-B136-607B052C2DA7}">
  <ds:schemaRefs>
    <ds:schemaRef ds:uri="http://schemas.openxmlformats.org/officeDocument/2006/bibliography"/>
  </ds:schemaRefs>
</ds:datastoreItem>
</file>

<file path=customXml/itemProps2.xml><?xml version="1.0" encoding="utf-8"?>
<ds:datastoreItem xmlns:ds="http://schemas.openxmlformats.org/officeDocument/2006/customXml" ds:itemID="{D521EB92-C381-4E52-A8CF-C6D743208E77}">
  <ds:schemaRefs>
    <ds:schemaRef ds:uri="http://purl.org/dc/elements/1.1/"/>
    <ds:schemaRef ds:uri="http://schemas.microsoft.com/office/2006/documentManagement/types"/>
    <ds:schemaRef ds:uri="http://purl.org/dc/dcmitype/"/>
    <ds:schemaRef ds:uri="http://schemas.microsoft.com/office/2006/metadata/properties"/>
    <ds:schemaRef ds:uri="de1d7913-2b48-4fb4-9e5c-239c7c65333c"/>
    <ds:schemaRef ds:uri="http://purl.org/dc/terms/"/>
    <ds:schemaRef ds:uri="http://www.w3.org/XML/1998/namespace"/>
    <ds:schemaRef ds:uri="fd553ead-1a80-496c-9811-84850591db5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97EE74D-F329-4D1D-AB83-17745B3B58D4}"/>
</file>

<file path=customXml/itemProps4.xml><?xml version="1.0" encoding="utf-8"?>
<ds:datastoreItem xmlns:ds="http://schemas.openxmlformats.org/officeDocument/2006/customXml" ds:itemID="{7288E3FA-5EBC-4EAE-BDD8-1E2CFF6EB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OCT SR input 12 July 2022</Template>
  <TotalTime>1</TotalTime>
  <Pages>6</Pages>
  <Words>1983</Words>
  <Characters>11306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Departmental and Executive briefing template</vt:lpstr>
    </vt:vector>
  </TitlesOfParts>
  <Company>Department of Foreign Affairs and Trade</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and Executive briefing template</dc:title>
  <dc:subject/>
  <dc:creator>Orchard, Darren</dc:creator>
  <cp:keywords>[SEC=OFFICIAL]</cp:keywords>
  <dc:description/>
  <cp:lastModifiedBy>Alan Michel Mayo Flota</cp:lastModifiedBy>
  <cp:revision>2</cp:revision>
  <cp:lastPrinted>2024-05-31T08:44:00Z</cp:lastPrinted>
  <dcterms:created xsi:type="dcterms:W3CDTF">2024-07-24T07:06:00Z</dcterms:created>
  <dcterms:modified xsi:type="dcterms:W3CDTF">2024-07-24T07:06:00Z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43b616eb-8d42-4b35-a711-881ff46720d4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0x0101009D953D6983EF5F4EB0B6A5354F975E96</vt:lpwstr>
  </property>
  <property fmtid="{D5CDD505-2E9C-101B-9397-08002B2CF9AE}" pid="6" name="PM_Minimum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F7B65EDC3D3448B58C152F35A41DA4F0</vt:lpwstr>
  </property>
  <property fmtid="{D5CDD505-2E9C-101B-9397-08002B2CF9AE}" pid="12" name="PM_ProtectiveMarkingValue_Footer">
    <vt:lpwstr>OFFICIAL</vt:lpwstr>
  </property>
  <property fmtid="{D5CDD505-2E9C-101B-9397-08002B2CF9AE}" pid="13" name="PM_Originator_Hash_SHA1">
    <vt:lpwstr>D4E2E51B62B268AB45982D519207B8E00D946BA3</vt:lpwstr>
  </property>
  <property fmtid="{D5CDD505-2E9C-101B-9397-08002B2CF9AE}" pid="14" name="PM_OriginationTimeStamp">
    <vt:lpwstr>2022-11-29T03:59:48Z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BD5ADBF8725EE823FE0E16B85D8AE7B9</vt:lpwstr>
  </property>
  <property fmtid="{D5CDD505-2E9C-101B-9397-08002B2CF9AE}" pid="24" name="PM_Hash_Salt">
    <vt:lpwstr>D174D191CD86EC102A8C07736C81CC46</vt:lpwstr>
  </property>
  <property fmtid="{D5CDD505-2E9C-101B-9397-08002B2CF9AE}" pid="25" name="PM_Hash_SHA1">
    <vt:lpwstr>AE6DD1C6050D6295A7A81CBBDDD352C6A059122C</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ABBFF5E2-9674-55C9-B08D-C9980002FD58</vt:lpwstr>
  </property>
  <property fmtid="{D5CDD505-2E9C-101B-9397-08002B2CF9AE}" pid="31" name="PMUuidVer">
    <vt:lpwstr>2022.1</vt:lpwstr>
  </property>
  <property fmtid="{D5CDD505-2E9C-101B-9397-08002B2CF9AE}" pid="32" name="PM_OriginatorUserAccountName_SHA256">
    <vt:lpwstr>8F3F02BCF3E36DDB8CE3C5C8CCF79141351B421B956956F290967B3F6DA297BF</vt:lpwstr>
  </property>
  <property fmtid="{D5CDD505-2E9C-101B-9397-08002B2CF9AE}" pid="33" name="PM_OriginatorDomainName_SHA256">
    <vt:lpwstr>6F3591835F3B2A8A025B00B5BA6418010DA3A17C9C26EA9C049FFD28039489A2</vt:lpwstr>
  </property>
  <property fmtid="{D5CDD505-2E9C-101B-9397-08002B2CF9AE}" pid="34" name="MediaServiceImageTags">
    <vt:lpwstr/>
  </property>
  <property fmtid="{D5CDD505-2E9C-101B-9397-08002B2CF9AE}" pid="35" name="Order">
    <vt:r8>23100</vt:r8>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y fmtid="{D5CDD505-2E9C-101B-9397-08002B2CF9AE}" pid="42" name="TaxCatchAll">
    <vt:lpwstr/>
  </property>
  <property fmtid="{D5CDD505-2E9C-101B-9397-08002B2CF9AE}" pid="43" name="lcf76f155ced4ddcb4097134ff3c332f">
    <vt:lpwstr/>
  </property>
  <property fmtid="{D5CDD505-2E9C-101B-9397-08002B2CF9AE}" pid="44" name="SharedWithUsers">
    <vt:lpwstr>44;#Deb Livermore;#45;#Genevieve Bernacki;#11;#Maddison King;#25;#Victoria Coakley</vt:lpwstr>
  </property>
</Properties>
</file>